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34A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附件</w:t>
      </w:r>
    </w:p>
    <w:p w14:paraId="2E416E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北京市医疗机构落实医药集中采购有关考核指标及计分方法</w:t>
      </w:r>
    </w:p>
    <w:tbl>
      <w:tblPr>
        <w:tblStyle w:val="3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404040" w:sz="6" w:space="0"/>
          <w:right w:val="single" w:color="40404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1"/>
        <w:gridCol w:w="2041"/>
        <w:gridCol w:w="735"/>
        <w:gridCol w:w="1905"/>
        <w:gridCol w:w="9291"/>
      </w:tblGrid>
      <w:tr w14:paraId="3DA8EC3C">
        <w:tblPrEx>
          <w:tblBorders>
            <w:top w:val="none" w:color="auto" w:sz="0" w:space="0"/>
            <w:left w:val="none" w:color="auto" w:sz="0" w:space="0"/>
            <w:bottom w:val="single" w:color="404040" w:sz="6" w:space="0"/>
            <w:right w:val="single" w:color="40404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0" w:hRule="atLeast"/>
          <w:tblCellSpacing w:w="0" w:type="dxa"/>
          <w:jc w:val="center"/>
        </w:trPr>
        <w:tc>
          <w:tcPr>
            <w:tcW w:w="604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74284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b/>
                <w:bCs/>
                <w:color w:val="404040"/>
                <w:sz w:val="18"/>
                <w:szCs w:val="18"/>
              </w:rPr>
              <w:t>类别</w:t>
            </w:r>
          </w:p>
        </w:tc>
        <w:tc>
          <w:tcPr>
            <w:tcW w:w="642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1C80D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b/>
                <w:bCs/>
                <w:color w:val="404040"/>
                <w:sz w:val="18"/>
                <w:szCs w:val="18"/>
              </w:rPr>
              <w:t>考核项目</w:t>
            </w:r>
          </w:p>
        </w:tc>
        <w:tc>
          <w:tcPr>
            <w:tcW w:w="231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22317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b/>
                <w:bCs/>
                <w:color w:val="404040"/>
                <w:sz w:val="18"/>
                <w:szCs w:val="18"/>
              </w:rPr>
              <w:t>分值</w:t>
            </w:r>
          </w:p>
        </w:tc>
        <w:tc>
          <w:tcPr>
            <w:tcW w:w="599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55944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b/>
                <w:bCs/>
                <w:color w:val="404040"/>
                <w:sz w:val="18"/>
                <w:szCs w:val="18"/>
              </w:rPr>
              <w:t>考核指标</w:t>
            </w:r>
          </w:p>
        </w:tc>
        <w:tc>
          <w:tcPr>
            <w:tcW w:w="2922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7EBBF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b/>
                <w:bCs/>
                <w:color w:val="404040"/>
                <w:sz w:val="18"/>
                <w:szCs w:val="18"/>
              </w:rPr>
              <w:t>计分方法</w:t>
            </w:r>
          </w:p>
        </w:tc>
      </w:tr>
      <w:tr w14:paraId="4CF09B58">
        <w:tblPrEx>
          <w:tblBorders>
            <w:top w:val="none" w:color="auto" w:sz="0" w:space="0"/>
            <w:left w:val="none" w:color="auto" w:sz="0" w:space="0"/>
            <w:bottom w:val="single" w:color="404040" w:sz="6" w:space="0"/>
            <w:right w:val="single" w:color="40404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604" w:type="pct"/>
            <w:vMerge w:val="restar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48AF3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药品集中采购（含中药饮片、中药配方颗粒）</w:t>
            </w:r>
          </w:p>
        </w:tc>
        <w:tc>
          <w:tcPr>
            <w:tcW w:w="642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48E04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执行药品带量采购规定情况</w:t>
            </w:r>
          </w:p>
        </w:tc>
        <w:tc>
          <w:tcPr>
            <w:tcW w:w="231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3A53D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both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50</w:t>
            </w:r>
          </w:p>
        </w:tc>
        <w:tc>
          <w:tcPr>
            <w:tcW w:w="599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129EB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1.按时完成中选产品约定采购量情况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2.中选产品配备使用情况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3.非中选产品采购金额占比情况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4.疗效近似或功能类似的非集采品种费用增长情况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5.医疗机构按时回款情况</w:t>
            </w:r>
          </w:p>
        </w:tc>
        <w:tc>
          <w:tcPr>
            <w:tcW w:w="2922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139AD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1.完成约定品种和数量情况，满分20分。根据年度所有带量采购品种数据统计，年度内结束周期的药品是否完成计算得分（品种和数量完成度计算比重1：1，计算得分；完成度95%及以上可得满分；政策或机构重大调整也可按报量比例考核品种完成情况）。采而未报、不参加集采品种，每个扣1分，直至扣满20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2.满分为8分，根据市卫健委、区医保部门等监督</w:t>
            </w:r>
            <w:bookmarkStart w:id="0" w:name="_GoBack"/>
            <w:bookmarkEnd w:id="0"/>
            <w:r>
              <w:rPr>
                <w:color w:val="404040"/>
                <w:sz w:val="18"/>
                <w:szCs w:val="18"/>
              </w:rPr>
              <w:t>反馈的医务人员培训教育情况，畅通进院渠道情况，合理使用监测情况进行打分。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3.满分为10分，根据高于全市同级医疗机构平均水平的偏离度排名，排名分十档，每高一档扣1分。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4.满分为8分，根据高于全市同级医疗机构平均水平的偏离度排名，排名分十档，每高一档扣0.8分。（药品以国家医保局等发布的监测目录中完全可替代品种为准）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5.满分为4分，查实一次扣1分，查实3次以上本项不得分。</w:t>
            </w:r>
          </w:p>
        </w:tc>
      </w:tr>
      <w:tr w14:paraId="57685302">
        <w:tblPrEx>
          <w:tblBorders>
            <w:top w:val="none" w:color="auto" w:sz="0" w:space="0"/>
            <w:left w:val="none" w:color="auto" w:sz="0" w:space="0"/>
            <w:bottom w:val="single" w:color="404040" w:sz="6" w:space="0"/>
            <w:right w:val="single" w:color="40404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604" w:type="pct"/>
            <w:vMerge w:val="continue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4F3DF2BF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0446F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落实集采等改革政策，合理控制药品费用情况</w:t>
            </w:r>
          </w:p>
        </w:tc>
        <w:tc>
          <w:tcPr>
            <w:tcW w:w="231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3E67F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both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50</w:t>
            </w:r>
          </w:p>
        </w:tc>
        <w:tc>
          <w:tcPr>
            <w:tcW w:w="599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31F3C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1.线下采购问题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2.医疗机构网上采购费用增长情况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3.超过平台参考价议价采购和红黄标采购问题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4.遴选议价机制运行情况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5.备案采购情况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6.患者投诉问题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7.舆情事件问题</w:t>
            </w:r>
          </w:p>
        </w:tc>
        <w:tc>
          <w:tcPr>
            <w:tcW w:w="2922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4413C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1.满分为10分，查实一次扣2分，查实3次以上本项不得分。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2.满分为10分，根据高于全市同级医疗机构平均水平的偏离度排名，排名分十档，每高一档扣1分。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3.满分为10分，根据高于全市同级医疗机构平均水平的偏离度排名，排名分十档，每高一档扣1分。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4.满分8分，医疗机构设有规范议价采购程序，做好档案留痕备查，定期报告等情况。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5.满分8分，根据高于全市同级医疗机构平均水平的偏离度排名，排名分十档，每高一档扣0.8分。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6.满分4分，常规做好窗口引导和应急处置，根据接诉即办情况打分。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7.造成严重不良舆情、产生负面影响的，一次性扣减40分。</w:t>
            </w:r>
          </w:p>
        </w:tc>
      </w:tr>
      <w:tr w14:paraId="3AA126A4">
        <w:tblPrEx>
          <w:tblBorders>
            <w:top w:val="none" w:color="auto" w:sz="0" w:space="0"/>
            <w:left w:val="none" w:color="auto" w:sz="0" w:space="0"/>
            <w:bottom w:val="single" w:color="404040" w:sz="6" w:space="0"/>
            <w:right w:val="single" w:color="40404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604" w:type="pct"/>
            <w:vMerge w:val="restar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13D68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医用耗材集中采购（含体外诊断试剂）</w:t>
            </w:r>
          </w:p>
        </w:tc>
        <w:tc>
          <w:tcPr>
            <w:tcW w:w="642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0349B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执行医用耗材带量采购规定情况</w:t>
            </w:r>
          </w:p>
        </w:tc>
        <w:tc>
          <w:tcPr>
            <w:tcW w:w="231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2A86E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both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50</w:t>
            </w:r>
          </w:p>
        </w:tc>
        <w:tc>
          <w:tcPr>
            <w:tcW w:w="599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60637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1.按时完成中选产品约定采购量情况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2.中选产品配备使用情况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3.非中选产品采购金额占比情况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4.纳入协议采购与实际使用金额占比情况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5.医疗机构按时回款情况</w:t>
            </w:r>
          </w:p>
        </w:tc>
        <w:tc>
          <w:tcPr>
            <w:tcW w:w="2922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4C021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1.完成约定品种和数量情况，满分20分。根据年度所有带量采购品种数据统计，年度内结束周期的医用耗材是否完成计算得分（品种和数量完成度计算比重1：1，计算得分；完成度95%及以上可得满分；政策或机构重大调整也可按报量比例考核品种完成情况）。采而未报、不参加集采品种，每个扣1分，直至扣满20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2.满分为8分，根据市卫健委、区医保部门等监督反馈的医务人员培训教育情况，畅通进院渠道情况，合理使用监测情况进行打分。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3.满分为10分，根据高于全市同级医疗机构平均水平的偏离度排名，排名分十档，每高一档扣1分。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4.满分为8分，根据高于全市同级医疗机构平均水平的偏离度排名，排名分十档，每低一档扣0.8分。（依据国家医保编码类别）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5.满分为4分，查实一次扣1分，查实3次以上本项不得分。</w:t>
            </w:r>
          </w:p>
        </w:tc>
      </w:tr>
      <w:tr w14:paraId="3723B2E5">
        <w:tblPrEx>
          <w:tblBorders>
            <w:top w:val="none" w:color="auto" w:sz="0" w:space="0"/>
            <w:left w:val="none" w:color="auto" w:sz="0" w:space="0"/>
            <w:bottom w:val="single" w:color="404040" w:sz="6" w:space="0"/>
            <w:right w:val="single" w:color="40404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604" w:type="pct"/>
            <w:vMerge w:val="continue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502A1C9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24C50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落实集采等改革政策，合理控制医用耗材费用情况</w:t>
            </w:r>
          </w:p>
        </w:tc>
        <w:tc>
          <w:tcPr>
            <w:tcW w:w="231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00F19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both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50</w:t>
            </w:r>
          </w:p>
        </w:tc>
        <w:tc>
          <w:tcPr>
            <w:tcW w:w="599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480A8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1.线下采购问题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2.医疗机构网上采购费用增长情况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3.超过平台限价议价采购和红黄标采购问题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4.遴选议价机制运行情况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5.备案采购情况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6.患者投诉问题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7.舆情事件问题</w:t>
            </w:r>
          </w:p>
        </w:tc>
        <w:tc>
          <w:tcPr>
            <w:tcW w:w="2922" w:type="pct"/>
            <w:tcBorders>
              <w:top w:val="single" w:color="404040" w:sz="6" w:space="0"/>
              <w:left w:val="single" w:color="404040" w:sz="6" w:space="0"/>
              <w:bottom w:val="nil"/>
              <w:right w:val="nil"/>
            </w:tcBorders>
            <w:shd w:val="clear" w:color="auto" w:fill="FFFFFF"/>
            <w:tcMar>
              <w:left w:w="240" w:type="dxa"/>
              <w:right w:w="240" w:type="dxa"/>
            </w:tcMar>
            <w:vAlign w:val="center"/>
          </w:tcPr>
          <w:p w14:paraId="4BF56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75" w:lineRule="atLeast"/>
              <w:ind w:right="0"/>
              <w:jc w:val="left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1.满分为10分，查实一次扣2分，查实3次以上本项不得分。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2.满分为10分，根据高于全市同级医疗机构平均水平的偏离度排名，排名分十档，每高一档扣1分。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3.满分为10分，根据高于全市同级医疗机构平均水平的偏离度排名，排名分十档，每高一档扣1分。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4.满分8分，医疗机构设有规范议价采购程序，做好档案留痕备查，定期报告等情况。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5.满分8分，根据高于全市同级医疗机构平均水平的偏离度排名，排名分十档，每高一档扣0.8分。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6.满分4分，常规做好窗口引导和应急处置，根据接诉即办情况打分。</w:t>
            </w:r>
            <w:r>
              <w:rPr>
                <w:color w:val="404040"/>
                <w:sz w:val="18"/>
                <w:szCs w:val="18"/>
              </w:rPr>
              <w:br w:type="textWrapping"/>
            </w:r>
            <w:r>
              <w:rPr>
                <w:color w:val="404040"/>
                <w:sz w:val="18"/>
                <w:szCs w:val="18"/>
              </w:rPr>
              <w:t>7.造成严重不良舆情、产生负面影响的，一次性扣减40分。</w:t>
            </w:r>
          </w:p>
        </w:tc>
      </w:tr>
    </w:tbl>
    <w:p w14:paraId="6E8793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8"/>
          <w:szCs w:val="18"/>
          <w:bdr w:val="none" w:color="auto" w:sz="0" w:space="0"/>
          <w:shd w:val="clear" w:fill="FFFFFF"/>
        </w:rPr>
        <w:t>（考核部门：市药采中心、各区医保部门具体落实）</w:t>
      </w:r>
    </w:p>
    <w:p w14:paraId="30DB4A7A">
      <w:pPr>
        <w:rPr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60ADC"/>
    <w:rsid w:val="448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2025-06-09T01:25:00Z</dcterms:created>
  <dc:creator>猫小姐</dc:creator>
  <cp:lastModifiedBy>猫小姐</cp:lastModifiedBy>
  <dcterms:modified xsi:type="dcterms:W3CDTF">2025-06-09T01:29:47Z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2A9F5059030E41479AF1B2CE8AEDA5A4_11</vt:lpwstr>
  </property>
  <property fmtid="{D5CDD505-2E9C-101B-9397-08002B2CF9AE}" pid="4" name="KSOTemplateDocerSaveRecord">
    <vt:lpwstr>eyJoZGlkIjoiNTU5MzkwNTg5N2Y0ZjU4NGZlMmMyOWNiMjg0ZjRmMzkiLCJ1c2VySWQiOiIxMzcyMTA5NTYzIn0=</vt:lpwstr>
  </property>
</Properties>
</file>