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22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附件10</w:t>
      </w:r>
    </w:p>
    <w:p w14:paraId="50BF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 w14:paraId="4CBAE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年母婴保健技术服务机构</w:t>
      </w:r>
    </w:p>
    <w:p w14:paraId="4C27C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随机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监督抽查计划</w:t>
      </w:r>
    </w:p>
    <w:p w14:paraId="2457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 w14:paraId="6F27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一、监督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对象</w:t>
      </w:r>
    </w:p>
    <w:p w14:paraId="26D56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抽查辖区妇幼保健机构和其他医疗、保健机构，抽查比例见附表。</w:t>
      </w:r>
    </w:p>
    <w:p w14:paraId="73FD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监督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内容</w:t>
      </w:r>
    </w:p>
    <w:p w14:paraId="22650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机构及人员资质情况。开展母婴保健技术服务、人类辅助生殖技术服务、设置人类精子库的机构执业资质和人员执业资格情况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0C9B0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法律法规执行情况。机构是否按照批准的业务范围和服务项目执业；人员是否按照批准的服务项目执业；开展人工终止妊娠手术是否进行登记查验；开展孕妇外周血胎儿游离DNA产前筛查与诊断是否规范；开展人类辅助生殖技术是否查验身份证、结婚证；开展产前诊断、人类辅助生殖技术等服务是否符合相关要求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出具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生医学证明是否符合相关规定；相关技术服务是否遵守知情同意的原则；出具医学证明文件和诊断报告是否符合相关规定；病历、记录、档案等医疗文书是否符合相关规定；是否设置禁止“两非”的警示标志；是否依法发布母婴保健技术服务广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63A12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制度建立及实施情况。是否建立禁止胎儿性别鉴定的管理制度；是否建立人工终止妊娠登记查验制度；是否建立技术档案管理、转诊、追踪观察制度；是否建立孕产妇死亡、婴儿死亡以及新生儿出生缺陷报告制度；是否具有保证技术服务安全和服务质量的其他管理制度；相关制度实施情况。</w:t>
      </w:r>
    </w:p>
    <w:p w14:paraId="70D0B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规范应用人类辅助生殖技术检查。是否符合国家生育政策、伦理原则和基本标准；是否遵守临床、实验室等操作规范；是否存在非法采供精、非法采供卵、参与实施代孕、滥用性别鉴定技术等行为；是否存在无相应技术资质开展人类辅助生殖技术的行为。</w:t>
      </w:r>
    </w:p>
    <w:p w14:paraId="0E9F5B5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eastAsia="zh-CN" w:bidi="ar-SA"/>
        </w:rPr>
        <w:t>出生医学证明管理检查。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是否建立并执行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空白证件管理、人员管理、印章管理、废证管理、信息管理、档案管理、信息安全保密等制度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是否配备专（兼）职工作人员分别负责空白证件管理、证件签发和印章管理，是否能够落实“证”“章”分离制度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；空白证件保管是否符合“两锁”“三铁”“四防”要求（即门锁、柜锁，铁门、铁栏窗和保险柜，防水、防火、防潮和防盗）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eastAsia="zh-CN" w:bidi="ar-SA"/>
        </w:rPr>
        <w:t>；是否配备人证核验设备，建立并严格落实“刷脸比对”身份核验制度；是否存在伪造和买卖出生医学证明情况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val="en-US" w:eastAsia="zh-CN" w:bidi="ar-SA"/>
        </w:rPr>
        <w:t>。</w:t>
      </w:r>
    </w:p>
    <w:p w14:paraId="2045A7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三、工作要求</w:t>
      </w:r>
    </w:p>
    <w:p w14:paraId="008BA2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（一）各区要把国家随机监督抽查工作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与本年度妇幼健康专业特殊行业重点领域监督检查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持续严厉打击医疗领域侵害人民群众健康权益违法违规行为工作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，统筹安排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提升效率，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年11月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全部抽取任务和数据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。加大对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近两年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监督抽查中存在问题、被行政处罚的机构的检查力度；重点加强出生医学证明监督检查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进一步规范应用人类辅助生殖技术服务，巩固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非法应用人类辅助生殖技术违法违规行为专项整治工作成效。</w:t>
      </w:r>
    </w:p>
    <w:p w14:paraId="7FD4A47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区要依照“谁检查、谁录入、谁公开”的原则，将抽查结果依法向社会及时公开。通过监督抽查工作，认真查找实际工作中存在的突出问题，研究分析深层次原因，总结经验，摸索建立和完善长效监管机制，切实维护广大人民群众健康权益。</w:t>
      </w:r>
    </w:p>
    <w:p w14:paraId="1AA013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各区请于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6月15日、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将母婴保健技术服务机构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随机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监督抽查工作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阶段性工作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、全年工作总结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至市卫生健康委医疗卫生执法处邮箱。抽查结果及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汇总数据以信息报告系统填报数据为准。</w:t>
      </w:r>
    </w:p>
    <w:p w14:paraId="60CD62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各区要强化处理措施，对于违法行为，要依法予以行政处罚;对于违反法律、法规、规章但无行政处罚依据的，要下达监督意见书责令整改;对于发现的其它违反政策要求的事项，要向区卫生健康行政部门相关业务主管科室报告，由主管科室督促落实整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在监督检查过程中“边执法、边普法”，促进事前事中事后有序衔接。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涉嫌违法犯罪线索及时移交相关部门；重大案件信息要及时向市卫生健康委报告。</w:t>
      </w:r>
    </w:p>
    <w:p w14:paraId="22674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、联系方式</w:t>
      </w:r>
    </w:p>
    <w:p w14:paraId="0538A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联系人：市卫生健康委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医疗卫生执法处  田楠；</w:t>
      </w:r>
    </w:p>
    <w:p w14:paraId="7BF2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63081057；</w:t>
      </w:r>
    </w:p>
    <w:p w14:paraId="2806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电子邮箱：zfcfyz@tj.gov.cn。</w:t>
      </w:r>
    </w:p>
    <w:p w14:paraId="57AC8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57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3A1A8566">
      <w:pPr>
        <w:keepNext w:val="0"/>
        <w:keepLines w:val="0"/>
        <w:pageBreakBefore w:val="0"/>
        <w:widowControl w:val="0"/>
        <w:tabs>
          <w:tab w:val="left" w:pos="1560"/>
          <w:tab w:val="left" w:pos="1701"/>
        </w:tabs>
        <w:kinsoku/>
        <w:wordWrap/>
        <w:overflowPunct/>
        <w:topLinePunct w:val="0"/>
        <w:autoSpaceDN/>
        <w:bidi w:val="0"/>
        <w:spacing w:line="560" w:lineRule="exact"/>
        <w:ind w:left="2080" w:leftChars="0" w:hanging="2080" w:hangingChars="65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附表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年母婴保健技术服务机构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国家随机</w:t>
      </w:r>
    </w:p>
    <w:p w14:paraId="7C8E303F">
      <w:pPr>
        <w:keepNext w:val="0"/>
        <w:keepLines w:val="0"/>
        <w:pageBreakBefore w:val="0"/>
        <w:widowControl w:val="0"/>
        <w:tabs>
          <w:tab w:val="left" w:pos="1560"/>
          <w:tab w:val="left" w:pos="1701"/>
        </w:tabs>
        <w:kinsoku/>
        <w:wordWrap/>
        <w:overflowPunct/>
        <w:topLinePunct w:val="0"/>
        <w:autoSpaceDN/>
        <w:bidi w:val="0"/>
        <w:spacing w:line="560" w:lineRule="exact"/>
        <w:ind w:left="2075" w:leftChars="912" w:hanging="160" w:hangingChars="5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监督抽查工作计划表</w:t>
      </w:r>
    </w:p>
    <w:p w14:paraId="07089224">
      <w:pPr>
        <w:keepNext w:val="0"/>
        <w:keepLines w:val="0"/>
        <w:pageBreakBefore w:val="0"/>
        <w:widowControl w:val="0"/>
        <w:tabs>
          <w:tab w:val="left" w:pos="1560"/>
          <w:tab w:val="left" w:pos="1701"/>
        </w:tabs>
        <w:kinsoku/>
        <w:wordWrap/>
        <w:overflowPunct/>
        <w:topLinePunct w:val="0"/>
        <w:autoSpaceDN/>
        <w:bidi w:val="0"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2.2025年母婴保健技术服务机构国家随机</w:t>
      </w:r>
    </w:p>
    <w:p w14:paraId="6D1D605E">
      <w:pPr>
        <w:keepNext w:val="0"/>
        <w:keepLines w:val="0"/>
        <w:pageBreakBefore w:val="0"/>
        <w:widowControl w:val="0"/>
        <w:tabs>
          <w:tab w:val="left" w:pos="1560"/>
          <w:tab w:val="left" w:pos="1701"/>
        </w:tabs>
        <w:kinsoku/>
        <w:wordWrap/>
        <w:overflowPunct/>
        <w:topLinePunct w:val="0"/>
        <w:autoSpaceDN/>
        <w:bidi w:val="0"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监督抽查汇总表</w:t>
      </w:r>
    </w:p>
    <w:p w14:paraId="156A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</w:p>
    <w:p w14:paraId="0231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1906" w:h="16838"/>
          <w:pgMar w:top="1474" w:right="1984" w:bottom="1587" w:left="2098" w:header="283" w:footer="1020" w:gutter="0"/>
          <w:pgNumType w:fmt="decimal"/>
          <w:cols w:space="720" w:num="1"/>
          <w:rtlGutter w:val="0"/>
          <w:docGrid w:linePitch="319" w:charSpace="0"/>
        </w:sectPr>
      </w:pPr>
    </w:p>
    <w:p w14:paraId="380ED7F8">
      <w:pPr>
        <w:spacing w:line="59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2E2CBA65">
      <w:pPr>
        <w:spacing w:beforeLines="0" w:afterLines="0" w:line="240" w:lineRule="auto"/>
        <w:ind w:firstLine="320" w:firstLineChars="100"/>
        <w:rPr>
          <w:rFonts w:hint="default" w:ascii="Times New Roman" w:hAnsi="Times New Roman" w:eastAsia="黑体" w:cs="Times New Roman"/>
          <w:color w:val="auto"/>
          <w:sz w:val="32"/>
        </w:rPr>
      </w:pPr>
    </w:p>
    <w:p w14:paraId="4B697D8A">
      <w:pPr>
        <w:spacing w:beforeLines="0" w:afterLines="0"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年母婴保健技术服务机构国家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>随机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监督抽查工作计划表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74"/>
        <w:gridCol w:w="1200"/>
        <w:gridCol w:w="9179"/>
        <w:gridCol w:w="1389"/>
      </w:tblGrid>
      <w:tr w14:paraId="29456A3D">
        <w:trPr>
          <w:trHeight w:val="492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1D8064">
            <w:pPr>
              <w:spacing w:beforeLines="0" w:afterLines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931EBF">
            <w:pPr>
              <w:spacing w:beforeLines="0" w:afterLines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监督检查对象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49CEC9">
            <w:pPr>
              <w:spacing w:beforeLines="0" w:afterLines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抽检比例</w:t>
            </w:r>
          </w:p>
        </w:tc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11159C">
            <w:pPr>
              <w:spacing w:beforeLines="0" w:afterLines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检查内容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3C5129">
            <w:pPr>
              <w:spacing w:beforeLines="0" w:afterLines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备注</w:t>
            </w:r>
          </w:p>
        </w:tc>
      </w:tr>
      <w:tr w14:paraId="2EC9AAEF">
        <w:trPr>
          <w:trHeight w:val="2541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B16EF">
            <w:pPr>
              <w:spacing w:beforeLines="0" w:afterLines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A885B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妇幼保健机构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3039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50%</w:t>
            </w:r>
          </w:p>
        </w:tc>
        <w:tc>
          <w:tcPr>
            <w:tcW w:w="9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6A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1.机构及人员资质情况。开展母婴保健技术服务、人类辅助生殖技术服务、设置人类精子库的机构执业资质和人员执业资格情况。</w:t>
            </w:r>
          </w:p>
          <w:p w14:paraId="6BC1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法律法规执行情况。机构是否按照批准的业务范围和服务项目执业；人员是否按照批准的服务项目执业；开展人工终止妊娠手术是否进行登记查验；开展孕妇外周血胎儿游离DNA产前筛查与诊断是否规范；开展人类辅助生殖技术是否查验身份证、结婚证；开展产前诊断、人类辅助生殖技术等服务是否符合相关要求；出具出生医学证明是否符合相关规定；相关技术服务是否遵守知情同意的原则；出具医学证明文件和诊断报告是否符合相关规定；病历、记录、档案等医疗文书是否符合相关规定；是否设置禁止“两非”的警示标志；是否依法发布母婴保健技术服务广告。</w:t>
            </w:r>
          </w:p>
          <w:p w14:paraId="0B51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制度建立及实施情况。是否建立禁止胎儿性别鉴定的管理制度；是否建立人工终止妊娠登记查验制度；是否建立技术档案管理、转诊、追踪观察制度；是否建立孕产妇死亡、婴儿死亡以及新生儿出生缺陷报告制度；是否具有保证技术服务安全和服务质量的其他管理制度；相关制度实施情况。</w:t>
            </w:r>
          </w:p>
          <w:p w14:paraId="1578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规范应用人类辅助生殖技术检查。是否符合国家生育政策、伦理原则和基本标准；是否遵守临床、实验室等操作规范；是否存在非法采供精、非法采供卵、参与实施代孕、滥用性别鉴定技术等行为；是否存在无相应技术资质开展人类辅助生殖技术的行为。</w:t>
            </w:r>
          </w:p>
          <w:p w14:paraId="3B84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5.出生医学证明管理检查。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是否建立并执行空白证件管理、人员管理、印章管理、废证管理、信息管理、档案管理、信息安全保密等制度；是否配备专（兼）职工作人员分别负责空白证件管理、证件签发和印章管理，是否能够落实“证”“章”分离制度；空白证件保管是否符合“两锁”“三铁”“四防”要求（即门锁、柜锁，铁门、铁栏窗和保险柜，防水、防火、防潮和防盗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；是否配备人证核验设备，建立并严格落实“刷脸比对”身份核验制度；是否存在伪造和买卖出生医学证明情况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EB502A">
            <w:pPr>
              <w:spacing w:beforeLines="0" w:afterLines="0" w:line="360" w:lineRule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6C7E90">
            <w:pPr>
              <w:spacing w:beforeLines="0" w:afterLines="0" w:line="360" w:lineRule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031744">
            <w:pPr>
              <w:spacing w:beforeLines="0" w:afterLines="0" w:line="360" w:lineRule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根据各机构业务开展情况，检查内容可合理缺项。</w:t>
            </w:r>
          </w:p>
        </w:tc>
      </w:tr>
      <w:tr w14:paraId="05F12820">
        <w:trPr>
          <w:trHeight w:val="225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346BB">
            <w:pPr>
              <w:spacing w:beforeLines="0" w:afterLines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4D62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其他医疗、保健机构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E8B5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50%</w:t>
            </w:r>
          </w:p>
        </w:tc>
        <w:tc>
          <w:tcPr>
            <w:tcW w:w="9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13BBF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F6C0AE">
            <w:pPr>
              <w:spacing w:beforeLines="0" w:afterLines="0" w:line="360" w:lineRule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70674C64">
      <w:pPr>
        <w:spacing w:line="59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FD202CD">
      <w:pPr>
        <w:spacing w:line="59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622BE87B">
      <w:pPr>
        <w:spacing w:beforeLines="0" w:afterLines="0"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2025年母婴保健技术服务机构国家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>随机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监督抽查汇总表</w:t>
      </w:r>
    </w:p>
    <w:tbl>
      <w:tblPr>
        <w:tblStyle w:val="5"/>
        <w:tblW w:w="149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17"/>
        <w:gridCol w:w="357"/>
        <w:gridCol w:w="554"/>
        <w:gridCol w:w="531"/>
        <w:gridCol w:w="554"/>
        <w:gridCol w:w="542"/>
        <w:gridCol w:w="519"/>
        <w:gridCol w:w="531"/>
        <w:gridCol w:w="519"/>
        <w:gridCol w:w="531"/>
        <w:gridCol w:w="600"/>
        <w:gridCol w:w="612"/>
        <w:gridCol w:w="554"/>
        <w:gridCol w:w="623"/>
        <w:gridCol w:w="657"/>
        <w:gridCol w:w="600"/>
        <w:gridCol w:w="600"/>
        <w:gridCol w:w="577"/>
        <w:gridCol w:w="600"/>
        <w:gridCol w:w="658"/>
        <w:gridCol w:w="564"/>
        <w:gridCol w:w="583"/>
        <w:gridCol w:w="526"/>
        <w:gridCol w:w="402"/>
        <w:gridCol w:w="516"/>
        <w:gridCol w:w="383"/>
        <w:gridCol w:w="407"/>
      </w:tblGrid>
      <w:tr w14:paraId="5CD76895">
        <w:trPr>
          <w:trHeight w:val="509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辖区内单位总数</w:t>
            </w:r>
          </w:p>
        </w:tc>
        <w:tc>
          <w:tcPr>
            <w:tcW w:w="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检查单位数</w:t>
            </w:r>
          </w:p>
        </w:tc>
        <w:tc>
          <w:tcPr>
            <w:tcW w:w="12035" w:type="dxa"/>
            <w:gridSpan w:val="2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不合格情况</w:t>
            </w:r>
          </w:p>
        </w:tc>
        <w:tc>
          <w:tcPr>
            <w:tcW w:w="170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行政处罚情况</w:t>
            </w:r>
          </w:p>
        </w:tc>
      </w:tr>
      <w:tr w14:paraId="3A26A438">
        <w:trPr>
          <w:trHeight w:val="1961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机构及人员资质情况</w:t>
            </w:r>
          </w:p>
        </w:tc>
        <w:tc>
          <w:tcPr>
            <w:tcW w:w="801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法律法规执行情况</w:t>
            </w:r>
          </w:p>
        </w:tc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制度建立情况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查处案件数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罚没款金额（万元）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吊销执业机构许可证单位数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吊销人员资格证单位数</w:t>
            </w:r>
          </w:p>
        </w:tc>
      </w:tr>
      <w:tr w14:paraId="45F2974C">
        <w:trPr>
          <w:trHeight w:val="2285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C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9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机构执业资质管理不符合要求单位数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人员资格管理不符合要求单位数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机构未按照批准的业务范围和服务项目执业单位数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人员未按照批准的服务项目执业单位数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未按要求开展人工终止妊娠手术进行登记查验单位数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未按要求开展孕妇外周血胎儿游离DNA产前筛查与诊断单位数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未按要求开展人类辅助生殖技术查验身份证、结婚证单位数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未按要求开展产前诊断、人类辅助生殖技术等服务单位数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开展相关技术服务未按要求遵守知情同意原则单位数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出具医学证明文件和诊断报告不符合相关规定单位数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病历、记录、档案等文书不符合相关规定单位数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未按要求设置禁止“两非”警示标志单位数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违法发布母婴保健技术服务广告单位数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存在买卖精子、买卖卵子、代孕等违法犯罪行为单位数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未按规定出具出生医学证明单位数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存在买卖和伪造出生医学证明违法犯罪行为单位数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未建立禁止胎儿性别鉴定管理制度单位数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未建立人工终止妊娠登记查验制度单位数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未建立健全技术档案管理、转诊、追踪观察制度单位数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未建立孕产妇死亡、婴儿死亡以及新生儿初生缺陷报告制度单位数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不具有保证技术服务安全和服务质量的其他管理制度单位数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2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</w:tr>
      <w:tr w14:paraId="557EBB3C">
        <w:trPr>
          <w:trHeight w:val="63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妇幼保健机构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5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4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3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3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95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2A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68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7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B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87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3E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2D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70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01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1C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7B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E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7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5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C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</w:tr>
      <w:tr w14:paraId="5C186BE4"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其他医疗、保健机构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6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2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A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3C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6F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EF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B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0B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6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8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08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8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51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E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A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8D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05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D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E5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6D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</w:tr>
      <w:tr w14:paraId="4B2CBBD2">
        <w:trPr>
          <w:trHeight w:val="38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A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9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F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9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C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D3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78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7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8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D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D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9A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4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2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CD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50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6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4C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0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F2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53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6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2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15"/>
                <w:szCs w:val="15"/>
                <w:u w:val="none"/>
              </w:rPr>
            </w:pPr>
          </w:p>
        </w:tc>
      </w:tr>
    </w:tbl>
    <w:p w14:paraId="6149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417" w:right="1417" w:bottom="1417" w:left="1417" w:header="283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9" w:charSpace="0"/>
        </w:sectPr>
      </w:pPr>
    </w:p>
    <w:p w14:paraId="60E755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D6A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-110490</wp:posOffset>
              </wp:positionV>
              <wp:extent cx="1828800" cy="180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55952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7pt;height:14.2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1JPe9MAAAAHAQAADwAAAAAAAAABACAAAAAiAAAAZHJzL2Rvd25yZXYueG1sUEsB&#10;AhQAFAAAAAgAh07iQIHS0K3BAQAAfgMAAA4AAAAAAAAAAQAgAAAAIg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455952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43498">
    <w:pPr>
      <w:pStyle w:val="2"/>
      <w:rPr>
        <w:rFonts w:hint="eastAsia" w:ascii="仿宋_GB2312" w:hAnsi="仿宋_GB2312" w:eastAsia="仿宋_GB2312" w:cs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-110490</wp:posOffset>
              </wp:positionV>
              <wp:extent cx="622300" cy="2755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216A6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7pt;height:21.7pt;width:49pt;mso-position-horizontal:outside;mso-position-horizontal-relative:margin;z-index:251660288;mso-width-relative:page;mso-height-relative:page;" filled="f" stroked="f" coordsize="21600,21600" o:gfxdata="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607AI1gAAAAYBAAAPAAAAAAAAAAEAIAAAACIAAABkcnMvZG93bnJldi54bWxQSwECFAAU&#10;AAAACACHTuJAh/lyGboBAABxAwAADgAAAAAAAAABACAAAAAl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7216A6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8278D">
    <w:pPr>
      <w:pStyle w:val="3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CD6C9">
    <w:pPr>
      <w:pStyle w:val="3"/>
      <w:pBdr>
        <w:bottom w:val="none" w:color="auto" w:sz="0" w:space="0"/>
      </w:pBdr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8C342"/>
    <w:rsid w:val="3FF8C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2025-05-21T21:46:00Z</dcterms:created>
  <dc:creator>雨熹 Cisia</dc:creator>
  <cp:lastModifiedBy>雨熹 Cisia</cp:lastModifiedBy>
  <dcterms:modified xsi:type="dcterms:W3CDTF">2025-05-21T21:46:46Z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428216E7BE46E56E38D92D68F18B1266_41</vt:lpwstr>
  </property>
</Properties>
</file>