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58B3">
      <w:pPr>
        <w:autoSpaceDE w:val="0"/>
        <w:spacing w:line="360" w:lineRule="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附件3</w:t>
      </w:r>
    </w:p>
    <w:p w14:paraId="7B9CAC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p>
    <w:p w14:paraId="32DEE2C4">
      <w:pPr>
        <w:snapToGrid w:val="0"/>
        <w:spacing w:line="600" w:lineRule="exact"/>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default" w:ascii="Times New Roman" w:hAnsi="Times New Roman" w:eastAsia="方正小标宋简体" w:cs="Times New Roman"/>
          <w:b w:val="0"/>
          <w:bCs/>
          <w:color w:val="auto"/>
          <w:sz w:val="44"/>
          <w:szCs w:val="44"/>
        </w:rPr>
        <w:t>年</w:t>
      </w:r>
      <w:r>
        <w:rPr>
          <w:rFonts w:hint="default" w:ascii="Times New Roman" w:hAnsi="Times New Roman" w:eastAsia="方正小标宋简体" w:cs="Times New Roman"/>
          <w:b w:val="0"/>
          <w:bCs/>
          <w:color w:val="auto"/>
          <w:sz w:val="44"/>
          <w:szCs w:val="44"/>
          <w:lang w:val="en-US" w:eastAsia="zh-CN"/>
        </w:rPr>
        <w:t>学校卫生随机</w:t>
      </w:r>
      <w:r>
        <w:rPr>
          <w:rFonts w:hint="default" w:ascii="Times New Roman" w:hAnsi="Times New Roman" w:eastAsia="方正小标宋简体" w:cs="Times New Roman"/>
          <w:b w:val="0"/>
          <w:bCs/>
          <w:color w:val="auto"/>
          <w:sz w:val="44"/>
          <w:szCs w:val="44"/>
        </w:rPr>
        <w:t>监督</w:t>
      </w:r>
      <w:r>
        <w:rPr>
          <w:rFonts w:hint="default" w:ascii="Times New Roman" w:hAnsi="Times New Roman" w:eastAsia="方正小标宋简体" w:cs="Times New Roman"/>
          <w:b w:val="0"/>
          <w:bCs/>
          <w:color w:val="auto"/>
          <w:sz w:val="44"/>
          <w:szCs w:val="44"/>
          <w:lang w:val="en-US" w:eastAsia="zh-CN"/>
        </w:rPr>
        <w:t>抽</w:t>
      </w:r>
      <w:r>
        <w:rPr>
          <w:rFonts w:hint="default" w:ascii="Times New Roman" w:hAnsi="Times New Roman" w:eastAsia="方正小标宋简体" w:cs="Times New Roman"/>
          <w:b w:val="0"/>
          <w:bCs/>
          <w:color w:val="auto"/>
          <w:sz w:val="44"/>
          <w:szCs w:val="44"/>
        </w:rPr>
        <w:t>查计划</w:t>
      </w:r>
    </w:p>
    <w:p w14:paraId="53AC6C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5C3E59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rPr>
        <w:t>一、</w:t>
      </w:r>
      <w:r>
        <w:rPr>
          <w:rFonts w:hint="default" w:ascii="Times New Roman" w:hAnsi="Times New Roman" w:eastAsia="黑体" w:cs="Times New Roman"/>
          <w:b w:val="0"/>
          <w:bCs/>
          <w:color w:val="auto"/>
          <w:sz w:val="32"/>
          <w:szCs w:val="32"/>
          <w:lang w:val="en-US" w:eastAsia="zh-CN"/>
        </w:rPr>
        <w:t>监督</w:t>
      </w:r>
      <w:r>
        <w:rPr>
          <w:rFonts w:hint="default" w:ascii="Times New Roman" w:hAnsi="Times New Roman" w:eastAsia="黑体" w:cs="Times New Roman"/>
          <w:b w:val="0"/>
          <w:bCs/>
          <w:color w:val="auto"/>
          <w:sz w:val="32"/>
          <w:szCs w:val="32"/>
        </w:rPr>
        <w:t>检查</w:t>
      </w:r>
      <w:r>
        <w:rPr>
          <w:rFonts w:hint="default" w:ascii="Times New Roman" w:hAnsi="Times New Roman" w:eastAsia="黑体" w:cs="Times New Roman"/>
          <w:b w:val="0"/>
          <w:bCs/>
          <w:color w:val="auto"/>
          <w:sz w:val="32"/>
          <w:szCs w:val="32"/>
          <w:lang w:eastAsia="zh-CN"/>
        </w:rPr>
        <w:t>内容</w:t>
      </w:r>
    </w:p>
    <w:p w14:paraId="03F7C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bookmarkStart w:id="0" w:name="_Hlk41573735"/>
      <w:r>
        <w:rPr>
          <w:rFonts w:hint="default" w:ascii="Times New Roman" w:hAnsi="Times New Roman" w:eastAsia="仿宋_GB2312" w:cs="Times New Roman"/>
          <w:b w:val="0"/>
          <w:bCs w:val="0"/>
          <w:color w:val="auto"/>
          <w:kern w:val="0"/>
          <w:sz w:val="32"/>
          <w:szCs w:val="32"/>
          <w:lang w:val="en-US" w:eastAsia="zh-CN" w:bidi="ar"/>
        </w:rPr>
        <w:t>抽查学校教学和生活环境、学习用品、饮用水卫生管理、传染病防控和学校卫生保健机构设立及人员配备情况，抽检教室采光、照明及人均面积和水质。</w:t>
      </w:r>
    </w:p>
    <w:p w14:paraId="66BF6A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lang w:eastAsia="zh-CN"/>
        </w:rPr>
      </w:pPr>
      <w:bookmarkStart w:id="1" w:name="_Hlk41571121"/>
      <w:r>
        <w:rPr>
          <w:rFonts w:hint="default" w:ascii="Times New Roman" w:hAnsi="Times New Roman" w:eastAsia="黑体" w:cs="Times New Roman"/>
          <w:b w:val="0"/>
          <w:bCs/>
          <w:color w:val="auto"/>
          <w:sz w:val="32"/>
          <w:szCs w:val="32"/>
          <w:lang w:eastAsia="zh-CN"/>
        </w:rPr>
        <w:t>二、工作要求</w:t>
      </w:r>
    </w:p>
    <w:p w14:paraId="25EBD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lang w:val="en-US" w:eastAsia="zh-CN"/>
        </w:rPr>
        <w:t>各区要切实加强对上报数据信息的审核，按照抽查工作计划表及监督信息报告卡要求填报数据信息，保证数据信息项目齐全、质量可靠。</w:t>
      </w:r>
    </w:p>
    <w:p w14:paraId="628E1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lang w:val="en-US" w:eastAsia="zh-CN"/>
        </w:rPr>
        <w:t>各区要将完成本抽查计划中的学校采光和照明抽查任务，作为贯彻落实《综合防控儿童青少年近视实施方案》的一项重要内容，会同辖区教育行政部门做好抽查、记录和公布工作。</w:t>
      </w:r>
      <w:bookmarkEnd w:id="0"/>
      <w:bookmarkEnd w:id="1"/>
      <w:r>
        <w:rPr>
          <w:rFonts w:hint="default" w:ascii="Times New Roman" w:hAnsi="Times New Roman" w:eastAsia="仿宋_GB2312" w:cs="Times New Roman"/>
          <w:b w:val="0"/>
          <w:bCs/>
          <w:color w:val="auto"/>
          <w:sz w:val="32"/>
          <w:szCs w:val="32"/>
          <w:lang w:val="en-US" w:eastAsia="zh-CN"/>
        </w:rPr>
        <w:t>对监督检查中发现的突出问题,及时向当地政府主管部门通报情况,促进协同监管。</w:t>
      </w:r>
    </w:p>
    <w:p w14:paraId="0D1E7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楷体"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lang w:val="en-US" w:eastAsia="zh-CN"/>
        </w:rPr>
        <w:t>各区要在2025年6月15日前报送辖区国家随机监督抽查工作学校卫生监督专业阶段性总结。11月15日前完成国家随机监督抽查工作任务和结果报送，并将抽查工作总结以及国家卫生健康监督信息报告系统导出汇总表的电子版和加盖公章的PDF扫描文件报送至市疾控局。</w:t>
      </w:r>
    </w:p>
    <w:p w14:paraId="5686C5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三、联系方式</w:t>
      </w:r>
    </w:p>
    <w:p w14:paraId="413C915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 xml:space="preserve">    联系人：市疾控局公共卫生执法处 王大鹏、刘鸿杉；</w:t>
      </w:r>
    </w:p>
    <w:p w14:paraId="501F67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联系电话：</w:t>
      </w:r>
      <w:r>
        <w:rPr>
          <w:rFonts w:hint="default" w:ascii="Times New Roman" w:hAnsi="Times New Roman" w:eastAsia="仿宋_GB2312" w:cs="Times New Roman"/>
          <w:b w:val="0"/>
          <w:bCs/>
          <w:color w:val="auto"/>
          <w:sz w:val="32"/>
          <w:szCs w:val="32"/>
          <w:lang w:val="en-US" w:eastAsia="zh-CN"/>
        </w:rPr>
        <w:t>63086964；</w:t>
      </w:r>
    </w:p>
    <w:p w14:paraId="1928D3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电子邮箱：</w:t>
      </w:r>
      <w:r>
        <w:rPr>
          <w:rFonts w:hint="default" w:ascii="Times New Roman" w:hAnsi="Times New Roman" w:eastAsia="仿宋_GB2312" w:cs="Times New Roman"/>
          <w:b w:val="0"/>
          <w:bCs/>
          <w:color w:val="auto"/>
          <w:sz w:val="32"/>
          <w:szCs w:val="32"/>
          <w:lang w:val="en-US" w:eastAsia="zh-CN"/>
        </w:rPr>
        <w:t>jkjgwzfc_school@tj.gov.cn。</w:t>
      </w:r>
    </w:p>
    <w:p w14:paraId="250324D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32"/>
          <w:szCs w:val="32"/>
          <w:lang w:val="en-US" w:eastAsia="zh-CN"/>
        </w:rPr>
      </w:pPr>
    </w:p>
    <w:p w14:paraId="0EDB9C7D">
      <w:pPr>
        <w:keepNext w:val="0"/>
        <w:keepLines w:val="0"/>
        <w:pageBreakBefore w:val="0"/>
        <w:widowControl w:val="0"/>
        <w:kinsoku/>
        <w:wordWrap/>
        <w:overflowPunct/>
        <w:topLinePunct w:val="0"/>
        <w:autoSpaceDE/>
        <w:autoSpaceDN/>
        <w:bidi w:val="0"/>
        <w:adjustRightInd/>
        <w:snapToGrid/>
        <w:spacing w:line="560" w:lineRule="exact"/>
        <w:ind w:left="960" w:leftChars="0" w:hanging="960" w:hangingChars="3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2"/>
          <w:sz w:val="32"/>
          <w:szCs w:val="32"/>
          <w:highlight w:val="none"/>
          <w:lang w:val="en-US" w:eastAsia="zh-CN" w:bidi="ar-SA"/>
        </w:rPr>
        <w:t xml:space="preserve">    附表：2025年学校卫生国家随机监督抽查工作计划表</w:t>
      </w:r>
    </w:p>
    <w:p w14:paraId="73470012">
      <w:pPr>
        <w:spacing w:line="360" w:lineRule="auto"/>
        <w:ind w:firstLine="640" w:firstLineChars="200"/>
        <w:rPr>
          <w:rFonts w:hint="default" w:ascii="Times New Roman" w:hAnsi="Times New Roman" w:eastAsia="仿宋_GB2312" w:cs="Times New Roman"/>
          <w:color w:val="auto"/>
          <w:sz w:val="32"/>
          <w:szCs w:val="32"/>
        </w:rPr>
        <w:sectPr>
          <w:pgSz w:w="11906" w:h="16838"/>
          <w:pgMar w:top="2098" w:right="1474" w:bottom="1984" w:left="1587" w:header="850" w:footer="1247" w:gutter="0"/>
          <w:pgNumType w:fmt="decimal"/>
          <w:cols w:space="720" w:num="1"/>
          <w:rtlGutter w:val="0"/>
          <w:docGrid w:linePitch="312" w:charSpace="0"/>
        </w:sectPr>
      </w:pPr>
    </w:p>
    <w:p w14:paraId="6D3FFAB4">
      <w:pPr>
        <w:jc w:val="left"/>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附表</w:t>
      </w:r>
    </w:p>
    <w:p w14:paraId="63648D97">
      <w:pPr>
        <w:pStyle w:val="3"/>
        <w:jc w:val="center"/>
        <w:rPr>
          <w:rFonts w:hint="default" w:ascii="Times New Roman" w:hAnsi="Times New Roman" w:eastAsia="方正小标宋简体" w:cs="Times New Roman"/>
          <w:b w:val="0"/>
          <w:bCs/>
          <w:color w:val="auto"/>
          <w:spacing w:val="2"/>
          <w:kern w:val="2"/>
          <w:sz w:val="44"/>
          <w:szCs w:val="24"/>
          <w:lang w:val="en-US" w:eastAsia="zh-CN" w:bidi="ar-SA"/>
        </w:rPr>
      </w:pPr>
      <w:r>
        <w:rPr>
          <w:rFonts w:hint="default" w:ascii="Times New Roman" w:hAnsi="Times New Roman" w:eastAsia="方正小标宋简体" w:cs="Times New Roman"/>
          <w:b w:val="0"/>
          <w:bCs/>
          <w:color w:val="auto"/>
          <w:spacing w:val="2"/>
          <w:kern w:val="2"/>
          <w:sz w:val="44"/>
          <w:szCs w:val="24"/>
          <w:lang w:val="en-US" w:eastAsia="zh-CN" w:bidi="ar-SA"/>
        </w:rPr>
        <w:t>2025年学校卫生国家随机监督抽查工作计划表</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559"/>
        <w:gridCol w:w="5595"/>
        <w:gridCol w:w="3903"/>
        <w:gridCol w:w="1556"/>
      </w:tblGrid>
      <w:tr w14:paraId="7E71BDE7">
        <w:trPr>
          <w:trHeight w:val="396" w:hRule="atLeast"/>
        </w:trPr>
        <w:tc>
          <w:tcPr>
            <w:tcW w:w="5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248549">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监督检查对象</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1AF189">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范围和数量</w:t>
            </w:r>
          </w:p>
        </w:tc>
        <w:tc>
          <w:tcPr>
            <w:tcW w:w="19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2E7B8D">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检查内容</w:t>
            </w:r>
          </w:p>
        </w:tc>
        <w:tc>
          <w:tcPr>
            <w:tcW w:w="13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21B017">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检测项目</w:t>
            </w: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4D7399">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备注</w:t>
            </w:r>
          </w:p>
        </w:tc>
      </w:tr>
      <w:tr w14:paraId="2DE12AAD">
        <w:trPr>
          <w:trHeight w:val="3283" w:hRule="atLeast"/>
        </w:trPr>
        <w:tc>
          <w:tcPr>
            <w:tcW w:w="5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F7D622">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 xml:space="preserve"> 中小学校及高校</w:t>
            </w:r>
          </w:p>
        </w:tc>
        <w:tc>
          <w:tcPr>
            <w:tcW w:w="5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6CB78">
            <w:pPr>
              <w:keepNext/>
              <w:keepLines/>
              <w:pageBreakBefore w:val="0"/>
              <w:widowControl/>
              <w:kinsoku/>
              <w:wordWrap/>
              <w:overflowPunct/>
              <w:topLinePunct w:val="0"/>
              <w:autoSpaceDE/>
              <w:autoSpaceDN/>
              <w:bidi w:val="0"/>
              <w:adjustRightInd/>
              <w:snapToGrid/>
              <w:spacing w:before="93" w:beforeLines="30" w:after="93" w:afterLines="30" w:line="300" w:lineRule="exact"/>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辖区学校总数的20%</w:t>
            </w:r>
          </w:p>
        </w:tc>
        <w:tc>
          <w:tcPr>
            <w:tcW w:w="197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FF7194">
            <w:pPr>
              <w:keepNext/>
              <w:keepLines/>
              <w:pageBreakBefore w:val="0"/>
              <w:widowControl/>
              <w:kinsoku/>
              <w:wordWrap/>
              <w:overflowPunct/>
              <w:topLinePunct w:val="0"/>
              <w:autoSpaceDE/>
              <w:autoSpaceDN/>
              <w:bidi w:val="0"/>
              <w:adjustRightInd w:val="0"/>
              <w:snapToGrid w:val="0"/>
              <w:spacing w:before="156" w:beforeLines="50"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1.学校落实教学和生活环境卫生要求情况，包括教室课桌椅配备</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(a)</w:t>
            </w:r>
            <w:r>
              <w:rPr>
                <w:rFonts w:hint="default" w:ascii="Times New Roman" w:hAnsi="Times New Roman" w:eastAsia="仿宋_GB2312" w:cs="Times New Roman"/>
                <w:color w:val="auto"/>
                <w:spacing w:val="-11"/>
                <w:kern w:val="2"/>
                <w:sz w:val="21"/>
                <w:szCs w:val="21"/>
                <w:highlight w:val="none"/>
                <w:lang w:val="en-US" w:eastAsia="zh-CN" w:bidi="ar-SA"/>
              </w:rPr>
              <w:t>、教室采光和照明</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(b)</w:t>
            </w:r>
            <w:r>
              <w:rPr>
                <w:rFonts w:hint="default" w:ascii="Times New Roman" w:hAnsi="Times New Roman" w:eastAsia="仿宋_GB2312" w:cs="Times New Roman"/>
                <w:color w:val="auto"/>
                <w:spacing w:val="-11"/>
                <w:kern w:val="2"/>
                <w:sz w:val="21"/>
                <w:szCs w:val="21"/>
                <w:highlight w:val="none"/>
                <w:lang w:val="en-US" w:eastAsia="zh-CN" w:bidi="ar-SA"/>
              </w:rPr>
              <w:t>、教室人均面积、教室和宿舍通风设施、教学楼厕所及洗手设施设置等情况。学校提供的学习用品达标情况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(c)</w:t>
            </w:r>
            <w:r>
              <w:rPr>
                <w:rFonts w:hint="default" w:ascii="Times New Roman" w:hAnsi="Times New Roman" w:eastAsia="仿宋_GB2312" w:cs="Times New Roman"/>
                <w:color w:val="auto"/>
                <w:spacing w:val="-11"/>
                <w:kern w:val="2"/>
                <w:sz w:val="21"/>
                <w:szCs w:val="21"/>
                <w:highlight w:val="none"/>
                <w:lang w:val="en-US" w:eastAsia="zh-CN" w:bidi="ar-SA"/>
              </w:rPr>
              <w:t>，包括教室灯具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(d)</w:t>
            </w:r>
            <w:r>
              <w:rPr>
                <w:rFonts w:hint="default" w:ascii="Times New Roman" w:hAnsi="Times New Roman" w:eastAsia="仿宋_GB2312" w:cs="Times New Roman"/>
                <w:color w:val="auto"/>
                <w:spacing w:val="-11"/>
                <w:kern w:val="2"/>
                <w:sz w:val="21"/>
                <w:szCs w:val="21"/>
                <w:highlight w:val="none"/>
                <w:lang w:val="en-US" w:eastAsia="zh-CN" w:bidi="ar-SA"/>
              </w:rPr>
              <w:t>、考试试卷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(e)</w:t>
            </w:r>
            <w:r>
              <w:rPr>
                <w:rFonts w:hint="default" w:ascii="Times New Roman" w:hAnsi="Times New Roman" w:eastAsia="仿宋_GB2312" w:cs="Times New Roman"/>
                <w:color w:val="auto"/>
                <w:spacing w:val="-11"/>
                <w:kern w:val="2"/>
                <w:sz w:val="21"/>
                <w:szCs w:val="21"/>
                <w:highlight w:val="none"/>
                <w:lang w:val="en-US" w:eastAsia="zh-CN" w:bidi="ar-SA"/>
              </w:rPr>
              <w:t>等情况。</w:t>
            </w:r>
          </w:p>
          <w:p w14:paraId="13677844">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2.学校落实传染病和常见病防控要求情况，包括专人负责疫情报告、传染病防控“一案八制”</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(f)</w:t>
            </w:r>
            <w:r>
              <w:rPr>
                <w:rFonts w:hint="default" w:ascii="Times New Roman" w:hAnsi="Times New Roman" w:eastAsia="仿宋_GB2312" w:cs="Times New Roman"/>
                <w:color w:val="auto"/>
                <w:spacing w:val="-11"/>
                <w:kern w:val="2"/>
                <w:sz w:val="21"/>
                <w:szCs w:val="21"/>
                <w:highlight w:val="none"/>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(g)</w:t>
            </w:r>
          </w:p>
          <w:p w14:paraId="56BF28A8">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default" w:ascii="Times New Roman" w:hAnsi="Times New Roman" w:eastAsia="仿宋_GB2312" w:cs="Times New Roman"/>
                <w:color w:val="auto"/>
                <w:spacing w:val="-11"/>
                <w:sz w:val="21"/>
                <w:szCs w:val="21"/>
                <w:highlight w:val="none"/>
              </w:rPr>
              <w:t>。</w:t>
            </w:r>
          </w:p>
          <w:p w14:paraId="1EAFBA2D">
            <w:pPr>
              <w:keepNext/>
              <w:keepLines/>
              <w:pageBreakBefore w:val="0"/>
              <w:widowControl/>
              <w:kinsoku/>
              <w:wordWrap/>
              <w:overflowPunct/>
              <w:topLinePunct w:val="0"/>
              <w:autoSpaceDE/>
              <w:autoSpaceDN/>
              <w:bidi w:val="0"/>
              <w:adjustRightInd w:val="0"/>
              <w:snapToGrid w:val="0"/>
              <w:spacing w:after="156" w:afterLines="50" w:line="280" w:lineRule="exact"/>
              <w:jc w:val="left"/>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4.学校纳入卫生监督协管服务情况。</w:t>
            </w:r>
          </w:p>
        </w:tc>
        <w:tc>
          <w:tcPr>
            <w:tcW w:w="137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E75725">
            <w:pPr>
              <w:keepNext/>
              <w:keepLines/>
              <w:pageBreakBefore w:val="0"/>
              <w:widowControl/>
              <w:kinsoku/>
              <w:wordWrap/>
              <w:overflowPunct/>
              <w:topLinePunct w:val="0"/>
              <w:autoSpaceDE/>
              <w:autoSpaceDN/>
              <w:bidi w:val="0"/>
              <w:adjustRightInd/>
              <w:snapToGrid/>
              <w:spacing w:before="156" w:before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1.教室采光（窗地面积比）、照明（课桌面照度及均匀度、黑板面照度及均匀度）及教室人均面积。</w:t>
            </w:r>
          </w:p>
          <w:p w14:paraId="4C2DFE18">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2.学校自建设施集中式供水和二次供水水质色度、浑浊度、臭和味、肉眼可见物、pH和消毒剂余量。</w:t>
            </w:r>
          </w:p>
          <w:p w14:paraId="12F6997E">
            <w:pPr>
              <w:keepNext/>
              <w:keepLines/>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auto"/>
                <w:kern w:val="2"/>
                <w:sz w:val="21"/>
                <w:szCs w:val="21"/>
                <w:lang w:val="en-US" w:eastAsia="zh-CN" w:bidi="ar-SA"/>
              </w:rPr>
            </w:pPr>
          </w:p>
          <w:p w14:paraId="721606A5">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b w:val="0"/>
                <w:bCs/>
                <w:color w:val="auto"/>
                <w:kern w:val="2"/>
                <w:sz w:val="21"/>
                <w:szCs w:val="21"/>
                <w:lang w:val="en-US" w:eastAsia="zh-CN" w:bidi="ar-SA"/>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4F1A3B">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b w:val="0"/>
                <w:bCs/>
                <w:color w:val="auto"/>
                <w:kern w:val="2"/>
                <w:sz w:val="21"/>
                <w:szCs w:val="21"/>
                <w:lang w:val="en-US" w:eastAsia="zh-CN" w:bidi="ar-SA"/>
              </w:rPr>
            </w:pPr>
            <w:r>
              <w:rPr>
                <w:rFonts w:hint="default" w:ascii="Times New Roman" w:hAnsi="Times New Roman" w:eastAsia="仿宋_GB2312" w:cs="Times New Roman"/>
                <w:b w:val="0"/>
                <w:bCs/>
                <w:color w:val="auto"/>
                <w:kern w:val="2"/>
                <w:sz w:val="21"/>
                <w:szCs w:val="21"/>
                <w:lang w:val="en-US" w:eastAsia="zh-CN" w:bidi="ar-SA"/>
              </w:rPr>
              <w:t>连续两年被任务抽取到的学校，应确保检测教室与上一年不同。</w:t>
            </w:r>
          </w:p>
        </w:tc>
      </w:tr>
    </w:tbl>
    <w:p w14:paraId="352A3A26">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a.指每间教室至少设有2种不同高低型号的课桌椅，且每人一席。</w:t>
      </w:r>
    </w:p>
    <w:p w14:paraId="2A07C89D">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b.教室采光和照明检查项目</w:t>
      </w:r>
      <w:r>
        <w:rPr>
          <w:rFonts w:hint="default" w:ascii="Times New Roman" w:hAnsi="Times New Roman" w:cs="Times New Roman"/>
          <w:color w:val="auto"/>
          <w:sz w:val="21"/>
          <w:szCs w:val="21"/>
          <w:highlight w:val="none"/>
          <w:lang w:eastAsia="zh-CN"/>
        </w:rPr>
        <w:t>含</w:t>
      </w:r>
      <w:r>
        <w:rPr>
          <w:rFonts w:hint="default" w:ascii="Times New Roman" w:hAnsi="Times New Roman" w:eastAsia="仿宋_GB2312" w:cs="Times New Roman"/>
          <w:color w:val="auto"/>
          <w:sz w:val="21"/>
          <w:szCs w:val="21"/>
          <w:highlight w:val="none"/>
        </w:rPr>
        <w:t>采光方向、防眩光措施、装设人工照明、黑板局部照明灯设置，</w:t>
      </w:r>
      <w:r>
        <w:rPr>
          <w:rFonts w:hint="default" w:ascii="Times New Roman" w:hAnsi="Times New Roman" w:cs="Times New Roman"/>
          <w:color w:val="auto"/>
          <w:sz w:val="21"/>
          <w:szCs w:val="21"/>
          <w:highlight w:val="none"/>
          <w:lang w:val="en-US" w:eastAsia="zh-CN"/>
        </w:rPr>
        <w:t>依据《中小学校设计规范》（GB 50099）、</w:t>
      </w:r>
      <w:r>
        <w:rPr>
          <w:rFonts w:hint="default" w:ascii="Times New Roman" w:hAnsi="Times New Roman" w:eastAsia="仿宋_GB2312" w:cs="Times New Roman"/>
          <w:color w:val="auto"/>
          <w:sz w:val="21"/>
          <w:szCs w:val="21"/>
          <w:highlight w:val="none"/>
        </w:rPr>
        <w:t>《中小学校教室采光和照明卫生标准》</w:t>
      </w:r>
      <w:r>
        <w:rPr>
          <w:rFonts w:hint="default" w:ascii="Times New Roman" w:hAnsi="Times New Roman"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GB7793）的规定进行达标判定。</w:t>
      </w:r>
    </w:p>
    <w:p w14:paraId="083A1E14">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c.</w:t>
      </w:r>
      <w:r>
        <w:rPr>
          <w:rFonts w:hint="default" w:ascii="Times New Roman" w:hAnsi="Times New Roman"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《儿童青少年学习用品近视防控卫生要求》</w:t>
      </w:r>
      <w:r>
        <w:rPr>
          <w:rFonts w:hint="default" w:ascii="Times New Roman" w:hAnsi="Times New Roman"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40070）的规定进行达标判定。</w:t>
      </w:r>
    </w:p>
    <w:p w14:paraId="74D19897">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d.灯具检查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包括强制性产品认证、色温、显色指数、蓝光。可通过现场查看灯具标志标识及索证资料来完成。对于GB7001中不免除视网膜蓝光危害评估的灯具，根据IEC/TR 62778进行蓝光危害评估，教室一般照明灯</w:t>
      </w:r>
      <w:r>
        <w:rPr>
          <w:rFonts w:hint="default" w:ascii="Times New Roman" w:hAnsi="Times New Roman" w:cs="Times New Roman"/>
          <w:color w:val="auto"/>
          <w:sz w:val="21"/>
          <w:szCs w:val="21"/>
          <w:highlight w:val="none"/>
          <w:lang w:val="en-US" w:eastAsia="zh-CN"/>
        </w:rPr>
        <w:t>和</w:t>
      </w:r>
      <w:r>
        <w:rPr>
          <w:rFonts w:hint="default" w:ascii="Times New Roman" w:hAnsi="Times New Roman" w:eastAsia="仿宋_GB2312" w:cs="Times New Roman"/>
          <w:color w:val="auto"/>
          <w:sz w:val="21"/>
          <w:szCs w:val="21"/>
          <w:highlight w:val="none"/>
        </w:rPr>
        <w:t>黑板局部照明灯中有</w:t>
      </w:r>
      <w:r>
        <w:rPr>
          <w:rFonts w:hint="default" w:ascii="Times New Roman" w:hAnsi="Times New Roman" w:cs="Times New Roman"/>
          <w:color w:val="auto"/>
          <w:sz w:val="21"/>
          <w:szCs w:val="21"/>
          <w:highlight w:val="none"/>
          <w:lang w:eastAsia="zh-CN"/>
        </w:rPr>
        <w:t>1</w:t>
      </w:r>
      <w:r>
        <w:rPr>
          <w:rFonts w:hint="default" w:ascii="Times New Roman" w:hAnsi="Times New Roman" w:cs="Times New Roman"/>
          <w:color w:val="auto"/>
          <w:sz w:val="21"/>
          <w:szCs w:val="21"/>
          <w:highlight w:val="none"/>
          <w:lang w:val="en-US" w:eastAsia="zh-CN"/>
        </w:rPr>
        <w:t>项</w:t>
      </w:r>
      <w:r>
        <w:rPr>
          <w:rFonts w:hint="default" w:ascii="Times New Roman" w:hAnsi="Times New Roman" w:eastAsia="仿宋_GB2312" w:cs="Times New Roman"/>
          <w:color w:val="auto"/>
          <w:sz w:val="21"/>
          <w:szCs w:val="21"/>
          <w:highlight w:val="none"/>
        </w:rPr>
        <w:t>不合格即判定为该项不合格；其他免除视网膜蓝光危害评估的灯具默认蓝光合格。</w:t>
      </w:r>
      <w:bookmarkStart w:id="2" w:name="_GoBack"/>
      <w:bookmarkEnd w:id="2"/>
    </w:p>
    <w:p w14:paraId="1577A136">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e.考试试卷检查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包括学校自制考试试卷纸张D65亮度及D65荧光亮度、字体字号、行空。可通过实验室检测或现场查看索证资料来完成。</w:t>
      </w:r>
    </w:p>
    <w:p w14:paraId="243BD667">
      <w:pPr>
        <w:pStyle w:val="6"/>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f.</w:t>
      </w:r>
      <w:r>
        <w:rPr>
          <w:rFonts w:hint="default" w:ascii="Times New Roman" w:hAnsi="Times New Roman" w:eastAsia="仿宋_GB2312"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《中小学校传染病预防控制工作管理规范》</w:t>
      </w:r>
      <w:r>
        <w:rPr>
          <w:rFonts w:hint="default" w:ascii="Times New Roman" w:hAnsi="Times New Roman"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GB28932）第4.8条规定的传染病预防控制应急预案和相关制度。</w:t>
      </w:r>
    </w:p>
    <w:p w14:paraId="6590E17F">
      <w:pPr>
        <w:spacing w:line="240" w:lineRule="auto"/>
        <w:rPr>
          <w:rFonts w:hint="default" w:ascii="Times New Roman" w:hAnsi="Times New Roman" w:eastAsia="宋体" w:cs="Times New Roman"/>
          <w:b w:val="0"/>
          <w:bCs/>
          <w:color w:val="auto"/>
        </w:rPr>
      </w:pPr>
      <w:r>
        <w:rPr>
          <w:rFonts w:hint="default" w:ascii="Times New Roman" w:hAnsi="Times New Roman" w:eastAsia="仿宋_GB2312" w:cs="Times New Roman"/>
          <w:color w:val="auto"/>
          <w:sz w:val="21"/>
          <w:szCs w:val="21"/>
          <w:highlight w:val="none"/>
          <w:lang w:val="en"/>
        </w:rPr>
        <w:t>g.</w:t>
      </w:r>
      <w:r>
        <w:rPr>
          <w:rFonts w:hint="default" w:ascii="Times New Roman" w:hAnsi="Times New Roman" w:eastAsia="仿宋_GB2312" w:cs="Times New Roman"/>
          <w:color w:val="auto"/>
          <w:kern w:val="2"/>
          <w:sz w:val="21"/>
          <w:szCs w:val="21"/>
          <w:highlight w:val="none"/>
          <w:lang w:val="en-US" w:eastAsia="zh-CN" w:bidi="ar-SA"/>
        </w:rPr>
        <w:t>依据《中小学</w:t>
      </w:r>
      <w:r>
        <w:rPr>
          <w:rFonts w:hint="default" w:ascii="Times New Roman" w:hAnsi="Times New Roman" w:eastAsia="仿宋_GB2312" w:cs="Times New Roman"/>
          <w:color w:val="auto"/>
          <w:sz w:val="21"/>
          <w:szCs w:val="21"/>
          <w:highlight w:val="none"/>
        </w:rPr>
        <w:t>校传染病预防控制工作管理规范》</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w:t>
      </w:r>
      <w:r>
        <w:rPr>
          <w:rFonts w:hint="default" w:ascii="Times New Roman" w:hAnsi="Times New Roman" w:eastAsia="仿宋_GB2312" w:cs="Times New Roman"/>
          <w:color w:val="auto"/>
          <w:sz w:val="21"/>
          <w:szCs w:val="21"/>
          <w:highlight w:val="none"/>
          <w:lang w:val="en-US" w:eastAsia="zh-CN"/>
        </w:rPr>
        <w:t>5条、4.6条规定的设立卫生室或保健室、配备卫生专业技术人员或保健教师的要求。</w:t>
      </w:r>
    </w:p>
    <w:p w14:paraId="11FE40A2"/>
    <w:sectPr>
      <w:pgSz w:w="16838" w:h="11906" w:orient="landscape"/>
      <w:pgMar w:top="1800" w:right="1440" w:bottom="2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altName w:val="汉仪书宋二KW"/>
    <w:panose1 w:val="02000000000000000000"/>
    <w:charset w:val="00"/>
    <w:family w:val="script"/>
    <w:pitch w:val="default"/>
    <w:sig w:usb0="00000000" w:usb1="00000000" w:usb2="00000012"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1FF6DB"/>
    <w:rsid w:val="FF1FF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w:basedOn w:val="1"/>
    <w:next w:val="1"/>
    <w:qFormat/>
    <w:uiPriority w:val="0"/>
    <w:pPr>
      <w:spacing w:after="120"/>
      <w:ind w:left="420" w:leftChars="200"/>
    </w:pPr>
    <w:rPr>
      <w:kern w:val="0"/>
      <w:sz w:val="20"/>
      <w:szCs w:val="20"/>
    </w:rPr>
  </w:style>
  <w:style w:type="paragraph" w:styleId="6">
    <w:name w:val="List Paragraph"/>
    <w:basedOn w:val="1"/>
    <w:qFormat/>
    <w:uiPriority w:val="99"/>
    <w:pPr>
      <w:ind w:firstLine="420" w:firstLineChars="200"/>
    </w:pPr>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2025-05-21T21:41:00Z</dcterms:created>
  <dc:creator>雨熹 Cisia</dc:creator>
  <cp:lastModifiedBy>雨熹 Cisia</cp:lastModifiedBy>
  <dcterms:modified xsi:type="dcterms:W3CDTF">2025-05-21T21:42:36Z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50AED8B3D4E4F4AC0FD82D6898603F47_41</vt:lpwstr>
  </property>
</Properties>
</file>