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62DD9">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p>
    <w:p w14:paraId="0A5245B3">
      <w:pPr>
        <w:autoSpaceDE w:val="0"/>
        <w:spacing w:line="360" w:lineRule="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附件1</w:t>
      </w:r>
    </w:p>
    <w:p w14:paraId="185017AF">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32"/>
          <w:szCs w:val="32"/>
        </w:rPr>
      </w:pPr>
    </w:p>
    <w:p w14:paraId="4CC29840">
      <w:pPr>
        <w:autoSpaceDE w:val="0"/>
        <w:spacing w:line="70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default" w:ascii="Times New Roman" w:hAnsi="Times New Roman" w:eastAsia="方正小标宋简体" w:cs="Times New Roman"/>
          <w:b w:val="0"/>
          <w:bCs w:val="0"/>
          <w:color w:val="auto"/>
          <w:sz w:val="44"/>
          <w:szCs w:val="44"/>
        </w:rPr>
        <w:t>年公共场所卫生随机监督抽查计划</w:t>
      </w:r>
    </w:p>
    <w:p w14:paraId="4CE8253E">
      <w:pPr>
        <w:keepNext w:val="0"/>
        <w:keepLines w:val="0"/>
        <w:pageBreakBefore w:val="0"/>
        <w:widowControl w:val="0"/>
        <w:tabs>
          <w:tab w:val="left" w:pos="7380"/>
        </w:tabs>
        <w:kinsoku/>
        <w:wordWrap/>
        <w:overflowPunct/>
        <w:topLinePunct w:val="0"/>
        <w:autoSpaceDE/>
        <w:autoSpaceDN/>
        <w:bidi w:val="0"/>
        <w:adjustRightInd/>
        <w:snapToGrid/>
        <w:spacing w:line="560" w:lineRule="exact"/>
        <w:ind w:firstLine="694" w:firstLineChars="216"/>
        <w:textAlignment w:val="auto"/>
        <w:rPr>
          <w:rFonts w:hint="default" w:ascii="Times New Roman" w:hAnsi="Times New Roman" w:eastAsia="仿宋_GB2312" w:cs="Times New Roman"/>
          <w:b/>
          <w:color w:val="auto"/>
          <w:sz w:val="32"/>
        </w:rPr>
      </w:pPr>
    </w:p>
    <w:p w14:paraId="7748501C">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一、监督抽查对象及内容</w:t>
      </w:r>
    </w:p>
    <w:p w14:paraId="7C9C9857">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抽查游泳、住宿、沐浴、美容美发等场所卫生管理情况，抽查顾客用品用具、水质、空气以及集中空调通风系统卫生质量。</w:t>
      </w:r>
    </w:p>
    <w:p w14:paraId="3F5A3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二、工作要求</w:t>
      </w:r>
    </w:p>
    <w:p w14:paraId="5E07C29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highlight w:val="none"/>
        </w:rPr>
        <w:t>（一）各区要对辖区内游泳场所（包括学校内游泳场所）进行全覆盖监督抽检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对检查中发现的违法行为要严格依法查处，对抽检不合格的游泳场所要及时进行约谈。</w:t>
      </w:r>
      <w:r>
        <w:rPr>
          <w:rFonts w:hint="default"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lang w:val="en-US" w:eastAsia="zh-CN"/>
        </w:rPr>
        <w:t>使用集中空调通风系统的公共场所任务要在集中空调开启运行期间执行检查检测任务。</w:t>
      </w:r>
    </w:p>
    <w:p w14:paraId="670CB9E2">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对监督检查中发现的突出问题，</w:t>
      </w:r>
      <w:r>
        <w:rPr>
          <w:rFonts w:hint="default" w:ascii="Times New Roman" w:hAnsi="Times New Roman" w:eastAsia="仿宋_GB2312" w:cs="Times New Roman"/>
          <w:color w:val="auto"/>
          <w:sz w:val="32"/>
          <w:szCs w:val="32"/>
          <w:highlight w:val="none"/>
          <w:lang w:eastAsia="zh-CN"/>
        </w:rPr>
        <w:t>辖区卫生健康行政部门</w:t>
      </w:r>
      <w:r>
        <w:rPr>
          <w:rFonts w:hint="default" w:ascii="Times New Roman" w:hAnsi="Times New Roman" w:eastAsia="仿宋_GB2312" w:cs="Times New Roman"/>
          <w:color w:val="auto"/>
          <w:sz w:val="32"/>
          <w:szCs w:val="32"/>
          <w:highlight w:val="none"/>
        </w:rPr>
        <w:t>及时向辖区政府主管部门通报情况，促进协同监管；重大案件信息要及时向</w:t>
      </w:r>
      <w:r>
        <w:rPr>
          <w:rFonts w:hint="default" w:ascii="Times New Roman" w:hAnsi="Times New Roman" w:eastAsia="仿宋_GB2312" w:cs="Times New Roman"/>
          <w:color w:val="auto"/>
          <w:sz w:val="32"/>
          <w:szCs w:val="32"/>
          <w:highlight w:val="none"/>
          <w:lang w:eastAsia="zh-CN"/>
        </w:rPr>
        <w:t>市疾控局报告</w:t>
      </w:r>
      <w:r>
        <w:rPr>
          <w:rFonts w:hint="default" w:ascii="Times New Roman" w:hAnsi="Times New Roman" w:eastAsia="仿宋_GB2312" w:cs="Times New Roman"/>
          <w:color w:val="auto"/>
          <w:sz w:val="32"/>
          <w:szCs w:val="32"/>
          <w:highlight w:val="none"/>
        </w:rPr>
        <w:t>。</w:t>
      </w:r>
    </w:p>
    <w:p w14:paraId="5BE60C4A">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（二）市</w:t>
      </w:r>
      <w:r>
        <w:rPr>
          <w:rFonts w:hint="default" w:ascii="Times New Roman" w:hAnsi="Times New Roman" w:eastAsia="仿宋_GB2312" w:cs="Times New Roman"/>
          <w:color w:val="auto"/>
          <w:sz w:val="32"/>
          <w:szCs w:val="32"/>
          <w:highlight w:val="none"/>
          <w:lang w:val="en-US" w:eastAsia="zh-CN"/>
        </w:rPr>
        <w:t>疾控局</w:t>
      </w:r>
      <w:r>
        <w:rPr>
          <w:rFonts w:hint="default" w:ascii="Times New Roman" w:hAnsi="Times New Roman" w:eastAsia="仿宋_GB2312" w:cs="Times New Roman"/>
          <w:color w:val="auto"/>
          <w:sz w:val="32"/>
          <w:szCs w:val="32"/>
          <w:highlight w:val="none"/>
        </w:rPr>
        <w:t>负责组织开展全市公共场所随机监督抽查工作，汇总相关信息和撰写</w:t>
      </w:r>
      <w:r>
        <w:rPr>
          <w:rFonts w:hint="default" w:ascii="Times New Roman" w:hAnsi="Times New Roman" w:eastAsia="仿宋_GB2312" w:cs="Times New Roman"/>
          <w:color w:val="auto"/>
          <w:sz w:val="32"/>
          <w:szCs w:val="32"/>
          <w:highlight w:val="none"/>
          <w:lang w:eastAsia="zh-CN"/>
        </w:rPr>
        <w:t>阶段性总结、</w:t>
      </w:r>
      <w:r>
        <w:rPr>
          <w:rFonts w:hint="default" w:ascii="Times New Roman" w:hAnsi="Times New Roman" w:eastAsia="仿宋_GB2312" w:cs="Times New Roman"/>
          <w:color w:val="auto"/>
          <w:sz w:val="32"/>
          <w:szCs w:val="32"/>
          <w:highlight w:val="none"/>
        </w:rPr>
        <w:t>全市工作总结，适时对各区工作开展督导检查，并负责完成随机监督抽查计划中</w:t>
      </w:r>
      <w:r>
        <w:rPr>
          <w:rFonts w:hint="default" w:ascii="Times New Roman" w:hAnsi="Times New Roman" w:eastAsia="仿宋_GB2312" w:cs="Times New Roman"/>
          <w:color w:val="auto"/>
          <w:sz w:val="32"/>
          <w:szCs w:val="32"/>
          <w:highlight w:val="none"/>
          <w:lang w:eastAsia="zh-CN"/>
        </w:rPr>
        <w:t>省级机构</w:t>
      </w:r>
      <w:r>
        <w:rPr>
          <w:rFonts w:hint="default" w:ascii="Times New Roman" w:hAnsi="Times New Roman" w:eastAsia="仿宋_GB2312" w:cs="Times New Roman"/>
          <w:color w:val="auto"/>
          <w:sz w:val="32"/>
          <w:szCs w:val="32"/>
          <w:highlight w:val="none"/>
        </w:rPr>
        <w:t>的工作任务。</w:t>
      </w:r>
    </w:p>
    <w:p w14:paraId="6C103139">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各区</w:t>
      </w:r>
      <w:r>
        <w:rPr>
          <w:rFonts w:hint="default" w:ascii="Times New Roman" w:hAnsi="Times New Roman" w:eastAsia="仿宋_GB2312" w:cs="Times New Roman"/>
          <w:color w:val="auto"/>
          <w:sz w:val="32"/>
          <w:szCs w:val="32"/>
          <w:highlight w:val="none"/>
          <w:lang w:eastAsia="zh-CN"/>
        </w:rPr>
        <w:t>卫生健康委（疾控局）</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按时完成本辖区内的抽查任务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切实加强对上报数据信息的审核，按照抽查工作计划表及监督信息报告卡要求填报数据信息，保证数据信息项目齐全、质量可靠。</w:t>
      </w:r>
    </w:p>
    <w:p w14:paraId="22D018A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请于</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8月15日前完成游泳场所的监督抽查工作和数据填报工作，</w:t>
      </w:r>
      <w:r>
        <w:rPr>
          <w:rFonts w:hint="default" w:ascii="Times New Roman" w:hAnsi="Times New Roman" w:eastAsia="仿宋_GB2312" w:cs="Times New Roman"/>
          <w:color w:val="auto"/>
          <w:sz w:val="32"/>
          <w:szCs w:val="32"/>
          <w:highlight w:val="none"/>
        </w:rPr>
        <w:t>11月15日前完成全部国家</w:t>
      </w:r>
      <w:r>
        <w:rPr>
          <w:rFonts w:hint="default" w:ascii="Times New Roman" w:hAnsi="Times New Roman" w:eastAsia="仿宋_GB2312" w:cs="Times New Roman"/>
          <w:color w:val="auto"/>
          <w:sz w:val="32"/>
          <w:szCs w:val="32"/>
          <w:highlight w:val="none"/>
          <w:lang w:val="en-US" w:eastAsia="zh-CN"/>
        </w:rPr>
        <w:t>随机监督抽查工作任务和数据填报工作（</w:t>
      </w:r>
      <w:r>
        <w:rPr>
          <w:rFonts w:hint="eastAsia" w:ascii="仿宋_GB2312" w:eastAsia="仿宋_GB2312" w:cs="宋体"/>
          <w:color w:val="000000"/>
          <w:sz w:val="32"/>
          <w:szCs w:val="32"/>
          <w:highlight w:val="none"/>
          <w:lang w:val="en-US" w:eastAsia="zh-CN"/>
        </w:rPr>
        <w:t>所有数据以信息报告系统填报数据为准，不需另外报送纸质报表及公共场所专业工作总结</w:t>
      </w:r>
      <w:r>
        <w:rPr>
          <w:rFonts w:hint="default" w:ascii="Times New Roman" w:hAnsi="Times New Roman" w:eastAsia="仿宋_GB2312" w:cs="Times New Roman"/>
          <w:color w:val="auto"/>
          <w:sz w:val="32"/>
          <w:szCs w:val="32"/>
          <w:highlight w:val="none"/>
          <w:lang w:val="en-US" w:eastAsia="zh-CN"/>
        </w:rPr>
        <w:t>）。重大案件及</w:t>
      </w:r>
      <w:r>
        <w:rPr>
          <w:rFonts w:hint="default" w:ascii="Times New Roman" w:hAnsi="Times New Roman" w:eastAsia="仿宋_GB2312" w:cs="Times New Roman"/>
          <w:color w:val="auto"/>
          <w:sz w:val="32"/>
          <w:szCs w:val="32"/>
          <w:highlight w:val="none"/>
        </w:rPr>
        <w:t>重要情况随时报告。</w:t>
      </w:r>
    </w:p>
    <w:p w14:paraId="5036D682">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三、联系方式</w:t>
      </w:r>
    </w:p>
    <w:p w14:paraId="47E805BF">
      <w:pPr>
        <w:keepNext w:val="0"/>
        <w:keepLines w:val="0"/>
        <w:pageBreakBefore w:val="0"/>
        <w:widowControl w:val="0"/>
        <w:kinsoku/>
        <w:wordWrap/>
        <w:overflowPunct/>
        <w:topLinePunct w:val="0"/>
        <w:autoSpaceDE/>
        <w:autoSpaceDN w:val="0"/>
        <w:bidi w:val="0"/>
        <w:adjustRightInd/>
        <w:snapToGrid/>
        <w:spacing w:line="560" w:lineRule="exact"/>
        <w:ind w:firstLine="641"/>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联系人：市</w:t>
      </w:r>
      <w:r>
        <w:rPr>
          <w:rFonts w:hint="default" w:ascii="Times New Roman" w:hAnsi="Times New Roman" w:eastAsia="仿宋_GB2312" w:cs="Times New Roman"/>
          <w:color w:val="auto"/>
          <w:kern w:val="0"/>
          <w:sz w:val="32"/>
          <w:szCs w:val="32"/>
          <w:highlight w:val="none"/>
          <w:lang w:eastAsia="zh-CN"/>
        </w:rPr>
        <w:t>疾控局</w:t>
      </w:r>
      <w:r>
        <w:rPr>
          <w:rFonts w:hint="default" w:ascii="Times New Roman" w:hAnsi="Times New Roman" w:eastAsia="仿宋_GB2312" w:cs="Times New Roman"/>
          <w:color w:val="auto"/>
          <w:kern w:val="0"/>
          <w:sz w:val="32"/>
          <w:szCs w:val="32"/>
          <w:highlight w:val="none"/>
        </w:rPr>
        <w:t>公共卫生执法</w:t>
      </w:r>
      <w:r>
        <w:rPr>
          <w:rFonts w:hint="default" w:ascii="Times New Roman" w:hAnsi="Times New Roman" w:eastAsia="仿宋_GB2312" w:cs="Times New Roman"/>
          <w:color w:val="auto"/>
          <w:kern w:val="0"/>
          <w:sz w:val="32"/>
          <w:szCs w:val="32"/>
          <w:highlight w:val="none"/>
          <w:lang w:eastAsia="zh-CN"/>
        </w:rPr>
        <w:t>处</w:t>
      </w: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eastAsia="zh-CN"/>
        </w:rPr>
        <w:t>冯玮</w:t>
      </w:r>
      <w:r>
        <w:rPr>
          <w:rFonts w:hint="default" w:ascii="Times New Roman" w:hAnsi="Times New Roman" w:eastAsia="仿宋_GB2312" w:cs="Times New Roman"/>
          <w:color w:val="auto"/>
          <w:kern w:val="0"/>
          <w:sz w:val="32"/>
          <w:szCs w:val="32"/>
          <w:highlight w:val="none"/>
          <w:lang w:val="en-US" w:eastAsia="zh-CN"/>
        </w:rPr>
        <w:t>、孟祥军；</w:t>
      </w:r>
    </w:p>
    <w:p w14:paraId="164E201E">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63086966；</w:t>
      </w:r>
    </w:p>
    <w:p w14:paraId="62B24469">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电子邮箱：fengwei01@tj.gov.cn</w:t>
      </w:r>
      <w:r>
        <w:rPr>
          <w:rFonts w:hint="default" w:ascii="Times New Roman" w:hAnsi="Times New Roman" w:eastAsia="仿宋_GB2312" w:cs="Times New Roman"/>
          <w:color w:val="auto"/>
          <w:sz w:val="32"/>
          <w:szCs w:val="32"/>
          <w:highlight w:val="none"/>
          <w:lang w:eastAsia="zh-CN"/>
        </w:rPr>
        <w:t>。</w:t>
      </w:r>
    </w:p>
    <w:p w14:paraId="4D876699">
      <w:pPr>
        <w:keepNext w:val="0"/>
        <w:keepLines w:val="0"/>
        <w:pageBreakBefore w:val="0"/>
        <w:widowControl w:val="0"/>
        <w:kinsoku/>
        <w:wordWrap/>
        <w:overflowPunct/>
        <w:topLinePunct w:val="0"/>
        <w:autoSpaceDE/>
        <w:bidi w:val="0"/>
        <w:adjustRightInd/>
        <w:snapToGrid/>
        <w:spacing w:line="560" w:lineRule="exact"/>
        <w:ind w:firstLine="640" w:firstLineChars="200"/>
        <w:rPr>
          <w:rFonts w:hint="default" w:ascii="Times New Roman" w:hAnsi="Times New Roman" w:eastAsia="仿宋_GB2312" w:cs="Times New Roman"/>
          <w:color w:val="auto"/>
          <w:sz w:val="32"/>
          <w:szCs w:val="32"/>
        </w:rPr>
      </w:pPr>
    </w:p>
    <w:p w14:paraId="4FC4732F">
      <w:pPr>
        <w:keepNext w:val="0"/>
        <w:keepLines w:val="0"/>
        <w:pageBreakBefore w:val="0"/>
        <w:widowControl w:val="0"/>
        <w:kinsoku/>
        <w:wordWrap/>
        <w:overflowPunct/>
        <w:topLinePunct w:val="0"/>
        <w:autoSpaceDE/>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附表：</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年公共场所卫生国家随机监督抽查工作计</w:t>
      </w:r>
    </w:p>
    <w:p w14:paraId="1E929DE1">
      <w:pPr>
        <w:keepNext w:val="0"/>
        <w:keepLines w:val="0"/>
        <w:pageBreakBefore w:val="0"/>
        <w:widowControl w:val="0"/>
        <w:kinsoku/>
        <w:wordWrap/>
        <w:overflowPunct/>
        <w:topLinePunct w:val="0"/>
        <w:autoSpaceDE/>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划表</w:t>
      </w:r>
    </w:p>
    <w:p w14:paraId="038249A4">
      <w:pPr>
        <w:spacing w:line="360" w:lineRule="auto"/>
        <w:ind w:firstLine="640"/>
        <w:rPr>
          <w:rFonts w:hint="default" w:ascii="Times New Roman" w:hAnsi="Times New Roman" w:eastAsia="仿宋_GB2312" w:cs="Times New Roman"/>
          <w:color w:val="auto"/>
          <w:sz w:val="32"/>
          <w:szCs w:val="32"/>
        </w:rPr>
        <w:sectPr>
          <w:headerReference r:id="rId3" w:type="default"/>
          <w:footerReference r:id="rId4" w:type="default"/>
          <w:pgSz w:w="11906" w:h="16838"/>
          <w:pgMar w:top="2098" w:right="1474" w:bottom="1984" w:left="1587" w:header="851" w:footer="1417" w:gutter="0"/>
          <w:pgNumType w:fmt="decimal"/>
          <w:cols w:space="720" w:num="1"/>
          <w:rtlGutter w:val="0"/>
          <w:docGrid w:linePitch="312" w:charSpace="0"/>
        </w:sectPr>
      </w:pPr>
      <w:r>
        <w:rPr>
          <w:rFonts w:hint="default" w:ascii="Times New Roman" w:hAnsi="Times New Roman" w:eastAsia="仿宋_GB2312" w:cs="Times New Roman"/>
          <w:color w:val="auto"/>
          <w:sz w:val="32"/>
          <w:szCs w:val="32"/>
          <w:highlight w:val="none"/>
        </w:rPr>
        <w:t xml:space="preserve">      </w:t>
      </w:r>
    </w:p>
    <w:p w14:paraId="45DC689D">
      <w:pPr>
        <w:tabs>
          <w:tab w:val="left" w:pos="-180"/>
          <w:tab w:val="left" w:pos="640"/>
        </w:tabs>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p>
    <w:p w14:paraId="52F8EA68">
      <w:pPr>
        <w:tabs>
          <w:tab w:val="left" w:pos="-180"/>
          <w:tab w:val="left" w:pos="640"/>
        </w:tabs>
        <w:jc w:val="center"/>
        <w:rPr>
          <w:rFonts w:hint="default" w:ascii="Times New Roman" w:hAnsi="Times New Roman" w:eastAsia="方正小标宋简体" w:cs="Times New Roman"/>
          <w:b w:val="0"/>
          <w:bCs/>
          <w:color w:val="auto"/>
          <w:sz w:val="32"/>
          <w:szCs w:val="32"/>
          <w:highlight w:val="none"/>
        </w:rPr>
      </w:pPr>
      <w:r>
        <w:rPr>
          <w:rFonts w:hint="default" w:ascii="Times New Roman" w:hAnsi="Times New Roman" w:eastAsia="方正小标宋简体" w:cs="Times New Roman"/>
          <w:b w:val="0"/>
          <w:bCs/>
          <w:color w:val="auto"/>
          <w:sz w:val="36"/>
          <w:szCs w:val="36"/>
          <w:highlight w:val="none"/>
        </w:rPr>
        <w:t>202</w:t>
      </w:r>
      <w:r>
        <w:rPr>
          <w:rFonts w:hint="default" w:ascii="Times New Roman" w:hAnsi="Times New Roman" w:eastAsia="方正小标宋简体" w:cs="Times New Roman"/>
          <w:b w:val="0"/>
          <w:bCs/>
          <w:color w:val="auto"/>
          <w:sz w:val="36"/>
          <w:szCs w:val="36"/>
          <w:highlight w:val="none"/>
          <w:lang w:val="en-US" w:eastAsia="zh-CN"/>
        </w:rPr>
        <w:t>5</w:t>
      </w:r>
      <w:r>
        <w:rPr>
          <w:rFonts w:hint="default" w:ascii="Times New Roman" w:hAnsi="Times New Roman" w:eastAsia="方正小标宋简体" w:cs="Times New Roman"/>
          <w:b w:val="0"/>
          <w:bCs/>
          <w:color w:val="auto"/>
          <w:sz w:val="36"/>
          <w:szCs w:val="36"/>
          <w:highlight w:val="none"/>
        </w:rPr>
        <w:t>年公共场所卫生</w:t>
      </w:r>
      <w:r>
        <w:rPr>
          <w:rFonts w:hint="default" w:ascii="Times New Roman" w:hAnsi="Times New Roman" w:eastAsia="方正小标宋简体" w:cs="Times New Roman"/>
          <w:b w:val="0"/>
          <w:bCs/>
          <w:color w:val="auto"/>
          <w:sz w:val="36"/>
          <w:szCs w:val="36"/>
          <w:highlight w:val="none"/>
          <w:lang w:eastAsia="zh-CN"/>
        </w:rPr>
        <w:t>国家</w:t>
      </w:r>
      <w:r>
        <w:rPr>
          <w:rFonts w:hint="default" w:ascii="Times New Roman" w:hAnsi="Times New Roman" w:eastAsia="方正小标宋简体" w:cs="Times New Roman"/>
          <w:b w:val="0"/>
          <w:bCs/>
          <w:color w:val="auto"/>
          <w:sz w:val="36"/>
          <w:szCs w:val="36"/>
          <w:highlight w:val="none"/>
        </w:rPr>
        <w:t>随机监督抽查工作计划表</w:t>
      </w:r>
    </w:p>
    <w:tbl>
      <w:tblPr>
        <w:tblStyle w:val="5"/>
        <w:tblW w:w="15172"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3528"/>
        <w:gridCol w:w="4239"/>
        <w:gridCol w:w="4959"/>
        <w:gridCol w:w="966"/>
      </w:tblGrid>
      <w:tr w14:paraId="1DC2AD9C">
        <w:trPr>
          <w:trHeight w:val="304"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9BCAC">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监督检查对象</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F667E">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抽查范围和数量</w:t>
            </w:r>
          </w:p>
        </w:tc>
        <w:tc>
          <w:tcPr>
            <w:tcW w:w="4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F42D6">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检查内容</w:t>
            </w:r>
          </w:p>
        </w:tc>
        <w:tc>
          <w:tcPr>
            <w:tcW w:w="59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CC02D">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检测项目</w:t>
            </w:r>
          </w:p>
        </w:tc>
      </w:tr>
      <w:tr w14:paraId="6C98B4D5">
        <w:trPr>
          <w:trHeight w:val="730"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19C38">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游泳场所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67183">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辖区全部人工游泳场所（含学校内游泳场所）</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649D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1.设置卫生管理部门或人员情况</w:t>
            </w:r>
          </w:p>
          <w:p w14:paraId="18484368">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2.建立卫生管理档案情况</w:t>
            </w:r>
          </w:p>
          <w:p w14:paraId="4D84DD7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3.从业人员健康体检情况</w:t>
            </w:r>
          </w:p>
          <w:p w14:paraId="627B249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4.设置禁止吸烟警语标志情况</w:t>
            </w:r>
          </w:p>
          <w:p w14:paraId="1447033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5.对空气、水质、顾客用品用具等进行卫生检测情况</w:t>
            </w:r>
          </w:p>
          <w:p w14:paraId="593F080F">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6.公示卫生许可证、卫生信誉度等级和卫生检测信息情况</w:t>
            </w:r>
          </w:p>
          <w:p w14:paraId="3E184389">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7.对顾客用品用具进行清洗、消毒、保洁情况</w:t>
            </w:r>
          </w:p>
          <w:p w14:paraId="2F48A6C8">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8.实施卫生监督量化分级管理情况</w:t>
            </w:r>
          </w:p>
          <w:p w14:paraId="2FF09F3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9.住宿场所按照《艾滋病防治条例》放置安全套或者设置安全套发售设施情况</w:t>
            </w: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A229F01">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1.游泳池水浑浊度、pH、游离性余氯、尿素、菌落总数、大肠菌群</w:t>
            </w:r>
          </w:p>
          <w:p w14:paraId="2BF4122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2.浸脚池水游离性余氯</w:t>
            </w:r>
          </w:p>
        </w:tc>
        <w:tc>
          <w:tcPr>
            <w:tcW w:w="966" w:type="dxa"/>
            <w:vMerge w:val="restart"/>
            <w:tcBorders>
              <w:top w:val="single" w:color="000000" w:sz="4" w:space="0"/>
              <w:left w:val="single" w:color="auto" w:sz="4" w:space="0"/>
              <w:right w:val="single" w:color="000000" w:sz="4" w:space="0"/>
              <w:tl2br w:val="nil"/>
              <w:tr2bl w:val="nil"/>
            </w:tcBorders>
            <w:noWrap w:val="0"/>
            <w:vAlign w:val="center"/>
          </w:tcPr>
          <w:p w14:paraId="3F72852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室内空气中CO</w:t>
            </w:r>
            <w:r>
              <w:rPr>
                <w:rFonts w:hint="default" w:ascii="Times New Roman" w:hAnsi="Times New Roman" w:eastAsia="仿宋_GB2312" w:cs="Times New Roman"/>
                <w:color w:val="auto"/>
                <w:sz w:val="21"/>
                <w:szCs w:val="21"/>
                <w:highlight w:val="none"/>
                <w:vertAlign w:val="subscript"/>
                <w:lang w:val="en-US" w:eastAsia="zh-CN"/>
              </w:rPr>
              <w:t>2</w:t>
            </w:r>
            <w:r>
              <w:rPr>
                <w:rFonts w:hint="default" w:ascii="Times New Roman" w:hAnsi="Times New Roman" w:eastAsia="仿宋_GB2312" w:cs="Times New Roman"/>
                <w:color w:val="auto"/>
                <w:sz w:val="21"/>
                <w:szCs w:val="21"/>
                <w:highlight w:val="none"/>
                <w:lang w:val="en-US" w:eastAsia="zh-CN"/>
              </w:rPr>
              <w:t>、PM</w:t>
            </w:r>
            <w:r>
              <w:rPr>
                <w:rFonts w:hint="default" w:ascii="Times New Roman" w:hAnsi="Times New Roman" w:eastAsia="仿宋_GB2312" w:cs="Times New Roman"/>
                <w:color w:val="auto"/>
                <w:sz w:val="21"/>
                <w:szCs w:val="21"/>
                <w:highlight w:val="none"/>
                <w:vertAlign w:val="subscript"/>
                <w:lang w:val="en-US" w:eastAsia="zh-CN"/>
              </w:rPr>
              <w:t>10</w:t>
            </w:r>
            <w:r>
              <w:rPr>
                <w:rFonts w:hint="default" w:ascii="Times New Roman" w:hAnsi="Times New Roman" w:eastAsia="仿宋_GB2312" w:cs="Times New Roman"/>
                <w:color w:val="auto"/>
                <w:sz w:val="21"/>
                <w:szCs w:val="21"/>
                <w:highlight w:val="none"/>
                <w:lang w:val="en-US" w:eastAsia="zh-CN"/>
              </w:rPr>
              <w:t>、甲醛、苯、甲苯、二甲苯</w:t>
            </w:r>
            <w:r>
              <w:rPr>
                <w:rFonts w:hint="default" w:ascii="Times New Roman" w:hAnsi="Times New Roman" w:eastAsia="仿宋_GB2312" w:cs="Times New Roman"/>
                <w:color w:val="auto"/>
                <w:sz w:val="21"/>
                <w:szCs w:val="21"/>
                <w:highlight w:val="none"/>
                <w:vertAlign w:val="superscript"/>
                <w:lang w:val="en-US" w:eastAsia="zh-CN"/>
              </w:rPr>
              <w:t>(e)</w:t>
            </w:r>
          </w:p>
        </w:tc>
      </w:tr>
      <w:tr w14:paraId="035223E6">
        <w:trPr>
          <w:trHeight w:val="731"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0175B">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住宿场所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819C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辖区总数25%</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7691A">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12CCC0C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1.棉织品细菌总数</w:t>
            </w:r>
          </w:p>
          <w:p w14:paraId="5502938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lang w:val="en-US" w:eastAsia="zh-CN"/>
              </w:rPr>
              <w:t>杯具细菌总数</w:t>
            </w:r>
            <w:r>
              <w:rPr>
                <w:rFonts w:hint="default" w:ascii="Times New Roman" w:hAnsi="Times New Roman" w:eastAsia="仿宋_GB2312" w:cs="Times New Roman"/>
                <w:color w:val="auto"/>
                <w:sz w:val="21"/>
                <w:szCs w:val="21"/>
                <w:vertAlign w:val="superscript"/>
                <w:lang w:val="en-US" w:eastAsia="zh-CN"/>
              </w:rPr>
              <w:t>（d）</w:t>
            </w:r>
          </w:p>
          <w:p w14:paraId="5D9DA83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3.淋浴</w:t>
            </w:r>
            <w:r>
              <w:rPr>
                <w:rFonts w:hint="default" w:ascii="Times New Roman" w:hAnsi="Times New Roman" w:eastAsia="仿宋_GB2312" w:cs="Times New Roman"/>
                <w:color w:val="auto"/>
                <w:sz w:val="21"/>
                <w:szCs w:val="21"/>
                <w:lang w:val="en-US" w:eastAsia="zh-CN"/>
              </w:rPr>
              <w:t>用水噬肺军团菌</w:t>
            </w:r>
          </w:p>
        </w:tc>
        <w:tc>
          <w:tcPr>
            <w:tcW w:w="966" w:type="dxa"/>
            <w:vMerge w:val="continue"/>
            <w:tcBorders>
              <w:left w:val="single" w:color="auto" w:sz="4" w:space="0"/>
              <w:right w:val="single" w:color="000000" w:sz="4" w:space="0"/>
              <w:tl2br w:val="nil"/>
              <w:tr2bl w:val="nil"/>
            </w:tcBorders>
            <w:noWrap w:val="0"/>
            <w:vAlign w:val="center"/>
          </w:tcPr>
          <w:p w14:paraId="4754723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7ED067B4">
        <w:trPr>
          <w:trHeight w:val="935"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5C915">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沐浴场所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41BD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辖区总数16%</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43B4">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15CEA24">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1.棉织品细菌总数</w:t>
            </w:r>
          </w:p>
          <w:p w14:paraId="6121A7D5">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2.沐浴用水嗜肺军团菌、池水浊度</w:t>
            </w:r>
            <w:r>
              <w:rPr>
                <w:rFonts w:hint="default" w:ascii="Times New Roman" w:hAnsi="Times New Roman" w:eastAsia="仿宋_GB2312" w:cs="Times New Roman"/>
                <w:color w:val="auto"/>
                <w:sz w:val="21"/>
                <w:szCs w:val="21"/>
                <w:vertAlign w:val="superscript"/>
                <w:lang w:val="en-US" w:eastAsia="zh-CN"/>
              </w:rPr>
              <w:t>（f）</w:t>
            </w:r>
          </w:p>
          <w:p w14:paraId="19AC15A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vertAlign w:val="superscript"/>
                <w:lang w:val="en-US" w:eastAsia="zh-CN"/>
              </w:rPr>
            </w:pPr>
            <w:r>
              <w:rPr>
                <w:rFonts w:hint="default" w:ascii="Times New Roman" w:hAnsi="Times New Roman" w:eastAsia="仿宋_GB2312" w:cs="Times New Roman"/>
                <w:color w:val="auto"/>
                <w:sz w:val="21"/>
                <w:szCs w:val="21"/>
                <w:highlight w:val="none"/>
                <w:lang w:val="en-US" w:eastAsia="zh-CN"/>
              </w:rPr>
              <w:t>3.拖鞋细菌总数、真菌总数</w:t>
            </w:r>
            <w:r>
              <w:rPr>
                <w:rFonts w:hint="default" w:ascii="Times New Roman" w:hAnsi="Times New Roman" w:eastAsia="仿宋_GB2312" w:cs="Times New Roman"/>
                <w:color w:val="auto"/>
                <w:sz w:val="21"/>
                <w:szCs w:val="21"/>
                <w:vertAlign w:val="superscript"/>
                <w:lang w:val="en-US" w:eastAsia="zh-CN"/>
              </w:rPr>
              <w:t>（d）</w:t>
            </w:r>
          </w:p>
          <w:p w14:paraId="7A9B40C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highlight w:val="none"/>
                <w:lang w:val="en-US" w:eastAsia="zh-CN"/>
              </w:rPr>
              <w:t>4.修脚工具细菌总数、真菌总数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right w:val="single" w:color="000000" w:sz="4" w:space="0"/>
              <w:tl2br w:val="nil"/>
              <w:tr2bl w:val="nil"/>
            </w:tcBorders>
            <w:noWrap w:val="0"/>
            <w:vAlign w:val="center"/>
          </w:tcPr>
          <w:p w14:paraId="233FB3F7">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08E85003">
        <w:trPr>
          <w:trHeight w:val="499"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ED9F0">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美容美发场所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17A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辖区总数8%</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54DF8">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38C50400">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1.美容美发工具细菌总数</w:t>
            </w:r>
          </w:p>
          <w:p w14:paraId="187ECE31">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2.棉织品细菌总数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right w:val="single" w:color="000000" w:sz="4" w:space="0"/>
              <w:tl2br w:val="nil"/>
              <w:tr2bl w:val="nil"/>
            </w:tcBorders>
            <w:noWrap w:val="0"/>
            <w:vAlign w:val="center"/>
          </w:tcPr>
          <w:p w14:paraId="74A90AC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7B4834B8">
        <w:trPr>
          <w:trHeight w:val="1266"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9202E">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其他公共场所</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C30AC">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辖区全部候车（机、船）室。辖区营业面积2000m</w:t>
            </w:r>
            <w:r>
              <w:rPr>
                <w:rFonts w:hint="default" w:ascii="Times New Roman" w:hAnsi="Times New Roman" w:eastAsia="仿宋_GB2312" w:cs="Times New Roman"/>
                <w:color w:val="auto"/>
                <w:sz w:val="21"/>
                <w:szCs w:val="21"/>
                <w:highlight w:val="none"/>
                <w:vertAlign w:val="superscript"/>
                <w:lang w:val="en-US" w:eastAsia="zh-CN"/>
              </w:rPr>
              <w:t>2</w:t>
            </w:r>
            <w:r>
              <w:rPr>
                <w:rFonts w:hint="default" w:ascii="Times New Roman" w:hAnsi="Times New Roman" w:eastAsia="仿宋_GB2312" w:cs="Times New Roman"/>
                <w:color w:val="auto"/>
                <w:sz w:val="21"/>
                <w:szCs w:val="21"/>
                <w:highlight w:val="none"/>
                <w:lang w:val="en-US" w:eastAsia="zh-CN"/>
              </w:rPr>
              <w:t>以上商场（超市）60户，影剧院40户，游艺厅、歌舞厅、音乐厅、博物馆、展览馆共80户，数量不足的全部检查。</w:t>
            </w:r>
            <w:r>
              <w:rPr>
                <w:rFonts w:hint="default" w:ascii="Times New Roman" w:hAnsi="Times New Roman" w:eastAsia="仿宋_GB2312" w:cs="Times New Roman"/>
                <w:color w:val="auto"/>
                <w:sz w:val="21"/>
                <w:szCs w:val="21"/>
                <w:highlight w:val="none"/>
                <w:vertAlign w:val="superscript"/>
                <w:lang w:val="en-US" w:eastAsia="zh-CN"/>
              </w:rPr>
              <w:t>(a)</w:t>
            </w:r>
          </w:p>
        </w:tc>
        <w:tc>
          <w:tcPr>
            <w:tcW w:w="42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B331">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p>
        </w:tc>
        <w:tc>
          <w:tcPr>
            <w:tcW w:w="4959"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A8B6553">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电影院可重复使用的3D眼镜细菌总数</w:t>
            </w:r>
            <w:r>
              <w:rPr>
                <w:rFonts w:hint="default" w:ascii="Times New Roman" w:hAnsi="Times New Roman" w:eastAsia="仿宋_GB2312" w:cs="Times New Roman"/>
                <w:color w:val="auto"/>
                <w:sz w:val="21"/>
                <w:szCs w:val="21"/>
                <w:vertAlign w:val="superscript"/>
                <w:lang w:val="en-US" w:eastAsia="zh-CN"/>
              </w:rPr>
              <w:t>（d）</w:t>
            </w:r>
          </w:p>
        </w:tc>
        <w:tc>
          <w:tcPr>
            <w:tcW w:w="966" w:type="dxa"/>
            <w:vMerge w:val="continue"/>
            <w:tcBorders>
              <w:left w:val="single" w:color="auto" w:sz="4" w:space="0"/>
              <w:bottom w:val="single" w:color="000000" w:sz="4" w:space="0"/>
              <w:right w:val="single" w:color="000000" w:sz="4" w:space="0"/>
              <w:tl2br w:val="nil"/>
              <w:tr2bl w:val="nil"/>
            </w:tcBorders>
            <w:noWrap w:val="0"/>
            <w:vAlign w:val="center"/>
          </w:tcPr>
          <w:p w14:paraId="3052F5C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r w14:paraId="19B5787C">
        <w:trPr>
          <w:trHeight w:val="1512" w:hRule="exact"/>
        </w:trPr>
        <w:tc>
          <w:tcPr>
            <w:tcW w:w="1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B3924">
            <w:pPr>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集中空调</w:t>
            </w:r>
          </w:p>
        </w:tc>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395C">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辖区已抽取公共场所中使用集中空调通风系统的全部检查；其中抽取100户进行检测，数量不足的全部检测。</w:t>
            </w:r>
          </w:p>
        </w:tc>
        <w:tc>
          <w:tcPr>
            <w:tcW w:w="4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606EF">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1.建立集中空调通风系统卫生档案</w:t>
            </w:r>
            <w:r>
              <w:rPr>
                <w:rFonts w:hint="default" w:ascii="Times New Roman" w:hAnsi="Times New Roman" w:eastAsia="仿宋_GB2312" w:cs="Times New Roman"/>
                <w:color w:val="auto"/>
                <w:sz w:val="21"/>
                <w:szCs w:val="21"/>
                <w:vertAlign w:val="superscript"/>
                <w:lang w:val="en-US" w:eastAsia="zh-CN"/>
              </w:rPr>
              <w:t>(b)</w:t>
            </w:r>
          </w:p>
          <w:p w14:paraId="5E65B965">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2.建立预防空气传播性疾病应急预案情况</w:t>
            </w:r>
            <w:r>
              <w:rPr>
                <w:rFonts w:hint="default" w:ascii="Times New Roman" w:hAnsi="Times New Roman" w:eastAsia="仿宋_GB2312" w:cs="Times New Roman"/>
                <w:color w:val="auto"/>
                <w:sz w:val="21"/>
                <w:szCs w:val="21"/>
                <w:vertAlign w:val="superscript"/>
                <w:lang w:val="en-US" w:eastAsia="zh-CN"/>
              </w:rPr>
              <w:t>(b)</w:t>
            </w:r>
          </w:p>
          <w:p w14:paraId="77D96A2E">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3.开展集中空调通风系统卫生检测或卫生学评价情况</w:t>
            </w:r>
            <w:r>
              <w:rPr>
                <w:rFonts w:hint="default" w:ascii="Times New Roman" w:hAnsi="Times New Roman" w:eastAsia="仿宋_GB2312" w:cs="Times New Roman"/>
                <w:color w:val="auto"/>
                <w:sz w:val="21"/>
                <w:szCs w:val="21"/>
                <w:vertAlign w:val="superscript"/>
                <w:lang w:val="en-US" w:eastAsia="zh-CN"/>
              </w:rPr>
              <w:t xml:space="preserve">(c) </w:t>
            </w:r>
          </w:p>
          <w:p w14:paraId="54892CDA">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4.开展集中空调通风系统清洗消毒情况</w:t>
            </w:r>
          </w:p>
          <w:p w14:paraId="3521F68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5.集中空调通风系统新风口设置及管理情况</w:t>
            </w:r>
          </w:p>
        </w:tc>
        <w:tc>
          <w:tcPr>
            <w:tcW w:w="59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6B2B0">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vertAlign w:val="superscript"/>
                <w:lang w:val="en-US" w:eastAsia="zh-CN"/>
              </w:rPr>
            </w:pPr>
            <w:r>
              <w:rPr>
                <w:rFonts w:hint="default" w:ascii="Times New Roman" w:hAnsi="Times New Roman" w:eastAsia="仿宋_GB2312" w:cs="Times New Roman"/>
                <w:color w:val="auto"/>
                <w:sz w:val="21"/>
                <w:szCs w:val="21"/>
                <w:highlight w:val="none"/>
                <w:lang w:val="en-US" w:eastAsia="zh-CN"/>
              </w:rPr>
              <w:t>1.冷却水中嗜肺军团菌、异养菌总数、游离氯</w:t>
            </w:r>
            <w:r>
              <w:rPr>
                <w:rFonts w:hint="default" w:ascii="Times New Roman" w:hAnsi="Times New Roman" w:eastAsia="仿宋_GB2312" w:cs="Times New Roman"/>
                <w:color w:val="auto"/>
                <w:sz w:val="21"/>
                <w:szCs w:val="21"/>
                <w:highlight w:val="none"/>
                <w:vertAlign w:val="superscript"/>
                <w:lang w:val="en-US" w:eastAsia="zh-CN"/>
              </w:rPr>
              <w:t>(g)</w:t>
            </w:r>
          </w:p>
          <w:p w14:paraId="0E93B60B">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2.送风质量PM</w:t>
            </w:r>
            <w:r>
              <w:rPr>
                <w:rFonts w:hint="default" w:ascii="Times New Roman" w:hAnsi="Times New Roman" w:eastAsia="仿宋_GB2312" w:cs="Times New Roman"/>
                <w:color w:val="auto"/>
                <w:sz w:val="21"/>
                <w:szCs w:val="21"/>
                <w:highlight w:val="none"/>
                <w:vertAlign w:val="subscript"/>
                <w:lang w:val="en-US" w:eastAsia="zh-CN"/>
              </w:rPr>
              <w:t>10</w:t>
            </w:r>
            <w:r>
              <w:rPr>
                <w:rFonts w:hint="default" w:ascii="Times New Roman" w:hAnsi="Times New Roman" w:eastAsia="仿宋_GB2312" w:cs="Times New Roman"/>
                <w:color w:val="auto"/>
                <w:sz w:val="21"/>
                <w:szCs w:val="21"/>
                <w:highlight w:val="none"/>
                <w:lang w:val="en-US" w:eastAsia="zh-CN"/>
              </w:rPr>
              <w:t>、细菌总数、真菌总数、β-溶血性链球菌</w:t>
            </w:r>
            <w:r>
              <w:rPr>
                <w:rFonts w:hint="default" w:ascii="Times New Roman" w:hAnsi="Times New Roman" w:eastAsia="仿宋_GB2312" w:cs="Times New Roman"/>
                <w:color w:val="auto"/>
                <w:sz w:val="21"/>
                <w:szCs w:val="21"/>
                <w:highlight w:val="none"/>
                <w:vertAlign w:val="superscript"/>
                <w:lang w:val="en-US" w:eastAsia="zh-CN"/>
              </w:rPr>
              <w:t>(h)</w:t>
            </w:r>
          </w:p>
          <w:p w14:paraId="65B7EA9D">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vertAlign w:val="superscript"/>
                <w:lang w:val="en-US" w:eastAsia="zh-CN"/>
              </w:rPr>
            </w:pPr>
            <w:r>
              <w:rPr>
                <w:rFonts w:hint="default" w:ascii="Times New Roman" w:hAnsi="Times New Roman" w:eastAsia="仿宋_GB2312" w:cs="Times New Roman"/>
                <w:color w:val="auto"/>
                <w:sz w:val="21"/>
                <w:szCs w:val="21"/>
                <w:highlight w:val="none"/>
                <w:lang w:val="en-US" w:eastAsia="zh-CN"/>
              </w:rPr>
              <w:t>3.风管内表面积尘量、细菌总数、真菌总数</w:t>
            </w:r>
            <w:r>
              <w:rPr>
                <w:rFonts w:hint="default" w:ascii="Times New Roman" w:hAnsi="Times New Roman" w:eastAsia="仿宋_GB2312" w:cs="Times New Roman"/>
                <w:color w:val="auto"/>
                <w:sz w:val="21"/>
                <w:szCs w:val="21"/>
                <w:highlight w:val="none"/>
                <w:vertAlign w:val="superscript"/>
                <w:lang w:val="en-US" w:eastAsia="zh-CN"/>
              </w:rPr>
              <w:t>(h)</w:t>
            </w:r>
          </w:p>
          <w:p w14:paraId="3D6182D6">
            <w:pPr>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p>
        </w:tc>
      </w:tr>
    </w:tbl>
    <w:p w14:paraId="14D8A063">
      <w:pPr>
        <w:pStyle w:val="3"/>
        <w:keepNext w:val="0"/>
        <w:keepLines w:val="0"/>
        <w:pageBreakBefore w:val="0"/>
        <w:widowControl w:val="0"/>
        <w:kinsoku w:val="0"/>
        <w:wordWrap/>
        <w:overflowPunct w:val="0"/>
        <w:topLinePunct w:val="0"/>
        <w:autoSpaceDE w:val="0"/>
        <w:autoSpaceDN w:val="0"/>
        <w:bidi w:val="0"/>
        <w:adjustRightInd w:val="0"/>
        <w:snapToGrid/>
        <w:spacing w:before="0" w:after="0" w:line="240" w:lineRule="exact"/>
        <w:ind w:left="0"/>
        <w:jc w:val="lef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a.游泳场所按抽查任务的100%进行检测，住宿场所、沐浴场所、其他公共场所按抽查任务的60%进行检测，美容美发场所按抽查任务的20%进行检测。</w:t>
      </w:r>
    </w:p>
    <w:p w14:paraId="376352DE">
      <w:pPr>
        <w:pStyle w:val="3"/>
        <w:keepNext w:val="0"/>
        <w:keepLines w:val="0"/>
        <w:pageBreakBefore w:val="0"/>
        <w:widowControl w:val="0"/>
        <w:kinsoku w:val="0"/>
        <w:wordWrap/>
        <w:overflowPunct w:val="0"/>
        <w:topLinePunct w:val="0"/>
        <w:autoSpaceDE w:val="0"/>
        <w:autoSpaceDN w:val="0"/>
        <w:bidi w:val="0"/>
        <w:adjustRightInd w:val="0"/>
        <w:snapToGrid/>
        <w:spacing w:before="0" w:after="0" w:line="240" w:lineRule="exact"/>
        <w:ind w:firstLine="105" w:firstLineChars="50"/>
        <w:jc w:val="left"/>
        <w:textAlignment w:val="auto"/>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各区（不含高新技术产业园区）</w:t>
      </w:r>
      <w:r>
        <w:rPr>
          <w:rFonts w:hint="default" w:ascii="Times New Roman" w:hAnsi="Times New Roman" w:eastAsia="仿宋_GB2312" w:cs="Times New Roman"/>
          <w:color w:val="auto"/>
          <w:sz w:val="21"/>
          <w:szCs w:val="21"/>
          <w:highlight w:val="none"/>
          <w:lang w:val="en-US" w:eastAsia="zh-CN"/>
        </w:rPr>
        <w:t>住宿场所</w:t>
      </w:r>
      <w:r>
        <w:rPr>
          <w:rFonts w:hint="eastAsia" w:eastAsia="仿宋_GB2312" w:cs="Times New Roman"/>
          <w:color w:val="auto"/>
          <w:sz w:val="21"/>
          <w:szCs w:val="21"/>
          <w:highlight w:val="none"/>
          <w:lang w:val="en-US" w:eastAsia="zh-CN"/>
        </w:rPr>
        <w:t>的检测任务中随机</w:t>
      </w:r>
      <w:r>
        <w:rPr>
          <w:rFonts w:hint="default" w:ascii="Times New Roman" w:hAnsi="Times New Roman" w:eastAsia="仿宋_GB2312" w:cs="Times New Roman"/>
          <w:color w:val="auto"/>
          <w:sz w:val="21"/>
          <w:szCs w:val="21"/>
          <w:highlight w:val="none"/>
          <w:lang w:val="en-US" w:eastAsia="zh-CN"/>
        </w:rPr>
        <w:t>抽取</w:t>
      </w:r>
      <w:r>
        <w:rPr>
          <w:rFonts w:hint="eastAsia"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户进行淋浴用水噬肺军团菌检测。</w:t>
      </w:r>
    </w:p>
    <w:p w14:paraId="6D9B5A1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b.指《公共场所集中空调通风系统卫生规范》（WS 10013-2023）规定的集中空调通风系统卫生档案和预防空气传播性疾病应急预案。</w:t>
      </w:r>
    </w:p>
    <w:p w14:paraId="225A33C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c.使用单位需提供集中空调通风系统卫生检测报告复印件。</w:t>
      </w:r>
    </w:p>
    <w:p w14:paraId="691C0D0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d.未使用顾客公共用品用具的该指标为合理缺项。</w:t>
      </w:r>
    </w:p>
    <w:p w14:paraId="4094C6B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 xml:space="preserve">e.只对6个月内进行过室内大面积装修的场所检测甲醛、苯、甲苯、二甲苯项目。 </w:t>
      </w:r>
    </w:p>
    <w:p w14:paraId="483A447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f.若无浴池，浊度为合理缺项。</w:t>
      </w:r>
    </w:p>
    <w:p w14:paraId="18B1A31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g.使用封闭干式冷却塔集中空调通风系统的，该三项指标合理缺项；游离氯仅在使用含氯消毒剂对冷却水进行消毒的情况下检测。</w:t>
      </w:r>
    </w:p>
    <w:p w14:paraId="649D684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32"/>
          <w:szCs w:val="32"/>
        </w:rPr>
        <w:sectPr>
          <w:headerReference r:id="rId5" w:type="default"/>
          <w:footerReference r:id="rId6" w:type="default"/>
          <w:pgSz w:w="16838" w:h="11906" w:orient="landscape"/>
          <w:pgMar w:top="1304" w:right="1417" w:bottom="1417" w:left="1417" w:header="850" w:footer="850" w:gutter="0"/>
          <w:pgNumType w:fmt="decimal"/>
          <w:cols w:space="720" w:num="1"/>
          <w:rtlGutter w:val="0"/>
          <w:docGrid w:linePitch="312" w:charSpace="0"/>
        </w:sectPr>
      </w:pPr>
      <w:r>
        <w:rPr>
          <w:rFonts w:hint="default" w:ascii="Times New Roman" w:hAnsi="Times New Roman" w:eastAsia="仿宋_GB2312" w:cs="Times New Roman"/>
          <w:color w:val="auto"/>
          <w:sz w:val="21"/>
          <w:szCs w:val="21"/>
          <w:highlight w:val="none"/>
          <w:lang w:val="en-US" w:eastAsia="zh-CN"/>
        </w:rPr>
        <w:t>h.使用无风管集中空调通风系统的，该条要求中所有检测项目均可合理缺项。</w:t>
      </w:r>
    </w:p>
    <w:p w14:paraId="48E55F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0D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65278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52780" cy="1828800"/>
                      </a:xfrm>
                      <a:prstGeom prst="rect">
                        <a:avLst/>
                      </a:prstGeom>
                      <a:noFill/>
                      <a:ln>
                        <a:noFill/>
                      </a:ln>
                    </wps:spPr>
                    <wps:txbx>
                      <w:txbxContent>
                        <w:p w14:paraId="6E0324D9">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cs="Times New Roman"/>
                              <w:spacing w:val="20"/>
                              <w:sz w:val="28"/>
                              <w:szCs w:val="28"/>
                              <w:lang w:val="en-US" w:eastAsia="zh-CN"/>
                            </w:rPr>
                            <w:t xml:space="preserve"> </w:t>
                          </w:r>
                          <w:r>
                            <w:rPr>
                              <w:rFonts w:hint="default" w:ascii="Times New Roman" w:hAnsi="Times New Roman" w:cs="Times New Roman"/>
                              <w:sz w:val="28"/>
                              <w:szCs w:val="28"/>
                              <w:lang w:val="en-US" w:eastAsia="zh-CN"/>
                            </w:rPr>
                            <w:t>—</w:t>
                          </w:r>
                        </w:p>
                      </w:txbxContent>
                    </wps:txbx>
                    <wps:bodyPr lIns="0" tIns="0" rIns="0" bIns="0" upright="0">
                      <a:spAutoFit/>
                    </wps:bodyPr>
                  </wps:wsp>
                </a:graphicData>
              </a:graphic>
            </wp:anchor>
          </w:drawing>
        </mc:Choice>
        <mc:Fallback>
          <w:pict>
            <v:shape id="_x0000_s1026" o:spid="_x0000_s1026" o:spt="202" type="#_x0000_t202" style="position:absolute;left:0pt;margin-top:-8.7pt;height:144pt;width:51.4pt;mso-position-horizontal:outside;mso-position-horizontal-relative:margin;z-index:251659264;mso-width-relative:page;mso-height-relative:page;" filled="f" stroked="f" coordsize="21600,21600" o:gfxdata="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jQIVdUAAAAIAQAADwAAAAAAAAABACAAAAAiAAAAZHJzL2Rvd25yZXYu&#10;eG1sUEsBAhQAFAAAAAgAh07iQCqJ0aTFAQAAjAMAAA4AAAAAAAAAAQAgAAAAJAEAAGRycy9lMm9E&#10;b2MueG1sUEsFBgAAAAAGAAYAWQEAAFsFAAAAAA==&#10;">
              <v:path/>
              <v:fill on="f" focussize="0,0"/>
              <v:stroke on="f"/>
              <v:imagedata o:title=""/>
              <o:lock v:ext="edit" aspectratio="f"/>
              <v:textbox inset="0mm,0mm,0mm,0mm" style="mso-fit-shape-to-text:t;">
                <w:txbxContent>
                  <w:p w14:paraId="6E0324D9">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cs="Times New Roman"/>
                        <w:spacing w:val="20"/>
                        <w:sz w:val="28"/>
                        <w:szCs w:val="28"/>
                        <w:lang w:val="en-US" w:eastAsia="zh-CN"/>
                      </w:rPr>
                      <w:t xml:space="preserve"> </w:t>
                    </w:r>
                    <w:r>
                      <w:rPr>
                        <w:rFonts w:hint="default" w:ascii="Times New Roman" w:hAnsi="Times New Roman"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64E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-110490</wp:posOffset>
              </wp:positionV>
              <wp:extent cx="636270" cy="2266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6270" cy="226695"/>
                      </a:xfrm>
                      <a:prstGeom prst="rect">
                        <a:avLst/>
                      </a:prstGeom>
                      <a:noFill/>
                      <a:ln>
                        <a:noFill/>
                      </a:ln>
                    </wps:spPr>
                    <wps:txbx>
                      <w:txbxContent>
                        <w:p w14:paraId="58A5AF3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7pt;height:17.85pt;width:50.1pt;mso-position-horizontal:outside;mso-position-horizontal-relative:margin;z-index:251660288;mso-width-relative:page;mso-height-relative:page;" filled="f" stroked="f" coordsize="21600,21600" o:gfxdata="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SyRvWAAAABwEAAA8AAAAAAAAAAQAgAAAAIgAAAGRycy9kb3ducmV2LnhtbFBLAQIUABQA&#10;AAAIAIdO4kDk5n8buQEAAHEDAAAOAAAAAAAAAAEAIAAAACUBAABkcnMvZTJvRG9jLnhtbFBLBQYA&#10;AAAABgAGAFkBAABQBQAAAAA=&#10;">
              <v:path/>
              <v:fill on="f" focussize="0,0"/>
              <v:stroke on="f"/>
              <v:imagedata o:title=""/>
              <o:lock v:ext="edit" aspectratio="f"/>
              <v:textbox inset="0mm,0mm,0mm,0mm">
                <w:txbxContent>
                  <w:p w14:paraId="58A5AF35">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BB55">
    <w:pPr>
      <w:pStyle w:val="4"/>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2A7">
    <w:pPr>
      <w:pStyle w:val="4"/>
      <w:pBdr>
        <w:bottom w:val="none" w:color="auto" w:sz="0" w:space="0"/>
      </w:pBd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4C1D"/>
    <w:rsid w:val="6FFF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2025-05-21T21:40:00Z</dcterms:created>
  <dc:creator>雨熹 Cisia</dc:creator>
  <cp:lastModifiedBy>雨熹 Cisia</cp:lastModifiedBy>
  <dcterms:modified xsi:type="dcterms:W3CDTF">2025-05-21T21:40:32Z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F3B6004DDB4B82BAC2D72D6861D73406_41</vt:lpwstr>
  </property>
</Properties>
</file>