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宋体" w:hAnsi="宋体" w:eastAsia="宋体" w:cs="宋体"/>
          <w:b/>
          <w:bCs/>
          <w:snapToGrid w:val="0"/>
          <w:color w:val="auto"/>
          <w:spacing w:val="-10"/>
          <w:kern w:val="0"/>
          <w:sz w:val="55"/>
          <w:szCs w:val="55"/>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宋体" w:hAnsi="宋体" w:eastAsia="宋体" w:cs="宋体"/>
          <w:b/>
          <w:bCs/>
          <w:snapToGrid w:val="0"/>
          <w:color w:val="auto"/>
          <w:spacing w:val="-10"/>
          <w:kern w:val="0"/>
          <w:sz w:val="55"/>
          <w:szCs w:val="55"/>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方正小标宋_GBK" w:hAnsi="方正小标宋_GBK" w:eastAsia="方正小标宋_GBK" w:cs="方正小标宋_GBK"/>
          <w:b w:val="0"/>
          <w:bCs w:val="0"/>
          <w:snapToGrid w:val="0"/>
          <w:color w:val="auto"/>
          <w:spacing w:val="-10"/>
          <w:kern w:val="0"/>
          <w:sz w:val="55"/>
          <w:szCs w:val="55"/>
          <w:highlight w:val="none"/>
          <w:lang w:eastAsia="en-US"/>
        </w:rPr>
      </w:pPr>
      <w:r>
        <w:rPr>
          <w:rFonts w:hint="eastAsia" w:ascii="方正小标宋_GBK" w:hAnsi="方正小标宋_GBK" w:eastAsia="方正小标宋_GBK" w:cs="方正小标宋_GBK"/>
          <w:b w:val="0"/>
          <w:bCs w:val="0"/>
          <w:snapToGrid w:val="0"/>
          <w:color w:val="auto"/>
          <w:spacing w:val="-10"/>
          <w:kern w:val="0"/>
          <w:sz w:val="55"/>
          <w:szCs w:val="55"/>
          <w:highlight w:val="none"/>
          <w:lang w:val="en-US" w:eastAsia="zh-CN"/>
        </w:rPr>
        <w:t>海南省</w:t>
      </w:r>
      <w:r>
        <w:rPr>
          <w:rFonts w:hint="eastAsia" w:ascii="方正小标宋_GBK" w:hAnsi="方正小标宋_GBK" w:eastAsia="方正小标宋_GBK" w:cs="方正小标宋_GBK"/>
          <w:b w:val="0"/>
          <w:bCs w:val="0"/>
          <w:snapToGrid w:val="0"/>
          <w:color w:val="auto"/>
          <w:spacing w:val="-10"/>
          <w:kern w:val="0"/>
          <w:sz w:val="55"/>
          <w:szCs w:val="55"/>
          <w:highlight w:val="none"/>
          <w:lang w:eastAsia="en-US"/>
        </w:rPr>
        <w:t>定点医疗机构</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方正小标宋_GBK" w:hAnsi="方正小标宋_GBK" w:eastAsia="方正小标宋_GBK" w:cs="方正小标宋_GBK"/>
          <w:b w:val="0"/>
          <w:bCs w:val="0"/>
          <w:snapToGrid w:val="0"/>
          <w:color w:val="auto"/>
          <w:spacing w:val="-15"/>
          <w:kern w:val="0"/>
          <w:sz w:val="55"/>
          <w:szCs w:val="55"/>
          <w:highlight w:val="none"/>
          <w:lang w:eastAsia="en-US"/>
        </w:rPr>
      </w:pPr>
      <w:r>
        <w:rPr>
          <w:rFonts w:hint="eastAsia" w:ascii="方正小标宋_GBK" w:hAnsi="方正小标宋_GBK" w:eastAsia="方正小标宋_GBK" w:cs="方正小标宋_GBK"/>
          <w:b w:val="0"/>
          <w:bCs w:val="0"/>
          <w:snapToGrid w:val="0"/>
          <w:color w:val="auto"/>
          <w:spacing w:val="-10"/>
          <w:kern w:val="0"/>
          <w:sz w:val="55"/>
          <w:szCs w:val="55"/>
          <w:highlight w:val="none"/>
          <w:lang w:eastAsia="en-US"/>
        </w:rPr>
        <w:t>医疗保障、工伤保险</w:t>
      </w:r>
      <w:r>
        <w:rPr>
          <w:rFonts w:hint="eastAsia" w:ascii="方正小标宋_GBK" w:hAnsi="方正小标宋_GBK" w:eastAsia="方正小标宋_GBK" w:cs="方正小标宋_GBK"/>
          <w:b w:val="0"/>
          <w:bCs w:val="0"/>
          <w:snapToGrid w:val="0"/>
          <w:color w:val="auto"/>
          <w:spacing w:val="-15"/>
          <w:kern w:val="0"/>
          <w:sz w:val="55"/>
          <w:szCs w:val="55"/>
          <w:highlight w:val="none"/>
          <w:lang w:eastAsia="en-US"/>
        </w:rPr>
        <w:t>服务协议</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方正小标宋_GBK" w:hAnsi="方正小标宋_GBK" w:eastAsia="方正小标宋_GBK" w:cs="方正小标宋_GBK"/>
          <w:b w:val="0"/>
          <w:bCs w:val="0"/>
          <w:snapToGrid w:val="0"/>
          <w:color w:val="auto"/>
          <w:spacing w:val="-15"/>
          <w:kern w:val="0"/>
          <w:sz w:val="55"/>
          <w:szCs w:val="55"/>
          <w:highlight w:val="none"/>
          <w:lang w:val="en-US" w:eastAsia="zh-CN"/>
        </w:rPr>
      </w:pPr>
      <w:r>
        <w:rPr>
          <w:rFonts w:hint="eastAsia" w:ascii="方正小标宋_GBK" w:hAnsi="方正小标宋_GBK" w:eastAsia="方正小标宋_GBK" w:cs="方正小标宋_GBK"/>
          <w:b w:val="0"/>
          <w:bCs w:val="0"/>
          <w:snapToGrid w:val="0"/>
          <w:color w:val="auto"/>
          <w:spacing w:val="-15"/>
          <w:kern w:val="0"/>
          <w:sz w:val="55"/>
          <w:szCs w:val="55"/>
          <w:highlight w:val="none"/>
          <w:lang w:eastAsia="zh-CN"/>
        </w:rPr>
        <w:t>（</w:t>
      </w:r>
      <w:r>
        <w:rPr>
          <w:rFonts w:hint="eastAsia" w:ascii="方正小标宋_GBK" w:hAnsi="方正小标宋_GBK" w:eastAsia="方正小标宋_GBK" w:cs="方正小标宋_GBK"/>
          <w:b w:val="0"/>
          <w:bCs w:val="0"/>
          <w:snapToGrid w:val="0"/>
          <w:color w:val="auto"/>
          <w:spacing w:val="-15"/>
          <w:kern w:val="0"/>
          <w:sz w:val="55"/>
          <w:szCs w:val="55"/>
          <w:highlight w:val="none"/>
          <w:lang w:val="en-US" w:eastAsia="zh-CN"/>
        </w:rPr>
        <w:t>2025年版）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420" w:leftChars="200"/>
        <w:jc w:val="left"/>
        <w:textAlignment w:val="baseline"/>
        <w:rPr>
          <w:rFonts w:hint="eastAsia" w:ascii="宋体" w:hAnsi="宋体" w:eastAsia="宋体" w:cs="宋体"/>
          <w:b/>
          <w:bCs/>
          <w:snapToGrid w:val="0"/>
          <w:color w:val="auto"/>
          <w:spacing w:val="-15"/>
          <w:kern w:val="0"/>
          <w:sz w:val="55"/>
          <w:szCs w:val="55"/>
          <w:highlight w:val="none"/>
          <w:lang w:val="en-US" w:eastAsia="zh-CN" w:bidi="ar-SA"/>
        </w:rPr>
      </w:pPr>
      <w:r>
        <w:rPr>
          <w:rFonts w:hint="eastAsia" w:ascii="宋体" w:hAnsi="宋体" w:eastAsia="宋体" w:cs="宋体"/>
          <w:b/>
          <w:bCs/>
          <w:snapToGrid w:val="0"/>
          <w:color w:val="auto"/>
          <w:spacing w:val="-15"/>
          <w:kern w:val="0"/>
          <w:sz w:val="55"/>
          <w:szCs w:val="55"/>
          <w:highlight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方正楷体_GBK" w:hAnsi="方正楷体_GBK" w:eastAsia="方正楷体_GBK" w:cs="方正楷体_GBK"/>
          <w:snapToGrid w:val="0"/>
          <w:color w:val="auto"/>
          <w:spacing w:val="-3"/>
          <w:kern w:val="0"/>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方正楷体_GBK" w:hAnsi="方正楷体_GBK" w:eastAsia="方正楷体_GBK" w:cs="方正楷体_GBK"/>
          <w:snapToGrid w:val="0"/>
          <w:color w:val="auto"/>
          <w:spacing w:val="-3"/>
          <w:kern w:val="0"/>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楷体_GB2312" w:hAnsi="楷体_GB2312" w:eastAsia="楷体_GB2312" w:cs="楷体_GB2312"/>
          <w:snapToGrid w:val="0"/>
          <w:color w:val="auto"/>
          <w:spacing w:val="-3"/>
          <w:kern w:val="0"/>
          <w:sz w:val="32"/>
          <w:szCs w:val="32"/>
          <w:highlight w:val="none"/>
          <w:lang w:val="en-US" w:eastAsia="zh-CN" w:bidi="ar-SA"/>
        </w:rPr>
      </w:pPr>
      <w:r>
        <w:rPr>
          <w:rFonts w:hint="eastAsia" w:ascii="楷体_GB2312" w:hAnsi="楷体_GB2312" w:eastAsia="楷体_GB2312" w:cs="楷体_GB2312"/>
          <w:snapToGrid w:val="0"/>
          <w:color w:val="auto"/>
          <w:spacing w:val="-3"/>
          <w:kern w:val="0"/>
          <w:sz w:val="32"/>
          <w:szCs w:val="32"/>
          <w:highlight w:val="none"/>
          <w:lang w:val="en-US" w:eastAsia="zh-CN" w:bidi="ar-SA"/>
        </w:rPr>
        <w:t>海南省医疗保障局</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楷体_GB2312" w:hAnsi="楷体_GB2312" w:eastAsia="楷体_GB2312" w:cs="楷体_GB2312"/>
          <w:snapToGrid w:val="0"/>
          <w:color w:val="auto"/>
          <w:spacing w:val="-3"/>
          <w:kern w:val="0"/>
          <w:sz w:val="32"/>
          <w:szCs w:val="32"/>
          <w:highlight w:val="none"/>
          <w:lang w:val="en-US" w:eastAsia="zh-CN" w:bidi="ar-SA"/>
        </w:rPr>
      </w:pPr>
      <w:r>
        <w:rPr>
          <w:rFonts w:hint="eastAsia" w:ascii="楷体_GB2312" w:hAnsi="楷体_GB2312" w:eastAsia="楷体_GB2312" w:cs="楷体_GB2312"/>
          <w:snapToGrid w:val="0"/>
          <w:color w:val="auto"/>
          <w:spacing w:val="-3"/>
          <w:kern w:val="0"/>
          <w:sz w:val="32"/>
          <w:szCs w:val="32"/>
          <w:highlight w:val="none"/>
          <w:lang w:val="en-US" w:eastAsia="zh-CN" w:bidi="ar-SA"/>
        </w:rPr>
        <w:t>海南省人力资源和社会保障厅制定</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仿宋" w:hAnsi="仿宋" w:eastAsia="仿宋" w:cs="仿宋"/>
          <w:snapToGrid w:val="0"/>
          <w:color w:val="auto"/>
          <w:spacing w:val="14"/>
          <w:kern w:val="0"/>
          <w:sz w:val="31"/>
          <w:szCs w:val="31"/>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textAlignment w:val="baseline"/>
        <w:rPr>
          <w:rFonts w:ascii="仿宋" w:hAnsi="仿宋" w:eastAsia="仿宋" w:cs="仿宋"/>
          <w:color w:val="auto"/>
          <w:spacing w:val="14"/>
          <w:sz w:val="31"/>
          <w:szCs w:val="31"/>
          <w:highlight w:val="none"/>
        </w:rPr>
        <w:sectPr>
          <w:pgSz w:w="11906" w:h="16838"/>
          <w:pgMar w:top="1440" w:right="1800" w:bottom="1440" w:left="1800" w:header="0" w:footer="964" w:gutter="0"/>
          <w:pgBorders>
            <w:top w:val="none" w:sz="0" w:space="0"/>
            <w:left w:val="none" w:sz="0" w:space="0"/>
            <w:bottom w:val="none" w:sz="0" w:space="0"/>
            <w:right w:val="none" w:sz="0" w:space="0"/>
          </w:pgBorders>
          <w:pgNumType w:fmt="numberInDash" w:start="1"/>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baseline"/>
        <w:rPr>
          <w:rFonts w:ascii="宋体" w:hAnsi="Courier New"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ascii="仿宋" w:hAnsi="仿宋" w:eastAsia="仿宋" w:cs="仿宋"/>
          <w:snapToGrid w:val="0"/>
          <w:color w:val="auto"/>
          <w:spacing w:val="-3"/>
          <w:kern w:val="0"/>
          <w:sz w:val="32"/>
          <w:szCs w:val="32"/>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ascii="仿宋" w:hAnsi="仿宋" w:eastAsia="仿宋" w:cs="仿宋"/>
          <w:snapToGrid w:val="0"/>
          <w:color w:val="auto"/>
          <w:spacing w:val="-3"/>
          <w:kern w:val="0"/>
          <w:sz w:val="32"/>
          <w:szCs w:val="32"/>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ascii="仿宋" w:hAnsi="仿宋" w:eastAsia="仿宋" w:cs="仿宋"/>
          <w:snapToGrid w:val="0"/>
          <w:color w:val="auto"/>
          <w:spacing w:val="-3"/>
          <w:kern w:val="0"/>
          <w:sz w:val="32"/>
          <w:szCs w:val="32"/>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zh-CN"/>
        </w:rPr>
      </w:pPr>
      <w:r>
        <w:rPr>
          <w:rFonts w:hint="eastAsia" w:ascii="仿宋_GB2312" w:hAnsi="仿宋_GB2312" w:eastAsia="仿宋_GB2312" w:cs="仿宋_GB2312"/>
          <w:snapToGrid w:val="0"/>
          <w:color w:val="auto"/>
          <w:spacing w:val="-3"/>
          <w:kern w:val="0"/>
          <w:sz w:val="32"/>
          <w:szCs w:val="32"/>
          <w:highlight w:val="none"/>
          <w:lang w:eastAsia="en-US"/>
        </w:rPr>
        <w:t>甲方(医疗保障、工伤保险经办机构)</w:t>
      </w:r>
      <w:r>
        <w:rPr>
          <w:rFonts w:hint="eastAsia" w:ascii="仿宋_GB2312" w:hAnsi="仿宋_GB2312" w:eastAsia="仿宋_GB2312" w:cs="仿宋_GB2312"/>
          <w:snapToGrid w:val="0"/>
          <w:color w:val="auto"/>
          <w:spacing w:val="-3"/>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r>
        <w:rPr>
          <w:rFonts w:hint="eastAsia" w:ascii="仿宋_GB2312" w:hAnsi="仿宋_GB2312" w:eastAsia="仿宋_GB2312" w:cs="仿宋_GB2312"/>
          <w:snapToGrid w:val="0"/>
          <w:color w:val="auto"/>
          <w:spacing w:val="-3"/>
          <w:kern w:val="0"/>
          <w:sz w:val="32"/>
          <w:szCs w:val="32"/>
          <w:highlight w:val="none"/>
          <w:lang w:eastAsia="en-US"/>
        </w:rPr>
        <w:t>医疗保障经办机构代码：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r>
        <w:rPr>
          <w:rFonts w:hint="eastAsia" w:ascii="仿宋_GB2312" w:hAnsi="仿宋_GB2312" w:eastAsia="仿宋_GB2312" w:cs="仿宋_GB2312"/>
          <w:snapToGrid w:val="0"/>
          <w:color w:val="auto"/>
          <w:spacing w:val="-3"/>
          <w:kern w:val="0"/>
          <w:sz w:val="32"/>
          <w:szCs w:val="32"/>
          <w:highlight w:val="none"/>
          <w:lang w:eastAsia="en-US"/>
        </w:rPr>
        <w:t>法定代表人：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r>
        <w:rPr>
          <w:rFonts w:hint="eastAsia" w:ascii="仿宋_GB2312" w:hAnsi="仿宋_GB2312" w:eastAsia="仿宋_GB2312" w:cs="仿宋_GB2312"/>
          <w:snapToGrid w:val="0"/>
          <w:color w:val="auto"/>
          <w:spacing w:val="-3"/>
          <w:kern w:val="0"/>
          <w:sz w:val="32"/>
          <w:szCs w:val="32"/>
          <w:highlight w:val="none"/>
          <w:lang w:eastAsia="en-US"/>
        </w:rPr>
        <w:t>地址：</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r>
        <w:rPr>
          <w:rFonts w:hint="eastAsia" w:ascii="仿宋_GB2312" w:hAnsi="仿宋_GB2312" w:eastAsia="仿宋_GB2312" w:cs="仿宋_GB2312"/>
          <w:snapToGrid w:val="0"/>
          <w:color w:val="auto"/>
          <w:spacing w:val="-3"/>
          <w:kern w:val="0"/>
          <w:sz w:val="32"/>
          <w:szCs w:val="32"/>
          <w:highlight w:val="none"/>
          <w:lang w:eastAsia="en-US"/>
        </w:rPr>
        <w:t>邮政编码：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r>
        <w:rPr>
          <w:rFonts w:hint="eastAsia" w:ascii="仿宋_GB2312" w:hAnsi="仿宋_GB2312" w:eastAsia="仿宋_GB2312" w:cs="仿宋_GB2312"/>
          <w:snapToGrid w:val="0"/>
          <w:color w:val="auto"/>
          <w:spacing w:val="-3"/>
          <w:kern w:val="0"/>
          <w:sz w:val="32"/>
          <w:szCs w:val="32"/>
          <w:highlight w:val="none"/>
          <w:lang w:eastAsia="en-US"/>
        </w:rPr>
        <w:t>联系电话：</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zh-CN"/>
        </w:rPr>
      </w:pPr>
      <w:r>
        <w:rPr>
          <w:rFonts w:hint="eastAsia" w:ascii="仿宋_GB2312" w:hAnsi="仿宋_GB2312" w:eastAsia="仿宋_GB2312" w:cs="仿宋_GB2312"/>
          <w:snapToGrid w:val="0"/>
          <w:color w:val="auto"/>
          <w:spacing w:val="-3"/>
          <w:kern w:val="0"/>
          <w:sz w:val="32"/>
          <w:szCs w:val="32"/>
          <w:highlight w:val="none"/>
          <w:lang w:eastAsia="en-US"/>
        </w:rPr>
        <w:t>乙方(医疗保障、工伤保险定点医疗机构)</w:t>
      </w:r>
      <w:r>
        <w:rPr>
          <w:rFonts w:hint="eastAsia" w:ascii="仿宋_GB2312" w:hAnsi="仿宋_GB2312" w:eastAsia="仿宋_GB2312" w:cs="仿宋_GB2312"/>
          <w:snapToGrid w:val="0"/>
          <w:color w:val="auto"/>
          <w:spacing w:val="-3"/>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r>
        <w:rPr>
          <w:rFonts w:hint="eastAsia" w:ascii="仿宋_GB2312" w:hAnsi="仿宋_GB2312" w:eastAsia="仿宋_GB2312" w:cs="仿宋_GB2312"/>
          <w:snapToGrid w:val="0"/>
          <w:color w:val="auto"/>
          <w:spacing w:val="-3"/>
          <w:kern w:val="0"/>
          <w:sz w:val="32"/>
          <w:szCs w:val="32"/>
          <w:highlight w:val="none"/>
          <w:lang w:eastAsia="en-US"/>
        </w:rPr>
        <w:t>定点医疗机构代码：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r>
        <w:rPr>
          <w:rFonts w:hint="eastAsia" w:ascii="仿宋_GB2312" w:hAnsi="仿宋_GB2312" w:eastAsia="仿宋_GB2312" w:cs="仿宋_GB2312"/>
          <w:snapToGrid w:val="0"/>
          <w:color w:val="auto"/>
          <w:spacing w:val="-3"/>
          <w:kern w:val="0"/>
          <w:sz w:val="32"/>
          <w:szCs w:val="32"/>
          <w:highlight w:val="none"/>
          <w:lang w:eastAsia="en-US"/>
        </w:rPr>
        <w:t>法定代表人：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r>
        <w:rPr>
          <w:rFonts w:hint="eastAsia" w:ascii="仿宋_GB2312" w:hAnsi="仿宋_GB2312" w:eastAsia="仿宋_GB2312" w:cs="仿宋_GB2312"/>
          <w:snapToGrid w:val="0"/>
          <w:color w:val="auto"/>
          <w:spacing w:val="-3"/>
          <w:kern w:val="0"/>
          <w:sz w:val="32"/>
          <w:szCs w:val="32"/>
          <w:highlight w:val="none"/>
          <w:lang w:eastAsia="en-US"/>
        </w:rPr>
        <w:t>地址：</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r>
        <w:rPr>
          <w:rFonts w:hint="eastAsia" w:ascii="仿宋_GB2312" w:hAnsi="仿宋_GB2312" w:eastAsia="仿宋_GB2312" w:cs="仿宋_GB2312"/>
          <w:snapToGrid w:val="0"/>
          <w:color w:val="auto"/>
          <w:spacing w:val="-3"/>
          <w:kern w:val="0"/>
          <w:sz w:val="32"/>
          <w:szCs w:val="32"/>
          <w:highlight w:val="none"/>
          <w:lang w:eastAsia="en-US"/>
        </w:rPr>
        <w:t>邮政编码：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spacing w:val="-3"/>
          <w:kern w:val="0"/>
          <w:sz w:val="32"/>
          <w:szCs w:val="32"/>
          <w:highlight w:val="none"/>
          <w:lang w:eastAsia="en-US"/>
        </w:rPr>
      </w:pPr>
      <w:r>
        <w:rPr>
          <w:rFonts w:hint="eastAsia" w:ascii="仿宋_GB2312" w:hAnsi="仿宋_GB2312" w:eastAsia="仿宋_GB2312" w:cs="仿宋_GB2312"/>
          <w:snapToGrid w:val="0"/>
          <w:color w:val="auto"/>
          <w:spacing w:val="-3"/>
          <w:kern w:val="0"/>
          <w:sz w:val="32"/>
          <w:szCs w:val="32"/>
          <w:highlight w:val="none"/>
          <w:lang w:eastAsia="en-US"/>
        </w:rPr>
        <w:t>联系电话：</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仿宋_GB2312" w:hAnsi="仿宋_GB2312" w:eastAsia="仿宋_GB2312" w:cs="仿宋_GB2312"/>
          <w:snapToGrid w:val="0"/>
          <w:color w:val="auto"/>
          <w:kern w:val="0"/>
          <w:sz w:val="32"/>
          <w:szCs w:val="32"/>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ascii="仿宋" w:hAnsi="仿宋" w:eastAsia="仿宋" w:cs="仿宋"/>
          <w:snapToGrid w:val="0"/>
          <w:color w:val="auto"/>
          <w:spacing w:val="-3"/>
          <w:kern w:val="0"/>
          <w:sz w:val="32"/>
          <w:szCs w:val="32"/>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both"/>
        <w:textAlignment w:val="baseline"/>
        <w:rPr>
          <w:rFonts w:ascii="仿宋" w:hAnsi="仿宋" w:eastAsia="仿宋" w:cs="仿宋"/>
          <w:snapToGrid w:val="0"/>
          <w:color w:val="auto"/>
          <w:spacing w:val="-3"/>
          <w:kern w:val="0"/>
          <w:sz w:val="32"/>
          <w:szCs w:val="32"/>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仿宋" w:hAnsi="仿宋" w:eastAsia="仿宋" w:cs="仿宋"/>
          <w:color w:val="auto"/>
          <w:spacing w:val="-3"/>
          <w:sz w:val="32"/>
          <w:szCs w:val="32"/>
          <w:highlight w:val="none"/>
        </w:rPr>
        <w:sectPr>
          <w:footerReference r:id="rId3" w:type="default"/>
          <w:pgSz w:w="11906" w:h="16838"/>
          <w:pgMar w:top="2064" w:right="1800" w:bottom="1440" w:left="1800" w:header="0" w:footer="0" w:gutter="0"/>
          <w:pgBorders>
            <w:top w:val="none" w:sz="0" w:space="0"/>
            <w:left w:val="none" w:sz="0" w:space="0"/>
            <w:bottom w:val="none" w:sz="0" w:space="0"/>
            <w:right w:val="none" w:sz="0" w:space="0"/>
          </w:pgBorders>
          <w:pgNumType w:fmt="numberInDash" w:start="1"/>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u w:val="single"/>
          <w:lang w:val="en-US" w:eastAsia="zh-CN"/>
        </w:rPr>
      </w:pPr>
      <w:r>
        <w:rPr>
          <w:rFonts w:hint="eastAsia" w:ascii="仿宋_GB2312" w:hAnsi="仿宋_GB2312" w:eastAsia="仿宋_GB2312" w:cs="仿宋_GB2312"/>
          <w:snapToGrid w:val="0"/>
          <w:color w:val="auto"/>
          <w:spacing w:val="0"/>
          <w:kern w:val="0"/>
          <w:sz w:val="32"/>
          <w:szCs w:val="32"/>
          <w:highlight w:val="none"/>
          <w:lang w:eastAsia="en-US"/>
        </w:rPr>
        <w:t>为加强和规范医疗保障定点医疗机构管理，规范医疗服务行为，提高医保基金、工伤基金使用效率，保障参保人员合法权益，根据《中华人民共和国社会保险法》《中华人民共和国基本医疗卫生与健康促进法》《医疗机构管理条例》《医疗保障基金使用监督管理条例》《社会保险经办条例》《基本医疗保险用药管理暂行办法》《医疗机构医疗保障定点管理暂行办法》</w:t>
      </w:r>
      <w:r>
        <w:rPr>
          <w:rFonts w:hint="eastAsia" w:ascii="仿宋_GB2312" w:hAnsi="仿宋_GB2312" w:eastAsia="仿宋_GB2312" w:cs="仿宋_GB2312"/>
          <w:snapToGrid w:val="0"/>
          <w:color w:val="auto"/>
          <w:spacing w:val="0"/>
          <w:kern w:val="0"/>
          <w:sz w:val="32"/>
          <w:szCs w:val="32"/>
          <w:highlight w:val="none"/>
          <w:lang w:eastAsia="zh-CN"/>
        </w:rPr>
        <w:t>《医药机构医疗保障协议管理经办规程（试行）》</w:t>
      </w:r>
      <w:r>
        <w:rPr>
          <w:rFonts w:hint="eastAsia" w:ascii="仿宋_GB2312" w:hAnsi="仿宋_GB2312" w:eastAsia="仿宋_GB2312" w:cs="仿宋_GB2312"/>
          <w:snapToGrid w:val="0"/>
          <w:color w:val="auto"/>
          <w:spacing w:val="0"/>
          <w:kern w:val="0"/>
          <w:sz w:val="32"/>
          <w:szCs w:val="32"/>
          <w:highlight w:val="none"/>
          <w:lang w:eastAsia="en-US"/>
        </w:rPr>
        <w:t>《海南省城镇从业人员基本医疗保险条例》《海南省城乡居民基本医疗保险实施办法》《海南省城镇从业人员基本医疗保险条例实施细则》《海南省城镇从业人员生育保险条例实施细则》《海南省生育保险条例》《海南省医疗救助办法》</w:t>
      </w:r>
      <w:r>
        <w:rPr>
          <w:rFonts w:hint="eastAsia" w:ascii="仿宋_GB2312" w:hAnsi="仿宋_GB2312" w:eastAsia="仿宋_GB2312" w:cs="仿宋_GB2312"/>
          <w:snapToGrid w:val="0"/>
          <w:color w:val="auto"/>
          <w:spacing w:val="0"/>
          <w:kern w:val="0"/>
          <w:sz w:val="32"/>
          <w:szCs w:val="32"/>
          <w:highlight w:val="none"/>
          <w:u w:val="none"/>
          <w:lang w:eastAsia="zh-CN"/>
        </w:rPr>
        <w:t>《海南省医疗保障局关于加强定点医药机构管理的通知》</w:t>
      </w:r>
      <w:r>
        <w:rPr>
          <w:rFonts w:hint="eastAsia" w:ascii="仿宋_GB2312" w:hAnsi="仿宋_GB2312" w:eastAsia="仿宋_GB2312" w:cs="仿宋_GB2312"/>
          <w:snapToGrid w:val="0"/>
          <w:color w:val="auto"/>
          <w:spacing w:val="0"/>
          <w:kern w:val="0"/>
          <w:sz w:val="32"/>
          <w:szCs w:val="32"/>
          <w:highlight w:val="none"/>
          <w:lang w:eastAsia="en-US"/>
        </w:rPr>
        <w:t>《工伤保险条例》《工伤保险经办规程》《关于加强工伤保险医疗服务协议管理工作的通知》《海南经济特区工伤保险实施办法》等法律法规规章和有关规定，经甲乙双方协商一致，自愿就医疗保障及工伤保险医疗服务有关事宜签订如下协议，并承诺共同遵守。</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0" w:firstLineChars="0"/>
        <w:jc w:val="both"/>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0" w:firstLineChars="0"/>
        <w:jc w:val="center"/>
        <w:textAlignment w:val="baseline"/>
        <w:outlineLvl w:val="0"/>
        <w:rPr>
          <w:rFonts w:ascii="黑体" w:hAnsi="黑体" w:eastAsia="黑体" w:cs="黑体"/>
          <w:b w:val="0"/>
          <w:bCs w:val="0"/>
          <w:snapToGrid w:val="0"/>
          <w:color w:val="auto"/>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en-US"/>
        </w:rPr>
        <w:t>第一章</w:t>
      </w:r>
      <w:r>
        <w:rPr>
          <w:rFonts w:hint="eastAsia" w:ascii="黑体" w:hAnsi="黑体" w:eastAsia="黑体" w:cs="黑体"/>
          <w:b w:val="0"/>
          <w:bCs w:val="0"/>
          <w:snapToGrid w:val="0"/>
          <w:color w:val="auto"/>
          <w:spacing w:val="0"/>
          <w:kern w:val="0"/>
          <w:sz w:val="32"/>
          <w:szCs w:val="32"/>
          <w:highlight w:val="none"/>
          <w:lang w:val="en-US" w:eastAsia="zh-CN"/>
        </w:rPr>
        <w:t xml:space="preserve"> </w:t>
      </w:r>
      <w:r>
        <w:rPr>
          <w:rFonts w:ascii="黑体" w:hAnsi="黑体" w:eastAsia="黑体" w:cs="黑体"/>
          <w:b w:val="0"/>
          <w:bCs w:val="0"/>
          <w:snapToGrid w:val="0"/>
          <w:color w:val="auto"/>
          <w:spacing w:val="0"/>
          <w:kern w:val="0"/>
          <w:sz w:val="32"/>
          <w:szCs w:val="32"/>
          <w:highlight w:val="none"/>
          <w:lang w:eastAsia="en-US"/>
        </w:rPr>
        <w:t>总</w:t>
      </w:r>
      <w:r>
        <w:rPr>
          <w:rFonts w:hint="eastAsia" w:ascii="黑体" w:hAnsi="黑体" w:eastAsia="黑体" w:cs="黑体"/>
          <w:b w:val="0"/>
          <w:bCs w:val="0"/>
          <w:snapToGrid w:val="0"/>
          <w:color w:val="auto"/>
          <w:spacing w:val="0"/>
          <w:kern w:val="0"/>
          <w:sz w:val="32"/>
          <w:szCs w:val="32"/>
          <w:highlight w:val="none"/>
          <w:lang w:val="en-US" w:eastAsia="zh-CN"/>
        </w:rPr>
        <w:t xml:space="preserve"> </w:t>
      </w:r>
      <w:r>
        <w:rPr>
          <w:rFonts w:ascii="黑体" w:hAnsi="黑体" w:eastAsia="黑体" w:cs="黑体"/>
          <w:b w:val="0"/>
          <w:bCs w:val="0"/>
          <w:snapToGrid w:val="0"/>
          <w:color w:val="auto"/>
          <w:spacing w:val="0"/>
          <w:kern w:val="0"/>
          <w:sz w:val="32"/>
          <w:szCs w:val="32"/>
          <w:highlight w:val="none"/>
          <w:lang w:eastAsia="en-US"/>
        </w:rPr>
        <w:t>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0" w:firstLineChars="0"/>
        <w:jc w:val="both"/>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snapToGrid w:val="0"/>
          <w:color w:val="auto"/>
          <w:spacing w:val="0"/>
          <w:kern w:val="0"/>
          <w:sz w:val="32"/>
          <w:szCs w:val="32"/>
          <w:highlight w:val="none"/>
          <w:lang w:eastAsia="en-US"/>
        </w:rPr>
        <w:t>第一条</w:t>
      </w:r>
      <w:r>
        <w:rPr>
          <w:rFonts w:hint="default"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签订目的</w:t>
      </w:r>
      <w:r>
        <w:rPr>
          <w:rFonts w:hint="default"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甲乙双方应当严格执行国家、省有关法律法规规章及政策规定，按本协议约定履行职责、行使权利、承担义务，保障参保人员依法享受医疗保障</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待遇。</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val="en-US" w:eastAsia="zh-CN" w:bidi="ar-SA"/>
        </w:rPr>
        <w:t>甲乙双方应主动接受医疗保障</w:t>
      </w:r>
      <w:r>
        <w:rPr>
          <w:rFonts w:hint="eastAsia" w:ascii="仿宋_GB2312" w:hAnsi="仿宋_GB2312" w:eastAsia="仿宋_GB2312" w:cs="仿宋_GB2312"/>
          <w:snapToGrid w:val="0"/>
          <w:color w:val="auto"/>
          <w:spacing w:val="0"/>
          <w:kern w:val="0"/>
          <w:sz w:val="32"/>
          <w:szCs w:val="32"/>
          <w:highlight w:val="none"/>
          <w:lang w:eastAsia="zh-CN" w:bidi="ar-SA"/>
        </w:rPr>
        <w:t>、工伤保险</w:t>
      </w:r>
      <w:r>
        <w:rPr>
          <w:rFonts w:hint="eastAsia" w:ascii="仿宋_GB2312" w:hAnsi="仿宋_GB2312" w:eastAsia="仿宋_GB2312" w:cs="仿宋_GB2312"/>
          <w:snapToGrid w:val="0"/>
          <w:color w:val="auto"/>
          <w:spacing w:val="0"/>
          <w:kern w:val="0"/>
          <w:sz w:val="32"/>
          <w:szCs w:val="32"/>
          <w:highlight w:val="none"/>
          <w:lang w:val="en-US" w:eastAsia="zh-CN" w:bidi="ar-SA"/>
        </w:rPr>
        <w:t>行政部门对定点服务协议订立、履行和解除等的监督，接受医疗保障</w:t>
      </w:r>
      <w:r>
        <w:rPr>
          <w:rFonts w:hint="eastAsia" w:ascii="仿宋_GB2312" w:hAnsi="仿宋_GB2312" w:eastAsia="仿宋_GB2312" w:cs="仿宋_GB2312"/>
          <w:snapToGrid w:val="0"/>
          <w:color w:val="auto"/>
          <w:spacing w:val="0"/>
          <w:kern w:val="0"/>
          <w:sz w:val="32"/>
          <w:szCs w:val="32"/>
          <w:highlight w:val="none"/>
          <w:lang w:eastAsia="zh-CN" w:bidi="ar-SA"/>
        </w:rPr>
        <w:t>、工伤保险</w:t>
      </w:r>
      <w:r>
        <w:rPr>
          <w:rFonts w:hint="eastAsia" w:ascii="仿宋_GB2312" w:hAnsi="仿宋_GB2312" w:eastAsia="仿宋_GB2312" w:cs="仿宋_GB2312"/>
          <w:snapToGrid w:val="0"/>
          <w:color w:val="auto"/>
          <w:spacing w:val="0"/>
          <w:kern w:val="0"/>
          <w:sz w:val="32"/>
          <w:szCs w:val="32"/>
          <w:highlight w:val="none"/>
          <w:lang w:val="en-US" w:eastAsia="zh-CN" w:bidi="ar-SA"/>
        </w:rPr>
        <w:t>行政部门对经办机构的内部控制制度建设、医保</w:t>
      </w:r>
      <w:r>
        <w:rPr>
          <w:rFonts w:hint="eastAsia" w:ascii="仿宋_GB2312" w:hAnsi="仿宋_GB2312" w:eastAsia="仿宋_GB2312" w:cs="仿宋_GB2312"/>
          <w:snapToGrid w:val="0"/>
          <w:color w:val="auto"/>
          <w:spacing w:val="0"/>
          <w:kern w:val="0"/>
          <w:sz w:val="32"/>
          <w:szCs w:val="32"/>
          <w:highlight w:val="none"/>
          <w:lang w:eastAsia="zh-CN" w:bidi="ar-SA"/>
        </w:rPr>
        <w:t>及工伤医疗</w:t>
      </w:r>
      <w:r>
        <w:rPr>
          <w:rFonts w:hint="eastAsia" w:ascii="仿宋_GB2312" w:hAnsi="仿宋_GB2312" w:eastAsia="仿宋_GB2312" w:cs="仿宋_GB2312"/>
          <w:snapToGrid w:val="0"/>
          <w:color w:val="auto"/>
          <w:spacing w:val="0"/>
          <w:kern w:val="0"/>
          <w:sz w:val="32"/>
          <w:szCs w:val="32"/>
          <w:highlight w:val="none"/>
          <w:lang w:val="en-US" w:eastAsia="zh-CN" w:bidi="ar-SA"/>
        </w:rPr>
        <w:t>费用的审核和拨付等的指导和监督。接受医疗保障</w:t>
      </w:r>
      <w:r>
        <w:rPr>
          <w:rFonts w:hint="eastAsia" w:ascii="仿宋_GB2312" w:hAnsi="仿宋_GB2312" w:eastAsia="仿宋_GB2312" w:cs="仿宋_GB2312"/>
          <w:snapToGrid w:val="0"/>
          <w:color w:val="auto"/>
          <w:spacing w:val="0"/>
          <w:kern w:val="0"/>
          <w:sz w:val="32"/>
          <w:szCs w:val="32"/>
          <w:highlight w:val="none"/>
          <w:lang w:eastAsia="zh-CN" w:bidi="ar-SA"/>
        </w:rPr>
        <w:t>、工伤保险</w:t>
      </w:r>
      <w:r>
        <w:rPr>
          <w:rFonts w:hint="eastAsia" w:ascii="仿宋_GB2312" w:hAnsi="仿宋_GB2312" w:eastAsia="仿宋_GB2312" w:cs="仿宋_GB2312"/>
          <w:snapToGrid w:val="0"/>
          <w:color w:val="auto"/>
          <w:spacing w:val="0"/>
          <w:kern w:val="0"/>
          <w:sz w:val="32"/>
          <w:szCs w:val="32"/>
          <w:highlight w:val="none"/>
          <w:lang w:val="en-US" w:eastAsia="zh-CN" w:bidi="ar-SA"/>
        </w:rPr>
        <w:t>行政部门对定点医疗机构的协议履行情况、医疗保障</w:t>
      </w:r>
      <w:r>
        <w:rPr>
          <w:rFonts w:hint="eastAsia" w:ascii="仿宋_GB2312" w:hAnsi="仿宋_GB2312" w:eastAsia="仿宋_GB2312" w:cs="仿宋_GB2312"/>
          <w:snapToGrid w:val="0"/>
          <w:color w:val="auto"/>
          <w:spacing w:val="0"/>
          <w:kern w:val="0"/>
          <w:sz w:val="32"/>
          <w:szCs w:val="32"/>
          <w:highlight w:val="none"/>
          <w:lang w:eastAsia="zh-CN" w:bidi="ar-SA"/>
        </w:rPr>
        <w:t>、工伤保险</w:t>
      </w:r>
      <w:r>
        <w:rPr>
          <w:rFonts w:hint="eastAsia" w:ascii="仿宋_GB2312" w:hAnsi="仿宋_GB2312" w:eastAsia="仿宋_GB2312" w:cs="仿宋_GB2312"/>
          <w:snapToGrid w:val="0"/>
          <w:color w:val="auto"/>
          <w:spacing w:val="0"/>
          <w:kern w:val="0"/>
          <w:sz w:val="32"/>
          <w:szCs w:val="32"/>
          <w:highlight w:val="none"/>
          <w:lang w:val="en-US" w:eastAsia="zh-CN" w:bidi="ar-SA"/>
        </w:rPr>
        <w:t>基金使用情况、医疗服</w:t>
      </w:r>
      <w:bookmarkStart w:id="0" w:name="_GoBack"/>
      <w:bookmarkEnd w:id="0"/>
      <w:r>
        <w:rPr>
          <w:rFonts w:hint="eastAsia" w:ascii="仿宋_GB2312" w:hAnsi="仿宋_GB2312" w:eastAsia="仿宋_GB2312" w:cs="仿宋_GB2312"/>
          <w:snapToGrid w:val="0"/>
          <w:color w:val="auto"/>
          <w:spacing w:val="0"/>
          <w:kern w:val="0"/>
          <w:sz w:val="32"/>
          <w:szCs w:val="32"/>
          <w:highlight w:val="none"/>
          <w:lang w:val="en-US" w:eastAsia="zh-CN" w:bidi="ar-SA"/>
        </w:rPr>
        <w:t>务行为、购买涉及医疗保障</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val="en-US" w:eastAsia="zh-CN" w:bidi="ar-SA"/>
        </w:rPr>
        <w:t>基金使用的第三方服务等的监督。</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snapToGrid w:val="0"/>
          <w:color w:val="auto"/>
          <w:spacing w:val="0"/>
          <w:kern w:val="0"/>
          <w:sz w:val="32"/>
          <w:szCs w:val="32"/>
          <w:highlight w:val="none"/>
          <w:lang w:eastAsia="en-US"/>
        </w:rPr>
        <w:t>第二条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适用范围</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乙方为</w:t>
      </w:r>
      <w:r>
        <w:rPr>
          <w:rFonts w:hint="eastAsia" w:ascii="仿宋_GB2312" w:hAnsi="仿宋_GB2312" w:eastAsia="仿宋_GB2312" w:cs="仿宋_GB2312"/>
          <w:snapToGrid w:val="0"/>
          <w:color w:val="auto"/>
          <w:spacing w:val="0"/>
          <w:kern w:val="0"/>
          <w:sz w:val="32"/>
          <w:szCs w:val="32"/>
          <w:highlight w:val="none"/>
          <w:lang w:val="en-US" w:eastAsia="en-US"/>
        </w:rPr>
        <w:t>城镇从业人员</w:t>
      </w:r>
      <w:r>
        <w:rPr>
          <w:rFonts w:hint="eastAsia" w:ascii="仿宋_GB2312" w:hAnsi="仿宋_GB2312" w:eastAsia="仿宋_GB2312" w:cs="仿宋_GB2312"/>
          <w:snapToGrid w:val="0"/>
          <w:color w:val="auto"/>
          <w:spacing w:val="0"/>
          <w:kern w:val="0"/>
          <w:sz w:val="32"/>
          <w:szCs w:val="32"/>
          <w:highlight w:val="none"/>
          <w:lang w:eastAsia="en-US"/>
        </w:rPr>
        <w:t>基本医疗保险(含</w:t>
      </w:r>
      <w:r>
        <w:rPr>
          <w:rFonts w:hint="eastAsia" w:ascii="仿宋_GB2312" w:hAnsi="仿宋_GB2312" w:eastAsia="仿宋_GB2312" w:cs="仿宋_GB2312"/>
          <w:snapToGrid w:val="0"/>
          <w:color w:val="auto"/>
          <w:spacing w:val="0"/>
          <w:kern w:val="0"/>
          <w:sz w:val="32"/>
          <w:szCs w:val="32"/>
          <w:highlight w:val="none"/>
          <w:lang w:val="en-US" w:eastAsia="en-US"/>
        </w:rPr>
        <w:t>城镇从业人员</w:t>
      </w:r>
      <w:r>
        <w:rPr>
          <w:rFonts w:hint="eastAsia" w:ascii="仿宋_GB2312" w:hAnsi="仿宋_GB2312" w:eastAsia="仿宋_GB2312" w:cs="仿宋_GB2312"/>
          <w:snapToGrid w:val="0"/>
          <w:color w:val="auto"/>
          <w:spacing w:val="0"/>
          <w:kern w:val="0"/>
          <w:sz w:val="32"/>
          <w:szCs w:val="32"/>
          <w:highlight w:val="none"/>
          <w:lang w:eastAsia="en-US"/>
        </w:rPr>
        <w:t>大额医疗费用补助)、城乡居民基本医疗保险(含城乡居民大病保险)、生育保险</w:t>
      </w:r>
      <w:r>
        <w:rPr>
          <w:rFonts w:hint="eastAsia" w:ascii="仿宋_GB2312" w:hAnsi="仿宋_GB2312" w:eastAsia="仿宋_GB2312" w:cs="仿宋_GB2312"/>
          <w:snapToGrid w:val="0"/>
          <w:color w:val="auto"/>
          <w:spacing w:val="0"/>
          <w:kern w:val="0"/>
          <w:sz w:val="32"/>
          <w:szCs w:val="32"/>
          <w:highlight w:val="none"/>
          <w:lang w:eastAsia="en-US" w:bidi="ar-SA"/>
        </w:rPr>
        <w:t>、工伤保险</w:t>
      </w:r>
      <w:r>
        <w:rPr>
          <w:rFonts w:hint="eastAsia" w:ascii="仿宋_GB2312" w:hAnsi="仿宋_GB2312" w:eastAsia="仿宋_GB2312" w:cs="仿宋_GB2312"/>
          <w:snapToGrid w:val="0"/>
          <w:color w:val="auto"/>
          <w:spacing w:val="0"/>
          <w:kern w:val="0"/>
          <w:sz w:val="32"/>
          <w:szCs w:val="32"/>
          <w:highlight w:val="none"/>
          <w:lang w:eastAsia="en-US"/>
        </w:rPr>
        <w:t>等参保人员、</w:t>
      </w:r>
      <w:r>
        <w:rPr>
          <w:rFonts w:hint="eastAsia" w:ascii="仿宋_GB2312" w:hAnsi="仿宋_GB2312" w:eastAsia="仿宋_GB2312" w:cs="仿宋_GB2312"/>
          <w:snapToGrid w:val="0"/>
          <w:color w:val="auto"/>
          <w:spacing w:val="0"/>
          <w:kern w:val="0"/>
          <w:sz w:val="32"/>
          <w:szCs w:val="32"/>
          <w:highlight w:val="none"/>
          <w:lang w:val="en-US" w:eastAsia="en-US"/>
        </w:rPr>
        <w:t>离休人员</w:t>
      </w:r>
      <w:r>
        <w:rPr>
          <w:rFonts w:hint="eastAsia" w:ascii="仿宋_GB2312" w:hAnsi="仿宋_GB2312" w:eastAsia="仿宋_GB2312" w:cs="仿宋_GB2312"/>
          <w:snapToGrid w:val="0"/>
          <w:color w:val="auto"/>
          <w:spacing w:val="0"/>
          <w:kern w:val="0"/>
          <w:sz w:val="32"/>
          <w:szCs w:val="32"/>
          <w:highlight w:val="none"/>
          <w:lang w:eastAsia="en-US"/>
        </w:rPr>
        <w:t>、医疗救助对象、</w:t>
      </w:r>
      <w:r>
        <w:rPr>
          <w:rFonts w:hint="eastAsia" w:ascii="仿宋_GB2312" w:hAnsi="仿宋_GB2312" w:eastAsia="仿宋_GB2312" w:cs="仿宋_GB2312"/>
          <w:snapToGrid w:val="0"/>
          <w:color w:val="auto"/>
          <w:spacing w:val="0"/>
          <w:kern w:val="0"/>
          <w:sz w:val="32"/>
          <w:szCs w:val="32"/>
          <w:highlight w:val="none"/>
          <w:lang w:val="en-US" w:eastAsia="en-US"/>
        </w:rPr>
        <w:t>异地就医的参保人员</w:t>
      </w:r>
      <w:r>
        <w:rPr>
          <w:rFonts w:hint="eastAsia" w:ascii="仿宋_GB2312" w:hAnsi="仿宋_GB2312" w:eastAsia="仿宋_GB2312" w:cs="仿宋_GB2312"/>
          <w:snapToGrid w:val="0"/>
          <w:color w:val="auto"/>
          <w:spacing w:val="0"/>
          <w:kern w:val="0"/>
          <w:sz w:val="32"/>
          <w:szCs w:val="32"/>
          <w:highlight w:val="none"/>
          <w:lang w:eastAsia="en-US"/>
        </w:rPr>
        <w:t>(以下统称“参保人员”)提供医疗保障</w:t>
      </w:r>
      <w:r>
        <w:rPr>
          <w:rFonts w:hint="eastAsia" w:ascii="仿宋_GB2312" w:hAnsi="仿宋_GB2312" w:eastAsia="仿宋_GB2312" w:cs="仿宋_GB2312"/>
          <w:snapToGrid w:val="0"/>
          <w:color w:val="auto"/>
          <w:spacing w:val="0"/>
          <w:kern w:val="0"/>
          <w:sz w:val="32"/>
          <w:szCs w:val="32"/>
          <w:highlight w:val="none"/>
          <w:lang w:eastAsia="en-US" w:bidi="ar-SA"/>
        </w:rPr>
        <w:t>、工伤保险</w:t>
      </w:r>
      <w:r>
        <w:rPr>
          <w:rFonts w:hint="eastAsia" w:ascii="仿宋_GB2312" w:hAnsi="仿宋_GB2312" w:eastAsia="仿宋_GB2312" w:cs="仿宋_GB2312"/>
          <w:snapToGrid w:val="0"/>
          <w:color w:val="auto"/>
          <w:spacing w:val="0"/>
          <w:kern w:val="0"/>
          <w:sz w:val="32"/>
          <w:szCs w:val="32"/>
          <w:highlight w:val="none"/>
          <w:lang w:eastAsia="en-US"/>
        </w:rPr>
        <w:t>服务，适用本协议。</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snapToGrid w:val="0"/>
          <w:color w:val="auto"/>
          <w:spacing w:val="0"/>
          <w:kern w:val="0"/>
          <w:sz w:val="32"/>
          <w:szCs w:val="32"/>
          <w:highlight w:val="none"/>
          <w:lang w:eastAsia="en-US"/>
        </w:rPr>
        <w:t>第三条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服务范围</w:t>
      </w:r>
      <w:r>
        <w:rPr>
          <w:rFonts w:hint="eastAsia" w:ascii="黑体" w:hAnsi="黑体" w:eastAsia="黑体" w:cs="黑体"/>
          <w:b w:val="0"/>
          <w:snapToGrid w:val="0"/>
          <w:color w:val="auto"/>
          <w:spacing w:val="0"/>
          <w:kern w:val="0"/>
          <w:sz w:val="32"/>
          <w:szCs w:val="32"/>
          <w:highlight w:val="none"/>
          <w:lang w:val="en-US" w:eastAsia="zh-CN"/>
        </w:rPr>
        <w:t>及结算等级</w:t>
      </w:r>
      <w:r>
        <w:rPr>
          <w:rFonts w:hint="default"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经甲乙双方协商，乙方所提供的医疗服务应当符合卫生健康行政部门、中医药主管部门许可的诊疗科目</w:t>
      </w:r>
      <w:r>
        <w:rPr>
          <w:rFonts w:hint="eastAsia" w:ascii="仿宋_GB2312" w:hAnsi="仿宋_GB2312" w:eastAsia="仿宋_GB2312" w:cs="仿宋_GB2312"/>
          <w:snapToGrid w:val="0"/>
          <w:color w:val="auto"/>
          <w:spacing w:val="0"/>
          <w:kern w:val="0"/>
          <w:sz w:val="32"/>
          <w:szCs w:val="32"/>
          <w:highlight w:val="none"/>
          <w:lang w:val="en-US" w:eastAsia="en-US"/>
        </w:rPr>
        <w:t>和执业范围</w:t>
      </w:r>
      <w:r>
        <w:rPr>
          <w:rFonts w:hint="eastAsia" w:ascii="仿宋_GB2312" w:hAnsi="仿宋_GB2312" w:eastAsia="仿宋_GB2312" w:cs="仿宋_GB2312"/>
          <w:snapToGrid w:val="0"/>
          <w:color w:val="auto"/>
          <w:spacing w:val="0"/>
          <w:kern w:val="0"/>
          <w:sz w:val="32"/>
          <w:szCs w:val="32"/>
          <w:highlight w:val="none"/>
          <w:lang w:eastAsia="en-US"/>
        </w:rPr>
        <w:t>，乙方为参保人员提供的医疗服务范围及结算等级包括：</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楷体_GB2312" w:hAnsi="楷体_GB2312" w:eastAsia="楷体_GB2312" w:cs="楷体_GB2312"/>
          <w:snapToGrid w:val="0"/>
          <w:color w:val="auto"/>
          <w:spacing w:val="0"/>
          <w:kern w:val="0"/>
          <w:sz w:val="32"/>
          <w:szCs w:val="32"/>
          <w:highlight w:val="none"/>
          <w:lang w:val="en-US" w:eastAsia="zh-CN"/>
        </w:rPr>
      </w:pPr>
      <w:r>
        <w:rPr>
          <w:rFonts w:hint="eastAsia" w:ascii="楷体_GB2312" w:hAnsi="楷体_GB2312" w:eastAsia="楷体_GB2312" w:cs="楷体_GB2312"/>
          <w:snapToGrid w:val="0"/>
          <w:color w:val="auto"/>
          <w:spacing w:val="0"/>
          <w:kern w:val="0"/>
          <w:sz w:val="32"/>
          <w:szCs w:val="32"/>
          <w:highlight w:val="none"/>
          <w:lang w:val="en-US" w:eastAsia="zh-CN"/>
        </w:rPr>
        <w:t>（一）服务范围</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720" w:firstLineChars="200"/>
        <w:jc w:val="both"/>
        <w:textAlignment w:val="baseline"/>
        <w:rPr>
          <w:rFonts w:ascii="仿宋" w:hAnsi="仿宋" w:eastAsia="仿宋" w:cs="仿宋"/>
          <w:snapToGrid w:val="0"/>
          <w:color w:val="auto"/>
          <w:spacing w:val="0"/>
          <w:kern w:val="0"/>
          <w:sz w:val="32"/>
          <w:szCs w:val="32"/>
          <w:highlight w:val="none"/>
          <w:lang w:eastAsia="en-US"/>
        </w:rPr>
      </w:pPr>
      <w:r>
        <w:rPr>
          <w:rFonts w:hint="eastAsia" w:ascii="仿宋" w:hAnsi="仿宋" w:eastAsia="仿宋" w:cs="仿宋"/>
          <w:snapToGrid w:val="0"/>
          <w:color w:val="auto"/>
          <w:spacing w:val="0"/>
          <w:kern w:val="0"/>
          <w:sz w:val="36"/>
          <w:szCs w:val="36"/>
          <w:highlight w:val="none"/>
          <w:lang w:val="en-US" w:eastAsia="zh-CN"/>
        </w:rPr>
        <w:sym w:font="Wingdings 2" w:char="00A3"/>
      </w:r>
      <w:r>
        <w:rPr>
          <w:rFonts w:hint="eastAsia" w:ascii="仿宋" w:hAnsi="仿宋" w:eastAsia="仿宋" w:cs="仿宋"/>
          <w:snapToGrid w:val="0"/>
          <w:color w:val="auto"/>
          <w:spacing w:val="0"/>
          <w:kern w:val="0"/>
          <w:sz w:val="36"/>
          <w:szCs w:val="36"/>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门(急)诊；</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720" w:firstLineChars="200"/>
        <w:jc w:val="both"/>
        <w:textAlignment w:val="baseline"/>
        <w:rPr>
          <w:rFonts w:hint="eastAsia" w:ascii="仿宋" w:hAnsi="仿宋" w:eastAsia="仿宋" w:cs="仿宋"/>
          <w:snapToGrid w:val="0"/>
          <w:color w:val="auto"/>
          <w:spacing w:val="0"/>
          <w:kern w:val="0"/>
          <w:sz w:val="36"/>
          <w:szCs w:val="36"/>
          <w:highlight w:val="none"/>
          <w:lang w:val="en-US" w:eastAsia="zh-CN"/>
        </w:rPr>
      </w:pPr>
      <w:r>
        <w:rPr>
          <w:rFonts w:hint="eastAsia" w:ascii="仿宋" w:hAnsi="仿宋" w:eastAsia="仿宋" w:cs="仿宋"/>
          <w:snapToGrid w:val="0"/>
          <w:color w:val="auto"/>
          <w:spacing w:val="0"/>
          <w:kern w:val="0"/>
          <w:sz w:val="36"/>
          <w:szCs w:val="36"/>
          <w:highlight w:val="none"/>
          <w:lang w:val="en-US" w:eastAsia="zh-CN"/>
        </w:rPr>
        <w:sym w:font="Wingdings 2" w:char="00A3"/>
      </w:r>
      <w:r>
        <w:rPr>
          <w:rFonts w:hint="eastAsia" w:ascii="仿宋" w:hAnsi="仿宋" w:eastAsia="仿宋" w:cs="仿宋"/>
          <w:snapToGrid w:val="0"/>
          <w:color w:val="auto"/>
          <w:spacing w:val="0"/>
          <w:kern w:val="0"/>
          <w:sz w:val="36"/>
          <w:szCs w:val="36"/>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val="en-US" w:eastAsia="zh-CN"/>
        </w:rPr>
        <w:t>门诊慢性特殊疾病；</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72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en-US"/>
        </w:rPr>
      </w:pPr>
      <w:r>
        <w:rPr>
          <w:rFonts w:hint="eastAsia" w:ascii="仿宋" w:hAnsi="仿宋" w:eastAsia="仿宋" w:cs="仿宋"/>
          <w:snapToGrid w:val="0"/>
          <w:color w:val="auto"/>
          <w:spacing w:val="0"/>
          <w:kern w:val="0"/>
          <w:sz w:val="36"/>
          <w:szCs w:val="36"/>
          <w:highlight w:val="none"/>
          <w:lang w:val="en-US" w:eastAsia="zh-CN"/>
        </w:rPr>
        <w:sym w:font="Wingdings 2" w:char="00A3"/>
      </w:r>
      <w:r>
        <w:rPr>
          <w:rFonts w:hint="eastAsia" w:ascii="仿宋" w:hAnsi="仿宋" w:eastAsia="仿宋" w:cs="仿宋"/>
          <w:snapToGrid w:val="0"/>
          <w:color w:val="auto"/>
          <w:spacing w:val="0"/>
          <w:kern w:val="0"/>
          <w:sz w:val="36"/>
          <w:szCs w:val="36"/>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val="en-US" w:eastAsia="zh-CN"/>
        </w:rPr>
        <w:t>困难群众医疗救助；</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720" w:firstLineChars="200"/>
        <w:jc w:val="both"/>
        <w:textAlignment w:val="baseline"/>
        <w:rPr>
          <w:rFonts w:hint="eastAsia" w:ascii="仿宋" w:hAnsi="仿宋" w:eastAsia="仿宋" w:cs="仿宋"/>
          <w:snapToGrid w:val="0"/>
          <w:color w:val="auto"/>
          <w:spacing w:val="0"/>
          <w:kern w:val="0"/>
          <w:sz w:val="32"/>
          <w:szCs w:val="32"/>
          <w:highlight w:val="none"/>
          <w:lang w:eastAsia="zh-CN"/>
        </w:rPr>
      </w:pPr>
      <w:r>
        <w:rPr>
          <w:rFonts w:hint="eastAsia" w:ascii="仿宋" w:hAnsi="仿宋" w:eastAsia="仿宋" w:cs="仿宋"/>
          <w:snapToGrid w:val="0"/>
          <w:color w:val="auto"/>
          <w:spacing w:val="0"/>
          <w:kern w:val="0"/>
          <w:sz w:val="36"/>
          <w:szCs w:val="36"/>
          <w:highlight w:val="none"/>
          <w:lang w:val="en-US" w:eastAsia="zh-CN"/>
        </w:rPr>
        <w:sym w:font="Wingdings 2" w:char="00A3"/>
      </w:r>
      <w:r>
        <w:rPr>
          <w:rFonts w:hint="eastAsia" w:ascii="仿宋" w:hAnsi="仿宋" w:eastAsia="仿宋" w:cs="仿宋"/>
          <w:snapToGrid w:val="0"/>
          <w:color w:val="auto"/>
          <w:spacing w:val="0"/>
          <w:kern w:val="0"/>
          <w:sz w:val="36"/>
          <w:szCs w:val="36"/>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住院</w:t>
      </w:r>
      <w:r>
        <w:rPr>
          <w:rFonts w:hint="eastAsia" w:ascii="仿宋_GB2312" w:hAnsi="仿宋_GB2312" w:eastAsia="仿宋_GB2312" w:cs="仿宋_GB2312"/>
          <w:snapToGrid w:val="0"/>
          <w:color w:val="auto"/>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72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 w:hAnsi="仿宋" w:eastAsia="仿宋" w:cs="仿宋"/>
          <w:snapToGrid w:val="0"/>
          <w:color w:val="auto"/>
          <w:spacing w:val="0"/>
          <w:kern w:val="0"/>
          <w:sz w:val="36"/>
          <w:szCs w:val="36"/>
          <w:highlight w:val="none"/>
          <w:lang w:val="en-US" w:eastAsia="zh-CN" w:bidi="ar-SA"/>
        </w:rPr>
        <w:sym w:font="Wingdings 2" w:char="00A3"/>
      </w:r>
      <w:r>
        <w:rPr>
          <w:rFonts w:hint="eastAsia" w:ascii="仿宋" w:hAnsi="仿宋" w:eastAsia="仿宋" w:cs="仿宋"/>
          <w:snapToGrid w:val="0"/>
          <w:color w:val="auto"/>
          <w:spacing w:val="0"/>
          <w:kern w:val="0"/>
          <w:sz w:val="36"/>
          <w:szCs w:val="36"/>
          <w:highlight w:val="none"/>
          <w:lang w:val="en-US" w:eastAsia="zh-CN" w:bidi="ar-SA"/>
        </w:rPr>
        <w:t xml:space="preserve"> </w:t>
      </w:r>
      <w:r>
        <w:rPr>
          <w:rFonts w:hint="eastAsia" w:ascii="仿宋_GB2312" w:hAnsi="仿宋_GB2312" w:eastAsia="仿宋_GB2312" w:cs="仿宋_GB2312"/>
          <w:snapToGrid w:val="0"/>
          <w:color w:val="auto"/>
          <w:spacing w:val="0"/>
          <w:kern w:val="0"/>
          <w:sz w:val="32"/>
          <w:szCs w:val="32"/>
          <w:highlight w:val="none"/>
          <w:lang w:val="en-US" w:eastAsia="zh-CN" w:bidi="ar-SA"/>
        </w:rPr>
        <w:t>其他。</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楷体_GB2312" w:hAnsi="楷体_GB2312" w:eastAsia="楷体_GB2312" w:cs="楷体_GB2312"/>
          <w:snapToGrid w:val="0"/>
          <w:color w:val="auto"/>
          <w:spacing w:val="0"/>
          <w:kern w:val="0"/>
          <w:sz w:val="32"/>
          <w:szCs w:val="32"/>
          <w:highlight w:val="none"/>
          <w:lang w:val="en-US" w:eastAsia="zh-CN"/>
        </w:rPr>
      </w:pPr>
      <w:r>
        <w:rPr>
          <w:rFonts w:hint="eastAsia" w:ascii="楷体_GB2312" w:hAnsi="楷体_GB2312" w:eastAsia="楷体_GB2312" w:cs="楷体_GB2312"/>
          <w:snapToGrid w:val="0"/>
          <w:color w:val="auto"/>
          <w:spacing w:val="0"/>
          <w:kern w:val="0"/>
          <w:sz w:val="32"/>
          <w:szCs w:val="32"/>
          <w:highlight w:val="none"/>
          <w:lang w:val="en-US" w:eastAsia="zh-CN"/>
        </w:rPr>
        <w:t>（二）结算等级</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72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rPr>
      </w:pPr>
      <w:r>
        <w:rPr>
          <w:rFonts w:hint="eastAsia" w:ascii="仿宋" w:hAnsi="仿宋" w:eastAsia="仿宋" w:cs="仿宋"/>
          <w:snapToGrid w:val="0"/>
          <w:color w:val="auto"/>
          <w:spacing w:val="0"/>
          <w:kern w:val="0"/>
          <w:sz w:val="36"/>
          <w:szCs w:val="36"/>
          <w:highlight w:val="none"/>
          <w:lang w:val="en-US" w:eastAsia="zh-CN"/>
        </w:rPr>
        <w:sym w:font="Wingdings 2" w:char="00A3"/>
      </w:r>
      <w:r>
        <w:rPr>
          <w:rFonts w:hint="eastAsia" w:ascii="仿宋_GB2312" w:hAnsi="仿宋_GB2312" w:eastAsia="仿宋_GB2312" w:cs="仿宋_GB2312"/>
          <w:snapToGrid w:val="0"/>
          <w:color w:val="auto"/>
          <w:spacing w:val="0"/>
          <w:kern w:val="0"/>
          <w:sz w:val="32"/>
          <w:szCs w:val="32"/>
          <w:highlight w:val="none"/>
          <w:lang w:val="en-US" w:eastAsia="zh-CN"/>
        </w:rPr>
        <w:t>三级</w:t>
      </w:r>
      <w:r>
        <w:rPr>
          <w:rFonts w:hint="eastAsia" w:ascii="仿宋" w:hAnsi="仿宋" w:eastAsia="仿宋" w:cs="仿宋"/>
          <w:snapToGrid w:val="0"/>
          <w:color w:val="auto"/>
          <w:spacing w:val="0"/>
          <w:kern w:val="0"/>
          <w:sz w:val="36"/>
          <w:szCs w:val="36"/>
          <w:highlight w:val="none"/>
          <w:lang w:val="en-US" w:eastAsia="zh-CN"/>
        </w:rPr>
        <w:t>、</w:t>
      </w:r>
      <w:r>
        <w:rPr>
          <w:rFonts w:hint="eastAsia" w:ascii="仿宋" w:hAnsi="仿宋" w:eastAsia="仿宋" w:cs="仿宋"/>
          <w:snapToGrid w:val="0"/>
          <w:color w:val="auto"/>
          <w:spacing w:val="0"/>
          <w:kern w:val="0"/>
          <w:sz w:val="36"/>
          <w:szCs w:val="36"/>
          <w:highlight w:val="none"/>
          <w:lang w:val="en-US" w:eastAsia="zh-CN"/>
        </w:rPr>
        <w:sym w:font="Wingdings 2" w:char="00A3"/>
      </w:r>
      <w:r>
        <w:rPr>
          <w:rFonts w:hint="eastAsia" w:ascii="仿宋_GB2312" w:hAnsi="仿宋_GB2312" w:eastAsia="仿宋_GB2312" w:cs="仿宋_GB2312"/>
          <w:snapToGrid w:val="0"/>
          <w:color w:val="auto"/>
          <w:spacing w:val="0"/>
          <w:kern w:val="0"/>
          <w:sz w:val="32"/>
          <w:szCs w:val="32"/>
          <w:highlight w:val="none"/>
          <w:lang w:val="en-US" w:eastAsia="zh-CN"/>
        </w:rPr>
        <w:t>二级、</w:t>
      </w:r>
      <w:r>
        <w:rPr>
          <w:rFonts w:hint="eastAsia" w:ascii="仿宋" w:hAnsi="仿宋" w:eastAsia="仿宋" w:cs="仿宋"/>
          <w:snapToGrid w:val="0"/>
          <w:color w:val="auto"/>
          <w:spacing w:val="0"/>
          <w:kern w:val="0"/>
          <w:sz w:val="36"/>
          <w:szCs w:val="36"/>
          <w:highlight w:val="none"/>
          <w:lang w:val="en-US" w:eastAsia="zh-CN"/>
        </w:rPr>
        <w:sym w:font="Wingdings 2" w:char="00A3"/>
      </w:r>
      <w:r>
        <w:rPr>
          <w:rFonts w:hint="eastAsia" w:ascii="仿宋_GB2312" w:hAnsi="仿宋_GB2312" w:eastAsia="仿宋_GB2312" w:cs="仿宋_GB2312"/>
          <w:snapToGrid w:val="0"/>
          <w:color w:val="auto"/>
          <w:spacing w:val="0"/>
          <w:kern w:val="0"/>
          <w:sz w:val="32"/>
          <w:szCs w:val="32"/>
          <w:highlight w:val="none"/>
          <w:lang w:val="en-US" w:eastAsia="zh-CN"/>
        </w:rPr>
        <w:t>一级、</w:t>
      </w:r>
      <w:r>
        <w:rPr>
          <w:rFonts w:hint="eastAsia" w:ascii="仿宋" w:hAnsi="仿宋" w:eastAsia="仿宋" w:cs="仿宋"/>
          <w:snapToGrid w:val="0"/>
          <w:color w:val="auto"/>
          <w:spacing w:val="0"/>
          <w:kern w:val="0"/>
          <w:sz w:val="36"/>
          <w:szCs w:val="36"/>
          <w:highlight w:val="none"/>
          <w:lang w:val="en-US" w:eastAsia="zh-CN"/>
        </w:rPr>
        <w:sym w:font="Wingdings 2" w:char="00A3"/>
      </w:r>
      <w:r>
        <w:rPr>
          <w:rFonts w:hint="eastAsia" w:ascii="仿宋_GB2312" w:hAnsi="仿宋_GB2312" w:eastAsia="仿宋_GB2312" w:cs="仿宋_GB2312"/>
          <w:snapToGrid w:val="0"/>
          <w:color w:val="auto"/>
          <w:spacing w:val="0"/>
          <w:kern w:val="0"/>
          <w:sz w:val="32"/>
          <w:szCs w:val="32"/>
          <w:highlight w:val="none"/>
          <w:lang w:val="en-US" w:eastAsia="zh-CN"/>
        </w:rPr>
        <w:t>未定级</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lang w:val="en-US" w:eastAsia="zh-CN"/>
        </w:rPr>
        <w:t>甲乙双方约定，乙方医保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val="en-US" w:eastAsia="zh-CN"/>
        </w:rPr>
        <w:t>结算等级原则上与乙方卫生主管部门批准的等级保持一致，若乙方为未定级的医疗机构，原则上按照一级结算。</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lang w:val="en-US" w:eastAsia="zh-CN"/>
        </w:rPr>
        <w:t>乙方因开展科研或未经临床推广应用的诊疗方案所发生的检查、药品、化验等费用，基金不予支付。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snapToGrid w:val="0"/>
          <w:color w:val="auto"/>
          <w:spacing w:val="0"/>
          <w:kern w:val="0"/>
          <w:sz w:val="32"/>
          <w:szCs w:val="32"/>
          <w:highlight w:val="none"/>
          <w:lang w:eastAsia="en-US"/>
        </w:rPr>
        <w:t>第四条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甲方权利</w:t>
      </w:r>
      <w:r>
        <w:rPr>
          <w:rFonts w:hint="default"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甲方享有以下权利：</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val="en-US" w:eastAsia="zh-CN"/>
        </w:rPr>
        <w:t>（一）</w:t>
      </w:r>
      <w:r>
        <w:rPr>
          <w:rFonts w:hint="eastAsia" w:ascii="仿宋_GB2312" w:hAnsi="仿宋_GB2312" w:eastAsia="仿宋_GB2312" w:cs="仿宋_GB2312"/>
          <w:snapToGrid w:val="0"/>
          <w:color w:val="auto"/>
          <w:spacing w:val="0"/>
          <w:kern w:val="0"/>
          <w:sz w:val="32"/>
          <w:szCs w:val="32"/>
          <w:highlight w:val="none"/>
          <w:lang w:eastAsia="en-US"/>
        </w:rPr>
        <w:t>掌握乙方的医保、工伤基金使用情况，从乙方获得医保、工伤</w:t>
      </w:r>
      <w:r>
        <w:rPr>
          <w:rFonts w:hint="eastAsia" w:ascii="仿宋_GB2312" w:hAnsi="仿宋_GB2312" w:eastAsia="仿宋_GB2312" w:cs="仿宋_GB2312"/>
          <w:snapToGrid w:val="0"/>
          <w:color w:val="auto"/>
          <w:spacing w:val="0"/>
          <w:kern w:val="0"/>
          <w:sz w:val="32"/>
          <w:szCs w:val="32"/>
          <w:highlight w:val="none"/>
          <w:lang w:eastAsia="zh-CN"/>
        </w:rPr>
        <w:t>保险</w:t>
      </w:r>
      <w:r>
        <w:rPr>
          <w:rFonts w:hint="eastAsia" w:ascii="仿宋_GB2312" w:hAnsi="仿宋_GB2312" w:eastAsia="仿宋_GB2312" w:cs="仿宋_GB2312"/>
          <w:snapToGrid w:val="0"/>
          <w:color w:val="auto"/>
          <w:spacing w:val="0"/>
          <w:kern w:val="0"/>
          <w:sz w:val="32"/>
          <w:szCs w:val="32"/>
          <w:highlight w:val="none"/>
          <w:lang w:eastAsia="en-US"/>
        </w:rPr>
        <w:t>医疗费用审核结算、会计核算、医保绩效考核、协议履行核查所需的信息数据等资料，以及药品、医用耗材、医疗服务项目等数量</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eastAsia="en-US"/>
        </w:rPr>
        <w:t>价格</w:t>
      </w:r>
      <w:r>
        <w:rPr>
          <w:rFonts w:hint="eastAsia" w:ascii="仿宋_GB2312" w:hAnsi="仿宋_GB2312" w:eastAsia="仿宋_GB2312" w:cs="仿宋_GB2312"/>
          <w:snapToGrid w:val="0"/>
          <w:color w:val="auto"/>
          <w:spacing w:val="0"/>
          <w:kern w:val="0"/>
          <w:sz w:val="32"/>
          <w:szCs w:val="32"/>
          <w:highlight w:val="none"/>
          <w:lang w:val="en-US" w:eastAsia="zh-CN"/>
        </w:rPr>
        <w:t>及追溯码等</w:t>
      </w:r>
      <w:r>
        <w:rPr>
          <w:rFonts w:hint="eastAsia" w:ascii="仿宋_GB2312" w:hAnsi="仿宋_GB2312" w:eastAsia="仿宋_GB2312" w:cs="仿宋_GB2312"/>
          <w:snapToGrid w:val="0"/>
          <w:color w:val="auto"/>
          <w:spacing w:val="0"/>
          <w:kern w:val="0"/>
          <w:sz w:val="32"/>
          <w:szCs w:val="32"/>
          <w:highlight w:val="none"/>
          <w:lang w:eastAsia="en-US"/>
        </w:rPr>
        <w:t>数据资料；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val="en-US" w:eastAsia="zh-CN"/>
        </w:rPr>
        <w:t>（二）</w:t>
      </w:r>
      <w:r>
        <w:rPr>
          <w:rFonts w:hint="eastAsia" w:ascii="仿宋_GB2312" w:hAnsi="仿宋_GB2312" w:eastAsia="仿宋_GB2312" w:cs="仿宋_GB2312"/>
          <w:snapToGrid w:val="0"/>
          <w:color w:val="auto"/>
          <w:spacing w:val="0"/>
          <w:kern w:val="0"/>
          <w:sz w:val="32"/>
          <w:szCs w:val="32"/>
          <w:highlight w:val="none"/>
          <w:lang w:eastAsia="en-US"/>
        </w:rPr>
        <w:t>接入乙方医院信息系统(包括但不限于</w:t>
      </w:r>
      <w:r>
        <w:rPr>
          <w:rFonts w:hint="eastAsia" w:ascii="仿宋_GB2312" w:hAnsi="仿宋_GB2312" w:eastAsia="仿宋_GB2312" w:cs="仿宋_GB2312"/>
          <w:snapToGrid w:val="0"/>
          <w:color w:val="auto"/>
          <w:kern w:val="0"/>
          <w:sz w:val="32"/>
          <w:szCs w:val="32"/>
          <w:highlight w:val="none"/>
          <w:lang w:eastAsia="en-US"/>
        </w:rPr>
        <w:t>HIS</w:t>
      </w:r>
      <w:r>
        <w:rPr>
          <w:rFonts w:hint="eastAsia" w:ascii="仿宋_GB2312" w:hAnsi="仿宋_GB2312" w:eastAsia="仿宋_GB2312" w:cs="仿宋_GB2312"/>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eastAsia="en-US"/>
        </w:rPr>
        <w:t>PACS</w:t>
      </w:r>
      <w:r>
        <w:rPr>
          <w:rFonts w:hint="eastAsia" w:ascii="仿宋_GB2312" w:hAnsi="仿宋_GB2312" w:eastAsia="仿宋_GB2312" w:cs="仿宋_GB2312"/>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eastAsia="en-US"/>
        </w:rPr>
        <w:t>LIS</w:t>
      </w:r>
      <w:r>
        <w:rPr>
          <w:rFonts w:hint="eastAsia" w:ascii="仿宋_GB2312" w:hAnsi="仿宋_GB2312" w:eastAsia="仿宋_GB2312" w:cs="仿宋_GB2312"/>
          <w:snapToGrid w:val="0"/>
          <w:color w:val="auto"/>
          <w:spacing w:val="0"/>
          <w:kern w:val="0"/>
          <w:sz w:val="32"/>
          <w:szCs w:val="32"/>
          <w:highlight w:val="none"/>
          <w:lang w:eastAsia="en-US"/>
        </w:rPr>
        <w:t>系统，下同)</w:t>
      </w:r>
      <w:r>
        <w:rPr>
          <w:rFonts w:hint="eastAsia" w:ascii="仿宋_GB2312" w:hAnsi="仿宋_GB2312" w:eastAsia="仿宋_GB2312" w:cs="仿宋_GB2312"/>
          <w:snapToGrid w:val="0"/>
          <w:color w:val="auto"/>
          <w:spacing w:val="0"/>
          <w:kern w:val="0"/>
          <w:sz w:val="32"/>
          <w:szCs w:val="32"/>
          <w:highlight w:val="none"/>
          <w:lang w:val="en-US" w:eastAsia="zh-CN"/>
        </w:rPr>
        <w:t>并</w:t>
      </w:r>
      <w:r>
        <w:rPr>
          <w:rFonts w:hint="eastAsia" w:ascii="仿宋_GB2312" w:hAnsi="仿宋_GB2312" w:eastAsia="仿宋_GB2312" w:cs="仿宋_GB2312"/>
          <w:snapToGrid w:val="0"/>
          <w:color w:val="auto"/>
          <w:spacing w:val="0"/>
          <w:kern w:val="0"/>
          <w:sz w:val="32"/>
          <w:szCs w:val="32"/>
          <w:highlight w:val="none"/>
          <w:lang w:eastAsia="en-US"/>
        </w:rPr>
        <w:t>查询</w:t>
      </w:r>
      <w:r>
        <w:rPr>
          <w:rFonts w:hint="eastAsia" w:ascii="仿宋_GB2312" w:hAnsi="仿宋_GB2312" w:eastAsia="仿宋_GB2312" w:cs="仿宋_GB2312"/>
          <w:snapToGrid w:val="0"/>
          <w:color w:val="auto"/>
          <w:spacing w:val="0"/>
          <w:kern w:val="0"/>
          <w:sz w:val="32"/>
          <w:szCs w:val="32"/>
          <w:highlight w:val="none"/>
          <w:lang w:val="en-US" w:eastAsia="zh-CN"/>
        </w:rPr>
        <w:t>药品、医用耗材“进销存”</w:t>
      </w:r>
      <w:r>
        <w:rPr>
          <w:rFonts w:hint="eastAsia" w:ascii="仿宋_GB2312" w:hAnsi="仿宋_GB2312" w:eastAsia="仿宋_GB2312" w:cs="仿宋_GB2312"/>
          <w:snapToGrid w:val="0"/>
          <w:color w:val="auto"/>
          <w:spacing w:val="0"/>
          <w:kern w:val="0"/>
          <w:sz w:val="32"/>
          <w:szCs w:val="32"/>
          <w:highlight w:val="none"/>
          <w:lang w:eastAsia="en-US"/>
        </w:rPr>
        <w:t>原始信息</w:t>
      </w:r>
      <w:r>
        <w:rPr>
          <w:rFonts w:hint="eastAsia" w:ascii="仿宋_GB2312" w:hAnsi="仿宋_GB2312" w:eastAsia="仿宋_GB2312" w:cs="仿宋_GB2312"/>
          <w:snapToGrid w:val="0"/>
          <w:color w:val="auto"/>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val="en-US" w:eastAsia="zh-CN"/>
        </w:rPr>
        <w:t>（三）</w:t>
      </w:r>
      <w:r>
        <w:rPr>
          <w:rFonts w:hint="eastAsia" w:ascii="仿宋_GB2312" w:hAnsi="仿宋_GB2312" w:eastAsia="仿宋_GB2312" w:cs="仿宋_GB2312"/>
          <w:snapToGrid w:val="0"/>
          <w:color w:val="auto"/>
          <w:spacing w:val="0"/>
          <w:kern w:val="0"/>
          <w:sz w:val="32"/>
          <w:szCs w:val="32"/>
          <w:highlight w:val="none"/>
          <w:lang w:eastAsia="en-US"/>
        </w:rPr>
        <w:t>通过远程获取或查询端口开放的形式，获取审核和监管所需数据及支持数据的记录凭证并保护患者隐私，包括但不限于影像记录、扫码记录，以及银行卡、微信、支付宝及其他非现金方式收款记录等；</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val="en-US" w:eastAsia="zh-CN"/>
        </w:rPr>
        <w:t>（四）</w:t>
      </w:r>
      <w:r>
        <w:rPr>
          <w:rFonts w:hint="eastAsia" w:ascii="仿宋_GB2312" w:hAnsi="仿宋_GB2312" w:eastAsia="仿宋_GB2312" w:cs="仿宋_GB2312"/>
          <w:snapToGrid w:val="0"/>
          <w:color w:val="auto"/>
          <w:kern w:val="0"/>
          <w:sz w:val="32"/>
          <w:szCs w:val="32"/>
          <w:highlight w:val="none"/>
        </w:rPr>
        <w:t>对乙方定期、不定期开展协议履行核查；</w:t>
      </w:r>
      <w:r>
        <w:rPr>
          <w:rFonts w:hint="eastAsia" w:ascii="仿宋_GB2312" w:hAnsi="仿宋_GB2312" w:eastAsia="仿宋_GB2312" w:cs="仿宋_GB2312"/>
          <w:snapToGrid w:val="0"/>
          <w:color w:val="auto"/>
          <w:spacing w:val="0"/>
          <w:kern w:val="0"/>
          <w:sz w:val="32"/>
          <w:szCs w:val="32"/>
          <w:highlight w:val="none"/>
          <w:lang w:eastAsia="zh-CN"/>
        </w:rPr>
        <w:t>对乙方履行本协议等情况进行绩效考核；</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val="en-US" w:eastAsia="zh-CN"/>
        </w:rPr>
        <w:t>（五）</w:t>
      </w:r>
      <w:r>
        <w:rPr>
          <w:rFonts w:hint="eastAsia" w:ascii="仿宋_GB2312" w:hAnsi="仿宋_GB2312" w:eastAsia="仿宋_GB2312" w:cs="仿宋_GB2312"/>
          <w:snapToGrid w:val="0"/>
          <w:color w:val="auto"/>
          <w:spacing w:val="0"/>
          <w:kern w:val="0"/>
          <w:sz w:val="32"/>
          <w:szCs w:val="32"/>
          <w:highlight w:val="none"/>
          <w:lang w:eastAsia="zh-CN"/>
        </w:rPr>
        <w:t>调查、处理乙方违约行为，发现乙方存在违反本协议约定情形的，根据协议约定采取相应处理；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val="en-US" w:eastAsia="zh-CN"/>
        </w:rPr>
        <w:t>（六）</w:t>
      </w:r>
      <w:r>
        <w:rPr>
          <w:rFonts w:hint="eastAsia" w:ascii="仿宋_GB2312" w:hAnsi="仿宋_GB2312" w:eastAsia="仿宋_GB2312" w:cs="仿宋_GB2312"/>
          <w:snapToGrid w:val="0"/>
          <w:color w:val="auto"/>
          <w:spacing w:val="0"/>
          <w:kern w:val="0"/>
          <w:sz w:val="32"/>
          <w:szCs w:val="32"/>
          <w:highlight w:val="none"/>
          <w:lang w:eastAsia="zh-CN"/>
        </w:rPr>
        <w:t>向卫生健康、中医药、市场监管</w:t>
      </w:r>
      <w:r>
        <w:rPr>
          <w:rFonts w:hint="eastAsia" w:ascii="仿宋_GB2312" w:hAnsi="仿宋_GB2312" w:eastAsia="仿宋_GB2312" w:cs="仿宋_GB2312"/>
          <w:snapToGrid w:val="0"/>
          <w:color w:val="auto"/>
          <w:kern w:val="0"/>
          <w:sz w:val="32"/>
          <w:szCs w:val="32"/>
          <w:highlight w:val="none"/>
        </w:rPr>
        <w:t>、公安、财政、税务、金融监管、商务</w:t>
      </w:r>
      <w:r>
        <w:rPr>
          <w:rFonts w:hint="eastAsia" w:ascii="仿宋_GB2312" w:hAnsi="仿宋_GB2312" w:eastAsia="仿宋_GB2312" w:cs="仿宋_GB2312"/>
          <w:snapToGrid w:val="0"/>
          <w:color w:val="auto"/>
          <w:spacing w:val="0"/>
          <w:kern w:val="0"/>
          <w:sz w:val="32"/>
          <w:szCs w:val="32"/>
          <w:highlight w:val="none"/>
          <w:lang w:eastAsia="zh-CN"/>
        </w:rPr>
        <w:t>等部门以及社会公众，通报或公开乙方或乙方内部科室、人员履行本协议、医保支付资格管理记分、违法违规违约行为处理以及医保绩效考核、信用评价等相关情况，并要求乙方以甲方认可的方式公开相关考核结果；</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val="en-US" w:eastAsia="zh-CN"/>
        </w:rPr>
        <w:t>（七）</w:t>
      </w:r>
      <w:r>
        <w:rPr>
          <w:rFonts w:hint="eastAsia" w:ascii="仿宋_GB2312" w:hAnsi="仿宋_GB2312" w:eastAsia="仿宋_GB2312" w:cs="仿宋_GB2312"/>
          <w:snapToGrid w:val="0"/>
          <w:color w:val="auto"/>
          <w:spacing w:val="0"/>
          <w:kern w:val="0"/>
          <w:sz w:val="32"/>
          <w:szCs w:val="32"/>
          <w:highlight w:val="none"/>
          <w:lang w:eastAsia="zh-CN"/>
        </w:rPr>
        <w:t>通过多种方式获取与医药费用有关的行政处罚信息；</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val="en-US" w:eastAsia="zh-CN"/>
        </w:rPr>
        <w:t>（八）</w:t>
      </w:r>
      <w:r>
        <w:rPr>
          <w:rFonts w:hint="eastAsia" w:ascii="仿宋_GB2312" w:hAnsi="仿宋_GB2312" w:eastAsia="仿宋_GB2312" w:cs="仿宋_GB2312"/>
          <w:snapToGrid w:val="0"/>
          <w:color w:val="auto"/>
          <w:spacing w:val="0"/>
          <w:kern w:val="0"/>
          <w:sz w:val="32"/>
          <w:szCs w:val="32"/>
          <w:highlight w:val="none"/>
          <w:lang w:eastAsia="zh-CN"/>
        </w:rPr>
        <w:t>对</w:t>
      </w:r>
      <w:r>
        <w:rPr>
          <w:rFonts w:hint="eastAsia" w:ascii="仿宋_GB2312" w:hAnsi="仿宋_GB2312" w:eastAsia="仿宋_GB2312" w:cs="仿宋_GB2312"/>
          <w:snapToGrid w:val="0"/>
          <w:color w:val="auto"/>
          <w:kern w:val="0"/>
          <w:sz w:val="32"/>
          <w:szCs w:val="32"/>
          <w:highlight w:val="none"/>
        </w:rPr>
        <w:t>乙方为参保人提供使用医保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kern w:val="0"/>
          <w:sz w:val="32"/>
          <w:szCs w:val="32"/>
          <w:highlight w:val="none"/>
        </w:rPr>
        <w:t>基金结算的</w:t>
      </w:r>
      <w:r>
        <w:rPr>
          <w:rFonts w:hint="eastAsia" w:ascii="仿宋_GB2312" w:hAnsi="仿宋_GB2312" w:eastAsia="仿宋_GB2312" w:cs="仿宋_GB2312"/>
          <w:snapToGrid w:val="0"/>
          <w:color w:val="auto"/>
          <w:kern w:val="0"/>
          <w:sz w:val="32"/>
          <w:szCs w:val="32"/>
          <w:highlight w:val="none"/>
          <w:lang w:val="en-US" w:eastAsia="zh-CN"/>
        </w:rPr>
        <w:t>医疗类</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val="en-US" w:eastAsia="zh-CN"/>
        </w:rPr>
        <w:t>药学类、护理类、技术类等卫生专业技术人员，以及负责医疗费用和医保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kern w:val="0"/>
          <w:sz w:val="32"/>
          <w:szCs w:val="32"/>
          <w:highlight w:val="none"/>
          <w:lang w:val="en-US" w:eastAsia="zh-CN"/>
        </w:rPr>
        <w:t>结算审核的相关工作人员</w:t>
      </w:r>
      <w:r>
        <w:rPr>
          <w:rFonts w:hint="eastAsia" w:ascii="仿宋_GB2312" w:hAnsi="仿宋_GB2312" w:eastAsia="仿宋_GB2312" w:cs="仿宋_GB2312"/>
          <w:snapToGrid w:val="0"/>
          <w:color w:val="auto"/>
          <w:spacing w:val="0"/>
          <w:kern w:val="0"/>
          <w:sz w:val="32"/>
          <w:szCs w:val="32"/>
          <w:highlight w:val="none"/>
          <w:lang w:eastAsia="zh-CN"/>
        </w:rPr>
        <w:t>开展医保支付资格管理；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（九）要求乙方按期完成需要乙方配合的医保改革任务；</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lang w:eastAsia="zh-CN"/>
        </w:rPr>
        <w:t>（十）法律法规和规章规定的其他</w:t>
      </w:r>
      <w:r>
        <w:rPr>
          <w:rFonts w:hint="eastAsia" w:ascii="仿宋_GB2312" w:hAnsi="仿宋_GB2312" w:eastAsia="仿宋_GB2312" w:cs="仿宋_GB2312"/>
          <w:snapToGrid w:val="0"/>
          <w:color w:val="auto"/>
          <w:spacing w:val="0"/>
          <w:kern w:val="0"/>
          <w:sz w:val="32"/>
          <w:szCs w:val="32"/>
          <w:highlight w:val="none"/>
          <w:lang w:val="en-US" w:eastAsia="zh-CN"/>
        </w:rPr>
        <w:t>权利。</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default" w:ascii="黑体" w:hAnsi="黑体" w:eastAsia="黑体" w:cs="黑体"/>
          <w:b w:val="0"/>
          <w:bCs w:val="0"/>
          <w:snapToGrid w:val="0"/>
          <w:color w:val="auto"/>
          <w:spacing w:val="0"/>
          <w:kern w:val="0"/>
          <w:sz w:val="32"/>
          <w:szCs w:val="32"/>
          <w:highlight w:val="none"/>
          <w:lang w:eastAsia="en-US"/>
        </w:rPr>
        <w:t>第五条</w:t>
      </w:r>
      <w:r>
        <w:rPr>
          <w:rFonts w:hint="default" w:ascii="黑体" w:hAnsi="黑体" w:eastAsia="黑体" w:cs="黑体"/>
          <w:b w:val="0"/>
          <w:snapToGrid w:val="0"/>
          <w:color w:val="auto"/>
          <w:spacing w:val="0"/>
          <w:kern w:val="0"/>
          <w:sz w:val="32"/>
          <w:szCs w:val="32"/>
          <w:highlight w:val="none"/>
          <w:lang w:eastAsia="en-US"/>
        </w:rPr>
        <w:t>【</w:t>
      </w:r>
      <w:r>
        <w:rPr>
          <w:rFonts w:hint="default" w:ascii="黑体" w:hAnsi="黑体" w:eastAsia="黑体" w:cs="黑体"/>
          <w:b w:val="0"/>
          <w:snapToGrid w:val="0"/>
          <w:color w:val="auto"/>
          <w:spacing w:val="0"/>
          <w:kern w:val="0"/>
          <w:sz w:val="32"/>
          <w:szCs w:val="32"/>
          <w:highlight w:val="none"/>
          <w:lang w:val="en-US" w:eastAsia="en-US"/>
        </w:rPr>
        <w:t>甲方义务</w:t>
      </w:r>
      <w:r>
        <w:rPr>
          <w:rFonts w:hint="default"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甲方履行以下义务：</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val="en-US" w:eastAsia="zh-CN"/>
        </w:rPr>
        <w:t>（一）</w:t>
      </w:r>
      <w:r>
        <w:rPr>
          <w:rFonts w:hint="eastAsia" w:ascii="仿宋_GB2312" w:hAnsi="仿宋_GB2312" w:eastAsia="仿宋_GB2312" w:cs="仿宋_GB2312"/>
          <w:snapToGrid w:val="0"/>
          <w:color w:val="auto"/>
          <w:spacing w:val="0"/>
          <w:kern w:val="0"/>
          <w:sz w:val="32"/>
          <w:szCs w:val="32"/>
          <w:highlight w:val="none"/>
          <w:lang w:eastAsia="zh-CN"/>
        </w:rPr>
        <w:t>向社会公布签订、中止、终止及解除本协议的定点医疗机构信息，包括名称、地址等；</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val="en-US" w:eastAsia="zh-CN"/>
        </w:rPr>
        <w:t>（二）</w:t>
      </w:r>
      <w:r>
        <w:rPr>
          <w:rFonts w:hint="eastAsia" w:ascii="仿宋_GB2312" w:hAnsi="仿宋_GB2312" w:eastAsia="仿宋_GB2312" w:cs="仿宋_GB2312"/>
          <w:snapToGrid w:val="0"/>
          <w:color w:val="auto"/>
          <w:kern w:val="0"/>
          <w:sz w:val="32"/>
          <w:szCs w:val="32"/>
          <w:highlight w:val="none"/>
          <w:lang w:eastAsia="zh-CN"/>
        </w:rPr>
        <w:t>对乙方申报的医疗费用进行审核；</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（三）按本协议约定及时足额向乙方拨付医保、工伤保险医疗费用；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（四）向乙方提供医保信息平台数据集和接口标准；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（五）对乙方开展医保及工伤保险政策、管理制度、支付政策、操作流程的宣传培训，为乙方提供医疗保障、工伤保险咨询、查询服务；</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（六）在条件允许时，向乙方推送涉及药品、医药耗材和参保人员等医保支付相关的风险提示；</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（七）及时将医保目录管理规定、要求及目录调整结果告知乙方，指导乙方按期实施；</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（八）明确支付方式、支付标准、数据质量、审核结算、协议履行核查、考核评价（包含但不限于涉及医保、工伤保险基金支出的内容）、协商谈判等事项；</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（九）与乙方建立费用支付、审核结算相关的协商机制，对乙方的意见建议及时接收、解答、解释说明；</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（十）对作出的违约处理结果向乙方进行解释说明；</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（十一）遵守个人信息保护和数据安全有关制度，保护乙方商业秘密及涉及乙方诊疗相关的数据信息；</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lang w:eastAsia="zh-CN"/>
        </w:rPr>
        <w:t>（十二）对于新纳入定点的</w:t>
      </w:r>
      <w:r>
        <w:rPr>
          <w:rFonts w:hint="eastAsia" w:ascii="仿宋_GB2312" w:hAnsi="仿宋_GB2312" w:eastAsia="仿宋_GB2312" w:cs="仿宋_GB2312"/>
          <w:snapToGrid w:val="0"/>
          <w:color w:val="auto"/>
          <w:spacing w:val="0"/>
          <w:kern w:val="0"/>
          <w:sz w:val="32"/>
          <w:szCs w:val="32"/>
          <w:highlight w:val="none"/>
          <w:lang w:val="en-US" w:eastAsia="zh-CN"/>
        </w:rPr>
        <w:t>乙方</w:t>
      </w:r>
      <w:r>
        <w:rPr>
          <w:rFonts w:hint="eastAsia" w:ascii="仿宋_GB2312" w:hAnsi="仿宋_GB2312" w:eastAsia="仿宋_GB2312" w:cs="仿宋_GB2312"/>
          <w:snapToGrid w:val="0"/>
          <w:color w:val="auto"/>
          <w:spacing w:val="0"/>
          <w:kern w:val="0"/>
          <w:sz w:val="32"/>
          <w:szCs w:val="32"/>
          <w:highlight w:val="none"/>
          <w:lang w:eastAsia="zh-CN"/>
        </w:rPr>
        <w:t>，设立</w:t>
      </w:r>
      <w:r>
        <w:rPr>
          <w:rFonts w:hint="eastAsia" w:ascii="仿宋_GB2312" w:hAnsi="仿宋_GB2312" w:eastAsia="仿宋_GB2312" w:cs="仿宋_GB2312"/>
          <w:snapToGrid w:val="0"/>
          <w:color w:val="auto"/>
          <w:spacing w:val="0"/>
          <w:kern w:val="0"/>
          <w:sz w:val="32"/>
          <w:szCs w:val="32"/>
          <w:highlight w:val="none"/>
          <w:lang w:val="en-US" w:eastAsia="zh-CN"/>
        </w:rPr>
        <w:t>6个月政策辅导期，通过政策培训、上门宣讲、信息共享、检查提醒等方式，有针对性指导医疗机构落实协议管理要求；</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（十三）</w:t>
      </w:r>
      <w:r>
        <w:rPr>
          <w:rFonts w:hint="eastAsia" w:ascii="仿宋_GB2312" w:hAnsi="仿宋_GB2312" w:eastAsia="仿宋_GB2312" w:cs="仿宋_GB2312"/>
          <w:snapToGrid w:val="0"/>
          <w:color w:val="auto"/>
          <w:kern w:val="0"/>
          <w:sz w:val="32"/>
          <w:szCs w:val="32"/>
          <w:highlight w:val="none"/>
          <w:lang w:eastAsia="zh-CN"/>
        </w:rPr>
        <w:t>法律法规和规章规定的其他义务。</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default" w:ascii="黑体" w:hAnsi="黑体" w:eastAsia="黑体" w:cs="黑体"/>
          <w:b w:val="0"/>
          <w:bCs w:val="0"/>
          <w:snapToGrid w:val="0"/>
          <w:color w:val="auto"/>
          <w:spacing w:val="0"/>
          <w:kern w:val="0"/>
          <w:sz w:val="32"/>
          <w:szCs w:val="32"/>
          <w:highlight w:val="none"/>
          <w:lang w:eastAsia="en-US"/>
        </w:rPr>
        <w:t>第六条</w:t>
      </w:r>
      <w:r>
        <w:rPr>
          <w:rFonts w:hint="default" w:ascii="黑体" w:hAnsi="黑体" w:eastAsia="黑体" w:cs="黑体"/>
          <w:b w:val="0"/>
          <w:snapToGrid w:val="0"/>
          <w:color w:val="auto"/>
          <w:spacing w:val="0"/>
          <w:kern w:val="0"/>
          <w:sz w:val="32"/>
          <w:szCs w:val="32"/>
          <w:highlight w:val="none"/>
          <w:lang w:eastAsia="en-US"/>
        </w:rPr>
        <w:t>【</w:t>
      </w:r>
      <w:r>
        <w:rPr>
          <w:rFonts w:hint="default" w:ascii="黑体" w:hAnsi="黑体" w:eastAsia="黑体" w:cs="黑体"/>
          <w:b w:val="0"/>
          <w:snapToGrid w:val="0"/>
          <w:color w:val="auto"/>
          <w:spacing w:val="0"/>
          <w:kern w:val="0"/>
          <w:sz w:val="32"/>
          <w:szCs w:val="32"/>
          <w:highlight w:val="none"/>
          <w:lang w:val="en-US" w:eastAsia="en-US"/>
        </w:rPr>
        <w:t>乙方权利</w:t>
      </w:r>
      <w:r>
        <w:rPr>
          <w:rFonts w:hint="default"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en-US"/>
        </w:rPr>
        <w:t xml:space="preserve"> 乙方享有以下权利：</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（一）</w:t>
      </w:r>
      <w:r>
        <w:rPr>
          <w:rFonts w:hint="eastAsia" w:ascii="仿宋_GB2312" w:hAnsi="仿宋_GB2312" w:eastAsia="仿宋_GB2312" w:cs="仿宋_GB2312"/>
          <w:snapToGrid w:val="0"/>
          <w:color w:val="auto"/>
          <w:spacing w:val="0"/>
          <w:kern w:val="0"/>
          <w:sz w:val="32"/>
          <w:szCs w:val="32"/>
          <w:highlight w:val="none"/>
          <w:lang w:eastAsia="en-US"/>
        </w:rPr>
        <w:t>按协议约定及时足额获得应由甲方支付的医保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费用；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（二）</w:t>
      </w:r>
      <w:r>
        <w:rPr>
          <w:rFonts w:hint="eastAsia" w:ascii="仿宋_GB2312" w:hAnsi="仿宋_GB2312" w:eastAsia="仿宋_GB2312" w:cs="仿宋_GB2312"/>
          <w:snapToGrid w:val="0"/>
          <w:color w:val="auto"/>
          <w:spacing w:val="0"/>
          <w:kern w:val="0"/>
          <w:sz w:val="32"/>
          <w:szCs w:val="32"/>
          <w:highlight w:val="none"/>
          <w:lang w:eastAsia="en-US"/>
        </w:rPr>
        <w:t>对支付管理政策提出意见建议，对争议费用与甲方沟通、申辩，或提请同级医疗保障或工伤保险行政部门协调处理；要求甲方对不予支付的费用进行解释说明；对符合条件的病例提出特例单议；对医保支付方式核心要素等提出意见建议；</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（三）</w:t>
      </w:r>
      <w:r>
        <w:rPr>
          <w:rFonts w:hint="eastAsia" w:ascii="仿宋_GB2312" w:hAnsi="仿宋_GB2312" w:eastAsia="仿宋_GB2312" w:cs="仿宋_GB2312"/>
          <w:snapToGrid w:val="0"/>
          <w:color w:val="auto"/>
          <w:spacing w:val="0"/>
          <w:kern w:val="0"/>
          <w:sz w:val="32"/>
          <w:szCs w:val="32"/>
          <w:highlight w:val="none"/>
          <w:lang w:eastAsia="en-US"/>
        </w:rPr>
        <w:t>要求甲方对作出的违约处理结果进行解释说明，对甲方的核查及处理进行陈述、申辩；对处理结果仍有异议的，有权向医疗保障或工伤保险行政部门提请协调处理；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（四）</w:t>
      </w:r>
      <w:r>
        <w:rPr>
          <w:rFonts w:hint="eastAsia" w:ascii="仿宋_GB2312" w:hAnsi="仿宋_GB2312" w:eastAsia="仿宋_GB2312" w:cs="仿宋_GB2312"/>
          <w:snapToGrid w:val="0"/>
          <w:color w:val="auto"/>
          <w:spacing w:val="0"/>
          <w:kern w:val="0"/>
          <w:sz w:val="32"/>
          <w:szCs w:val="32"/>
          <w:highlight w:val="none"/>
          <w:lang w:eastAsia="en-US"/>
        </w:rPr>
        <w:t>对甲方履约情况进行监督，举报或投诉甲方及工作人员的违法违纪违规行为；</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（五）</w:t>
      </w:r>
      <w:r>
        <w:rPr>
          <w:rFonts w:hint="eastAsia" w:ascii="仿宋_GB2312" w:hAnsi="仿宋_GB2312" w:eastAsia="仿宋_GB2312" w:cs="仿宋_GB2312"/>
          <w:snapToGrid w:val="0"/>
          <w:color w:val="auto"/>
          <w:spacing w:val="0"/>
          <w:kern w:val="0"/>
          <w:sz w:val="32"/>
          <w:szCs w:val="32"/>
          <w:highlight w:val="none"/>
          <w:lang w:eastAsia="en-US"/>
        </w:rPr>
        <w:t>甲方违反</w:t>
      </w:r>
      <w:r>
        <w:rPr>
          <w:rFonts w:hint="eastAsia" w:ascii="仿宋_GB2312" w:hAnsi="仿宋_GB2312" w:eastAsia="仿宋_GB2312" w:cs="仿宋_GB2312"/>
          <w:snapToGrid w:val="0"/>
          <w:color w:val="auto"/>
          <w:spacing w:val="0"/>
          <w:kern w:val="0"/>
          <w:sz w:val="32"/>
          <w:szCs w:val="32"/>
          <w:highlight w:val="none"/>
          <w:lang w:eastAsia="zh-CN"/>
        </w:rPr>
        <w:t>本</w:t>
      </w:r>
      <w:r>
        <w:rPr>
          <w:rFonts w:hint="eastAsia" w:ascii="仿宋_GB2312" w:hAnsi="仿宋_GB2312" w:eastAsia="仿宋_GB2312" w:cs="仿宋_GB2312"/>
          <w:snapToGrid w:val="0"/>
          <w:color w:val="auto"/>
          <w:spacing w:val="0"/>
          <w:kern w:val="0"/>
          <w:sz w:val="32"/>
          <w:szCs w:val="32"/>
          <w:highlight w:val="none"/>
          <w:lang w:eastAsia="en-US"/>
        </w:rPr>
        <w:t>协议的，有权要求甲方纠正或者提请医疗保障或工伤保险行政部门协调处理、督促整改，也可以依法申请行政复议或者提起行政诉讼；</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（六）</w:t>
      </w:r>
      <w:r>
        <w:rPr>
          <w:rFonts w:hint="eastAsia" w:ascii="仿宋_GB2312" w:hAnsi="仿宋_GB2312" w:eastAsia="仿宋_GB2312" w:cs="仿宋_GB2312"/>
          <w:snapToGrid w:val="0"/>
          <w:color w:val="auto"/>
          <w:spacing w:val="0"/>
          <w:kern w:val="0"/>
          <w:sz w:val="32"/>
          <w:szCs w:val="32"/>
          <w:highlight w:val="none"/>
          <w:lang w:eastAsia="en-US"/>
        </w:rPr>
        <w:t>及时获知医保、工伤保险政策、费用结算流程等调整情况；</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（七）</w:t>
      </w:r>
      <w:r>
        <w:rPr>
          <w:rFonts w:hint="eastAsia" w:ascii="仿宋_GB2312" w:hAnsi="仿宋_GB2312" w:eastAsia="仿宋_GB2312" w:cs="仿宋_GB2312"/>
          <w:snapToGrid w:val="0"/>
          <w:color w:val="auto"/>
          <w:spacing w:val="0"/>
          <w:kern w:val="0"/>
          <w:sz w:val="32"/>
          <w:szCs w:val="32"/>
          <w:highlight w:val="none"/>
          <w:lang w:eastAsia="en-US"/>
        </w:rPr>
        <w:t>要求甲方提供医保信息平台数据集和接口标准；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（八）</w:t>
      </w:r>
      <w:r>
        <w:rPr>
          <w:rFonts w:hint="eastAsia" w:ascii="仿宋_GB2312" w:hAnsi="仿宋_GB2312" w:eastAsia="仿宋_GB2312" w:cs="仿宋_GB2312"/>
          <w:snapToGrid w:val="0"/>
          <w:color w:val="auto"/>
          <w:kern w:val="0"/>
          <w:sz w:val="32"/>
          <w:szCs w:val="32"/>
          <w:highlight w:val="none"/>
          <w:lang w:eastAsia="en-US"/>
        </w:rPr>
        <w:t>法律法规和规章规定的其他权利。</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rPr>
        <w:t>第七条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乙方义务</w:t>
      </w:r>
      <w:r>
        <w:rPr>
          <w:rFonts w:hint="eastAsia" w:ascii="黑体" w:hAnsi="黑体" w:eastAsia="黑体" w:cs="黑体"/>
          <w:b w:val="0"/>
          <w:snapToGrid w:val="0"/>
          <w:color w:val="auto"/>
          <w:spacing w:val="0"/>
          <w:kern w:val="0"/>
          <w:sz w:val="32"/>
          <w:szCs w:val="32"/>
          <w:highlight w:val="none"/>
          <w:lang w:eastAsia="zh-CN"/>
        </w:rPr>
        <w:t>】</w:t>
      </w:r>
      <w:r>
        <w:rPr>
          <w:rFonts w:hint="eastAsia" w:ascii="仿宋_GB2312" w:hAnsi="仿宋_GB2312" w:eastAsia="仿宋_GB2312" w:cs="仿宋_GB2312"/>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乙方履行以下义务：</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（一）</w:t>
      </w:r>
      <w:r>
        <w:rPr>
          <w:rFonts w:hint="eastAsia" w:ascii="仿宋_GB2312" w:hAnsi="仿宋_GB2312" w:eastAsia="仿宋_GB2312" w:cs="仿宋_GB2312"/>
          <w:snapToGrid w:val="0"/>
          <w:color w:val="auto"/>
          <w:spacing w:val="0"/>
          <w:kern w:val="0"/>
          <w:sz w:val="32"/>
          <w:szCs w:val="32"/>
          <w:highlight w:val="none"/>
          <w:lang w:eastAsia="en-US"/>
        </w:rPr>
        <w:t>在显著位置悬挂统一样式的定点医疗机构及工伤保险协议医疗机构标识；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（二）</w:t>
      </w:r>
      <w:r>
        <w:rPr>
          <w:rFonts w:hint="eastAsia" w:ascii="仿宋_GB2312" w:hAnsi="仿宋_GB2312" w:eastAsia="仿宋_GB2312" w:cs="仿宋_GB2312"/>
          <w:snapToGrid w:val="0"/>
          <w:color w:val="auto"/>
          <w:spacing w:val="0"/>
          <w:kern w:val="0"/>
          <w:sz w:val="32"/>
          <w:szCs w:val="32"/>
          <w:highlight w:val="none"/>
          <w:lang w:eastAsia="en-US"/>
        </w:rPr>
        <w:t>根据甲方要求，展示甲方对乙方或乙方内部科室、人员的考核结果；</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（三）</w:t>
      </w:r>
      <w:r>
        <w:rPr>
          <w:rFonts w:hint="eastAsia" w:ascii="仿宋_GB2312" w:hAnsi="仿宋_GB2312" w:eastAsia="仿宋_GB2312" w:cs="仿宋_GB2312"/>
          <w:snapToGrid w:val="0"/>
          <w:color w:val="auto"/>
          <w:spacing w:val="0"/>
          <w:kern w:val="0"/>
          <w:sz w:val="32"/>
          <w:szCs w:val="32"/>
          <w:highlight w:val="none"/>
          <w:lang w:val="en-US" w:eastAsia="zh-CN"/>
        </w:rPr>
        <w:t>根据甲方提供的风险提示，</w:t>
      </w:r>
      <w:r>
        <w:rPr>
          <w:rFonts w:hint="eastAsia" w:ascii="仿宋_GB2312" w:hAnsi="仿宋_GB2312" w:eastAsia="仿宋_GB2312" w:cs="仿宋_GB2312"/>
          <w:snapToGrid w:val="0"/>
          <w:color w:val="auto"/>
          <w:spacing w:val="0"/>
          <w:kern w:val="0"/>
          <w:sz w:val="32"/>
          <w:szCs w:val="32"/>
          <w:highlight w:val="none"/>
          <w:lang w:eastAsia="en-US"/>
        </w:rPr>
        <w:t>共同防范欺诈骗保行为；</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（四）</w:t>
      </w:r>
      <w:r>
        <w:rPr>
          <w:rFonts w:hint="eastAsia" w:ascii="仿宋_GB2312" w:hAnsi="仿宋_GB2312" w:eastAsia="仿宋_GB2312" w:cs="仿宋_GB2312"/>
          <w:snapToGrid w:val="0"/>
          <w:color w:val="auto"/>
          <w:spacing w:val="0"/>
          <w:kern w:val="0"/>
          <w:sz w:val="32"/>
          <w:szCs w:val="32"/>
          <w:highlight w:val="none"/>
          <w:lang w:eastAsia="en-US"/>
        </w:rPr>
        <w:t>严格遵守医疗保障、工伤保险</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eastAsia="en-US"/>
        </w:rPr>
        <w:t>卫生健康、中医药、市场监管</w:t>
      </w:r>
      <w:r>
        <w:rPr>
          <w:rFonts w:hint="eastAsia" w:ascii="仿宋_GB2312" w:hAnsi="仿宋_GB2312" w:eastAsia="仿宋_GB2312" w:cs="仿宋_GB2312"/>
          <w:color w:val="auto"/>
          <w:sz w:val="32"/>
          <w:szCs w:val="32"/>
          <w:highlight w:val="none"/>
        </w:rPr>
        <w:t>、公安、财政、税务、金融监管、商务</w:t>
      </w:r>
      <w:r>
        <w:rPr>
          <w:rFonts w:hint="eastAsia" w:ascii="仿宋_GB2312" w:hAnsi="仿宋_GB2312" w:eastAsia="仿宋_GB2312" w:cs="仿宋_GB2312"/>
          <w:snapToGrid w:val="0"/>
          <w:color w:val="auto"/>
          <w:spacing w:val="0"/>
          <w:kern w:val="0"/>
          <w:sz w:val="32"/>
          <w:szCs w:val="32"/>
          <w:highlight w:val="none"/>
          <w:lang w:eastAsia="en-US"/>
        </w:rPr>
        <w:t>等部门有关政策和管理要求；</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en-US" w:bidi="ar-SA"/>
        </w:rPr>
      </w:pPr>
      <w:r>
        <w:rPr>
          <w:rFonts w:hint="eastAsia" w:ascii="仿宋_GB2312" w:hAnsi="仿宋_GB2312" w:eastAsia="仿宋_GB2312" w:cs="仿宋_GB2312"/>
          <w:snapToGrid w:val="0"/>
          <w:color w:val="auto"/>
          <w:spacing w:val="0"/>
          <w:kern w:val="0"/>
          <w:sz w:val="32"/>
          <w:szCs w:val="32"/>
          <w:highlight w:val="none"/>
          <w:lang w:eastAsia="zh-CN"/>
        </w:rPr>
        <w:t>（五）</w:t>
      </w:r>
      <w:r>
        <w:rPr>
          <w:rFonts w:hint="eastAsia" w:ascii="仿宋_GB2312" w:hAnsi="仿宋_GB2312" w:eastAsia="仿宋_GB2312" w:cs="仿宋_GB2312"/>
          <w:snapToGrid w:val="0"/>
          <w:color w:val="auto"/>
          <w:spacing w:val="0"/>
          <w:kern w:val="0"/>
          <w:sz w:val="32"/>
          <w:szCs w:val="32"/>
          <w:highlight w:val="none"/>
          <w:lang w:val="en-US" w:eastAsia="en-US" w:bidi="ar-SA"/>
        </w:rPr>
        <w:t>受到卫生健康、中医药、市场监管</w:t>
      </w:r>
      <w:r>
        <w:rPr>
          <w:rFonts w:hint="eastAsia" w:ascii="仿宋_GB2312" w:hAnsi="仿宋_GB2312" w:eastAsia="仿宋_GB2312" w:cs="仿宋_GB2312"/>
          <w:snapToGrid w:val="0"/>
          <w:color w:val="auto"/>
          <w:spacing w:val="0"/>
          <w:kern w:val="0"/>
          <w:sz w:val="32"/>
          <w:szCs w:val="32"/>
          <w:highlight w:val="none"/>
          <w:lang w:val="en-US" w:eastAsia="zh-CN" w:bidi="ar-SA"/>
        </w:rPr>
        <w:t>、</w:t>
      </w:r>
      <w:r>
        <w:rPr>
          <w:rFonts w:hint="eastAsia" w:ascii="仿宋_GB2312" w:hAnsi="仿宋_GB2312" w:eastAsia="仿宋_GB2312" w:cs="仿宋_GB2312"/>
          <w:color w:val="auto"/>
          <w:sz w:val="32"/>
          <w:szCs w:val="32"/>
          <w:highlight w:val="none"/>
        </w:rPr>
        <w:t>公安、财政、税务、金融监管、商务</w:t>
      </w:r>
      <w:r>
        <w:rPr>
          <w:rFonts w:hint="eastAsia" w:ascii="仿宋_GB2312" w:hAnsi="仿宋_GB2312" w:eastAsia="仿宋_GB2312" w:cs="仿宋_GB2312"/>
          <w:snapToGrid w:val="0"/>
          <w:color w:val="auto"/>
          <w:spacing w:val="0"/>
          <w:kern w:val="0"/>
          <w:sz w:val="32"/>
          <w:szCs w:val="32"/>
          <w:highlight w:val="none"/>
          <w:lang w:val="en-US" w:eastAsia="en-US" w:bidi="ar-SA"/>
        </w:rPr>
        <w:t>等部门医药费用有关的行政处罚的，在行政处罚决定书送达之日起</w:t>
      </w:r>
      <w:r>
        <w:rPr>
          <w:rFonts w:hint="eastAsia" w:ascii="仿宋_GB2312" w:hAnsi="仿宋_GB2312" w:eastAsia="仿宋_GB2312" w:cs="仿宋_GB2312"/>
          <w:snapToGrid w:val="0"/>
          <w:color w:val="auto"/>
          <w:spacing w:val="0"/>
          <w:kern w:val="0"/>
          <w:sz w:val="32"/>
          <w:szCs w:val="32"/>
          <w:highlight w:val="none"/>
          <w:lang w:val="en-US" w:eastAsia="zh-CN" w:bidi="ar-SA"/>
        </w:rPr>
        <w:t>30个工作日内</w:t>
      </w:r>
      <w:r>
        <w:rPr>
          <w:rFonts w:hint="eastAsia" w:ascii="仿宋_GB2312" w:hAnsi="仿宋_GB2312" w:eastAsia="仿宋_GB2312" w:cs="仿宋_GB2312"/>
          <w:snapToGrid w:val="0"/>
          <w:color w:val="auto"/>
          <w:spacing w:val="0"/>
          <w:kern w:val="0"/>
          <w:sz w:val="32"/>
          <w:szCs w:val="32"/>
          <w:highlight w:val="none"/>
          <w:lang w:val="en-US" w:eastAsia="en-US" w:bidi="ar-SA"/>
        </w:rPr>
        <w:t>向医疗保障</w:t>
      </w:r>
      <w:r>
        <w:rPr>
          <w:rFonts w:hint="eastAsia" w:ascii="仿宋_GB2312" w:hAnsi="仿宋_GB2312" w:eastAsia="仿宋_GB2312" w:cs="仿宋_GB2312"/>
          <w:snapToGrid w:val="0"/>
          <w:color w:val="auto"/>
          <w:spacing w:val="0"/>
          <w:kern w:val="0"/>
          <w:sz w:val="32"/>
          <w:szCs w:val="32"/>
          <w:highlight w:val="none"/>
          <w:lang w:eastAsia="en-US"/>
        </w:rPr>
        <w:t>或工伤保险</w:t>
      </w:r>
      <w:r>
        <w:rPr>
          <w:rFonts w:hint="eastAsia" w:ascii="仿宋_GB2312" w:hAnsi="仿宋_GB2312" w:eastAsia="仿宋_GB2312" w:cs="仿宋_GB2312"/>
          <w:snapToGrid w:val="0"/>
          <w:color w:val="auto"/>
          <w:spacing w:val="0"/>
          <w:kern w:val="0"/>
          <w:sz w:val="32"/>
          <w:szCs w:val="32"/>
          <w:highlight w:val="none"/>
          <w:lang w:val="en-US" w:eastAsia="en-US" w:bidi="ar-SA"/>
        </w:rPr>
        <w:t>行政部门报送行政处罚</w:t>
      </w:r>
      <w:r>
        <w:rPr>
          <w:rFonts w:hint="eastAsia" w:ascii="仿宋_GB2312" w:hAnsi="仿宋_GB2312" w:eastAsia="仿宋_GB2312" w:cs="仿宋_GB2312"/>
          <w:snapToGrid w:val="0"/>
          <w:color w:val="auto"/>
          <w:kern w:val="0"/>
          <w:sz w:val="32"/>
          <w:szCs w:val="32"/>
          <w:highlight w:val="none"/>
          <w:lang w:val="en-US" w:eastAsia="en-US" w:bidi="ar-SA"/>
        </w:rPr>
        <w:t>相关信息；</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（六）</w:t>
      </w:r>
      <w:r>
        <w:rPr>
          <w:rFonts w:hint="eastAsia" w:ascii="仿宋_GB2312" w:hAnsi="仿宋_GB2312" w:eastAsia="仿宋_GB2312" w:cs="仿宋_GB2312"/>
          <w:snapToGrid w:val="0"/>
          <w:color w:val="auto"/>
          <w:spacing w:val="0"/>
          <w:kern w:val="0"/>
          <w:sz w:val="32"/>
          <w:szCs w:val="32"/>
          <w:highlight w:val="none"/>
          <w:lang w:eastAsia="en-US"/>
        </w:rPr>
        <w:t>定期自查本机构医保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基金使用情况，及时纠正不规范行为；</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eastAsia="zh-CN"/>
        </w:rPr>
        <w:t>（七）</w:t>
      </w:r>
      <w:r>
        <w:rPr>
          <w:rFonts w:hint="eastAsia" w:ascii="仿宋_GB2312" w:hAnsi="仿宋_GB2312" w:eastAsia="仿宋_GB2312" w:cs="仿宋_GB2312"/>
          <w:snapToGrid w:val="0"/>
          <w:color w:val="auto"/>
          <w:spacing w:val="0"/>
          <w:kern w:val="0"/>
          <w:sz w:val="32"/>
          <w:szCs w:val="32"/>
          <w:highlight w:val="none"/>
          <w:lang w:val="en-US" w:eastAsia="en-US" w:bidi="ar-SA"/>
        </w:rPr>
        <w:t>在国家医保信息业务编码标准数据库动态维护平台按照医疗保障信息业务编码等标准和要求，及时对医疗机构、医师、</w:t>
      </w:r>
      <w:r>
        <w:rPr>
          <w:rFonts w:hint="eastAsia" w:ascii="仿宋_GB2312" w:hAnsi="仿宋_GB2312" w:eastAsia="仿宋_GB2312" w:cs="仿宋_GB2312"/>
          <w:snapToGrid w:val="0"/>
          <w:color w:val="auto"/>
          <w:spacing w:val="0"/>
          <w:kern w:val="0"/>
          <w:sz w:val="32"/>
          <w:szCs w:val="32"/>
          <w:highlight w:val="none"/>
          <w:lang w:val="en-US" w:eastAsia="zh-CN" w:bidi="ar-SA"/>
        </w:rPr>
        <w:t>药师、</w:t>
      </w:r>
      <w:r>
        <w:rPr>
          <w:rFonts w:hint="eastAsia" w:ascii="仿宋_GB2312" w:hAnsi="仿宋_GB2312" w:eastAsia="仿宋_GB2312" w:cs="仿宋_GB2312"/>
          <w:snapToGrid w:val="0"/>
          <w:color w:val="auto"/>
          <w:spacing w:val="0"/>
          <w:kern w:val="0"/>
          <w:sz w:val="32"/>
          <w:szCs w:val="32"/>
          <w:highlight w:val="none"/>
          <w:lang w:val="en-US" w:eastAsia="en-US" w:bidi="ar-SA"/>
        </w:rPr>
        <w:t>护士等</w:t>
      </w:r>
      <w:r>
        <w:rPr>
          <w:rFonts w:hint="eastAsia" w:ascii="仿宋_GB2312" w:hAnsi="仿宋_GB2312" w:eastAsia="仿宋_GB2312" w:cs="仿宋_GB2312"/>
          <w:snapToGrid w:val="0"/>
          <w:color w:val="auto"/>
          <w:spacing w:val="0"/>
          <w:kern w:val="0"/>
          <w:sz w:val="32"/>
          <w:szCs w:val="32"/>
          <w:highlight w:val="none"/>
          <w:lang w:val="en-US" w:eastAsia="zh-CN" w:bidi="ar-SA"/>
        </w:rPr>
        <w:t>相关</w:t>
      </w:r>
      <w:r>
        <w:rPr>
          <w:rFonts w:hint="eastAsia" w:ascii="仿宋_GB2312" w:hAnsi="仿宋_GB2312" w:eastAsia="仿宋_GB2312" w:cs="仿宋_GB2312"/>
          <w:snapToGrid w:val="0"/>
          <w:color w:val="auto"/>
          <w:spacing w:val="0"/>
          <w:kern w:val="0"/>
          <w:sz w:val="32"/>
          <w:szCs w:val="32"/>
          <w:highlight w:val="none"/>
          <w:lang w:val="en-US" w:eastAsia="en-US" w:bidi="ar-SA"/>
        </w:rPr>
        <w:t>人员登记、备案、变更的相关信息</w:t>
      </w:r>
      <w:r>
        <w:rPr>
          <w:rFonts w:hint="eastAsia" w:ascii="仿宋_GB2312" w:hAnsi="仿宋_GB2312" w:eastAsia="仿宋_GB2312" w:cs="仿宋_GB2312"/>
          <w:snapToGrid w:val="0"/>
          <w:color w:val="auto"/>
          <w:spacing w:val="0"/>
          <w:kern w:val="0"/>
          <w:sz w:val="32"/>
          <w:szCs w:val="32"/>
          <w:highlight w:val="none"/>
          <w:lang w:val="en-US" w:eastAsia="zh-CN" w:bidi="ar-SA"/>
        </w:rPr>
        <w:t>（如医疗机构名称、执业地址、所有制形式、法人代表、医疗机构类别、级别、银行结算账户等）</w:t>
      </w:r>
      <w:r>
        <w:rPr>
          <w:rFonts w:hint="eastAsia" w:ascii="仿宋_GB2312" w:hAnsi="仿宋_GB2312" w:eastAsia="仿宋_GB2312" w:cs="仿宋_GB2312"/>
          <w:snapToGrid w:val="0"/>
          <w:color w:val="auto"/>
          <w:spacing w:val="0"/>
          <w:kern w:val="0"/>
          <w:sz w:val="32"/>
          <w:szCs w:val="32"/>
          <w:highlight w:val="none"/>
          <w:lang w:val="en-US" w:eastAsia="en-US" w:bidi="ar-SA"/>
        </w:rPr>
        <w:t>进行动态维护；</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（八）</w:t>
      </w:r>
      <w:r>
        <w:rPr>
          <w:rFonts w:hint="eastAsia" w:ascii="仿宋_GB2312" w:hAnsi="仿宋_GB2312" w:eastAsia="仿宋_GB2312" w:cs="仿宋_GB2312"/>
          <w:snapToGrid w:val="0"/>
          <w:color w:val="auto"/>
          <w:spacing w:val="0"/>
          <w:kern w:val="0"/>
          <w:sz w:val="32"/>
          <w:szCs w:val="32"/>
          <w:highlight w:val="none"/>
          <w:lang w:val="en-US" w:eastAsia="zh-CN" w:bidi="ar-SA"/>
        </w:rPr>
        <w:t>乙方应按照医保行政管理部门的要求，积极推进医保电子凭证应用（医保码）及宣传推广；</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（九）主动学习</w:t>
      </w:r>
      <w:r>
        <w:rPr>
          <w:rFonts w:hint="eastAsia" w:ascii="仿宋_GB2312" w:hAnsi="仿宋_GB2312" w:eastAsia="仿宋_GB2312" w:cs="仿宋_GB2312"/>
          <w:snapToGrid w:val="0"/>
          <w:color w:val="auto"/>
          <w:spacing w:val="0"/>
          <w:kern w:val="0"/>
          <w:sz w:val="32"/>
          <w:szCs w:val="32"/>
          <w:highlight w:val="none"/>
          <w:lang w:val="en-US" w:eastAsia="zh-CN"/>
        </w:rPr>
        <w:t>掌握</w:t>
      </w:r>
      <w:r>
        <w:rPr>
          <w:rFonts w:hint="eastAsia" w:ascii="仿宋_GB2312" w:hAnsi="仿宋_GB2312" w:eastAsia="仿宋_GB2312" w:cs="仿宋_GB2312"/>
          <w:snapToGrid w:val="0"/>
          <w:color w:val="auto"/>
          <w:spacing w:val="0"/>
          <w:kern w:val="0"/>
          <w:sz w:val="32"/>
          <w:szCs w:val="32"/>
          <w:highlight w:val="none"/>
          <w:lang w:eastAsia="zh-CN"/>
        </w:rPr>
        <w:t>医疗保障、工伤保险相关制度、政策，</w:t>
      </w:r>
      <w:r>
        <w:rPr>
          <w:rFonts w:hint="eastAsia" w:ascii="仿宋_GB2312" w:hAnsi="仿宋_GB2312" w:eastAsia="仿宋_GB2312" w:cs="仿宋_GB2312"/>
          <w:snapToGrid w:val="0"/>
          <w:color w:val="auto"/>
          <w:spacing w:val="0"/>
          <w:kern w:val="0"/>
          <w:sz w:val="32"/>
          <w:szCs w:val="32"/>
          <w:highlight w:val="none"/>
          <w:lang w:eastAsia="en-US"/>
        </w:rPr>
        <w:t>参加由医疗保障行政部门或经办机构组织的宣传和培训，在本机构组织开展医疗保障</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相关制度、政策的培训，为群众提供医保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政策宣传、咨询服务；</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（十）</w:t>
      </w:r>
      <w:r>
        <w:rPr>
          <w:rFonts w:hint="eastAsia" w:ascii="仿宋_GB2312" w:hAnsi="仿宋_GB2312" w:eastAsia="仿宋_GB2312" w:cs="仿宋_GB2312"/>
          <w:snapToGrid w:val="0"/>
          <w:color w:val="auto"/>
          <w:spacing w:val="0"/>
          <w:kern w:val="0"/>
          <w:sz w:val="32"/>
          <w:szCs w:val="32"/>
          <w:highlight w:val="none"/>
          <w:lang w:eastAsia="en-US"/>
        </w:rPr>
        <w:t>按甲方要求以实时联网</w:t>
      </w:r>
      <w:r>
        <w:rPr>
          <w:rFonts w:hint="eastAsia" w:ascii="仿宋_GB2312" w:hAnsi="仿宋_GB2312" w:eastAsia="仿宋_GB2312" w:cs="仿宋_GB2312"/>
          <w:strike w:val="0"/>
          <w:snapToGrid w:val="0"/>
          <w:color w:val="auto"/>
          <w:spacing w:val="0"/>
          <w:kern w:val="0"/>
          <w:sz w:val="32"/>
          <w:szCs w:val="32"/>
          <w:highlight w:val="none"/>
          <w:lang w:eastAsia="en-US"/>
        </w:rPr>
        <w:t>或定期报送等</w:t>
      </w:r>
      <w:r>
        <w:rPr>
          <w:rFonts w:hint="eastAsia" w:ascii="仿宋_GB2312" w:hAnsi="仿宋_GB2312" w:eastAsia="仿宋_GB2312" w:cs="仿宋_GB2312"/>
          <w:snapToGrid w:val="0"/>
          <w:color w:val="auto"/>
          <w:spacing w:val="0"/>
          <w:kern w:val="0"/>
          <w:sz w:val="32"/>
          <w:szCs w:val="32"/>
          <w:highlight w:val="none"/>
          <w:lang w:eastAsia="en-US"/>
        </w:rPr>
        <w:t>形式提供医保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费用审核结算、会计核算、医保绩效考核、协议履行核查等协议管理所需信息，如实报送药品、医用耗材的采购价格和数量，并对其真实性以承诺书形式</w:t>
      </w:r>
      <w:r>
        <w:rPr>
          <w:rFonts w:hint="eastAsia" w:ascii="仿宋_GB2312" w:hAnsi="仿宋_GB2312" w:eastAsia="仿宋_GB2312" w:cs="仿宋_GB2312"/>
          <w:snapToGrid w:val="0"/>
          <w:color w:val="auto"/>
          <w:spacing w:val="0"/>
          <w:kern w:val="0"/>
          <w:sz w:val="32"/>
          <w:szCs w:val="32"/>
          <w:highlight w:val="none"/>
          <w:lang w:val="en-US" w:eastAsia="zh-CN"/>
        </w:rPr>
        <w:t>作</w:t>
      </w:r>
      <w:r>
        <w:rPr>
          <w:rFonts w:hint="eastAsia" w:ascii="仿宋_GB2312" w:hAnsi="仿宋_GB2312" w:eastAsia="仿宋_GB2312" w:cs="仿宋_GB2312"/>
          <w:snapToGrid w:val="0"/>
          <w:color w:val="auto"/>
          <w:spacing w:val="0"/>
          <w:kern w:val="0"/>
          <w:sz w:val="32"/>
          <w:szCs w:val="32"/>
          <w:highlight w:val="none"/>
          <w:lang w:eastAsia="en-US"/>
        </w:rPr>
        <w:t>出承诺(</w:t>
      </w:r>
      <w:r>
        <w:rPr>
          <w:rFonts w:hint="eastAsia" w:ascii="仿宋_GB2312" w:hAnsi="仿宋_GB2312" w:eastAsia="仿宋_GB2312" w:cs="仿宋_GB2312"/>
          <w:snapToGrid w:val="0"/>
          <w:color w:val="auto"/>
          <w:spacing w:val="0"/>
          <w:kern w:val="0"/>
          <w:sz w:val="32"/>
          <w:szCs w:val="32"/>
          <w:highlight w:val="none"/>
          <w:lang w:val="en-US" w:eastAsia="zh-CN"/>
        </w:rPr>
        <w:t>承诺书样本</w:t>
      </w:r>
      <w:r>
        <w:rPr>
          <w:rFonts w:hint="eastAsia" w:ascii="仿宋_GB2312" w:hAnsi="仿宋_GB2312" w:eastAsia="仿宋_GB2312" w:cs="仿宋_GB2312"/>
          <w:snapToGrid w:val="0"/>
          <w:color w:val="auto"/>
          <w:spacing w:val="0"/>
          <w:kern w:val="0"/>
          <w:sz w:val="32"/>
          <w:szCs w:val="32"/>
          <w:highlight w:val="none"/>
          <w:lang w:eastAsia="zh-CN"/>
        </w:rPr>
        <w:t>见附件</w:t>
      </w:r>
      <w:r>
        <w:rPr>
          <w:rFonts w:hint="eastAsia" w:ascii="仿宋_GB2312" w:hAnsi="仿宋_GB2312" w:eastAsia="仿宋_GB2312" w:cs="仿宋_GB2312"/>
          <w:snapToGrid w:val="0"/>
          <w:color w:val="auto"/>
          <w:spacing w:val="0"/>
          <w:kern w:val="0"/>
          <w:sz w:val="32"/>
          <w:szCs w:val="32"/>
          <w:highlight w:val="none"/>
          <w:lang w:val="en-US" w:eastAsia="zh-CN"/>
        </w:rPr>
        <w:t>1</w:t>
      </w:r>
      <w:r>
        <w:rPr>
          <w:rFonts w:hint="eastAsia" w:ascii="仿宋_GB2312" w:hAnsi="仿宋_GB2312" w:eastAsia="仿宋_GB2312" w:cs="仿宋_GB2312"/>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eastAsia="en-US"/>
        </w:rPr>
        <w:t>按照规定向医疗保障行政部门报告医疗保障基金使用监督管理所需信息</w:t>
      </w:r>
      <w:r>
        <w:rPr>
          <w:rFonts w:hint="eastAsia" w:ascii="仿宋_GB2312" w:hAnsi="仿宋_GB2312" w:eastAsia="仿宋_GB2312" w:cs="仿宋_GB2312"/>
          <w:snapToGrid w:val="0"/>
          <w:color w:val="auto"/>
          <w:spacing w:val="0"/>
          <w:kern w:val="0"/>
          <w:sz w:val="32"/>
          <w:szCs w:val="32"/>
          <w:highlight w:val="none"/>
          <w:lang w:eastAsia="zh-CN"/>
        </w:rPr>
        <w:t>（包括但不限于财务账目、会计凭证、处方、病历、治疗检查记录、费用明细、药品和医用耗材出入库记录等资料）</w:t>
      </w:r>
      <w:r>
        <w:rPr>
          <w:rFonts w:hint="eastAsia" w:ascii="仿宋_GB2312" w:hAnsi="仿宋_GB2312" w:eastAsia="仿宋_GB2312" w:cs="仿宋_GB2312"/>
          <w:snapToGrid w:val="0"/>
          <w:color w:val="auto"/>
          <w:spacing w:val="0"/>
          <w:kern w:val="0"/>
          <w:sz w:val="32"/>
          <w:szCs w:val="32"/>
          <w:highlight w:val="none"/>
          <w:lang w:eastAsia="en-US"/>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（十一）</w:t>
      </w:r>
      <w:r>
        <w:rPr>
          <w:rFonts w:hint="eastAsia" w:ascii="仿宋_GB2312" w:hAnsi="仿宋_GB2312" w:eastAsia="仿宋_GB2312" w:cs="仿宋_GB2312"/>
          <w:snapToGrid w:val="0"/>
          <w:color w:val="auto"/>
          <w:spacing w:val="0"/>
          <w:kern w:val="0"/>
          <w:sz w:val="32"/>
          <w:szCs w:val="32"/>
          <w:highlight w:val="none"/>
          <w:lang w:eastAsia="en-US"/>
        </w:rPr>
        <w:t>严格规范医疗收费，公示医药价格与收费标准，向社</w:t>
      </w:r>
      <w:r>
        <w:rPr>
          <w:rFonts w:hint="eastAsia" w:ascii="仿宋_GB2312" w:hAnsi="仿宋_GB2312" w:eastAsia="仿宋_GB2312" w:cs="仿宋_GB2312"/>
          <w:snapToGrid w:val="0"/>
          <w:color w:val="auto"/>
          <w:kern w:val="0"/>
          <w:sz w:val="32"/>
          <w:szCs w:val="32"/>
          <w:highlight w:val="none"/>
          <w:lang w:eastAsia="en-US"/>
        </w:rPr>
        <w:t>会公开医药费用、费用结构等信息；</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（十二）</w:t>
      </w:r>
      <w:r>
        <w:rPr>
          <w:rFonts w:hint="eastAsia" w:ascii="仿宋_GB2312" w:hAnsi="仿宋_GB2312" w:eastAsia="仿宋_GB2312" w:cs="仿宋_GB2312"/>
          <w:snapToGrid w:val="0"/>
          <w:color w:val="auto"/>
          <w:spacing w:val="0"/>
          <w:kern w:val="0"/>
          <w:sz w:val="32"/>
          <w:szCs w:val="32"/>
          <w:highlight w:val="none"/>
          <w:lang w:eastAsia="en-US"/>
        </w:rPr>
        <w:t>公布医保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投诉举报渠道</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公布监督举报电话、设立意见箱</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eastAsia="en-US"/>
        </w:rPr>
        <w:t>，及时处理投诉举报问题，接受社会监督</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投诉情况纳入服务质量考核</w:t>
      </w:r>
      <w:r>
        <w:rPr>
          <w:rFonts w:hint="eastAsia" w:ascii="仿宋_GB2312" w:hAnsi="仿宋_GB2312" w:eastAsia="仿宋_GB2312" w:cs="仿宋_GB2312"/>
          <w:snapToGrid w:val="0"/>
          <w:color w:val="auto"/>
          <w:spacing w:val="0"/>
          <w:kern w:val="0"/>
          <w:sz w:val="32"/>
          <w:szCs w:val="32"/>
          <w:highlight w:val="none"/>
          <w:lang w:eastAsia="en-US"/>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（十三）</w:t>
      </w:r>
      <w:r>
        <w:rPr>
          <w:rFonts w:hint="eastAsia" w:ascii="仿宋_GB2312" w:hAnsi="仿宋_GB2312" w:eastAsia="仿宋_GB2312" w:cs="仿宋_GB2312"/>
          <w:snapToGrid w:val="0"/>
          <w:color w:val="auto"/>
          <w:spacing w:val="0"/>
          <w:kern w:val="0"/>
          <w:sz w:val="32"/>
          <w:szCs w:val="32"/>
          <w:highlight w:val="none"/>
          <w:lang w:eastAsia="en-US"/>
        </w:rPr>
        <w:t>遵守</w:t>
      </w:r>
      <w:r>
        <w:rPr>
          <w:rFonts w:hint="eastAsia" w:ascii="仿宋_GB2312" w:hAnsi="仿宋_GB2312" w:eastAsia="仿宋_GB2312" w:cs="仿宋_GB2312"/>
          <w:snapToGrid w:val="0"/>
          <w:color w:val="auto"/>
          <w:spacing w:val="0"/>
          <w:kern w:val="0"/>
          <w:sz w:val="32"/>
          <w:szCs w:val="32"/>
          <w:highlight w:val="none"/>
          <w:lang w:eastAsia="zh-CN"/>
        </w:rPr>
        <w:t>网络和</w:t>
      </w:r>
      <w:r>
        <w:rPr>
          <w:rFonts w:hint="eastAsia" w:ascii="仿宋_GB2312" w:hAnsi="仿宋_GB2312" w:eastAsia="仿宋_GB2312" w:cs="仿宋_GB2312"/>
          <w:snapToGrid w:val="0"/>
          <w:color w:val="auto"/>
          <w:spacing w:val="0"/>
          <w:kern w:val="0"/>
          <w:sz w:val="32"/>
          <w:szCs w:val="32"/>
          <w:highlight w:val="none"/>
          <w:lang w:eastAsia="en-US"/>
        </w:rPr>
        <w:t>数据安全有关制度，保护参保人员个人信息，保障医保</w:t>
      </w:r>
      <w:r>
        <w:rPr>
          <w:rFonts w:hint="eastAsia" w:ascii="仿宋_GB2312" w:hAnsi="仿宋_GB2312" w:eastAsia="仿宋_GB2312" w:cs="仿宋_GB2312"/>
          <w:snapToGrid w:val="0"/>
          <w:color w:val="auto"/>
          <w:spacing w:val="0"/>
          <w:kern w:val="0"/>
          <w:sz w:val="32"/>
          <w:szCs w:val="32"/>
          <w:highlight w:val="none"/>
          <w:lang w:eastAsia="zh-CN"/>
        </w:rPr>
        <w:t>网络和</w:t>
      </w:r>
      <w:r>
        <w:rPr>
          <w:rFonts w:hint="eastAsia" w:ascii="仿宋_GB2312" w:hAnsi="仿宋_GB2312" w:eastAsia="仿宋_GB2312" w:cs="仿宋_GB2312"/>
          <w:snapToGrid w:val="0"/>
          <w:color w:val="auto"/>
          <w:spacing w:val="0"/>
          <w:kern w:val="0"/>
          <w:sz w:val="32"/>
          <w:szCs w:val="32"/>
          <w:highlight w:val="none"/>
          <w:lang w:eastAsia="en-US"/>
        </w:rPr>
        <w:t>数据安全</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保障上传数据的及时性和准确性，配合甲方开展数据治理相关工作</w:t>
      </w:r>
      <w:r>
        <w:rPr>
          <w:rFonts w:hint="eastAsia" w:ascii="仿宋_GB2312" w:hAnsi="仿宋_GB2312" w:eastAsia="仿宋_GB2312" w:cs="仿宋_GB2312"/>
          <w:snapToGrid w:val="0"/>
          <w:color w:val="auto"/>
          <w:spacing w:val="0"/>
          <w:kern w:val="0"/>
          <w:sz w:val="32"/>
          <w:szCs w:val="32"/>
          <w:highlight w:val="none"/>
          <w:lang w:eastAsia="en-US"/>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（十四）</w:t>
      </w:r>
      <w:r>
        <w:rPr>
          <w:rFonts w:hint="eastAsia" w:ascii="仿宋_GB2312" w:hAnsi="仿宋_GB2312" w:eastAsia="仿宋_GB2312" w:cs="仿宋_GB2312"/>
          <w:snapToGrid w:val="0"/>
          <w:color w:val="auto"/>
          <w:spacing w:val="0"/>
          <w:kern w:val="0"/>
          <w:sz w:val="32"/>
          <w:szCs w:val="32"/>
          <w:highlight w:val="none"/>
          <w:lang w:val="en-US" w:eastAsia="zh-CN"/>
        </w:rPr>
        <w:t>乙方为乡镇卫生院的，签订医保定点服务协议时，应将辖区内纳入医保定点管理的村卫生室名单作为协议附件备案；</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（十五）</w:t>
      </w:r>
      <w:r>
        <w:rPr>
          <w:rFonts w:hint="eastAsia" w:ascii="仿宋_GB2312" w:hAnsi="仿宋_GB2312" w:eastAsia="仿宋_GB2312" w:cs="仿宋_GB2312"/>
          <w:snapToGrid w:val="0"/>
          <w:color w:val="auto"/>
          <w:spacing w:val="0"/>
          <w:kern w:val="0"/>
          <w:sz w:val="32"/>
          <w:szCs w:val="32"/>
          <w:highlight w:val="none"/>
          <w:lang w:eastAsia="en-US"/>
        </w:rPr>
        <w:t>按照医疗保障部门要求，配合推进各项医保改革任务</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包括但不限于医保支付方式、</w:t>
      </w:r>
      <w:r>
        <w:rPr>
          <w:rFonts w:hint="eastAsia" w:ascii="仿宋_GB2312" w:hAnsi="仿宋_GB2312" w:eastAsia="仿宋_GB2312" w:cs="仿宋_GB2312"/>
          <w:color w:val="auto"/>
          <w:sz w:val="32"/>
          <w:szCs w:val="32"/>
          <w:highlight w:val="none"/>
          <w:lang w:eastAsia="zh-CN"/>
        </w:rPr>
        <w:t>集中带量采购、价格治理、追溯码上传、场景监控建设等</w:t>
      </w:r>
      <w:r>
        <w:rPr>
          <w:rFonts w:hint="eastAsia" w:ascii="仿宋_GB2312" w:hAnsi="仿宋_GB2312" w:eastAsia="仿宋_GB2312" w:cs="仿宋_GB2312"/>
          <w:snapToGrid w:val="0"/>
          <w:color w:val="auto"/>
          <w:spacing w:val="0"/>
          <w:kern w:val="0"/>
          <w:sz w:val="32"/>
          <w:szCs w:val="32"/>
          <w:highlight w:val="none"/>
          <w:lang w:eastAsia="en-US"/>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（十六）</w:t>
      </w:r>
      <w:r>
        <w:rPr>
          <w:rFonts w:hint="eastAsia" w:ascii="仿宋_GB2312" w:hAnsi="仿宋_GB2312" w:eastAsia="仿宋_GB2312" w:cs="仿宋_GB2312"/>
          <w:snapToGrid w:val="0"/>
          <w:color w:val="auto"/>
          <w:spacing w:val="0"/>
          <w:kern w:val="0"/>
          <w:sz w:val="32"/>
          <w:szCs w:val="32"/>
          <w:highlight w:val="none"/>
          <w:lang w:eastAsia="en-US"/>
        </w:rPr>
        <w:t>法律法规和规章规定的其他义务。</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0" w:firstLineChars="0"/>
        <w:jc w:val="both"/>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0" w:firstLineChars="0"/>
        <w:jc w:val="center"/>
        <w:textAlignment w:val="baseline"/>
        <w:outlineLvl w:val="0"/>
        <w:rPr>
          <w:rFonts w:ascii="黑体" w:hAnsi="黑体" w:eastAsia="黑体" w:cs="黑体"/>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en-US"/>
        </w:rPr>
        <w:t>第二章</w:t>
      </w:r>
      <w:r>
        <w:rPr>
          <w:rFonts w:hint="default" w:ascii="黑体" w:hAnsi="黑体" w:eastAsia="黑体" w:cs="黑体"/>
          <w:b w:val="0"/>
          <w:bCs w:val="0"/>
          <w:snapToGrid w:val="0"/>
          <w:color w:val="auto"/>
          <w:spacing w:val="0"/>
          <w:kern w:val="0"/>
          <w:sz w:val="32"/>
          <w:szCs w:val="32"/>
          <w:highlight w:val="none"/>
          <w:lang w:val="en-US" w:eastAsia="zh-CN"/>
        </w:rPr>
        <w:t xml:space="preserve"> </w:t>
      </w:r>
      <w:r>
        <w:rPr>
          <w:rFonts w:ascii="黑体" w:hAnsi="黑体" w:eastAsia="黑体" w:cs="黑体"/>
          <w:b w:val="0"/>
          <w:bCs w:val="0"/>
          <w:snapToGrid w:val="0"/>
          <w:color w:val="auto"/>
          <w:spacing w:val="0"/>
          <w:kern w:val="0"/>
          <w:sz w:val="32"/>
          <w:szCs w:val="32"/>
          <w:highlight w:val="none"/>
          <w:lang w:eastAsia="en-US"/>
        </w:rPr>
        <w:t>医疗服务</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0" w:firstLineChars="0"/>
        <w:jc w:val="both"/>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rPr>
        <w:t>第八条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基本要求</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en-US"/>
        </w:rPr>
        <w:t xml:space="preserve"> 甲方应为乙方实现参保人员直接结算医保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费用提供必要的支持。</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乙方应</w:t>
      </w:r>
      <w:r>
        <w:rPr>
          <w:rFonts w:hint="eastAsia" w:ascii="仿宋_GB2312" w:hAnsi="仿宋_GB2312" w:eastAsia="仿宋_GB2312" w:cs="仿宋_GB2312"/>
          <w:snapToGrid w:val="0"/>
          <w:color w:val="auto"/>
          <w:spacing w:val="0"/>
          <w:kern w:val="0"/>
          <w:sz w:val="32"/>
          <w:szCs w:val="32"/>
          <w:highlight w:val="none"/>
          <w:lang w:eastAsia="zh-CN"/>
        </w:rPr>
        <w:t>设置医保、工伤保险咨询服务台或指定专人</w:t>
      </w:r>
      <w:r>
        <w:rPr>
          <w:rFonts w:hint="eastAsia" w:ascii="仿宋_GB2312" w:hAnsi="仿宋_GB2312" w:eastAsia="仿宋_GB2312" w:cs="仿宋_GB2312"/>
          <w:snapToGrid w:val="0"/>
          <w:color w:val="auto"/>
          <w:spacing w:val="0"/>
          <w:kern w:val="0"/>
          <w:sz w:val="32"/>
          <w:szCs w:val="32"/>
          <w:highlight w:val="none"/>
          <w:lang w:eastAsia="en-US"/>
        </w:rPr>
        <w:t>向参保人员提供</w:t>
      </w:r>
      <w:r>
        <w:rPr>
          <w:rFonts w:hint="eastAsia" w:ascii="仿宋_GB2312" w:hAnsi="仿宋_GB2312" w:eastAsia="仿宋_GB2312" w:cs="仿宋_GB2312"/>
          <w:strike w:val="0"/>
          <w:snapToGrid w:val="0"/>
          <w:color w:val="auto"/>
          <w:spacing w:val="0"/>
          <w:kern w:val="0"/>
          <w:sz w:val="32"/>
          <w:szCs w:val="32"/>
          <w:highlight w:val="none"/>
          <w:lang w:eastAsia="en-US"/>
        </w:rPr>
        <w:t>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相关的</w:t>
      </w:r>
      <w:r>
        <w:rPr>
          <w:rFonts w:hint="eastAsia" w:ascii="仿宋_GB2312" w:hAnsi="仿宋_GB2312" w:eastAsia="仿宋_GB2312" w:cs="仿宋_GB2312"/>
          <w:snapToGrid w:val="0"/>
          <w:color w:val="auto"/>
          <w:spacing w:val="0"/>
          <w:kern w:val="0"/>
          <w:sz w:val="32"/>
          <w:szCs w:val="32"/>
          <w:highlight w:val="none"/>
          <w:lang w:eastAsia="zh-CN"/>
        </w:rPr>
        <w:t>政策宣传、</w:t>
      </w:r>
      <w:r>
        <w:rPr>
          <w:rFonts w:hint="eastAsia" w:ascii="仿宋_GB2312" w:hAnsi="仿宋_GB2312" w:eastAsia="仿宋_GB2312" w:cs="仿宋_GB2312"/>
          <w:snapToGrid w:val="0"/>
          <w:color w:val="auto"/>
          <w:spacing w:val="0"/>
          <w:kern w:val="0"/>
          <w:sz w:val="32"/>
          <w:szCs w:val="32"/>
          <w:highlight w:val="none"/>
          <w:lang w:eastAsia="en-US"/>
        </w:rPr>
        <w:t>解释、咨询服务，以及参保人员在本机构医疗费用和医保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基金结算相关的查询服务或查询渠道</w:t>
      </w:r>
      <w:r>
        <w:rPr>
          <w:rFonts w:hint="eastAsia" w:ascii="仿宋_GB2312" w:hAnsi="仿宋_GB2312" w:eastAsia="仿宋_GB2312" w:cs="仿宋_GB2312"/>
          <w:snapToGrid w:val="0"/>
          <w:color w:val="auto"/>
          <w:spacing w:val="0"/>
          <w:kern w:val="0"/>
          <w:sz w:val="32"/>
          <w:szCs w:val="32"/>
          <w:highlight w:val="none"/>
          <w:lang w:eastAsia="zh-CN"/>
        </w:rPr>
        <w:t>，如实</w:t>
      </w:r>
      <w:r>
        <w:rPr>
          <w:rFonts w:hint="eastAsia" w:ascii="仿宋_GB2312" w:hAnsi="仿宋_GB2312" w:eastAsia="仿宋_GB2312" w:cs="仿宋_GB2312"/>
          <w:snapToGrid w:val="0"/>
          <w:color w:val="auto"/>
          <w:spacing w:val="0"/>
          <w:kern w:val="0"/>
          <w:sz w:val="32"/>
          <w:szCs w:val="32"/>
          <w:highlight w:val="none"/>
          <w:lang w:val="en-US" w:eastAsia="zh-CN"/>
        </w:rPr>
        <w:t>提供有效的费用清单、医疗票据，并承担解释责任</w:t>
      </w:r>
      <w:r>
        <w:rPr>
          <w:rFonts w:hint="eastAsia" w:ascii="仿宋_GB2312" w:hAnsi="仿宋_GB2312" w:eastAsia="仿宋_GB2312" w:cs="仿宋_GB2312"/>
          <w:snapToGrid w:val="0"/>
          <w:color w:val="auto"/>
          <w:spacing w:val="0"/>
          <w:kern w:val="0"/>
          <w:sz w:val="32"/>
          <w:szCs w:val="32"/>
          <w:highlight w:val="none"/>
          <w:lang w:eastAsia="en-US"/>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val="en-US" w:eastAsia="zh-CN" w:bidi="ar-SA"/>
        </w:rPr>
        <w:t>乙方提供生育服务的，应指定专人协助做好新生儿落地参保登记等医保业务。</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乙方应为参保人员提供合理、必要的医疗服务，合理使用医保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基金，控制医疗费用不合理增长。</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val="en-US" w:eastAsia="zh-CN" w:bidi="ar-SA"/>
        </w:rPr>
        <w:t>乙方为新纳入定点的，在6个月辅导期内，不予开通门诊慢性特殊疾病服务、省外异地就医服务（区域医疗中心除外）。</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eastAsia="zh-CN" w:bidi="ar-SA"/>
        </w:rPr>
        <w:t>乙方</w:t>
      </w:r>
      <w:r>
        <w:rPr>
          <w:rFonts w:hint="eastAsia" w:ascii="仿宋_GB2312" w:hAnsi="仿宋_GB2312" w:eastAsia="仿宋_GB2312" w:cs="仿宋_GB2312"/>
          <w:color w:val="auto"/>
          <w:kern w:val="2"/>
          <w:sz w:val="32"/>
          <w:szCs w:val="32"/>
          <w:highlight w:val="none"/>
          <w:lang w:val="en-US" w:eastAsia="zh-CN" w:bidi="ar"/>
        </w:rPr>
        <w:t>提供假牙、假眼、假耳、假鼻</w:t>
      </w:r>
      <w:r>
        <w:rPr>
          <w:rFonts w:hint="eastAsia" w:ascii="仿宋_GB2312" w:hAnsi="仿宋_GB2312" w:eastAsia="仿宋_GB2312" w:cs="仿宋_GB2312"/>
          <w:color w:val="auto"/>
          <w:kern w:val="2"/>
          <w:sz w:val="32"/>
          <w:szCs w:val="32"/>
          <w:highlight w:val="none"/>
          <w:lang w:eastAsia="zh-CN" w:bidi="ar"/>
        </w:rPr>
        <w:t>等医疗辅助器具</w:t>
      </w:r>
      <w:r>
        <w:rPr>
          <w:rFonts w:hint="eastAsia" w:ascii="仿宋_GB2312" w:hAnsi="仿宋_GB2312" w:eastAsia="仿宋_GB2312" w:cs="仿宋_GB2312"/>
          <w:color w:val="auto"/>
          <w:kern w:val="2"/>
          <w:sz w:val="32"/>
          <w:szCs w:val="32"/>
          <w:highlight w:val="none"/>
          <w:lang w:val="en-US" w:eastAsia="zh-CN" w:bidi="ar"/>
        </w:rPr>
        <w:t>配置和调整服务</w:t>
      </w:r>
      <w:r>
        <w:rPr>
          <w:rFonts w:hint="eastAsia" w:ascii="仿宋_GB2312" w:hAnsi="仿宋_GB2312" w:eastAsia="仿宋_GB2312" w:cs="仿宋_GB2312"/>
          <w:color w:val="auto"/>
          <w:kern w:val="2"/>
          <w:sz w:val="32"/>
          <w:szCs w:val="32"/>
          <w:highlight w:val="none"/>
          <w:lang w:eastAsia="zh-CN" w:bidi="ar"/>
        </w:rPr>
        <w:t>的，应按工伤保险有关规定为工伤患者提供辅助器具配置服务</w:t>
      </w:r>
      <w:r>
        <w:rPr>
          <w:rFonts w:hint="eastAsia" w:ascii="仿宋_GB2312" w:hAnsi="仿宋_GB2312" w:eastAsia="仿宋_GB2312" w:cs="仿宋_GB2312"/>
          <w:snapToGrid w:val="0"/>
          <w:color w:val="auto"/>
          <w:spacing w:val="0"/>
          <w:kern w:val="0"/>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rPr>
        <w:t>第九条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医保目录</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en-US"/>
        </w:rPr>
        <w:t xml:space="preserve"> 甲方应指导乙方做好基本医疗保险、</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生育保险药品、医用耗材、医疗服务项目等目录(以下简称“医保目录”)的对应工作。</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en-US" w:bidi="ar-SA"/>
        </w:rPr>
      </w:pPr>
      <w:r>
        <w:rPr>
          <w:rFonts w:hint="eastAsia" w:ascii="仿宋_GB2312" w:hAnsi="仿宋_GB2312" w:eastAsia="仿宋_GB2312" w:cs="仿宋_GB2312"/>
          <w:snapToGrid w:val="0"/>
          <w:color w:val="auto"/>
          <w:spacing w:val="0"/>
          <w:kern w:val="0"/>
          <w:sz w:val="32"/>
          <w:szCs w:val="32"/>
          <w:highlight w:val="none"/>
          <w:lang w:val="en-US" w:eastAsia="en-US" w:bidi="ar-SA"/>
        </w:rPr>
        <w:t>乙方应严格执行</w:t>
      </w:r>
      <w:r>
        <w:rPr>
          <w:rFonts w:hint="eastAsia" w:ascii="仿宋_GB2312" w:hAnsi="仿宋_GB2312" w:eastAsia="仿宋_GB2312" w:cs="仿宋_GB2312"/>
          <w:snapToGrid w:val="0"/>
          <w:color w:val="auto"/>
          <w:spacing w:val="0"/>
          <w:kern w:val="0"/>
          <w:sz w:val="32"/>
          <w:szCs w:val="32"/>
          <w:highlight w:val="none"/>
          <w:lang w:val="en-US" w:eastAsia="zh-CN" w:bidi="ar-SA"/>
        </w:rPr>
        <w:t>我省</w:t>
      </w:r>
      <w:r>
        <w:rPr>
          <w:rFonts w:hint="eastAsia" w:ascii="仿宋_GB2312" w:hAnsi="仿宋_GB2312" w:eastAsia="仿宋_GB2312" w:cs="仿宋_GB2312"/>
          <w:snapToGrid w:val="0"/>
          <w:color w:val="auto"/>
          <w:spacing w:val="0"/>
          <w:kern w:val="0"/>
          <w:sz w:val="32"/>
          <w:szCs w:val="32"/>
          <w:highlight w:val="none"/>
          <w:lang w:val="en-US" w:eastAsia="en-US" w:bidi="ar-SA"/>
        </w:rPr>
        <w:t>医保目录对支付范围、支付标准等的要求，</w:t>
      </w:r>
      <w:r>
        <w:rPr>
          <w:rFonts w:hint="eastAsia" w:ascii="仿宋_GB2312" w:hAnsi="仿宋_GB2312" w:eastAsia="仿宋_GB2312" w:cs="仿宋_GB2312"/>
          <w:snapToGrid w:val="0"/>
          <w:color w:val="auto"/>
          <w:spacing w:val="0"/>
          <w:kern w:val="0"/>
          <w:sz w:val="32"/>
          <w:szCs w:val="32"/>
          <w:highlight w:val="none"/>
          <w:lang w:val="en-US" w:eastAsia="zh-CN" w:bidi="ar-SA"/>
        </w:rPr>
        <w:t>对参保人员用药应遵循药品说明书，严格掌握药品目录内部分药品的限定支付范围并留存用药依据以便于甲方核查。</w:t>
      </w:r>
      <w:r>
        <w:rPr>
          <w:rFonts w:hint="eastAsia" w:ascii="仿宋_GB2312" w:hAnsi="仿宋_GB2312" w:eastAsia="仿宋_GB2312" w:cs="仿宋_GB2312"/>
          <w:snapToGrid w:val="0"/>
          <w:color w:val="auto"/>
          <w:spacing w:val="0"/>
          <w:kern w:val="0"/>
          <w:sz w:val="32"/>
          <w:szCs w:val="32"/>
          <w:highlight w:val="none"/>
          <w:lang w:val="en-US" w:eastAsia="en-US" w:bidi="ar-SA"/>
        </w:rPr>
        <w:t>乙方</w:t>
      </w:r>
      <w:r>
        <w:rPr>
          <w:rFonts w:hint="eastAsia" w:ascii="仿宋_GB2312" w:hAnsi="仿宋_GB2312" w:eastAsia="仿宋_GB2312" w:cs="仿宋_GB2312"/>
          <w:snapToGrid w:val="0"/>
          <w:color w:val="auto"/>
          <w:spacing w:val="0"/>
          <w:kern w:val="0"/>
          <w:sz w:val="32"/>
          <w:szCs w:val="32"/>
          <w:highlight w:val="none"/>
          <w:lang w:val="en-US" w:eastAsia="zh-CN" w:bidi="ar-SA"/>
        </w:rPr>
        <w:t>用药及医用耗材</w:t>
      </w:r>
      <w:r>
        <w:rPr>
          <w:rFonts w:hint="eastAsia" w:ascii="仿宋_GB2312" w:hAnsi="仿宋_GB2312" w:eastAsia="仿宋_GB2312" w:cs="仿宋_GB2312"/>
          <w:snapToGrid w:val="0"/>
          <w:color w:val="auto"/>
          <w:spacing w:val="0"/>
          <w:kern w:val="0"/>
          <w:sz w:val="32"/>
          <w:szCs w:val="32"/>
          <w:highlight w:val="none"/>
          <w:lang w:val="en-US" w:eastAsia="en-US" w:bidi="ar-SA"/>
        </w:rPr>
        <w:t>超出医保目录</w:t>
      </w:r>
      <w:r>
        <w:rPr>
          <w:rFonts w:hint="eastAsia" w:ascii="仿宋_GB2312" w:hAnsi="仿宋_GB2312" w:eastAsia="仿宋_GB2312" w:cs="仿宋_GB2312"/>
          <w:snapToGrid w:val="0"/>
          <w:color w:val="auto"/>
          <w:spacing w:val="0"/>
          <w:kern w:val="0"/>
          <w:sz w:val="32"/>
          <w:szCs w:val="32"/>
          <w:highlight w:val="none"/>
          <w:lang w:val="en-US" w:eastAsia="zh-CN" w:bidi="ar-SA"/>
        </w:rPr>
        <w:t>、支付标准</w:t>
      </w:r>
      <w:r>
        <w:rPr>
          <w:rFonts w:hint="eastAsia" w:ascii="仿宋_GB2312" w:hAnsi="仿宋_GB2312" w:eastAsia="仿宋_GB2312" w:cs="仿宋_GB2312"/>
          <w:snapToGrid w:val="0"/>
          <w:color w:val="auto"/>
          <w:spacing w:val="0"/>
          <w:kern w:val="0"/>
          <w:sz w:val="32"/>
          <w:szCs w:val="32"/>
          <w:highlight w:val="none"/>
          <w:lang w:val="en-US" w:eastAsia="en-US" w:bidi="ar-SA"/>
        </w:rPr>
        <w:t>范围、药品法定适应症</w:t>
      </w:r>
      <w:r>
        <w:rPr>
          <w:rFonts w:hint="eastAsia" w:ascii="仿宋_GB2312" w:hAnsi="仿宋_GB2312" w:eastAsia="仿宋_GB2312" w:cs="仿宋_GB2312"/>
          <w:snapToGrid w:val="0"/>
          <w:color w:val="auto"/>
          <w:spacing w:val="0"/>
          <w:kern w:val="0"/>
          <w:sz w:val="32"/>
          <w:szCs w:val="32"/>
          <w:highlight w:val="none"/>
          <w:lang w:val="en-US" w:eastAsia="zh-CN" w:bidi="ar-SA"/>
        </w:rPr>
        <w:t>、药品或医用耗材目录特殊限定范围、缺乏相关依据</w:t>
      </w:r>
      <w:r>
        <w:rPr>
          <w:rFonts w:hint="eastAsia" w:ascii="仿宋_GB2312" w:hAnsi="仿宋_GB2312" w:eastAsia="仿宋_GB2312" w:cs="仿宋_GB2312"/>
          <w:snapToGrid w:val="0"/>
          <w:color w:val="auto"/>
          <w:spacing w:val="0"/>
          <w:kern w:val="0"/>
          <w:sz w:val="32"/>
          <w:szCs w:val="32"/>
          <w:highlight w:val="none"/>
          <w:lang w:val="en-US" w:eastAsia="en-US" w:bidi="ar-SA"/>
        </w:rPr>
        <w:t>等的费用，甲方统筹基金</w:t>
      </w:r>
      <w:r>
        <w:rPr>
          <w:rFonts w:hint="eastAsia" w:ascii="仿宋_GB2312" w:hAnsi="仿宋_GB2312" w:eastAsia="仿宋_GB2312" w:cs="仿宋_GB2312"/>
          <w:snapToGrid w:val="0"/>
          <w:color w:val="auto"/>
          <w:spacing w:val="0"/>
          <w:kern w:val="0"/>
          <w:sz w:val="32"/>
          <w:szCs w:val="32"/>
          <w:highlight w:val="none"/>
          <w:lang w:val="en-US" w:eastAsia="zh-CN" w:bidi="ar-SA"/>
        </w:rPr>
        <w:t>（含职工大额、居民大病基金、公务员医疗补助等）</w:t>
      </w:r>
      <w:r>
        <w:rPr>
          <w:rFonts w:hint="eastAsia" w:ascii="仿宋_GB2312" w:hAnsi="仿宋_GB2312" w:eastAsia="仿宋_GB2312" w:cs="仿宋_GB2312"/>
          <w:snapToGrid w:val="0"/>
          <w:color w:val="auto"/>
          <w:spacing w:val="0"/>
          <w:kern w:val="0"/>
          <w:sz w:val="32"/>
          <w:szCs w:val="32"/>
          <w:highlight w:val="none"/>
          <w:lang w:val="en-US" w:eastAsia="en-US" w:bidi="ar-SA"/>
        </w:rPr>
        <w:t>不予支付。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应优先配备使用医保目录药品，并建立本机构药品配备与《基本医疗保险药品目录》(以下简称《药品目录》)联动机制，根据《药品目录》调整结果及时对本机构用药目录进行调整和优化。乙方不得以医保总额预算、医疗机构用药限制、药占比</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次均费用、药事委员会审定</w:t>
      </w:r>
      <w:r>
        <w:rPr>
          <w:rFonts w:hint="eastAsia" w:ascii="仿宋_GB2312" w:hAnsi="仿宋_GB2312" w:eastAsia="仿宋_GB2312" w:cs="仿宋_GB2312"/>
          <w:snapToGrid w:val="0"/>
          <w:color w:val="auto"/>
          <w:spacing w:val="0"/>
          <w:kern w:val="0"/>
          <w:sz w:val="32"/>
          <w:szCs w:val="32"/>
          <w:highlight w:val="none"/>
          <w:lang w:eastAsia="en-US"/>
        </w:rPr>
        <w:t>等为由，减少《药品目录》内药品的合理配备、使用。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en-US" w:bidi="ar-SA"/>
        </w:rPr>
      </w:pPr>
      <w:r>
        <w:rPr>
          <w:rFonts w:hint="eastAsia" w:ascii="仿宋_GB2312" w:hAnsi="仿宋_GB2312" w:eastAsia="仿宋_GB2312" w:cs="仿宋_GB2312"/>
          <w:snapToGrid w:val="0"/>
          <w:color w:val="auto"/>
          <w:spacing w:val="0"/>
          <w:kern w:val="0"/>
          <w:sz w:val="32"/>
          <w:szCs w:val="32"/>
          <w:highlight w:val="none"/>
          <w:shd w:val="clear"/>
          <w:lang w:val="en-US" w:eastAsia="en-US" w:bidi="ar-SA"/>
        </w:rPr>
        <w:t>要严格落实合理用药主体责任，建立院内药品配备与药品目录调整联动机制，国家医保药品目录发布两个月内统筹召开药事会，将临床有使用需求，尤其是住院有需求以及零售药店不得经营的谈判药品配备齐全。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乙方为基层定点医疗机构</w:t>
      </w:r>
      <w:r>
        <w:rPr>
          <w:rFonts w:hint="eastAsia" w:ascii="仿宋_GB2312" w:hAnsi="仿宋_GB2312" w:eastAsia="仿宋_GB2312" w:cs="仿宋_GB2312"/>
          <w:snapToGrid w:val="0"/>
          <w:color w:val="auto"/>
          <w:spacing w:val="0"/>
          <w:kern w:val="0"/>
          <w:sz w:val="32"/>
          <w:szCs w:val="32"/>
          <w:highlight w:val="none"/>
          <w:lang w:eastAsia="zh-CN"/>
        </w:rPr>
        <w:t>的</w:t>
      </w:r>
      <w:r>
        <w:rPr>
          <w:rFonts w:hint="eastAsia" w:ascii="仿宋_GB2312" w:hAnsi="仿宋_GB2312" w:eastAsia="仿宋_GB2312" w:cs="仿宋_GB2312"/>
          <w:strike w:val="0"/>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eastAsia="en-US"/>
        </w:rPr>
        <w:t>配备的《药品目录》内药品品种，应满足参保人员基本用药需求。</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08"/>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val="en-US" w:eastAsia="zh-CN" w:bidi="ar-SA"/>
        </w:rPr>
        <w:t>乙方工作人员开具西药处方应符合西医疾病诊治原则，开具中成药、中药饮片处方应遵循中医辨证施治原则，由具有相应资质的医师开具的西药、中成药处方和中药饮片，基金方可按规定支付。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乙方应采取措施鼓励医师按照先甲类后乙类、先口服制剂后注射制剂等原则选择药品；药品目录中最小分类下的同类药品不宜叠加使用。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08"/>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val="en-US" w:eastAsia="zh-CN" w:bidi="ar-SA"/>
        </w:rPr>
        <w:t>乙方应严格执行《抗菌药物临床应用指导原则》规定，并由符合资质的医师开具处方，医保基金方可支付。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黑体" w:hAnsi="黑体" w:eastAsia="黑体" w:cs="黑体"/>
          <w:b w:val="0"/>
          <w:bCs w:val="0"/>
          <w:snapToGrid w:val="0"/>
          <w:color w:val="auto"/>
          <w:spacing w:val="0"/>
          <w:kern w:val="0"/>
          <w:sz w:val="32"/>
          <w:szCs w:val="32"/>
          <w:highlight w:val="none"/>
          <w:lang w:val="en-US" w:eastAsia="en-US" w:bidi="ar-SA"/>
        </w:rPr>
        <w:t>第十条</w:t>
      </w:r>
      <w:r>
        <w:rPr>
          <w:rFonts w:hint="eastAsia" w:ascii="黑体" w:hAnsi="黑体" w:eastAsia="黑体" w:cs="黑体"/>
          <w:b w:val="0"/>
          <w:snapToGrid w:val="0"/>
          <w:color w:val="auto"/>
          <w:spacing w:val="0"/>
          <w:kern w:val="0"/>
          <w:sz w:val="32"/>
          <w:szCs w:val="32"/>
          <w:highlight w:val="none"/>
          <w:lang w:val="en-US" w:eastAsia="en-US" w:bidi="ar-SA"/>
        </w:rPr>
        <w:t>【就医核验】</w:t>
      </w:r>
      <w:r>
        <w:rPr>
          <w:rFonts w:hint="eastAsia" w:ascii="仿宋_GB2312" w:hAnsi="仿宋_GB2312" w:eastAsia="仿宋_GB2312" w:cs="仿宋_GB2312"/>
          <w:b/>
          <w:bCs/>
          <w:snapToGrid w:val="0"/>
          <w:color w:val="auto"/>
          <w:spacing w:val="0"/>
          <w:kern w:val="0"/>
          <w:sz w:val="32"/>
          <w:szCs w:val="32"/>
          <w:highlight w:val="none"/>
          <w:lang w:val="en-US" w:eastAsia="zh-CN" w:bidi="ar-SA"/>
        </w:rPr>
        <w:t xml:space="preserve"> </w:t>
      </w:r>
      <w:r>
        <w:rPr>
          <w:rFonts w:hint="eastAsia" w:ascii="仿宋_GB2312" w:hAnsi="仿宋_GB2312" w:eastAsia="仿宋_GB2312" w:cs="仿宋_GB2312"/>
          <w:snapToGrid w:val="0"/>
          <w:color w:val="auto"/>
          <w:spacing w:val="0"/>
          <w:kern w:val="0"/>
          <w:sz w:val="32"/>
          <w:szCs w:val="32"/>
          <w:highlight w:val="none"/>
          <w:lang w:val="en-US" w:eastAsia="en-US" w:bidi="ar-SA"/>
        </w:rPr>
        <w:t>乙方及其工作人员应当执行实名就医和购药管理规定，</w:t>
      </w:r>
      <w:r>
        <w:rPr>
          <w:rFonts w:hint="eastAsia" w:ascii="仿宋_GB2312" w:hAnsi="仿宋_GB2312" w:eastAsia="仿宋_GB2312" w:cs="仿宋_GB2312"/>
          <w:snapToGrid w:val="0"/>
          <w:color w:val="auto"/>
          <w:spacing w:val="0"/>
          <w:kern w:val="0"/>
          <w:sz w:val="32"/>
          <w:szCs w:val="32"/>
          <w:highlight w:val="none"/>
          <w:lang w:val="en-US" w:eastAsia="zh-CN" w:bidi="ar-SA"/>
        </w:rPr>
        <w:t>参保人员就医时（包括挂号、记账收费、出入院和转诊转院等），乙方应</w:t>
      </w:r>
      <w:r>
        <w:rPr>
          <w:rFonts w:hint="eastAsia" w:ascii="仿宋_GB2312" w:hAnsi="仿宋_GB2312" w:eastAsia="仿宋_GB2312" w:cs="仿宋_GB2312"/>
          <w:snapToGrid w:val="0"/>
          <w:color w:val="auto"/>
          <w:spacing w:val="0"/>
          <w:kern w:val="0"/>
          <w:sz w:val="32"/>
          <w:szCs w:val="32"/>
          <w:highlight w:val="none"/>
          <w:lang w:val="en-US" w:eastAsia="en-US" w:bidi="ar-SA"/>
        </w:rPr>
        <w:t>核验参保人员医疗保障</w:t>
      </w:r>
      <w:r>
        <w:rPr>
          <w:rFonts w:hint="eastAsia" w:ascii="仿宋_GB2312" w:hAnsi="仿宋_GB2312" w:eastAsia="仿宋_GB2312" w:cs="仿宋_GB2312"/>
          <w:snapToGrid w:val="0"/>
          <w:color w:val="auto"/>
          <w:spacing w:val="0"/>
          <w:kern w:val="0"/>
          <w:sz w:val="32"/>
          <w:szCs w:val="32"/>
          <w:highlight w:val="none"/>
          <w:lang w:val="en-US" w:eastAsia="zh-CN" w:bidi="ar-SA"/>
        </w:rPr>
        <w:t>、</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val="en-US" w:eastAsia="en-US" w:bidi="ar-SA"/>
        </w:rPr>
        <w:t>凭证，做到人证相符</w:t>
      </w:r>
      <w:r>
        <w:rPr>
          <w:rFonts w:hint="eastAsia" w:ascii="仿宋_GB2312" w:hAnsi="仿宋_GB2312" w:eastAsia="仿宋_GB2312" w:cs="仿宋_GB2312"/>
          <w:snapToGrid w:val="0"/>
          <w:color w:val="auto"/>
          <w:spacing w:val="0"/>
          <w:kern w:val="0"/>
          <w:sz w:val="32"/>
          <w:szCs w:val="32"/>
          <w:highlight w:val="none"/>
          <w:lang w:val="en-US" w:eastAsia="zh-CN" w:bidi="ar-SA"/>
        </w:rPr>
        <w:t>，乙方医保部门应定期到业务科室进行检查，发现证件无效、人证不符的，不得进行医疗费用结算</w:t>
      </w:r>
      <w:r>
        <w:rPr>
          <w:rFonts w:hint="eastAsia" w:ascii="仿宋_GB2312" w:hAnsi="仿宋_GB2312" w:eastAsia="仿宋_GB2312" w:cs="仿宋_GB2312"/>
          <w:snapToGrid w:val="0"/>
          <w:color w:val="auto"/>
          <w:spacing w:val="0"/>
          <w:kern w:val="0"/>
          <w:sz w:val="32"/>
          <w:szCs w:val="32"/>
          <w:highlight w:val="none"/>
          <w:lang w:val="en-US" w:eastAsia="en-US" w:bidi="ar-SA"/>
        </w:rPr>
        <w:t>。门诊就诊参保人员因特殊原因需要委托他人代为购药的，乙方应当核验委托人和受托人的身份证明，并做好记录。</w:t>
      </w:r>
      <w:r>
        <w:rPr>
          <w:rFonts w:hint="eastAsia" w:ascii="仿宋_GB2312" w:hAnsi="仿宋_GB2312" w:eastAsia="仿宋_GB2312" w:cs="仿宋_GB2312"/>
          <w:snapToGrid w:val="0"/>
          <w:color w:val="auto"/>
          <w:spacing w:val="0"/>
          <w:kern w:val="0"/>
          <w:sz w:val="32"/>
          <w:szCs w:val="32"/>
          <w:highlight w:val="none"/>
          <w:lang w:val="en-US" w:eastAsia="zh-CN" w:bidi="ar-SA"/>
        </w:rPr>
        <w:t>因参保人意识不清、昏迷等特殊原因无法对参保人进行身份核验时，原则上应当在医保结算前完成身份核验。乙方不得随意收集、留存参保人员医疗保障凭证，不得通过远程视频、照片等方式截取参保人医保码进行扫码结算。</w:t>
      </w:r>
      <w:r>
        <w:rPr>
          <w:rFonts w:hint="eastAsia" w:ascii="仿宋_GB2312" w:hAnsi="仿宋_GB2312" w:eastAsia="仿宋_GB2312" w:cs="仿宋_GB2312"/>
          <w:snapToGrid w:val="0"/>
          <w:color w:val="auto"/>
          <w:spacing w:val="0"/>
          <w:kern w:val="0"/>
          <w:sz w:val="32"/>
          <w:szCs w:val="32"/>
          <w:highlight w:val="none"/>
          <w:lang w:val="en-US" w:eastAsia="en-US" w:bidi="ar-SA"/>
        </w:rPr>
        <w:t>乙方不得诱导、协助他人冒名或者虚假就医、购药。</w:t>
      </w:r>
      <w:r>
        <w:rPr>
          <w:rFonts w:hint="eastAsia" w:ascii="仿宋_GB2312" w:hAnsi="仿宋_GB2312" w:eastAsia="仿宋_GB2312" w:cs="仿宋_GB2312"/>
          <w:snapToGrid w:val="0"/>
          <w:color w:val="auto"/>
          <w:spacing w:val="0"/>
          <w:kern w:val="0"/>
          <w:sz w:val="32"/>
          <w:szCs w:val="32"/>
          <w:highlight w:val="none"/>
          <w:lang w:val="en-US" w:eastAsia="zh-CN" w:bidi="ar-SA"/>
        </w:rPr>
        <w:t>有骗保嫌疑的，应当及时报告甲方。</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黑体" w:hAnsi="黑体" w:eastAsia="黑体" w:cs="黑体"/>
          <w:b w:val="0"/>
          <w:bCs w:val="0"/>
          <w:snapToGrid w:val="0"/>
          <w:color w:val="auto"/>
          <w:spacing w:val="0"/>
          <w:kern w:val="0"/>
          <w:sz w:val="32"/>
          <w:szCs w:val="32"/>
          <w:highlight w:val="none"/>
          <w:lang w:eastAsia="en-US"/>
        </w:rPr>
        <w:t>第十一条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门诊统筹</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en-US"/>
        </w:rPr>
        <w:t xml:space="preserve"> 乙方应为参保人员享受门诊统筹待遇提供便利条件。</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黑体" w:hAnsi="黑体" w:eastAsia="黑体" w:cs="黑体"/>
          <w:b w:val="0"/>
          <w:bCs w:val="0"/>
          <w:snapToGrid w:val="0"/>
          <w:color w:val="auto"/>
          <w:spacing w:val="0"/>
          <w:kern w:val="0"/>
          <w:sz w:val="32"/>
          <w:szCs w:val="32"/>
          <w:highlight w:val="none"/>
          <w:lang w:eastAsia="en-US"/>
        </w:rPr>
        <w:t>第十二条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处方管理</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乙方应按照国家处方管理相关规定，认真做好处方的开具、调剂、保管工作</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乙方为参保人员开具门诊处方、诊疗项目的品种和数量应当符合本次就诊病情所需</w:t>
      </w:r>
      <w:r>
        <w:rPr>
          <w:rFonts w:hint="eastAsia" w:ascii="仿宋_GB2312" w:hAnsi="仿宋_GB2312" w:eastAsia="仿宋_GB2312" w:cs="仿宋_GB2312"/>
          <w:snapToGrid w:val="0"/>
          <w:color w:val="auto"/>
          <w:spacing w:val="0"/>
          <w:kern w:val="0"/>
          <w:sz w:val="32"/>
          <w:szCs w:val="32"/>
          <w:highlight w:val="none"/>
          <w:lang w:eastAsia="en-US"/>
        </w:rPr>
        <w:t>。乙方为门诊就诊参保人员开具的药品符合处方管理相关规定的，医保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基金按规定予以支付。乙方应</w:t>
      </w:r>
      <w:r>
        <w:rPr>
          <w:rFonts w:hint="eastAsia" w:ascii="仿宋_GB2312" w:hAnsi="仿宋_GB2312" w:eastAsia="仿宋_GB2312" w:cs="仿宋_GB2312"/>
          <w:snapToGrid w:val="0"/>
          <w:color w:val="auto"/>
          <w:spacing w:val="0"/>
          <w:kern w:val="0"/>
          <w:sz w:val="32"/>
          <w:szCs w:val="32"/>
          <w:highlight w:val="none"/>
          <w:lang w:eastAsia="zh-CN"/>
        </w:rPr>
        <w:t>按照</w:t>
      </w:r>
      <w:r>
        <w:rPr>
          <w:rFonts w:hint="eastAsia" w:ascii="仿宋_GB2312" w:hAnsi="仿宋_GB2312" w:eastAsia="仿宋_GB2312" w:cs="仿宋_GB2312"/>
          <w:snapToGrid w:val="0"/>
          <w:color w:val="auto"/>
          <w:spacing w:val="0"/>
          <w:kern w:val="0"/>
          <w:sz w:val="32"/>
          <w:szCs w:val="32"/>
          <w:highlight w:val="none"/>
          <w:lang w:eastAsia="en-US"/>
        </w:rPr>
        <w:t>处方外配相关规定，</w:t>
      </w:r>
      <w:r>
        <w:rPr>
          <w:rFonts w:hint="eastAsia" w:ascii="仿宋_GB2312" w:hAnsi="仿宋_GB2312" w:eastAsia="仿宋_GB2312" w:cs="仿宋_GB2312"/>
          <w:snapToGrid w:val="0"/>
          <w:color w:val="auto"/>
          <w:spacing w:val="0"/>
          <w:kern w:val="0"/>
          <w:sz w:val="32"/>
          <w:szCs w:val="32"/>
          <w:highlight w:val="none"/>
          <w:lang w:eastAsia="zh-CN"/>
        </w:rPr>
        <w:t>为参保人员开具电子外配处方，并</w:t>
      </w:r>
      <w:r>
        <w:rPr>
          <w:rFonts w:hint="eastAsia" w:ascii="仿宋_GB2312" w:hAnsi="仿宋_GB2312" w:eastAsia="仿宋_GB2312" w:cs="仿宋_GB2312"/>
          <w:snapToGrid w:val="0"/>
          <w:color w:val="auto"/>
          <w:spacing w:val="0"/>
          <w:kern w:val="0"/>
          <w:sz w:val="32"/>
          <w:szCs w:val="32"/>
          <w:highlight w:val="none"/>
          <w:lang w:eastAsia="en-US"/>
        </w:rPr>
        <w:t>上传至医保电子处方中心</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eastAsia="en-US"/>
        </w:rPr>
        <w:t>外配处方不得受乙方库存药品限制</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老年人等参保人员有需求的，乙方应</w:t>
      </w:r>
      <w:r>
        <w:rPr>
          <w:rFonts w:hint="eastAsia" w:ascii="仿宋_GB2312" w:hAnsi="仿宋_GB2312" w:eastAsia="仿宋_GB2312" w:cs="仿宋_GB2312"/>
          <w:snapToGrid w:val="0"/>
          <w:color w:val="auto"/>
          <w:spacing w:val="0"/>
          <w:kern w:val="0"/>
          <w:sz w:val="32"/>
          <w:szCs w:val="32"/>
          <w:highlight w:val="none"/>
          <w:lang w:eastAsia="zh-CN"/>
        </w:rPr>
        <w:t>将电子处方打印成纸质处方</w:t>
      </w:r>
      <w:r>
        <w:rPr>
          <w:rFonts w:hint="eastAsia" w:ascii="仿宋_GB2312" w:hAnsi="仿宋_GB2312" w:eastAsia="仿宋_GB2312" w:cs="仿宋_GB2312"/>
          <w:snapToGrid w:val="0"/>
          <w:color w:val="auto"/>
          <w:spacing w:val="0"/>
          <w:kern w:val="0"/>
          <w:sz w:val="32"/>
          <w:szCs w:val="32"/>
          <w:highlight w:val="none"/>
          <w:lang w:val="en-US" w:eastAsia="zh-CN"/>
        </w:rPr>
        <w:t>方便其到定点零售药店购药时作为引导凭证</w:t>
      </w:r>
      <w:r>
        <w:rPr>
          <w:rFonts w:hint="eastAsia" w:ascii="仿宋_GB2312" w:hAnsi="仿宋_GB2312" w:eastAsia="仿宋_GB2312" w:cs="仿宋_GB2312"/>
          <w:snapToGrid w:val="0"/>
          <w:color w:val="auto"/>
          <w:spacing w:val="0"/>
          <w:kern w:val="0"/>
          <w:sz w:val="32"/>
          <w:szCs w:val="32"/>
          <w:highlight w:val="none"/>
          <w:lang w:eastAsia="zh-CN"/>
        </w:rPr>
        <w:t>，乙方要将涉及参保人的所有外配处方留存备查。</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黑体" w:hAnsi="黑体" w:eastAsia="黑体" w:cs="黑体"/>
          <w:b w:val="0"/>
          <w:bCs w:val="0"/>
          <w:snapToGrid w:val="0"/>
          <w:color w:val="auto"/>
          <w:spacing w:val="0"/>
          <w:kern w:val="0"/>
          <w:sz w:val="32"/>
          <w:szCs w:val="32"/>
          <w:highlight w:val="none"/>
          <w:lang w:eastAsia="en-US"/>
        </w:rPr>
        <w:t>第十三条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“双通道”管理</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en-US"/>
        </w:rPr>
        <w:t xml:space="preserve"> 乙方应按照相关规定及时配备国家医保谈判药品，对确无法配备的，要按照</w:t>
      </w:r>
      <w:r>
        <w:rPr>
          <w:rFonts w:hint="eastAsia" w:ascii="仿宋_GB2312" w:hAnsi="仿宋_GB2312" w:eastAsia="仿宋_GB2312" w:cs="仿宋_GB2312"/>
          <w:snapToGrid w:val="0"/>
          <w:color w:val="auto"/>
          <w:spacing w:val="0"/>
          <w:kern w:val="0"/>
          <w:sz w:val="32"/>
          <w:szCs w:val="32"/>
          <w:highlight w:val="none"/>
          <w:lang w:val="en-US" w:eastAsia="zh-CN"/>
        </w:rPr>
        <w:t>我省</w:t>
      </w:r>
      <w:r>
        <w:rPr>
          <w:rFonts w:hint="eastAsia" w:ascii="仿宋_GB2312" w:hAnsi="仿宋_GB2312" w:eastAsia="仿宋_GB2312" w:cs="仿宋_GB2312"/>
          <w:snapToGrid w:val="0"/>
          <w:color w:val="auto"/>
          <w:spacing w:val="0"/>
          <w:kern w:val="0"/>
          <w:sz w:val="32"/>
          <w:szCs w:val="32"/>
          <w:highlight w:val="none"/>
          <w:lang w:eastAsia="en-US"/>
        </w:rPr>
        <w:t>“双通道”管理规定及时</w:t>
      </w:r>
      <w:r>
        <w:rPr>
          <w:rFonts w:hint="eastAsia" w:ascii="仿宋_GB2312" w:hAnsi="仿宋_GB2312" w:eastAsia="仿宋_GB2312" w:cs="仿宋_GB2312"/>
          <w:snapToGrid w:val="0"/>
          <w:color w:val="auto"/>
          <w:spacing w:val="0"/>
          <w:kern w:val="0"/>
          <w:sz w:val="32"/>
          <w:szCs w:val="32"/>
          <w:highlight w:val="none"/>
          <w:lang w:eastAsia="zh-CN"/>
        </w:rPr>
        <w:t>通过电子处方中心流转“双通道”药品处方，</w:t>
      </w:r>
      <w:r>
        <w:rPr>
          <w:rFonts w:hint="eastAsia" w:ascii="仿宋_GB2312" w:hAnsi="仿宋_GB2312" w:eastAsia="仿宋_GB2312" w:cs="仿宋_GB2312"/>
          <w:snapToGrid w:val="0"/>
          <w:color w:val="auto"/>
          <w:spacing w:val="0"/>
          <w:kern w:val="0"/>
          <w:sz w:val="32"/>
          <w:szCs w:val="32"/>
          <w:highlight w:val="none"/>
          <w:lang w:eastAsia="en-US"/>
        </w:rPr>
        <w:t>为参保人员提供处方外配服务</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做好“双通道”药品处方的开具、药师审方、外配管理和责任医师管理等工作。</w:t>
      </w:r>
      <w:r>
        <w:rPr>
          <w:rFonts w:hint="eastAsia" w:ascii="仿宋_GB2312" w:hAnsi="仿宋_GB2312" w:eastAsia="仿宋_GB2312" w:cs="仿宋_GB2312"/>
          <w:b w:val="0"/>
          <w:bCs w:val="0"/>
          <w:snapToGrid w:val="0"/>
          <w:color w:val="auto"/>
          <w:spacing w:val="0"/>
          <w:kern w:val="0"/>
          <w:sz w:val="32"/>
          <w:szCs w:val="32"/>
          <w:highlight w:val="none"/>
          <w:lang w:val="en-US" w:eastAsia="zh-CN"/>
        </w:rPr>
        <w:t>在使用“双通道”管理药品时，实行责任医师负责制度，责任医师在接诊过程中应认真核对参保患者身份，如实记录病情、开药时间和剂量，根据参保患者病情合理用药。</w:t>
      </w:r>
      <w:r>
        <w:rPr>
          <w:rFonts w:hint="eastAsia" w:ascii="仿宋_GB2312" w:hAnsi="仿宋_GB2312" w:eastAsia="仿宋_GB2312" w:cs="仿宋_GB2312"/>
          <w:snapToGrid w:val="0"/>
          <w:color w:val="auto"/>
          <w:spacing w:val="0"/>
          <w:kern w:val="0"/>
          <w:sz w:val="32"/>
          <w:szCs w:val="32"/>
          <w:highlight w:val="none"/>
          <w:lang w:eastAsia="en-US"/>
        </w:rPr>
        <w:t>乙方不得以医保总额预算、医疗机构用药目录数量限制、</w:t>
      </w:r>
      <w:r>
        <w:rPr>
          <w:rFonts w:hint="eastAsia" w:ascii="仿宋_GB2312" w:hAnsi="仿宋_GB2312" w:eastAsia="仿宋_GB2312" w:cs="仿宋_GB2312"/>
          <w:snapToGrid w:val="0"/>
          <w:color w:val="auto"/>
          <w:spacing w:val="0"/>
          <w:kern w:val="0"/>
          <w:sz w:val="32"/>
          <w:szCs w:val="32"/>
          <w:highlight w:val="none"/>
          <w:lang w:val="en-US" w:eastAsia="zh-CN"/>
        </w:rPr>
        <w:t>药事委员会审定、药占比、次均费用、</w:t>
      </w:r>
      <w:r>
        <w:rPr>
          <w:rFonts w:hint="eastAsia" w:ascii="仿宋_GB2312" w:hAnsi="仿宋_GB2312" w:eastAsia="仿宋_GB2312" w:cs="仿宋_GB2312"/>
          <w:snapToGrid w:val="0"/>
          <w:color w:val="auto"/>
          <w:spacing w:val="0"/>
          <w:kern w:val="0"/>
          <w:sz w:val="32"/>
          <w:szCs w:val="32"/>
          <w:highlight w:val="none"/>
          <w:lang w:eastAsia="en-US"/>
        </w:rPr>
        <w:t>医保绩效考核、已纳入“双通道”管理等为由，影响临床必需国谈药品的配备，乙方应做到应配尽配，合理使用。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rPr>
        <w:t>第十四条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医疗机构制剂管理</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经药品监督管理部门批准，乙方配制和使用的医疗机构制剂，</w:t>
      </w:r>
      <w:r>
        <w:rPr>
          <w:rFonts w:hint="eastAsia" w:ascii="仿宋_GB2312" w:hAnsi="仿宋_GB2312" w:eastAsia="仿宋_GB2312" w:cs="仿宋_GB2312"/>
          <w:snapToGrid w:val="0"/>
          <w:color w:val="auto"/>
          <w:spacing w:val="0"/>
          <w:kern w:val="0"/>
          <w:sz w:val="32"/>
          <w:szCs w:val="32"/>
          <w:highlight w:val="none"/>
          <w:lang w:val="en-US" w:eastAsia="zh-CN"/>
        </w:rPr>
        <w:t>经医疗保障行政部门核准后，可向甲方备案后进入基本医疗保险用药范围，</w:t>
      </w:r>
      <w:r>
        <w:rPr>
          <w:rFonts w:hint="eastAsia" w:ascii="仿宋_GB2312" w:hAnsi="仿宋_GB2312" w:eastAsia="仿宋_GB2312" w:cs="仿宋_GB2312"/>
          <w:snapToGrid w:val="0"/>
          <w:color w:val="auto"/>
          <w:spacing w:val="0"/>
          <w:kern w:val="0"/>
          <w:sz w:val="32"/>
          <w:szCs w:val="32"/>
          <w:highlight w:val="none"/>
          <w:lang w:eastAsia="en-US"/>
        </w:rPr>
        <w:t>以及经</w:t>
      </w:r>
      <w:r>
        <w:rPr>
          <w:rFonts w:hint="eastAsia" w:ascii="仿宋_GB2312" w:hAnsi="仿宋_GB2312" w:eastAsia="仿宋_GB2312" w:cs="仿宋_GB2312"/>
          <w:snapToGrid w:val="0"/>
          <w:color w:val="auto"/>
          <w:spacing w:val="0"/>
          <w:kern w:val="0"/>
          <w:sz w:val="32"/>
          <w:szCs w:val="32"/>
          <w:highlight w:val="none"/>
          <w:lang w:val="en-US" w:eastAsia="zh-CN"/>
        </w:rPr>
        <w:t>医疗保障行政部门</w:t>
      </w:r>
      <w:r>
        <w:rPr>
          <w:rFonts w:hint="eastAsia" w:ascii="仿宋_GB2312" w:hAnsi="仿宋_GB2312" w:eastAsia="仿宋_GB2312" w:cs="仿宋_GB2312"/>
          <w:snapToGrid w:val="0"/>
          <w:color w:val="auto"/>
          <w:spacing w:val="0"/>
          <w:kern w:val="0"/>
          <w:sz w:val="32"/>
          <w:szCs w:val="32"/>
          <w:highlight w:val="none"/>
          <w:lang w:eastAsia="en-US"/>
        </w:rPr>
        <w:t>批准其他医疗机构配制的可以在乙方调剂使用的制剂，按相关规定纳入医保基金支付。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rPr>
        <w:t>第十五条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门诊慢性特殊疾病基本管理</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zh-CN"/>
        </w:rPr>
        <w:t>具备</w:t>
      </w:r>
      <w:r>
        <w:rPr>
          <w:rFonts w:hint="eastAsia" w:ascii="仿宋_GB2312" w:hAnsi="仿宋_GB2312" w:eastAsia="仿宋_GB2312" w:cs="仿宋_GB2312"/>
          <w:snapToGrid w:val="0"/>
          <w:color w:val="auto"/>
          <w:spacing w:val="0"/>
          <w:kern w:val="0"/>
          <w:sz w:val="32"/>
          <w:szCs w:val="32"/>
          <w:highlight w:val="none"/>
          <w:lang w:eastAsia="en-US"/>
        </w:rPr>
        <w:t>门诊慢性病、特殊疾病(以下简称“门诊慢特病”)病种</w:t>
      </w:r>
      <w:r>
        <w:rPr>
          <w:rFonts w:hint="eastAsia" w:ascii="仿宋_GB2312" w:hAnsi="仿宋_GB2312" w:eastAsia="仿宋_GB2312" w:cs="仿宋_GB2312"/>
          <w:snapToGrid w:val="0"/>
          <w:color w:val="auto"/>
          <w:spacing w:val="0"/>
          <w:kern w:val="0"/>
          <w:sz w:val="32"/>
          <w:szCs w:val="32"/>
          <w:highlight w:val="none"/>
          <w:lang w:eastAsia="zh-CN"/>
        </w:rPr>
        <w:t>认定资格（见附件</w:t>
      </w:r>
      <w:r>
        <w:rPr>
          <w:rFonts w:hint="eastAsia" w:ascii="仿宋_GB2312" w:hAnsi="仿宋_GB2312" w:eastAsia="仿宋_GB2312" w:cs="仿宋_GB2312"/>
          <w:snapToGrid w:val="0"/>
          <w:color w:val="auto"/>
          <w:spacing w:val="0"/>
          <w:kern w:val="0"/>
          <w:sz w:val="32"/>
          <w:szCs w:val="32"/>
          <w:highlight w:val="none"/>
          <w:lang w:val="en-US" w:eastAsia="zh-CN"/>
        </w:rPr>
        <w:t>2</w:t>
      </w:r>
      <w:r>
        <w:rPr>
          <w:rFonts w:hint="eastAsia" w:ascii="仿宋_GB2312" w:hAnsi="仿宋_GB2312" w:eastAsia="仿宋_GB2312" w:cs="仿宋_GB2312"/>
          <w:snapToGrid w:val="0"/>
          <w:color w:val="auto"/>
          <w:spacing w:val="0"/>
          <w:kern w:val="0"/>
          <w:sz w:val="32"/>
          <w:szCs w:val="32"/>
          <w:highlight w:val="none"/>
          <w:lang w:eastAsia="zh-CN"/>
        </w:rPr>
        <w:t>）的</w:t>
      </w:r>
      <w:r>
        <w:rPr>
          <w:rFonts w:hint="eastAsia" w:ascii="仿宋_GB2312" w:hAnsi="仿宋_GB2312" w:eastAsia="仿宋_GB2312" w:cs="仿宋_GB2312"/>
          <w:snapToGrid w:val="0"/>
          <w:color w:val="auto"/>
          <w:spacing w:val="0"/>
          <w:kern w:val="0"/>
          <w:sz w:val="32"/>
          <w:szCs w:val="32"/>
          <w:highlight w:val="none"/>
          <w:lang w:eastAsia="en-US"/>
        </w:rPr>
        <w:t>乙方提供门诊慢特病病种认定服务的，应严格</w:t>
      </w:r>
      <w:r>
        <w:rPr>
          <w:rFonts w:hint="eastAsia" w:ascii="仿宋_GB2312" w:hAnsi="仿宋_GB2312" w:eastAsia="仿宋_GB2312" w:cs="仿宋_GB2312"/>
          <w:snapToGrid w:val="0"/>
          <w:color w:val="auto"/>
          <w:spacing w:val="0"/>
          <w:kern w:val="0"/>
          <w:sz w:val="32"/>
          <w:szCs w:val="32"/>
          <w:highlight w:val="none"/>
          <w:lang w:val="en-US" w:eastAsia="zh-CN"/>
        </w:rPr>
        <w:t>按照</w:t>
      </w:r>
      <w:r>
        <w:rPr>
          <w:rFonts w:hint="eastAsia" w:ascii="仿宋_GB2312" w:hAnsi="仿宋_GB2312" w:eastAsia="仿宋_GB2312" w:cs="仿宋_GB2312"/>
          <w:snapToGrid w:val="0"/>
          <w:color w:val="auto"/>
          <w:spacing w:val="0"/>
          <w:kern w:val="0"/>
          <w:sz w:val="32"/>
          <w:szCs w:val="32"/>
          <w:highlight w:val="none"/>
          <w:lang w:eastAsia="zh-CN"/>
        </w:rPr>
        <w:t>《海南省基本医疗保险门诊慢性特殊疾病管理暂行办法》、《关于进一步加强基本医疗保险门诊慢性特殊疾病管理的通知》等</w:t>
      </w:r>
      <w:r>
        <w:rPr>
          <w:rFonts w:hint="eastAsia" w:ascii="仿宋_GB2312" w:hAnsi="仿宋_GB2312" w:eastAsia="仿宋_GB2312" w:cs="仿宋_GB2312"/>
          <w:snapToGrid w:val="0"/>
          <w:color w:val="auto"/>
          <w:spacing w:val="0"/>
          <w:kern w:val="0"/>
          <w:sz w:val="32"/>
          <w:szCs w:val="32"/>
          <w:highlight w:val="none"/>
          <w:lang w:val="en-US" w:eastAsia="zh-CN"/>
        </w:rPr>
        <w:t>相关</w:t>
      </w:r>
      <w:r>
        <w:rPr>
          <w:rFonts w:hint="eastAsia" w:ascii="仿宋_GB2312" w:hAnsi="仿宋_GB2312" w:eastAsia="仿宋_GB2312" w:cs="仿宋_GB2312"/>
          <w:snapToGrid w:val="0"/>
          <w:color w:val="auto"/>
          <w:spacing w:val="0"/>
          <w:kern w:val="0"/>
          <w:sz w:val="32"/>
          <w:szCs w:val="32"/>
          <w:highlight w:val="none"/>
          <w:lang w:eastAsia="en-US"/>
        </w:rPr>
        <w:t>规定进行认定</w:t>
      </w:r>
      <w:r>
        <w:rPr>
          <w:rFonts w:hint="eastAsia" w:ascii="仿宋_GB2312" w:hAnsi="仿宋_GB2312" w:eastAsia="仿宋_GB2312" w:cs="仿宋_GB2312"/>
          <w:snapToGrid w:val="0"/>
          <w:color w:val="auto"/>
          <w:spacing w:val="0"/>
          <w:kern w:val="0"/>
          <w:sz w:val="32"/>
          <w:szCs w:val="32"/>
          <w:highlight w:val="none"/>
          <w:lang w:val="en-US" w:eastAsia="zh-CN"/>
        </w:rPr>
        <w:t>审核</w:t>
      </w:r>
      <w:r>
        <w:rPr>
          <w:rFonts w:hint="eastAsia" w:ascii="仿宋_GB2312" w:hAnsi="仿宋_GB2312" w:eastAsia="仿宋_GB2312" w:cs="仿宋_GB2312"/>
          <w:snapToGrid w:val="0"/>
          <w:color w:val="auto"/>
          <w:spacing w:val="0"/>
          <w:kern w:val="0"/>
          <w:sz w:val="32"/>
          <w:szCs w:val="32"/>
          <w:highlight w:val="none"/>
          <w:lang w:eastAsia="en-US"/>
        </w:rPr>
        <w:t>，不得出具虚假认定资料</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并将相关认定资料按甲方要求存档，认定材料按照《医疗机构病历管理规定》相关规定保存备查。</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具备门诊慢特病诊治资格（</w:t>
      </w:r>
      <w:r>
        <w:rPr>
          <w:rFonts w:hint="eastAsia" w:ascii="仿宋_GB2312" w:hAnsi="仿宋_GB2312" w:eastAsia="仿宋_GB2312" w:cs="仿宋_GB2312"/>
          <w:snapToGrid w:val="0"/>
          <w:color w:val="auto"/>
          <w:spacing w:val="0"/>
          <w:kern w:val="0"/>
          <w:sz w:val="32"/>
          <w:szCs w:val="32"/>
          <w:highlight w:val="none"/>
          <w:lang w:val="en-US" w:eastAsia="zh-CN"/>
        </w:rPr>
        <w:t>见附件2</w:t>
      </w:r>
      <w:r>
        <w:rPr>
          <w:rFonts w:hint="eastAsia" w:ascii="仿宋_GB2312" w:hAnsi="仿宋_GB2312" w:eastAsia="仿宋_GB2312" w:cs="仿宋_GB2312"/>
          <w:snapToGrid w:val="0"/>
          <w:color w:val="auto"/>
          <w:spacing w:val="0"/>
          <w:kern w:val="0"/>
          <w:sz w:val="32"/>
          <w:szCs w:val="32"/>
          <w:highlight w:val="none"/>
          <w:lang w:eastAsia="zh-CN"/>
        </w:rPr>
        <w:t>）的</w:t>
      </w:r>
      <w:r>
        <w:rPr>
          <w:rFonts w:hint="eastAsia" w:ascii="仿宋_GB2312" w:hAnsi="仿宋_GB2312" w:eastAsia="仿宋_GB2312" w:cs="仿宋_GB2312"/>
          <w:snapToGrid w:val="0"/>
          <w:color w:val="auto"/>
          <w:spacing w:val="0"/>
          <w:kern w:val="0"/>
          <w:sz w:val="32"/>
          <w:szCs w:val="32"/>
          <w:highlight w:val="none"/>
          <w:lang w:eastAsia="en-US"/>
        </w:rPr>
        <w:t>乙方为门诊慢特病参保人员提供</w:t>
      </w:r>
      <w:r>
        <w:rPr>
          <w:rFonts w:hint="eastAsia" w:ascii="仿宋_GB2312" w:hAnsi="仿宋_GB2312" w:eastAsia="仿宋_GB2312" w:cs="仿宋_GB2312"/>
          <w:snapToGrid w:val="0"/>
          <w:color w:val="auto"/>
          <w:spacing w:val="0"/>
          <w:kern w:val="0"/>
          <w:sz w:val="32"/>
          <w:szCs w:val="32"/>
          <w:highlight w:val="none"/>
          <w:lang w:eastAsia="zh-CN"/>
        </w:rPr>
        <w:t>诊治</w:t>
      </w:r>
      <w:r>
        <w:rPr>
          <w:rFonts w:hint="eastAsia" w:ascii="仿宋_GB2312" w:hAnsi="仿宋_GB2312" w:eastAsia="仿宋_GB2312" w:cs="仿宋_GB2312"/>
          <w:snapToGrid w:val="0"/>
          <w:color w:val="auto"/>
          <w:spacing w:val="0"/>
          <w:kern w:val="0"/>
          <w:sz w:val="32"/>
          <w:szCs w:val="32"/>
          <w:highlight w:val="none"/>
          <w:lang w:eastAsia="en-US"/>
        </w:rPr>
        <w:t>服务的，应严格执行</w:t>
      </w:r>
      <w:r>
        <w:rPr>
          <w:rFonts w:hint="eastAsia" w:ascii="仿宋_GB2312" w:hAnsi="仿宋_GB2312" w:eastAsia="仿宋_GB2312" w:cs="仿宋_GB2312"/>
          <w:snapToGrid w:val="0"/>
          <w:color w:val="auto"/>
          <w:spacing w:val="0"/>
          <w:kern w:val="0"/>
          <w:sz w:val="32"/>
          <w:szCs w:val="32"/>
          <w:highlight w:val="none"/>
          <w:lang w:eastAsia="zh-CN"/>
        </w:rPr>
        <w:t>国家、海南省医疗保障</w:t>
      </w:r>
      <w:r>
        <w:rPr>
          <w:rFonts w:hint="eastAsia" w:ascii="仿宋_GB2312" w:hAnsi="仿宋_GB2312" w:eastAsia="仿宋_GB2312" w:cs="仿宋_GB2312"/>
          <w:snapToGrid w:val="0"/>
          <w:color w:val="auto"/>
          <w:spacing w:val="0"/>
          <w:kern w:val="0"/>
          <w:sz w:val="32"/>
          <w:szCs w:val="32"/>
          <w:highlight w:val="none"/>
          <w:lang w:eastAsia="en-US"/>
        </w:rPr>
        <w:t>相关规定</w:t>
      </w:r>
      <w:r>
        <w:rPr>
          <w:rFonts w:hint="eastAsia" w:ascii="仿宋_GB2312" w:hAnsi="仿宋_GB2312" w:eastAsia="仿宋_GB2312" w:cs="仿宋_GB2312"/>
          <w:snapToGrid w:val="0"/>
          <w:color w:val="auto"/>
          <w:spacing w:val="0"/>
          <w:kern w:val="0"/>
          <w:sz w:val="32"/>
          <w:szCs w:val="32"/>
          <w:highlight w:val="none"/>
          <w:lang w:eastAsia="zh-CN"/>
        </w:rPr>
        <w:t>，按照规定的诊治病种范围开展诊治服务，超范围的不予以基金结算</w:t>
      </w:r>
      <w:r>
        <w:rPr>
          <w:rFonts w:hint="eastAsia" w:ascii="仿宋_GB2312" w:hAnsi="仿宋_GB2312" w:eastAsia="仿宋_GB2312" w:cs="仿宋_GB2312"/>
          <w:snapToGrid w:val="0"/>
          <w:color w:val="auto"/>
          <w:spacing w:val="0"/>
          <w:kern w:val="0"/>
          <w:sz w:val="32"/>
          <w:szCs w:val="32"/>
          <w:highlight w:val="none"/>
          <w:lang w:eastAsia="en-US"/>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en-US" w:bidi="ar-SA"/>
        </w:rPr>
      </w:pPr>
      <w:r>
        <w:rPr>
          <w:rFonts w:hint="eastAsia" w:ascii="仿宋_GB2312" w:hAnsi="仿宋_GB2312" w:eastAsia="仿宋_GB2312" w:cs="仿宋_GB2312"/>
          <w:snapToGrid w:val="0"/>
          <w:color w:val="auto"/>
          <w:spacing w:val="0"/>
          <w:kern w:val="0"/>
          <w:sz w:val="32"/>
          <w:szCs w:val="32"/>
          <w:highlight w:val="none"/>
          <w:lang w:val="en-US" w:eastAsia="en-US" w:bidi="ar-SA"/>
        </w:rPr>
        <w:t>乙方可</w:t>
      </w:r>
      <w:r>
        <w:rPr>
          <w:rFonts w:hint="eastAsia" w:ascii="仿宋_GB2312" w:hAnsi="仿宋_GB2312" w:eastAsia="仿宋_GB2312" w:cs="仿宋_GB2312"/>
          <w:snapToGrid w:val="0"/>
          <w:color w:val="auto"/>
          <w:spacing w:val="0"/>
          <w:kern w:val="0"/>
          <w:sz w:val="32"/>
          <w:szCs w:val="32"/>
          <w:highlight w:val="none"/>
          <w:lang w:val="en-US" w:eastAsia="zh-CN" w:bidi="ar-SA"/>
        </w:rPr>
        <w:t>认定和</w:t>
      </w:r>
      <w:r>
        <w:rPr>
          <w:rFonts w:hint="eastAsia" w:ascii="仿宋_GB2312" w:hAnsi="仿宋_GB2312" w:eastAsia="仿宋_GB2312" w:cs="仿宋_GB2312"/>
          <w:snapToGrid w:val="0"/>
          <w:color w:val="auto"/>
          <w:spacing w:val="0"/>
          <w:kern w:val="0"/>
          <w:sz w:val="32"/>
          <w:szCs w:val="32"/>
          <w:highlight w:val="none"/>
          <w:lang w:val="en-US" w:eastAsia="en-US" w:bidi="ar-SA"/>
        </w:rPr>
        <w:t>诊治</w:t>
      </w:r>
      <w:r>
        <w:rPr>
          <w:rFonts w:hint="eastAsia" w:ascii="仿宋_GB2312" w:hAnsi="仿宋_GB2312" w:eastAsia="仿宋_GB2312" w:cs="仿宋_GB2312"/>
          <w:snapToGrid w:val="0"/>
          <w:color w:val="auto"/>
          <w:spacing w:val="0"/>
          <w:kern w:val="0"/>
          <w:sz w:val="32"/>
          <w:szCs w:val="32"/>
          <w:highlight w:val="none"/>
          <w:lang w:val="en-US" w:eastAsia="zh-CN" w:bidi="ar-SA"/>
        </w:rPr>
        <w:t>的</w:t>
      </w:r>
      <w:r>
        <w:rPr>
          <w:rFonts w:hint="eastAsia" w:ascii="仿宋_GB2312" w:hAnsi="仿宋_GB2312" w:eastAsia="仿宋_GB2312" w:cs="仿宋_GB2312"/>
          <w:snapToGrid w:val="0"/>
          <w:color w:val="auto"/>
          <w:spacing w:val="0"/>
          <w:kern w:val="0"/>
          <w:sz w:val="32"/>
          <w:szCs w:val="32"/>
          <w:highlight w:val="none"/>
          <w:lang w:val="en-US" w:eastAsia="en-US" w:bidi="ar-SA"/>
        </w:rPr>
        <w:t>门诊慢特病</w:t>
      </w:r>
      <w:r>
        <w:rPr>
          <w:rFonts w:hint="eastAsia" w:ascii="仿宋_GB2312" w:hAnsi="仿宋_GB2312" w:eastAsia="仿宋_GB2312" w:cs="仿宋_GB2312"/>
          <w:snapToGrid w:val="0"/>
          <w:color w:val="auto"/>
          <w:spacing w:val="0"/>
          <w:kern w:val="0"/>
          <w:sz w:val="32"/>
          <w:szCs w:val="32"/>
          <w:highlight w:val="none"/>
          <w:lang w:val="en-US" w:eastAsia="zh-CN" w:bidi="ar-SA"/>
        </w:rPr>
        <w:t>病</w:t>
      </w:r>
      <w:r>
        <w:rPr>
          <w:rFonts w:hint="eastAsia" w:ascii="仿宋_GB2312" w:hAnsi="仿宋_GB2312" w:eastAsia="仿宋_GB2312" w:cs="仿宋_GB2312"/>
          <w:snapToGrid w:val="0"/>
          <w:color w:val="auto"/>
          <w:spacing w:val="0"/>
          <w:kern w:val="0"/>
          <w:sz w:val="32"/>
          <w:szCs w:val="32"/>
          <w:highlight w:val="none"/>
          <w:lang w:val="en-US" w:eastAsia="en-US" w:bidi="ar-SA"/>
        </w:rPr>
        <w:t>种发生变化时，应及时提供医疗机构执业许可证、专科副主任（含）以上医生的医师资格证等材料向甲方进行备案。</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rPr>
        <w:t>第十六条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转诊转院</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en-US"/>
        </w:rPr>
        <w:t xml:space="preserve"> 乙方应当建立健全双向转诊转院制度，</w:t>
      </w:r>
      <w:r>
        <w:rPr>
          <w:rFonts w:hint="eastAsia" w:ascii="仿宋_GB2312" w:hAnsi="仿宋_GB2312" w:eastAsia="仿宋_GB2312" w:cs="仿宋_GB2312"/>
          <w:snapToGrid w:val="0"/>
          <w:color w:val="auto"/>
          <w:spacing w:val="0"/>
          <w:kern w:val="0"/>
          <w:sz w:val="32"/>
          <w:szCs w:val="32"/>
          <w:highlight w:val="none"/>
          <w:lang w:val="en-US" w:eastAsia="zh-CN"/>
        </w:rPr>
        <w:t>落实分级诊疗制度，严格掌握统筹区外转诊转院标准。确因医疗技术和设备条件限制，</w:t>
      </w:r>
      <w:r>
        <w:rPr>
          <w:rFonts w:hint="eastAsia" w:ascii="仿宋_GB2312" w:hAnsi="仿宋_GB2312" w:eastAsia="仿宋_GB2312" w:cs="仿宋_GB2312"/>
          <w:snapToGrid w:val="0"/>
          <w:color w:val="auto"/>
          <w:spacing w:val="0"/>
          <w:kern w:val="0"/>
          <w:sz w:val="32"/>
          <w:szCs w:val="32"/>
          <w:highlight w:val="none"/>
          <w:lang w:eastAsia="en-US"/>
        </w:rPr>
        <w:t>参保患者需转往其他医疗机构治疗的，乙方应为符合规定的参保患者提供转诊转院服务。</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color w:val="auto"/>
          <w:sz w:val="32"/>
          <w:szCs w:val="32"/>
          <w:highlight w:val="none"/>
        </w:rPr>
        <w:t>需转异地的工伤患者，按照工伤保险异地就医管理有关规定执行。跨统筹地区转诊、转院的，乙方应报甲方备案。</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b/>
          <w:bCs/>
          <w:snapToGrid w:val="0"/>
          <w:color w:val="auto"/>
          <w:spacing w:val="0"/>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rPr>
        <w:t>第十七条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家庭医生签约服务</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b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zh-CN"/>
        </w:rPr>
        <w:t>提供家庭医生签约服务的，应严格按照有关规定落实家庭医生签约</w:t>
      </w:r>
      <w:r>
        <w:rPr>
          <w:rFonts w:hint="eastAsia" w:ascii="仿宋_GB2312" w:hAnsi="仿宋_GB2312" w:eastAsia="仿宋_GB2312" w:cs="仿宋_GB2312"/>
          <w:i w:val="0"/>
          <w:caps w:val="0"/>
          <w:snapToGrid w:val="0"/>
          <w:color w:val="auto"/>
          <w:spacing w:val="0"/>
          <w:kern w:val="0"/>
          <w:sz w:val="32"/>
          <w:szCs w:val="32"/>
          <w:highlight w:val="none"/>
          <w:lang w:val="en-US" w:eastAsia="zh-CN" w:bidi="ar"/>
        </w:rPr>
        <w:t>基本服务包中的基本医疗服务部分。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黑体" w:hAnsi="黑体" w:eastAsia="黑体" w:cs="黑体"/>
          <w:b w:val="0"/>
          <w:bCs w:val="0"/>
          <w:snapToGrid w:val="0"/>
          <w:color w:val="auto"/>
          <w:spacing w:val="0"/>
          <w:kern w:val="0"/>
          <w:sz w:val="32"/>
          <w:szCs w:val="32"/>
          <w:highlight w:val="none"/>
          <w:lang w:eastAsia="en-US"/>
        </w:rPr>
        <w:t>第十八条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合理治疗</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en-US"/>
        </w:rPr>
        <w:t xml:space="preserve"> 乙方应当按照临床路径、诊疗规范为参保人员提供诊疗服务。乙方不得违反诊疗规范过度诊疗、过度检查、分解处方、超量开药、重复开药、工伤医疗伤病分离或者提供其他不必要的医药服务，造成医保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基金不合理支出。</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en-US"/>
        </w:rPr>
        <w:t>乙方应严格掌握出入院指征和重症监护病房收治标准。</w:t>
      </w:r>
      <w:r>
        <w:rPr>
          <w:rFonts w:hint="eastAsia" w:ascii="仿宋_GB2312" w:hAnsi="仿宋_GB2312" w:eastAsia="仿宋_GB2312" w:cs="仿宋_GB2312"/>
          <w:snapToGrid w:val="0"/>
          <w:color w:val="auto"/>
          <w:kern w:val="0"/>
          <w:sz w:val="32"/>
          <w:szCs w:val="32"/>
          <w:highlight w:val="none"/>
          <w:lang w:val="en-US" w:eastAsia="zh-CN"/>
        </w:rPr>
        <w:t>不得</w:t>
      </w:r>
      <w:r>
        <w:rPr>
          <w:rFonts w:hint="eastAsia" w:ascii="仿宋_GB2312" w:hAnsi="仿宋_GB2312" w:eastAsia="仿宋_GB2312" w:cs="仿宋_GB2312"/>
          <w:snapToGrid w:val="0"/>
          <w:color w:val="auto"/>
          <w:kern w:val="0"/>
          <w:sz w:val="32"/>
          <w:szCs w:val="32"/>
          <w:highlight w:val="none"/>
          <w:lang w:eastAsia="en-US"/>
        </w:rPr>
        <w:t>分解住院、挂床住院。</w:t>
      </w:r>
      <w:r>
        <w:rPr>
          <w:rFonts w:hint="eastAsia" w:ascii="仿宋_GB2312" w:hAnsi="仿宋_GB2312" w:eastAsia="仿宋_GB2312" w:cs="仿宋_GB2312"/>
          <w:snapToGrid w:val="0"/>
          <w:color w:val="auto"/>
          <w:kern w:val="0"/>
          <w:sz w:val="32"/>
          <w:szCs w:val="32"/>
          <w:highlight w:val="none"/>
          <w:lang w:eastAsia="zh-CN"/>
        </w:rPr>
        <w:t>乙方不得将住院费用中应由医保基金支付的费用转嫁患者自费。</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2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乙方应当加强药品占比、医疗服务性收入占比、医用耗材占比等内部监测指标管理，严格掌握各种药品、检查和治疗项目使用的适应症和禁忌症，严格控制自费的药品、诊疗项目、服务设施和医用耗材的使用比例，切实减轻参保人员个人负担。</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eastAsia="zh-CN"/>
        </w:rPr>
        <w:t>乙方应建立特殊药品、高值医用耗材（含植入类医疗器械）内部管理使用准入制度，按国家和我省医保政策相关规定，严格掌握其适用范围，并保存相关使用记录。</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08"/>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乙方使用物理治疗与康复、中医诊疗、精神科诊疗、口腔科治疗等项目应严格掌握适应症，乙方应建立治疗台账，明确记录治疗部位、次数、疗程和治疗目的、成效，并由操作医护人员签名确认，随时供甲方抽查。</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rPr>
        <w:t>第十九条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不正当方式就诊和办理住院</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en-US"/>
        </w:rPr>
        <w:t xml:space="preserve"> 乙方不得以医保支付、管理政策为由推诿拒收参保患者、转嫁参保人员医疗费用、降低参保人员医疗服务质量、减少合理和必要的药品及治疗，或要求未达到出院标准的参保人员提前出院或自费住院。</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参保患者住院期间，因病情需要在本机构内转科治疗的，乙方不得以医保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管理为由要求参保患者中途办理出院结算手续。</w:t>
      </w:r>
      <w:r>
        <w:rPr>
          <w:rFonts w:hint="eastAsia" w:ascii="仿宋_GB2312" w:hAnsi="仿宋_GB2312" w:eastAsia="仿宋_GB2312" w:cs="仿宋_GB2312"/>
          <w:snapToGrid w:val="0"/>
          <w:color w:val="auto"/>
          <w:spacing w:val="0"/>
          <w:kern w:val="0"/>
          <w:sz w:val="32"/>
          <w:szCs w:val="32"/>
          <w:highlight w:val="none"/>
          <w:lang w:eastAsia="zh-CN"/>
        </w:rPr>
        <w:t>生育或实施计划生育手术住院诊疗期间，按生育保险相关政策规定应进行生育医疗费用和基本医疗费用切割的情形除外。</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val="en-US" w:eastAsia="zh-CN" w:bidi="ar-SA"/>
        </w:rPr>
        <w:t>对符合出院条件的参保人员应及时办理出院手续，参保人员拒绝出院的，应当自通知其出院之日起，停止医疗保险</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val="en-US" w:eastAsia="zh-CN" w:bidi="ar-SA"/>
        </w:rPr>
        <w:t>费用结算。除急诊、择日住院等情形外，乙方不得将参保人员应由普通门诊结算的费用列入住院结算。</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val="en-US" w:eastAsia="zh-CN" w:bidi="ar-SA"/>
        </w:rPr>
        <w:t>乙方在参保患者出院时，不得带检查和治疗项目出院，出院带药的品种与住院疾病治疗有关，符合诊疗规范。</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trike w:val="0"/>
          <w:snapToGrid w:val="0"/>
          <w:color w:val="auto"/>
          <w:kern w:val="0"/>
          <w:sz w:val="32"/>
          <w:szCs w:val="32"/>
          <w:highlight w:val="none"/>
          <w:lang w:eastAsia="zh-CN"/>
        </w:rPr>
      </w:pPr>
      <w:r>
        <w:rPr>
          <w:rFonts w:hint="eastAsia" w:ascii="仿宋_GB2312" w:hAnsi="仿宋_GB2312" w:eastAsia="仿宋_GB2312" w:cs="仿宋_GB2312"/>
          <w:strike w:val="0"/>
          <w:snapToGrid w:val="0"/>
          <w:color w:val="auto"/>
          <w:spacing w:val="0"/>
          <w:kern w:val="0"/>
          <w:sz w:val="32"/>
          <w:szCs w:val="32"/>
          <w:highlight w:val="none"/>
          <w:lang w:eastAsia="en-US"/>
        </w:rPr>
        <w:t>乙方不得以病组和病种费用限额为由，要求患者院外购买或</w:t>
      </w:r>
      <w:r>
        <w:rPr>
          <w:rFonts w:hint="eastAsia" w:ascii="仿宋_GB2312" w:hAnsi="仿宋_GB2312" w:eastAsia="仿宋_GB2312" w:cs="仿宋_GB2312"/>
          <w:strike w:val="0"/>
          <w:snapToGrid w:val="0"/>
          <w:color w:val="auto"/>
          <w:kern w:val="0"/>
          <w:sz w:val="32"/>
          <w:szCs w:val="32"/>
          <w:highlight w:val="none"/>
          <w:lang w:eastAsia="en-US"/>
        </w:rPr>
        <w:t>自备药品、医用耗材，要求患者出院或减少必要的医疗服务。</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trike w:val="0"/>
          <w:snapToGrid w:val="0"/>
          <w:color w:val="auto"/>
          <w:spacing w:val="0"/>
          <w:kern w:val="0"/>
          <w:sz w:val="32"/>
          <w:szCs w:val="32"/>
          <w:highlight w:val="none"/>
          <w:lang w:val="en-US" w:eastAsia="en-US" w:bidi="ar-SA"/>
        </w:rPr>
        <w:t>乙方不得以转嫁住院费用为目的，</w:t>
      </w:r>
      <w:r>
        <w:rPr>
          <w:rFonts w:hint="eastAsia" w:ascii="仿宋_GB2312" w:hAnsi="仿宋_GB2312" w:eastAsia="仿宋_GB2312" w:cs="仿宋_GB2312"/>
          <w:strike w:val="0"/>
          <w:snapToGrid w:val="0"/>
          <w:color w:val="auto"/>
          <w:spacing w:val="0"/>
          <w:kern w:val="0"/>
          <w:sz w:val="32"/>
          <w:szCs w:val="32"/>
          <w:highlight w:val="none"/>
          <w:lang w:val="en-US" w:eastAsia="zh-CN" w:bidi="ar-SA"/>
        </w:rPr>
        <w:t>要求或</w:t>
      </w:r>
      <w:r>
        <w:rPr>
          <w:rFonts w:hint="eastAsia" w:ascii="仿宋_GB2312" w:hAnsi="仿宋_GB2312" w:eastAsia="仿宋_GB2312" w:cs="仿宋_GB2312"/>
          <w:strike w:val="0"/>
          <w:snapToGrid w:val="0"/>
          <w:color w:val="auto"/>
          <w:spacing w:val="0"/>
          <w:kern w:val="0"/>
          <w:sz w:val="32"/>
          <w:szCs w:val="32"/>
          <w:highlight w:val="none"/>
          <w:lang w:val="en-US" w:eastAsia="en-US" w:bidi="ar-SA"/>
        </w:rPr>
        <w:t>诱导参保人员在住院期间到门诊就医、药店</w:t>
      </w:r>
      <w:r>
        <w:rPr>
          <w:rFonts w:hint="eastAsia" w:ascii="仿宋_GB2312" w:hAnsi="仿宋_GB2312" w:eastAsia="仿宋_GB2312" w:cs="仿宋_GB2312"/>
          <w:strike w:val="0"/>
          <w:snapToGrid w:val="0"/>
          <w:color w:val="auto"/>
          <w:spacing w:val="0"/>
          <w:kern w:val="0"/>
          <w:sz w:val="32"/>
          <w:szCs w:val="32"/>
          <w:highlight w:val="none"/>
          <w:lang w:val="en-US" w:eastAsia="zh-CN" w:bidi="ar-SA"/>
        </w:rPr>
        <w:t>（包括院内外的药、械自助贩卖机）</w:t>
      </w:r>
      <w:r>
        <w:rPr>
          <w:rFonts w:hint="eastAsia" w:ascii="仿宋_GB2312" w:hAnsi="仿宋_GB2312" w:eastAsia="仿宋_GB2312" w:cs="仿宋_GB2312"/>
          <w:strike w:val="0"/>
          <w:snapToGrid w:val="0"/>
          <w:color w:val="auto"/>
          <w:spacing w:val="0"/>
          <w:kern w:val="0"/>
          <w:sz w:val="32"/>
          <w:szCs w:val="32"/>
          <w:highlight w:val="none"/>
          <w:lang w:val="en-US" w:eastAsia="en-US" w:bidi="ar-SA"/>
        </w:rPr>
        <w:t>购</w:t>
      </w:r>
      <w:r>
        <w:rPr>
          <w:rFonts w:hint="eastAsia" w:ascii="仿宋_GB2312" w:hAnsi="仿宋_GB2312" w:eastAsia="仿宋_GB2312" w:cs="仿宋_GB2312"/>
          <w:strike w:val="0"/>
          <w:snapToGrid w:val="0"/>
          <w:color w:val="auto"/>
          <w:spacing w:val="0"/>
          <w:kern w:val="0"/>
          <w:sz w:val="32"/>
          <w:szCs w:val="32"/>
          <w:highlight w:val="none"/>
          <w:lang w:val="en-US" w:eastAsia="zh-CN" w:bidi="ar-SA"/>
        </w:rPr>
        <w:t>买</w:t>
      </w:r>
      <w:r>
        <w:rPr>
          <w:rFonts w:hint="eastAsia" w:ascii="仿宋_GB2312" w:hAnsi="仿宋_GB2312" w:eastAsia="仿宋_GB2312" w:cs="仿宋_GB2312"/>
          <w:strike w:val="0"/>
          <w:snapToGrid w:val="0"/>
          <w:color w:val="auto"/>
          <w:spacing w:val="0"/>
          <w:kern w:val="0"/>
          <w:sz w:val="32"/>
          <w:szCs w:val="32"/>
          <w:highlight w:val="none"/>
          <w:lang w:val="en-US" w:eastAsia="en-US" w:bidi="ar-SA"/>
        </w:rPr>
        <w:t>药</w:t>
      </w:r>
      <w:r>
        <w:rPr>
          <w:rFonts w:hint="eastAsia" w:ascii="仿宋_GB2312" w:hAnsi="仿宋_GB2312" w:eastAsia="仿宋_GB2312" w:cs="仿宋_GB2312"/>
          <w:strike w:val="0"/>
          <w:snapToGrid w:val="0"/>
          <w:color w:val="auto"/>
          <w:spacing w:val="0"/>
          <w:kern w:val="0"/>
          <w:sz w:val="32"/>
          <w:szCs w:val="32"/>
          <w:highlight w:val="none"/>
          <w:lang w:val="en-US" w:eastAsia="zh-CN" w:bidi="ar-SA"/>
        </w:rPr>
        <w:t>、械</w:t>
      </w:r>
      <w:r>
        <w:rPr>
          <w:rFonts w:hint="eastAsia" w:ascii="仿宋_GB2312" w:hAnsi="仿宋_GB2312" w:eastAsia="仿宋_GB2312" w:cs="仿宋_GB2312"/>
          <w:strike w:val="0"/>
          <w:snapToGrid w:val="0"/>
          <w:color w:val="auto"/>
          <w:spacing w:val="0"/>
          <w:kern w:val="0"/>
          <w:sz w:val="32"/>
          <w:szCs w:val="32"/>
          <w:highlight w:val="none"/>
          <w:lang w:val="en-US" w:eastAsia="en-US" w:bidi="ar-SA"/>
        </w:rPr>
        <w:t>或另设账号交费。</w:t>
      </w:r>
      <w:r>
        <w:rPr>
          <w:rFonts w:hint="eastAsia" w:ascii="仿宋_GB2312" w:hAnsi="仿宋_GB2312" w:eastAsia="仿宋_GB2312" w:cs="仿宋_GB2312"/>
          <w:snapToGrid w:val="0"/>
          <w:color w:val="auto"/>
          <w:spacing w:val="0"/>
          <w:kern w:val="0"/>
          <w:sz w:val="32"/>
          <w:szCs w:val="32"/>
          <w:highlight w:val="none"/>
          <w:lang w:val="en-US" w:eastAsia="en-US" w:bidi="ar-SA"/>
        </w:rPr>
        <w:t>参保人员住院期间，因病情需要确需外购药品的，持乙方开具的</w:t>
      </w:r>
      <w:r>
        <w:rPr>
          <w:rFonts w:hint="eastAsia" w:ascii="仿宋_GB2312" w:hAnsi="仿宋_GB2312" w:eastAsia="仿宋_GB2312" w:cs="仿宋_GB2312"/>
          <w:snapToGrid w:val="0"/>
          <w:color w:val="auto"/>
          <w:spacing w:val="0"/>
          <w:kern w:val="0"/>
          <w:sz w:val="32"/>
          <w:szCs w:val="32"/>
          <w:highlight w:val="none"/>
          <w:lang w:val="en-US" w:eastAsia="zh-CN" w:bidi="ar-SA"/>
        </w:rPr>
        <w:t>电子</w:t>
      </w:r>
      <w:r>
        <w:rPr>
          <w:rFonts w:hint="eastAsia" w:ascii="仿宋_GB2312" w:hAnsi="仿宋_GB2312" w:eastAsia="仿宋_GB2312" w:cs="仿宋_GB2312"/>
          <w:snapToGrid w:val="0"/>
          <w:color w:val="auto"/>
          <w:spacing w:val="0"/>
          <w:kern w:val="0"/>
          <w:sz w:val="32"/>
          <w:szCs w:val="32"/>
          <w:highlight w:val="none"/>
          <w:lang w:val="en-US" w:eastAsia="en-US" w:bidi="ar-SA"/>
        </w:rPr>
        <w:t>处方，外购药品费用应计入乙方医保总额预算</w:t>
      </w:r>
      <w:r>
        <w:rPr>
          <w:rFonts w:hint="eastAsia" w:ascii="仿宋_GB2312" w:hAnsi="仿宋_GB2312" w:eastAsia="仿宋_GB2312" w:cs="仿宋_GB2312"/>
          <w:snapToGrid w:val="0"/>
          <w:color w:val="auto"/>
          <w:spacing w:val="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乙方不得以医保定点名义或者字样从事商业广告、促销或者义诊活动等。</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乙方不得为参保人员利用其享受医疗保障</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待遇的机会转卖药品，接受返还现金、实物或者获得其他非法利益提供便利。</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黑体" w:hAnsi="黑体" w:eastAsia="黑体" w:cs="黑体"/>
          <w:b w:val="0"/>
          <w:bCs w:val="0"/>
          <w:snapToGrid w:val="0"/>
          <w:color w:val="auto"/>
          <w:spacing w:val="0"/>
          <w:kern w:val="0"/>
          <w:sz w:val="32"/>
          <w:szCs w:val="32"/>
          <w:highlight w:val="none"/>
          <w:lang w:eastAsia="en-US"/>
        </w:rPr>
        <w:t>第二十条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知情同意</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除急诊、抢救等特殊情形外，乙方提供医疗保障</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基金支付范围以外的医药服务的，</w:t>
      </w:r>
      <w:r>
        <w:rPr>
          <w:rFonts w:hint="eastAsia" w:ascii="仿宋_GB2312" w:hAnsi="仿宋_GB2312" w:eastAsia="仿宋_GB2312" w:cs="仿宋_GB2312"/>
          <w:snapToGrid w:val="0"/>
          <w:color w:val="auto"/>
          <w:spacing w:val="0"/>
          <w:kern w:val="0"/>
          <w:sz w:val="32"/>
          <w:szCs w:val="32"/>
          <w:highlight w:val="none"/>
          <w:lang w:eastAsia="zh-CN"/>
        </w:rPr>
        <w:t>乙方应保证参保人员知情同意权，</w:t>
      </w:r>
      <w:r>
        <w:rPr>
          <w:rFonts w:hint="eastAsia" w:ascii="仿宋_GB2312" w:hAnsi="仿宋_GB2312" w:eastAsia="仿宋_GB2312" w:cs="仿宋_GB2312"/>
          <w:snapToGrid w:val="0"/>
          <w:color w:val="auto"/>
          <w:spacing w:val="0"/>
          <w:kern w:val="0"/>
          <w:sz w:val="32"/>
          <w:szCs w:val="32"/>
          <w:highlight w:val="none"/>
          <w:lang w:eastAsia="en-US"/>
        </w:rPr>
        <w:t>应当经参保人员或其近亲属、监护人签字同意确认</w:t>
      </w:r>
      <w:r>
        <w:rPr>
          <w:rFonts w:hint="eastAsia" w:ascii="仿宋_GB2312" w:hAnsi="仿宋_GB2312" w:eastAsia="仿宋_GB2312" w:cs="仿宋_GB2312"/>
          <w:snapToGrid w:val="0"/>
          <w:color w:val="auto"/>
          <w:spacing w:val="0"/>
          <w:kern w:val="0"/>
          <w:sz w:val="32"/>
          <w:szCs w:val="32"/>
          <w:highlight w:val="none"/>
          <w:lang w:eastAsia="zh-CN"/>
        </w:rPr>
        <w:t>（无民事行为能力或限制民事行为能力的患者应当由其监护人签字确认）</w:t>
      </w:r>
      <w:r>
        <w:rPr>
          <w:rFonts w:hint="eastAsia" w:ascii="仿宋_GB2312" w:hAnsi="仿宋_GB2312" w:eastAsia="仿宋_GB2312" w:cs="仿宋_GB2312"/>
          <w:snapToGrid w:val="0"/>
          <w:color w:val="auto"/>
          <w:spacing w:val="0"/>
          <w:kern w:val="0"/>
          <w:sz w:val="32"/>
          <w:szCs w:val="32"/>
          <w:highlight w:val="none"/>
          <w:lang w:eastAsia="en-US"/>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rPr>
        <w:t>第二十一条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收费管理</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en-US"/>
        </w:rPr>
        <w:t xml:space="preserve"> 乙方不得重复收费、超标准收费、分解项目收费，不得串换药品、医用耗材、诊疗项目和服务设施，不得将应当由医保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基金支付的医疗费用转嫁参保人员自费结算。</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rPr>
        <w:t>第二十二条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诊疗记录</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en-US"/>
        </w:rPr>
        <w:t xml:space="preserve"> 乙方</w:t>
      </w:r>
      <w:r>
        <w:rPr>
          <w:rFonts w:hint="eastAsia" w:ascii="仿宋_GB2312" w:hAnsi="仿宋_GB2312" w:eastAsia="仿宋_GB2312" w:cs="仿宋_GB2312"/>
          <w:snapToGrid w:val="0"/>
          <w:color w:val="auto"/>
          <w:spacing w:val="0"/>
          <w:kern w:val="0"/>
          <w:sz w:val="32"/>
          <w:szCs w:val="32"/>
          <w:highlight w:val="none"/>
          <w:lang w:val="en-US" w:eastAsia="zh-CN"/>
        </w:rPr>
        <w:t>应为参保人员就医建立病历档案并妥善保存备查。门诊、住院及意外受伤病历的</w:t>
      </w:r>
      <w:r>
        <w:rPr>
          <w:rFonts w:hint="eastAsia" w:ascii="仿宋_GB2312" w:hAnsi="仿宋_GB2312" w:eastAsia="仿宋_GB2312" w:cs="仿宋_GB2312"/>
          <w:snapToGrid w:val="0"/>
          <w:color w:val="auto"/>
          <w:spacing w:val="0"/>
          <w:kern w:val="0"/>
          <w:sz w:val="32"/>
          <w:szCs w:val="32"/>
          <w:highlight w:val="none"/>
          <w:lang w:eastAsia="en-US"/>
        </w:rPr>
        <w:t>诊疗记录应当真实、准确、完整、清晰(收治意外伤害参保患者时，应载明意外伤害的时间、地点、原因)。病历相关信息</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就医医嘱、病程记录、检查结果、治疗单记录</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eastAsia="en-US"/>
        </w:rPr>
        <w:t>应与实际情况相符，并与票据、结算清单等相吻合</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并将就医登记、诊断、费用明细、电子票据等信息于规定时限内传输至甲方。</w:t>
      </w:r>
      <w:r>
        <w:rPr>
          <w:rFonts w:hint="eastAsia" w:ascii="仿宋_GB2312" w:hAnsi="仿宋_GB2312" w:eastAsia="仿宋_GB2312" w:cs="仿宋_GB2312"/>
          <w:snapToGrid w:val="0"/>
          <w:color w:val="auto"/>
          <w:spacing w:val="0"/>
          <w:kern w:val="0"/>
          <w:sz w:val="32"/>
          <w:szCs w:val="32"/>
          <w:highlight w:val="none"/>
          <w:lang w:eastAsia="en-US"/>
        </w:rPr>
        <w:t>检验检查须有结果记录，并</w:t>
      </w:r>
      <w:r>
        <w:rPr>
          <w:rFonts w:hint="eastAsia" w:ascii="仿宋_GB2312" w:hAnsi="仿宋_GB2312" w:eastAsia="仿宋_GB2312" w:cs="仿宋_GB2312"/>
          <w:snapToGrid w:val="0"/>
          <w:color w:val="auto"/>
          <w:spacing w:val="0"/>
          <w:kern w:val="0"/>
          <w:sz w:val="32"/>
          <w:szCs w:val="32"/>
          <w:highlight w:val="none"/>
          <w:lang w:val="en-US" w:eastAsia="zh-CN"/>
        </w:rPr>
        <w:t>按规定</w:t>
      </w:r>
      <w:r>
        <w:rPr>
          <w:rFonts w:hint="eastAsia" w:ascii="仿宋_GB2312" w:hAnsi="仿宋_GB2312" w:eastAsia="仿宋_GB2312" w:cs="仿宋_GB2312"/>
          <w:snapToGrid w:val="0"/>
          <w:color w:val="auto"/>
          <w:spacing w:val="0"/>
          <w:kern w:val="0"/>
          <w:sz w:val="32"/>
          <w:szCs w:val="32"/>
          <w:highlight w:val="none"/>
          <w:lang w:eastAsia="en-US"/>
        </w:rPr>
        <w:t>做好诊疗相关检验检查报告存档工作。</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val="en-US" w:eastAsia="zh-CN"/>
        </w:rPr>
        <w:t>乙方及其医务人员应当在不影响疾病诊疗的前提下，对标有全国或本机构所在地区互认标识的检查检验结果予以互认。对于患者提供的已有检查检验结果符合互认条件、满足诊疗需要的，不得</w:t>
      </w:r>
      <w:r>
        <w:rPr>
          <w:rFonts w:hint="eastAsia" w:ascii="仿宋_GB2312" w:hAnsi="仿宋_GB2312" w:eastAsia="仿宋_GB2312" w:cs="仿宋_GB2312"/>
          <w:snapToGrid w:val="0"/>
          <w:color w:val="auto"/>
          <w:spacing w:val="0"/>
          <w:kern w:val="0"/>
          <w:sz w:val="32"/>
          <w:szCs w:val="32"/>
          <w:highlight w:val="none"/>
          <w:lang w:eastAsia="zh-CN"/>
        </w:rPr>
        <w:t>重复</w:t>
      </w:r>
      <w:r>
        <w:rPr>
          <w:rFonts w:hint="eastAsia" w:ascii="仿宋_GB2312" w:hAnsi="仿宋_GB2312" w:eastAsia="仿宋_GB2312" w:cs="仿宋_GB2312"/>
          <w:snapToGrid w:val="0"/>
          <w:color w:val="auto"/>
          <w:spacing w:val="0"/>
          <w:kern w:val="0"/>
          <w:sz w:val="32"/>
          <w:szCs w:val="32"/>
          <w:highlight w:val="none"/>
          <w:lang w:val="en-US" w:eastAsia="zh-CN"/>
        </w:rPr>
        <w:t>进行检查检验</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b w:val="0"/>
          <w:bCs w:val="0"/>
          <w:snapToGrid w:val="0"/>
          <w:color w:val="auto"/>
          <w:spacing w:val="0"/>
          <w:kern w:val="0"/>
          <w:sz w:val="32"/>
          <w:szCs w:val="32"/>
          <w:highlight w:val="none"/>
          <w:lang w:eastAsia="zh-CN"/>
        </w:rPr>
        <w:t>医疗联合体内下级医院就诊的参保人员在上级医院开展的检查费用，按下级医院收费标准进行报销支付。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val="en-US" w:eastAsia="zh-CN" w:bidi="ar-SA"/>
        </w:rPr>
        <w:t>乙方不得将大型仪器检查项目、特殊检查项目、与疾病无关的临床“套餐式”检验项目列为常规检查。大型仪器检查项目、特殊检查项目主要诊断阳性率应达到或超过70%。因检查治疗需要开展大型仪器检查项目、特殊检查项目，应在门诊病历、住院病程记录上予以说明，有关资料存档备查。</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rPr>
        <w:t>第二十三条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资料保存</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en-US"/>
        </w:rPr>
        <w:t xml:space="preserve"> 乙方应当按照规定保管财务账目、会计凭证、处方、病历、检验检查报告、治疗记录、费用明细、药品和医用耗材出入库记录等资料。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rPr>
        <w:t>第二十四条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进销存</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管理</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乙方应严格按照有关规定购进、使用、管理药品和医用耗材并建立管理制度。</w:t>
      </w:r>
      <w:r>
        <w:rPr>
          <w:rFonts w:hint="eastAsia" w:ascii="仿宋_GB2312" w:hAnsi="仿宋_GB2312" w:eastAsia="仿宋_GB2312" w:cs="仿宋_GB2312"/>
          <w:snapToGrid w:val="0"/>
          <w:color w:val="auto"/>
          <w:spacing w:val="0"/>
          <w:kern w:val="0"/>
          <w:sz w:val="32"/>
          <w:szCs w:val="32"/>
          <w:highlight w:val="none"/>
          <w:lang w:val="en-US" w:eastAsia="zh-CN"/>
        </w:rPr>
        <w:t>及时调整药品、医用耗材供应结构，根据自身规模，在自身能力范围内确保医保目录内用药、医用耗材的供应。</w:t>
      </w:r>
      <w:r>
        <w:rPr>
          <w:rFonts w:hint="eastAsia" w:ascii="仿宋_GB2312" w:hAnsi="仿宋_GB2312" w:eastAsia="仿宋_GB2312" w:cs="仿宋_GB2312"/>
          <w:snapToGrid w:val="0"/>
          <w:color w:val="auto"/>
          <w:spacing w:val="0"/>
          <w:kern w:val="0"/>
          <w:sz w:val="32"/>
          <w:szCs w:val="32"/>
          <w:highlight w:val="none"/>
          <w:lang w:eastAsia="en-US"/>
        </w:rPr>
        <w:t>全流程记录药品、医用耗材的购进、使用、库存(以下简称“进销存”)以及追溯码等信息，建立台账，留存凭证和票据。乙方进销存台账中的药品和医用耗材相关信息数据应与实际情况一致，并实现相关信息数据可追溯。</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台账记录内容包括但不限于通用名称、医保信息业务编码、</w:t>
      </w:r>
      <w:r>
        <w:rPr>
          <w:rFonts w:hint="eastAsia" w:ascii="仿宋_GB2312" w:hAnsi="仿宋_GB2312" w:eastAsia="仿宋_GB2312" w:cs="仿宋_GB2312"/>
          <w:snapToGrid w:val="0"/>
          <w:color w:val="auto"/>
          <w:spacing w:val="0"/>
          <w:kern w:val="0"/>
          <w:sz w:val="32"/>
          <w:szCs w:val="32"/>
          <w:highlight w:val="none"/>
          <w:lang w:val="en-US" w:eastAsia="zh-CN"/>
        </w:rPr>
        <w:t>药械追溯码、</w:t>
      </w:r>
      <w:r>
        <w:rPr>
          <w:rFonts w:hint="eastAsia" w:ascii="仿宋_GB2312" w:hAnsi="仿宋_GB2312" w:eastAsia="仿宋_GB2312" w:cs="仿宋_GB2312"/>
          <w:snapToGrid w:val="0"/>
          <w:color w:val="auto"/>
          <w:spacing w:val="0"/>
          <w:kern w:val="0"/>
          <w:sz w:val="32"/>
          <w:szCs w:val="32"/>
          <w:highlight w:val="none"/>
          <w:lang w:eastAsia="en-US"/>
        </w:rPr>
        <w:t>剂型(型号)、规格、生产厂商(中药材标明产地)、供货单位、有效期、批准文号、</w:t>
      </w:r>
      <w:r>
        <w:rPr>
          <w:rFonts w:hint="eastAsia" w:ascii="仿宋_GB2312" w:hAnsi="仿宋_GB2312" w:eastAsia="仿宋_GB2312" w:cs="仿宋_GB2312"/>
          <w:snapToGrid w:val="0"/>
          <w:color w:val="auto"/>
          <w:spacing w:val="0"/>
          <w:kern w:val="0"/>
          <w:sz w:val="32"/>
          <w:szCs w:val="32"/>
          <w:highlight w:val="none"/>
          <w:lang w:val="en-US" w:eastAsia="zh-CN"/>
        </w:rPr>
        <w:t>购（销）</w:t>
      </w:r>
      <w:r>
        <w:rPr>
          <w:rFonts w:hint="eastAsia" w:ascii="仿宋_GB2312" w:hAnsi="仿宋_GB2312" w:eastAsia="仿宋_GB2312" w:cs="仿宋_GB2312"/>
          <w:snapToGrid w:val="0"/>
          <w:color w:val="auto"/>
          <w:spacing w:val="0"/>
          <w:kern w:val="0"/>
          <w:sz w:val="32"/>
          <w:szCs w:val="32"/>
          <w:highlight w:val="none"/>
          <w:lang w:eastAsia="en-US"/>
        </w:rPr>
        <w:t>数量、</w:t>
      </w:r>
      <w:r>
        <w:rPr>
          <w:rFonts w:hint="eastAsia" w:ascii="仿宋_GB2312" w:hAnsi="仿宋_GB2312" w:eastAsia="仿宋_GB2312" w:cs="仿宋_GB2312"/>
          <w:snapToGrid w:val="0"/>
          <w:color w:val="auto"/>
          <w:spacing w:val="0"/>
          <w:kern w:val="0"/>
          <w:sz w:val="32"/>
          <w:szCs w:val="32"/>
          <w:highlight w:val="none"/>
          <w:lang w:val="en-US" w:eastAsia="zh-CN"/>
        </w:rPr>
        <w:t>购（销）</w:t>
      </w:r>
      <w:r>
        <w:rPr>
          <w:rFonts w:hint="eastAsia" w:ascii="仿宋_GB2312" w:hAnsi="仿宋_GB2312" w:eastAsia="仿宋_GB2312" w:cs="仿宋_GB2312"/>
          <w:snapToGrid w:val="0"/>
          <w:color w:val="auto"/>
          <w:spacing w:val="0"/>
          <w:kern w:val="0"/>
          <w:sz w:val="32"/>
          <w:szCs w:val="32"/>
          <w:highlight w:val="none"/>
          <w:lang w:eastAsia="en-US"/>
        </w:rPr>
        <w:t>价格、批号、生产日期、购进日期等信息。</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default" w:ascii="黑体" w:hAnsi="黑体" w:eastAsia="黑体" w:cs="黑体"/>
          <w:b w:val="0"/>
          <w:bCs w:val="0"/>
          <w:snapToGrid w:val="0"/>
          <w:color w:val="auto"/>
          <w:spacing w:val="0"/>
          <w:kern w:val="0"/>
          <w:sz w:val="32"/>
          <w:szCs w:val="32"/>
          <w:highlight w:val="none"/>
          <w:lang w:eastAsia="en-US"/>
        </w:rPr>
        <w:t>第二十五条</w:t>
      </w:r>
      <w:r>
        <w:rPr>
          <w:rFonts w:hint="default"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异地就医</w:t>
      </w:r>
      <w:r>
        <w:rPr>
          <w:rFonts w:hint="default" w:ascii="黑体" w:hAnsi="黑体" w:eastAsia="黑体" w:cs="黑体"/>
          <w:b w:val="0"/>
          <w:snapToGrid w:val="0"/>
          <w:color w:val="auto"/>
          <w:spacing w:val="0"/>
          <w:kern w:val="0"/>
          <w:sz w:val="32"/>
          <w:szCs w:val="32"/>
          <w:highlight w:val="none"/>
          <w:lang w:eastAsia="en-US"/>
        </w:rPr>
        <w:t>】</w:t>
      </w:r>
      <w:r>
        <w:rPr>
          <w:rFonts w:hint="default" w:ascii="黑体" w:hAnsi="黑体" w:eastAsia="黑体" w:cs="黑体"/>
          <w:b w:val="0"/>
          <w:bCs w:val="0"/>
          <w:snapToGrid w:val="0"/>
          <w:color w:val="auto"/>
          <w:spacing w:val="0"/>
          <w:kern w:val="0"/>
          <w:sz w:val="32"/>
          <w:szCs w:val="32"/>
          <w:highlight w:val="none"/>
          <w:lang w:val="en-US"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乙方提供异地就医直接结算服务的，应严格执行异地就医直接结算相关规定，</w:t>
      </w:r>
      <w:r>
        <w:rPr>
          <w:rFonts w:hint="eastAsia" w:ascii="仿宋_GB2312" w:hAnsi="仿宋_GB2312" w:eastAsia="仿宋_GB2312" w:cs="仿宋_GB2312"/>
          <w:snapToGrid w:val="0"/>
          <w:color w:val="auto"/>
          <w:spacing w:val="0"/>
          <w:kern w:val="0"/>
          <w:sz w:val="32"/>
          <w:szCs w:val="32"/>
          <w:highlight w:val="none"/>
          <w:lang w:val="en-US" w:eastAsia="zh-CN"/>
        </w:rPr>
        <w:t>确保“应结尽结”，</w:t>
      </w:r>
      <w:r>
        <w:rPr>
          <w:rFonts w:hint="eastAsia" w:ascii="仿宋_GB2312" w:hAnsi="仿宋_GB2312" w:eastAsia="仿宋_GB2312" w:cs="仿宋_GB2312"/>
          <w:snapToGrid w:val="0"/>
          <w:color w:val="auto"/>
          <w:spacing w:val="0"/>
          <w:kern w:val="0"/>
          <w:sz w:val="32"/>
          <w:szCs w:val="32"/>
          <w:highlight w:val="none"/>
          <w:lang w:eastAsia="en-US"/>
        </w:rPr>
        <w:t>做好政策宣传及异地就医直接结算服务，为异地就医参保人员提供与本地参保人员一致的医疗服务</w:t>
      </w:r>
      <w:r>
        <w:rPr>
          <w:rFonts w:hint="eastAsia" w:ascii="仿宋_GB2312" w:hAnsi="仿宋_GB2312" w:eastAsia="仿宋_GB2312" w:cs="仿宋_GB2312"/>
          <w:snapToGrid w:val="0"/>
          <w:color w:val="auto"/>
          <w:spacing w:val="0"/>
          <w:kern w:val="0"/>
          <w:sz w:val="32"/>
          <w:szCs w:val="32"/>
          <w:highlight w:val="none"/>
          <w:lang w:val="en-US" w:eastAsia="zh-CN"/>
        </w:rPr>
        <w:t>和同质化管理，配合甲方开展异地就医转诊备案管理工作</w:t>
      </w:r>
      <w:r>
        <w:rPr>
          <w:rFonts w:hint="eastAsia" w:ascii="仿宋_GB2312" w:hAnsi="仿宋_GB2312" w:eastAsia="仿宋_GB2312" w:cs="仿宋_GB2312"/>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zh-CN"/>
        </w:rPr>
        <w:t>发现参保人有省内及外省重复有效参保情况，应核验并告知参保人只能选择其中一种险种享受待遇，不能同时使用。乙方应配合异地医疗保险经办机构核实有关医疗费用情况。</w:t>
      </w:r>
      <w:r>
        <w:rPr>
          <w:rFonts w:hint="eastAsia" w:ascii="仿宋_GB2312" w:hAnsi="仿宋_GB2312" w:eastAsia="仿宋_GB2312" w:cs="仿宋_GB2312"/>
          <w:snapToGrid w:val="0"/>
          <w:color w:val="auto"/>
          <w:spacing w:val="0"/>
          <w:kern w:val="0"/>
          <w:sz w:val="32"/>
          <w:szCs w:val="32"/>
          <w:highlight w:val="none"/>
          <w:lang w:eastAsia="en-US"/>
        </w:rPr>
        <w:t>乙方提供的异地就医医疗服务情况，甲方纳入</w:t>
      </w:r>
      <w:r>
        <w:rPr>
          <w:rFonts w:hint="eastAsia" w:ascii="仿宋_GB2312" w:hAnsi="仿宋_GB2312" w:eastAsia="仿宋_GB2312" w:cs="仿宋_GB2312"/>
          <w:snapToGrid w:val="0"/>
          <w:color w:val="auto"/>
          <w:spacing w:val="0"/>
          <w:kern w:val="0"/>
          <w:sz w:val="32"/>
          <w:szCs w:val="32"/>
          <w:highlight w:val="none"/>
          <w:lang w:val="en-US" w:eastAsia="zh-CN"/>
        </w:rPr>
        <w:t>统一管理</w:t>
      </w:r>
      <w:r>
        <w:rPr>
          <w:rFonts w:hint="eastAsia" w:ascii="仿宋_GB2312" w:hAnsi="仿宋_GB2312" w:eastAsia="仿宋_GB2312" w:cs="仿宋_GB2312"/>
          <w:snapToGrid w:val="0"/>
          <w:color w:val="auto"/>
          <w:spacing w:val="0"/>
          <w:kern w:val="0"/>
          <w:sz w:val="32"/>
          <w:szCs w:val="32"/>
          <w:highlight w:val="none"/>
          <w:lang w:eastAsia="en-US"/>
        </w:rPr>
        <w:t>和考核。</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en-US"/>
        </w:rPr>
        <w:t>第二十</w:t>
      </w:r>
      <w:r>
        <w:rPr>
          <w:rFonts w:hint="default" w:ascii="黑体" w:hAnsi="黑体" w:eastAsia="黑体" w:cs="黑体"/>
          <w:b w:val="0"/>
          <w:bCs w:val="0"/>
          <w:snapToGrid w:val="0"/>
          <w:color w:val="auto"/>
          <w:spacing w:val="0"/>
          <w:kern w:val="0"/>
          <w:sz w:val="32"/>
          <w:szCs w:val="32"/>
          <w:highlight w:val="none"/>
          <w:lang w:eastAsia="zh-CN"/>
        </w:rPr>
        <w:t>六</w:t>
      </w:r>
      <w:r>
        <w:rPr>
          <w:rFonts w:ascii="黑体" w:hAnsi="黑体" w:eastAsia="黑体" w:cs="黑体"/>
          <w:b w:val="0"/>
          <w:bCs w:val="0"/>
          <w:snapToGrid w:val="0"/>
          <w:color w:val="auto"/>
          <w:spacing w:val="0"/>
          <w:kern w:val="0"/>
          <w:sz w:val="32"/>
          <w:szCs w:val="32"/>
          <w:highlight w:val="none"/>
          <w:lang w:eastAsia="en-US"/>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互联网+医疗服务</w:t>
      </w:r>
      <w:r>
        <w:rPr>
          <w:rFonts w:hint="default"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依托乙方设立的</w:t>
      </w:r>
      <w:r>
        <w:rPr>
          <w:rFonts w:hint="eastAsia" w:ascii="仿宋_GB2312" w:hAnsi="仿宋_GB2312" w:eastAsia="仿宋_GB2312" w:cs="仿宋_GB2312"/>
          <w:snapToGrid w:val="0"/>
          <w:color w:val="auto"/>
          <w:spacing w:val="0"/>
          <w:kern w:val="0"/>
          <w:sz w:val="32"/>
          <w:szCs w:val="32"/>
          <w:highlight w:val="none"/>
          <w:u w:val="single" w:color="auto"/>
          <w:lang w:eastAsia="en-US"/>
        </w:rPr>
        <w:t xml:space="preserve"> </w:t>
      </w:r>
      <w:r>
        <w:rPr>
          <w:rFonts w:hint="eastAsia" w:ascii="仿宋_GB2312" w:hAnsi="仿宋_GB2312" w:eastAsia="仿宋_GB2312" w:cs="仿宋_GB2312"/>
          <w:snapToGrid w:val="0"/>
          <w:color w:val="auto"/>
          <w:spacing w:val="0"/>
          <w:kern w:val="0"/>
          <w:sz w:val="32"/>
          <w:szCs w:val="32"/>
          <w:highlight w:val="none"/>
          <w:u w:val="single" w:color="auto"/>
          <w:lang w:val="en-US" w:eastAsia="zh-CN"/>
        </w:rPr>
        <w:t xml:space="preserve"> </w:t>
      </w:r>
      <w:r>
        <w:rPr>
          <w:rFonts w:hint="eastAsia" w:ascii="仿宋_GB2312" w:hAnsi="仿宋_GB2312" w:eastAsia="仿宋_GB2312" w:cs="仿宋_GB2312"/>
          <w:snapToGrid w:val="0"/>
          <w:color w:val="auto"/>
          <w:spacing w:val="0"/>
          <w:kern w:val="0"/>
          <w:sz w:val="32"/>
          <w:szCs w:val="32"/>
          <w:highlight w:val="none"/>
          <w:u w:val="single" w:color="auto"/>
          <w:lang w:eastAsia="en-US"/>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u w:val="single" w:color="auto"/>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 xml:space="preserve"> (互联网医院名称)</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eastAsia="en-US"/>
        </w:rPr>
        <w:t>提供的医疗服务所产生的符合医保支付范围的相关费用，由甲方与乙方实体定点医疗机构按规定进行结算。乙方提供的“互联网+”医疗服务，其总额预算纳入乙方实体定点医疗机构统一管理。总额预算的计算因素应考虑“互联网+”医疗服务发生的医疗费用和药品费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依托乙方设立的互联网医院具备条件的，可联合</w:t>
      </w:r>
      <w:r>
        <w:rPr>
          <w:rFonts w:hint="eastAsia" w:ascii="仿宋_GB2312" w:hAnsi="仿宋_GB2312" w:eastAsia="仿宋_GB2312" w:cs="仿宋_GB2312"/>
          <w:snapToGrid w:val="0"/>
          <w:color w:val="auto"/>
          <w:spacing w:val="0"/>
          <w:kern w:val="0"/>
          <w:sz w:val="32"/>
          <w:szCs w:val="32"/>
          <w:highlight w:val="none"/>
          <w:lang w:eastAsia="zh-CN"/>
        </w:rPr>
        <w:t>海南省</w:t>
      </w:r>
      <w:r>
        <w:rPr>
          <w:rFonts w:hint="eastAsia" w:ascii="仿宋_GB2312" w:hAnsi="仿宋_GB2312" w:eastAsia="仿宋_GB2312" w:cs="仿宋_GB2312"/>
          <w:snapToGrid w:val="0"/>
          <w:color w:val="auto"/>
          <w:spacing w:val="0"/>
          <w:kern w:val="0"/>
          <w:sz w:val="32"/>
          <w:szCs w:val="32"/>
          <w:highlight w:val="none"/>
          <w:lang w:eastAsia="en-US"/>
        </w:rPr>
        <w:t>定点零售药店构建在线复诊、处方流转、在线支付、线下配送的就医购药模式，便利参保人员门诊就医购药。</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default" w:ascii="黑体" w:hAnsi="黑体" w:eastAsia="黑体" w:cs="黑体"/>
          <w:b w:val="0"/>
          <w:bCs w:val="0"/>
          <w:snapToGrid w:val="0"/>
          <w:color w:val="auto"/>
          <w:spacing w:val="0"/>
          <w:kern w:val="0"/>
          <w:sz w:val="32"/>
          <w:szCs w:val="32"/>
          <w:highlight w:val="none"/>
          <w:lang w:eastAsia="en-US"/>
        </w:rPr>
        <w:t>第二十七条</w:t>
      </w:r>
      <w:r>
        <w:rPr>
          <w:rFonts w:hint="default" w:ascii="黑体" w:hAnsi="黑体" w:eastAsia="黑体" w:cs="黑体"/>
          <w:b w:val="0"/>
          <w:snapToGrid w:val="0"/>
          <w:color w:val="auto"/>
          <w:spacing w:val="0"/>
          <w:kern w:val="0"/>
          <w:sz w:val="32"/>
          <w:szCs w:val="32"/>
          <w:highlight w:val="none"/>
          <w:lang w:eastAsia="en-US"/>
        </w:rPr>
        <w:t>【</w:t>
      </w:r>
      <w:r>
        <w:rPr>
          <w:rFonts w:hint="default" w:ascii="黑体" w:hAnsi="黑体" w:eastAsia="黑体" w:cs="黑体"/>
          <w:b w:val="0"/>
          <w:snapToGrid w:val="0"/>
          <w:color w:val="auto"/>
          <w:spacing w:val="0"/>
          <w:kern w:val="0"/>
          <w:sz w:val="32"/>
          <w:szCs w:val="32"/>
          <w:highlight w:val="none"/>
          <w:lang w:val="en-US" w:eastAsia="en-US"/>
        </w:rPr>
        <w:t>互联网+医疗服务管理</w:t>
      </w:r>
      <w:r>
        <w:rPr>
          <w:rFonts w:hint="default"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eastAsia="en-US"/>
        </w:rPr>
        <w:t xml:space="preserve"> 乙方应保证互联网诊疗平台参保人员注册和就诊信息的真实性、准确性，完整保留就诊人员互联网诊疗过程中的电子病历、电子处方、购药记录等信息，实现就医诊疗、处方开具、处方流转、费用结算、药品配送等全程可追溯。不得虚构接诊医生、虚构就诊人员身份、虚假诊治、虚开药品、伪造票据，乙方接诊医生须为本机构在国家医保信息业务编码标准数据库进行信息维护并取得医保医师编码的医生。</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依托乙方设立的互联网医院应提供医保移动支付服务，应为参保人员提供电子票据、电子发票或及时邮寄纸质票据；应依托医保电子凭证(医保码)进行实名认证，确保参保人员真实身份；应核验参保人员为复诊患者，掌握必要的就诊信息；乙方医院信息系统应能区分常规线下医疗服务业务和“互联网+”医疗服务业务。</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甲方可运用音频、视频、图文等形式查验乙方“互联网+”医疗服务接诊医生真实性，乙方应为甲方查验提供条件并配合查验。</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en-US"/>
        </w:rPr>
        <w:t>第二十</w:t>
      </w:r>
      <w:r>
        <w:rPr>
          <w:rFonts w:hint="default" w:ascii="黑体" w:hAnsi="黑体" w:eastAsia="黑体" w:cs="黑体"/>
          <w:b w:val="0"/>
          <w:bCs w:val="0"/>
          <w:snapToGrid w:val="0"/>
          <w:color w:val="auto"/>
          <w:spacing w:val="0"/>
          <w:kern w:val="0"/>
          <w:sz w:val="32"/>
          <w:szCs w:val="32"/>
          <w:highlight w:val="none"/>
          <w:lang w:eastAsia="zh-CN"/>
        </w:rPr>
        <w:t>八</w:t>
      </w:r>
      <w:r>
        <w:rPr>
          <w:rFonts w:ascii="黑体" w:hAnsi="黑体" w:eastAsia="黑体" w:cs="黑体"/>
          <w:b w:val="0"/>
          <w:bCs w:val="0"/>
          <w:snapToGrid w:val="0"/>
          <w:color w:val="auto"/>
          <w:spacing w:val="0"/>
          <w:kern w:val="0"/>
          <w:sz w:val="32"/>
          <w:szCs w:val="32"/>
          <w:highlight w:val="none"/>
          <w:lang w:eastAsia="en-US"/>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互联网+医疗服务支付</w:t>
      </w:r>
      <w:r>
        <w:rPr>
          <w:rFonts w:hint="default"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参保人员在</w:t>
      </w:r>
      <w:r>
        <w:rPr>
          <w:rFonts w:hint="eastAsia" w:ascii="仿宋_GB2312" w:hAnsi="仿宋_GB2312" w:eastAsia="仿宋_GB2312" w:cs="仿宋_GB2312"/>
          <w:snapToGrid w:val="0"/>
          <w:color w:val="auto"/>
          <w:spacing w:val="0"/>
          <w:kern w:val="0"/>
          <w:sz w:val="32"/>
          <w:szCs w:val="32"/>
          <w:highlight w:val="none"/>
          <w:lang w:eastAsia="zh-CN"/>
        </w:rPr>
        <w:t>海南省内</w:t>
      </w:r>
      <w:r>
        <w:rPr>
          <w:rFonts w:hint="eastAsia" w:ascii="仿宋_GB2312" w:hAnsi="仿宋_GB2312" w:eastAsia="仿宋_GB2312" w:cs="仿宋_GB2312"/>
          <w:snapToGrid w:val="0"/>
          <w:color w:val="auto"/>
          <w:spacing w:val="0"/>
          <w:kern w:val="0"/>
          <w:sz w:val="32"/>
          <w:szCs w:val="32"/>
          <w:highlight w:val="none"/>
          <w:lang w:eastAsia="en-US"/>
        </w:rPr>
        <w:t>依托乙方设立的互联网医院复诊并开具处方发生的诊察费和药品费，可以按照</w:t>
      </w:r>
      <w:r>
        <w:rPr>
          <w:rFonts w:hint="eastAsia" w:ascii="仿宋_GB2312" w:hAnsi="仿宋_GB2312" w:eastAsia="仿宋_GB2312" w:cs="仿宋_GB2312"/>
          <w:snapToGrid w:val="0"/>
          <w:color w:val="auto"/>
          <w:spacing w:val="0"/>
          <w:kern w:val="0"/>
          <w:sz w:val="32"/>
          <w:szCs w:val="32"/>
          <w:highlight w:val="none"/>
          <w:lang w:eastAsia="zh-CN"/>
        </w:rPr>
        <w:t>海南省</w:t>
      </w:r>
      <w:r>
        <w:rPr>
          <w:rFonts w:hint="eastAsia" w:ascii="仿宋_GB2312" w:hAnsi="仿宋_GB2312" w:eastAsia="仿宋_GB2312" w:cs="仿宋_GB2312"/>
          <w:snapToGrid w:val="0"/>
          <w:color w:val="auto"/>
          <w:spacing w:val="0"/>
          <w:kern w:val="0"/>
          <w:sz w:val="32"/>
          <w:szCs w:val="32"/>
          <w:highlight w:val="none"/>
          <w:lang w:eastAsia="en-US"/>
        </w:rPr>
        <w:t>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规定支付。提供符合规定的“互联网+”医疗复诊服务，</w:t>
      </w:r>
      <w:r>
        <w:rPr>
          <w:rFonts w:hint="eastAsia" w:ascii="仿宋_GB2312" w:hAnsi="仿宋_GB2312" w:eastAsia="仿宋_GB2312" w:cs="仿宋_GB2312"/>
          <w:snapToGrid w:val="0"/>
          <w:color w:val="auto"/>
          <w:spacing w:val="0"/>
          <w:kern w:val="0"/>
          <w:sz w:val="32"/>
          <w:szCs w:val="32"/>
          <w:highlight w:val="none"/>
          <w:lang w:eastAsia="zh-CN"/>
        </w:rPr>
        <w:t>不区分医务人员级别，</w:t>
      </w:r>
      <w:r>
        <w:rPr>
          <w:rFonts w:hint="eastAsia" w:ascii="仿宋_GB2312" w:hAnsi="仿宋_GB2312" w:eastAsia="仿宋_GB2312" w:cs="仿宋_GB2312"/>
          <w:snapToGrid w:val="0"/>
          <w:color w:val="auto"/>
          <w:spacing w:val="0"/>
          <w:kern w:val="0"/>
          <w:sz w:val="32"/>
          <w:szCs w:val="32"/>
          <w:highlight w:val="none"/>
          <w:lang w:eastAsia="en-US"/>
        </w:rPr>
        <w:t>按照公立医院普通门诊诊察类项目价格收费和支付。发生的药品费用比照线下医保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规定的支付标准和政策支付。提供药品配送服务的费用不纳入医保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eastAsia="en-US"/>
        </w:rPr>
        <w:t>支付范围。</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default" w:ascii="黑体" w:hAnsi="黑体" w:eastAsia="黑体" w:cs="黑体"/>
          <w:snapToGrid w:val="0"/>
          <w:color w:val="auto"/>
          <w:spacing w:val="0"/>
          <w:kern w:val="0"/>
          <w:sz w:val="32"/>
          <w:szCs w:val="32"/>
          <w:highlight w:val="none"/>
          <w:lang w:val="en-US" w:eastAsia="zh-CN"/>
        </w:rPr>
        <w:t>第二十九条</w:t>
      </w:r>
      <w:r>
        <w:rPr>
          <w:rFonts w:hint="default"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困难群众</w:t>
      </w:r>
      <w:r>
        <w:rPr>
          <w:rFonts w:hint="default" w:ascii="黑体" w:hAnsi="黑体" w:eastAsia="黑体" w:cs="黑体"/>
          <w:b w:val="0"/>
          <w:snapToGrid w:val="0"/>
          <w:color w:val="auto"/>
          <w:spacing w:val="0"/>
          <w:kern w:val="0"/>
          <w:sz w:val="32"/>
          <w:szCs w:val="32"/>
          <w:highlight w:val="none"/>
          <w:lang w:val="en-US" w:eastAsia="zh-CN"/>
        </w:rPr>
        <w:t>医疗救助</w:t>
      </w:r>
      <w:r>
        <w:rPr>
          <w:rFonts w:hint="default"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val="en-US" w:eastAsia="zh-CN"/>
        </w:rPr>
        <w:t>低保对象、特困人员、防止返贫致贫监测对象、低保边缘家庭成员、刚性支出困难家庭成员和脱贫人口中高额医疗费用负担患者等困难群众</w:t>
      </w:r>
      <w:r>
        <w:rPr>
          <w:rFonts w:hint="eastAsia" w:ascii="仿宋_GB2312" w:hAnsi="仿宋_GB2312" w:eastAsia="仿宋_GB2312" w:cs="仿宋_GB2312"/>
          <w:snapToGrid w:val="0"/>
          <w:color w:val="auto"/>
          <w:spacing w:val="0"/>
          <w:kern w:val="0"/>
          <w:sz w:val="32"/>
          <w:szCs w:val="32"/>
          <w:highlight w:val="none"/>
          <w:lang w:eastAsia="zh-CN"/>
        </w:rPr>
        <w:t>持本人医疗保障凭证办理就医登记，</w:t>
      </w:r>
      <w:r>
        <w:rPr>
          <w:rFonts w:hint="eastAsia" w:ascii="仿宋_GB2312" w:hAnsi="仿宋_GB2312" w:eastAsia="仿宋_GB2312" w:cs="仿宋_GB2312"/>
          <w:snapToGrid w:val="0"/>
          <w:color w:val="auto"/>
          <w:spacing w:val="0"/>
          <w:kern w:val="0"/>
          <w:sz w:val="32"/>
          <w:szCs w:val="32"/>
          <w:highlight w:val="none"/>
          <w:lang w:val="en-US" w:eastAsia="zh-CN"/>
        </w:rPr>
        <w:t>经基层医疗卫生机构首诊转诊到二级及以上医疗救助定点医疗机构的，医疗救助</w:t>
      </w:r>
      <w:r>
        <w:rPr>
          <w:rFonts w:hint="eastAsia" w:ascii="仿宋_GB2312" w:hAnsi="仿宋_GB2312" w:eastAsia="仿宋_GB2312" w:cs="仿宋_GB2312"/>
          <w:snapToGrid w:val="0"/>
          <w:color w:val="auto"/>
          <w:spacing w:val="0"/>
          <w:kern w:val="0"/>
          <w:sz w:val="32"/>
          <w:szCs w:val="32"/>
          <w:highlight w:val="none"/>
          <w:lang w:eastAsia="zh-CN"/>
        </w:rPr>
        <w:t>定点医疗机构应</w:t>
      </w:r>
      <w:r>
        <w:rPr>
          <w:rFonts w:hint="eastAsia" w:ascii="仿宋_GB2312" w:hAnsi="仿宋_GB2312" w:eastAsia="仿宋_GB2312" w:cs="仿宋_GB2312"/>
          <w:snapToGrid w:val="0"/>
          <w:color w:val="auto"/>
          <w:spacing w:val="0"/>
          <w:kern w:val="0"/>
          <w:sz w:val="32"/>
          <w:szCs w:val="32"/>
          <w:highlight w:val="none"/>
          <w:lang w:val="en-US" w:eastAsia="zh-CN"/>
        </w:rPr>
        <w:t>予以困难群众“绿色通道”“优先住院”“一站式”结算、</w:t>
      </w:r>
      <w:r>
        <w:rPr>
          <w:rFonts w:hint="eastAsia" w:ascii="仿宋_GB2312" w:hAnsi="仿宋_GB2312" w:eastAsia="仿宋_GB2312" w:cs="仿宋_GB2312"/>
          <w:snapToGrid w:val="0"/>
          <w:color w:val="auto"/>
          <w:spacing w:val="0"/>
          <w:kern w:val="0"/>
          <w:sz w:val="32"/>
          <w:szCs w:val="32"/>
          <w:highlight w:val="none"/>
          <w:lang w:eastAsia="zh-CN"/>
        </w:rPr>
        <w:t>当免收住院押金并及时给予救治</w:t>
      </w:r>
      <w:r>
        <w:rPr>
          <w:rFonts w:hint="eastAsia" w:ascii="仿宋_GB2312" w:hAnsi="仿宋_GB2312" w:eastAsia="仿宋_GB2312" w:cs="仿宋_GB2312"/>
          <w:snapToGrid w:val="0"/>
          <w:color w:val="auto"/>
          <w:spacing w:val="0"/>
          <w:kern w:val="0"/>
          <w:sz w:val="32"/>
          <w:szCs w:val="32"/>
          <w:highlight w:val="none"/>
          <w:lang w:val="en-US" w:eastAsia="zh-CN"/>
        </w:rPr>
        <w:t>等便利服务</w:t>
      </w:r>
      <w:r>
        <w:rPr>
          <w:rFonts w:hint="eastAsia" w:ascii="仿宋_GB2312" w:hAnsi="仿宋_GB2312" w:eastAsia="仿宋_GB2312" w:cs="仿宋_GB2312"/>
          <w:snapToGrid w:val="0"/>
          <w:color w:val="auto"/>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lang w:val="en-US" w:eastAsia="zh-CN"/>
        </w:rPr>
        <w:t>乙方为医疗救助定点医疗机构的，应按规定为我省急、转诊的困难群众提供医疗救助服务。乙方为非医疗救助定点医疗机构的，应指引困难群众到医疗救助定点医疗机构就医并为其提供医疗救助定点医疗机构相关信息，困难群众在省内非急诊、转诊就医产生的医疗救助费用由患者先行结算，再凭票据到身份认定地医保部门审核按规定拨付医疗救助费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default" w:ascii="黑体" w:hAnsi="黑体" w:eastAsia="黑体" w:cs="黑体"/>
          <w:snapToGrid w:val="0"/>
          <w:color w:val="auto"/>
          <w:spacing w:val="0"/>
          <w:kern w:val="0"/>
          <w:sz w:val="32"/>
          <w:szCs w:val="32"/>
          <w:highlight w:val="none"/>
          <w:lang w:val="en-US" w:eastAsia="zh-CN"/>
        </w:rPr>
        <w:t>第三十条</w:t>
      </w:r>
      <w:r>
        <w:rPr>
          <w:rFonts w:hint="default"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相关人员支付资格管理</w:t>
      </w:r>
      <w:r>
        <w:rPr>
          <w:rFonts w:hint="default" w:ascii="黑体" w:hAnsi="黑体" w:eastAsia="黑体" w:cs="黑体"/>
          <w:b w:val="0"/>
          <w:snapToGrid w:val="0"/>
          <w:color w:val="auto"/>
          <w:spacing w:val="0"/>
          <w:kern w:val="0"/>
          <w:sz w:val="32"/>
          <w:szCs w:val="32"/>
          <w:highlight w:val="none"/>
          <w:lang w:eastAsia="zh-CN"/>
        </w:rPr>
        <w:t>】</w:t>
      </w:r>
      <w:r>
        <w:rPr>
          <w:rFonts w:hint="eastAsia" w:ascii="仿宋" w:hAnsi="仿宋" w:eastAsia="仿宋" w:cs="仿宋"/>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val="en-US" w:eastAsia="zh-CN"/>
        </w:rPr>
        <w:t>乙方</w:t>
      </w:r>
      <w:r>
        <w:rPr>
          <w:rFonts w:hint="eastAsia" w:ascii="仿宋_GB2312" w:hAnsi="仿宋_GB2312" w:eastAsia="仿宋_GB2312" w:cs="仿宋_GB2312"/>
          <w:snapToGrid w:val="0"/>
          <w:color w:val="auto"/>
          <w:kern w:val="0"/>
          <w:sz w:val="32"/>
          <w:szCs w:val="32"/>
          <w:highlight w:val="none"/>
        </w:rPr>
        <w:t>涉及医疗保障基金使用的相关人员</w:t>
      </w:r>
      <w:r>
        <w:rPr>
          <w:rFonts w:hint="eastAsia" w:ascii="仿宋_GB2312" w:hAnsi="仿宋_GB2312" w:eastAsia="仿宋_GB2312" w:cs="仿宋_GB2312"/>
          <w:snapToGrid w:val="0"/>
          <w:color w:val="auto"/>
          <w:kern w:val="0"/>
          <w:sz w:val="32"/>
          <w:szCs w:val="32"/>
          <w:highlight w:val="none"/>
          <w:lang w:eastAsia="zh-CN"/>
        </w:rPr>
        <w:t>实行</w:t>
      </w:r>
      <w:r>
        <w:rPr>
          <w:rFonts w:hint="eastAsia" w:ascii="仿宋_GB2312" w:hAnsi="仿宋_GB2312" w:eastAsia="仿宋_GB2312" w:cs="仿宋_GB2312"/>
          <w:snapToGrid w:val="0"/>
          <w:color w:val="auto"/>
          <w:kern w:val="0"/>
          <w:sz w:val="32"/>
          <w:szCs w:val="32"/>
          <w:highlight w:val="none"/>
        </w:rPr>
        <w:t>医保支付资格管理</w:t>
      </w:r>
      <w:r>
        <w:rPr>
          <w:rFonts w:hint="eastAsia" w:ascii="仿宋_GB2312" w:hAnsi="仿宋_GB2312" w:eastAsia="仿宋_GB2312" w:cs="仿宋_GB2312"/>
          <w:snapToGrid w:val="0"/>
          <w:color w:val="auto"/>
          <w:spacing w:val="0"/>
          <w:kern w:val="0"/>
          <w:sz w:val="32"/>
          <w:szCs w:val="32"/>
          <w:highlight w:val="none"/>
          <w:lang w:eastAsia="zh-CN"/>
        </w:rPr>
        <w:t>制度。乙方应配合甲方建立并及时维护“一医一档”数据库，并依据海南省定点医药机构相关人员医保支付资格管理相关规定，落实对涉及医疗保障基金使用相关人员的管理要求。</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lang w:bidi="ar"/>
        </w:rPr>
        <w:t>登记备案状态正常</w:t>
      </w:r>
      <w:r>
        <w:rPr>
          <w:rFonts w:hint="eastAsia" w:ascii="仿宋_GB2312" w:hAnsi="仿宋_GB2312" w:eastAsia="仿宋_GB2312" w:cs="仿宋_GB2312"/>
          <w:snapToGrid w:val="0"/>
          <w:color w:val="auto"/>
          <w:kern w:val="0"/>
          <w:sz w:val="32"/>
          <w:szCs w:val="32"/>
          <w:highlight w:val="none"/>
          <w:lang w:eastAsia="zh-CN" w:bidi="ar"/>
        </w:rPr>
        <w:t>（首次登记或者累计记分</w:t>
      </w:r>
      <w:r>
        <w:rPr>
          <w:rFonts w:hint="eastAsia" w:ascii="仿宋_GB2312" w:hAnsi="仿宋_GB2312" w:eastAsia="仿宋_GB2312" w:cs="仿宋_GB2312"/>
          <w:snapToGrid w:val="0"/>
          <w:color w:val="auto"/>
          <w:kern w:val="0"/>
          <w:sz w:val="32"/>
          <w:szCs w:val="32"/>
          <w:highlight w:val="none"/>
          <w:lang w:val="en-US" w:eastAsia="zh-CN" w:bidi="ar"/>
        </w:rPr>
        <w:t>8分及以下</w:t>
      </w:r>
      <w:r>
        <w:rPr>
          <w:rFonts w:hint="eastAsia" w:ascii="仿宋_GB2312" w:hAnsi="仿宋_GB2312" w:eastAsia="仿宋_GB2312" w:cs="仿宋_GB2312"/>
          <w:snapToGrid w:val="0"/>
          <w:color w:val="auto"/>
          <w:kern w:val="0"/>
          <w:sz w:val="32"/>
          <w:szCs w:val="32"/>
          <w:highlight w:val="none"/>
          <w:lang w:eastAsia="zh-CN" w:bidi="ar"/>
        </w:rPr>
        <w:t>）</w:t>
      </w:r>
      <w:r>
        <w:rPr>
          <w:rFonts w:hint="eastAsia" w:ascii="仿宋_GB2312" w:hAnsi="仿宋_GB2312" w:eastAsia="仿宋_GB2312" w:cs="仿宋_GB2312"/>
          <w:snapToGrid w:val="0"/>
          <w:color w:val="auto"/>
          <w:kern w:val="0"/>
          <w:sz w:val="32"/>
          <w:szCs w:val="32"/>
          <w:highlight w:val="none"/>
          <w:lang w:bidi="ar"/>
        </w:rPr>
        <w:t>的相关人员</w:t>
      </w:r>
      <w:r>
        <w:rPr>
          <w:rFonts w:hint="eastAsia" w:ascii="仿宋_GB2312" w:hAnsi="仿宋_GB2312" w:eastAsia="仿宋_GB2312" w:cs="仿宋_GB2312"/>
          <w:snapToGrid w:val="0"/>
          <w:color w:val="auto"/>
          <w:kern w:val="0"/>
          <w:sz w:val="32"/>
          <w:szCs w:val="32"/>
          <w:highlight w:val="none"/>
          <w:lang w:eastAsia="zh-CN" w:bidi="ar"/>
        </w:rPr>
        <w:t>，可以正常开展涉及医保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kern w:val="0"/>
          <w:sz w:val="32"/>
          <w:szCs w:val="32"/>
          <w:highlight w:val="none"/>
          <w:lang w:eastAsia="zh-CN" w:bidi="ar"/>
        </w:rPr>
        <w:t>基金使用的医药服务、计费服务等，并纳入医保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kern w:val="0"/>
          <w:sz w:val="32"/>
          <w:szCs w:val="32"/>
          <w:highlight w:val="none"/>
          <w:lang w:eastAsia="zh-CN" w:bidi="ar"/>
        </w:rPr>
        <w:t>结算；</w:t>
      </w:r>
      <w:r>
        <w:rPr>
          <w:rFonts w:hint="eastAsia" w:ascii="仿宋_GB2312" w:hAnsi="仿宋_GB2312" w:eastAsia="仿宋_GB2312" w:cs="仿宋_GB2312"/>
          <w:snapToGrid w:val="0"/>
          <w:color w:val="auto"/>
          <w:kern w:val="0"/>
          <w:sz w:val="32"/>
          <w:szCs w:val="32"/>
          <w:highlight w:val="none"/>
          <w:lang w:bidi="ar"/>
        </w:rPr>
        <w:t>登记备案状态</w:t>
      </w:r>
      <w:r>
        <w:rPr>
          <w:rFonts w:hint="eastAsia" w:ascii="仿宋_GB2312" w:hAnsi="仿宋_GB2312" w:eastAsia="仿宋_GB2312" w:cs="仿宋_GB2312"/>
          <w:snapToGrid w:val="0"/>
          <w:color w:val="auto"/>
          <w:kern w:val="0"/>
          <w:sz w:val="32"/>
          <w:szCs w:val="32"/>
          <w:highlight w:val="none"/>
          <w:lang w:eastAsia="zh-CN" w:bidi="ar"/>
        </w:rPr>
        <w:t>暂停</w:t>
      </w:r>
      <w:r>
        <w:rPr>
          <w:rFonts w:hint="eastAsia" w:ascii="仿宋_GB2312" w:hAnsi="仿宋_GB2312" w:eastAsia="仿宋_GB2312" w:cs="仿宋_GB2312"/>
          <w:snapToGrid w:val="0"/>
          <w:color w:val="auto"/>
          <w:kern w:val="0"/>
          <w:sz w:val="32"/>
          <w:szCs w:val="32"/>
          <w:highlight w:val="none"/>
          <w:lang w:bidi="ar"/>
        </w:rPr>
        <w:t>的相关</w:t>
      </w:r>
      <w:r>
        <w:rPr>
          <w:rFonts w:hint="eastAsia" w:ascii="仿宋_GB2312" w:hAnsi="仿宋_GB2312" w:eastAsia="仿宋_GB2312" w:cs="仿宋_GB2312"/>
          <w:snapToGrid w:val="0"/>
          <w:color w:val="auto"/>
          <w:kern w:val="0"/>
          <w:sz w:val="32"/>
          <w:szCs w:val="32"/>
          <w:highlight w:val="none"/>
          <w:lang w:eastAsia="zh-CN" w:bidi="ar"/>
        </w:rPr>
        <w:t>责任</w:t>
      </w:r>
      <w:r>
        <w:rPr>
          <w:rFonts w:hint="eastAsia" w:ascii="仿宋_GB2312" w:hAnsi="仿宋_GB2312" w:eastAsia="仿宋_GB2312" w:cs="仿宋_GB2312"/>
          <w:snapToGrid w:val="0"/>
          <w:color w:val="auto"/>
          <w:kern w:val="0"/>
          <w:sz w:val="32"/>
          <w:szCs w:val="32"/>
          <w:highlight w:val="none"/>
          <w:lang w:bidi="ar"/>
        </w:rPr>
        <w:t>人员</w:t>
      </w:r>
      <w:r>
        <w:rPr>
          <w:rFonts w:hint="eastAsia" w:ascii="仿宋_GB2312" w:hAnsi="仿宋_GB2312" w:eastAsia="仿宋_GB2312" w:cs="仿宋_GB2312"/>
          <w:snapToGrid w:val="0"/>
          <w:color w:val="auto"/>
          <w:kern w:val="0"/>
          <w:sz w:val="32"/>
          <w:szCs w:val="32"/>
          <w:highlight w:val="none"/>
          <w:lang w:eastAsia="zh-CN" w:bidi="ar"/>
        </w:rPr>
        <w:t>，暂停期内提供医药服务发生的医保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kern w:val="0"/>
          <w:sz w:val="32"/>
          <w:szCs w:val="32"/>
          <w:highlight w:val="none"/>
          <w:lang w:eastAsia="zh-CN" w:bidi="ar"/>
        </w:rPr>
        <w:t>费用不予结算，急诊、抢救等特殊情形除外；登记备案状态终止</w:t>
      </w:r>
      <w:r>
        <w:rPr>
          <w:rFonts w:hint="eastAsia" w:ascii="仿宋_GB2312" w:hAnsi="仿宋_GB2312" w:eastAsia="仿宋_GB2312" w:cs="仿宋_GB2312"/>
          <w:snapToGrid w:val="0"/>
          <w:color w:val="auto"/>
          <w:kern w:val="0"/>
          <w:sz w:val="32"/>
          <w:szCs w:val="32"/>
          <w:highlight w:val="none"/>
          <w:lang w:eastAsia="zh-CN"/>
        </w:rPr>
        <w:t>的相关责任人员，终止期间内提供医药服务发生的医保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kern w:val="0"/>
          <w:sz w:val="32"/>
          <w:szCs w:val="32"/>
          <w:highlight w:val="none"/>
          <w:lang w:eastAsia="zh-CN"/>
        </w:rPr>
        <w:t>费用不予结算。</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bCs w:val="0"/>
          <w:snapToGrid w:val="0"/>
          <w:color w:val="auto"/>
          <w:spacing w:val="0"/>
          <w:kern w:val="0"/>
          <w:sz w:val="32"/>
          <w:szCs w:val="32"/>
          <w:highlight w:val="none"/>
          <w:lang w:eastAsia="zh-CN"/>
        </w:rPr>
      </w:pPr>
      <w:r>
        <w:rPr>
          <w:rFonts w:hint="default" w:ascii="黑体" w:hAnsi="黑体" w:eastAsia="黑体" w:cs="黑体"/>
          <w:b w:val="0"/>
          <w:snapToGrid w:val="0"/>
          <w:color w:val="auto"/>
          <w:spacing w:val="0"/>
          <w:kern w:val="0"/>
          <w:sz w:val="32"/>
          <w:szCs w:val="32"/>
          <w:highlight w:val="none"/>
          <w:lang w:eastAsia="zh-CN"/>
        </w:rPr>
        <w:t>第</w:t>
      </w:r>
      <w:r>
        <w:rPr>
          <w:rFonts w:hint="default" w:ascii="黑体" w:hAnsi="黑体" w:eastAsia="黑体" w:cs="黑体"/>
          <w:b w:val="0"/>
          <w:snapToGrid w:val="0"/>
          <w:color w:val="auto"/>
          <w:spacing w:val="0"/>
          <w:kern w:val="0"/>
          <w:sz w:val="32"/>
          <w:szCs w:val="32"/>
          <w:highlight w:val="none"/>
          <w:lang w:val="en-US" w:eastAsia="zh-CN"/>
        </w:rPr>
        <w:t>三十一</w:t>
      </w:r>
      <w:r>
        <w:rPr>
          <w:rFonts w:hint="default" w:ascii="黑体" w:hAnsi="黑体" w:eastAsia="黑体" w:cs="黑体"/>
          <w:b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val="en-US" w:eastAsia="zh-CN"/>
        </w:rPr>
        <w:t>检查</w:t>
      </w:r>
      <w:r>
        <w:rPr>
          <w:rFonts w:hint="default" w:ascii="黑体" w:hAnsi="黑体" w:eastAsia="黑体" w:cs="黑体"/>
          <w:b w:val="0"/>
          <w:snapToGrid w:val="0"/>
          <w:color w:val="auto"/>
          <w:spacing w:val="0"/>
          <w:kern w:val="0"/>
          <w:sz w:val="32"/>
          <w:szCs w:val="32"/>
          <w:highlight w:val="none"/>
          <w:lang w:eastAsia="zh-CN"/>
        </w:rPr>
        <w:t>医疗服务】</w:t>
      </w:r>
      <w:r>
        <w:rPr>
          <w:rFonts w:hint="eastAsia" w:ascii="黑体" w:hAnsi="黑体" w:eastAsia="黑体" w:cs="黑体"/>
          <w:b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bCs w:val="0"/>
          <w:snapToGrid w:val="0"/>
          <w:color w:val="auto"/>
          <w:spacing w:val="0"/>
          <w:kern w:val="0"/>
          <w:sz w:val="32"/>
          <w:szCs w:val="32"/>
          <w:highlight w:val="none"/>
          <w:lang w:eastAsia="zh-CN"/>
        </w:rPr>
        <w:t>甲方根据我省现行相关政策法规、细则条例、协议约束等，在同级或上级医疗行政部门的监督管理下，依法依规对定点医疗机构进行</w:t>
      </w:r>
      <w:r>
        <w:rPr>
          <w:rFonts w:hint="eastAsia" w:ascii="仿宋_GB2312" w:hAnsi="仿宋_GB2312" w:eastAsia="仿宋_GB2312" w:cs="仿宋_GB2312"/>
          <w:bCs w:val="0"/>
          <w:snapToGrid w:val="0"/>
          <w:color w:val="auto"/>
          <w:spacing w:val="0"/>
          <w:kern w:val="0"/>
          <w:sz w:val="32"/>
          <w:szCs w:val="32"/>
          <w:highlight w:val="none"/>
          <w:lang w:val="en-US" w:eastAsia="zh-CN"/>
        </w:rPr>
        <w:t>费用审核</w:t>
      </w:r>
      <w:r>
        <w:rPr>
          <w:rFonts w:hint="eastAsia" w:ascii="仿宋_GB2312" w:hAnsi="仿宋_GB2312" w:eastAsia="仿宋_GB2312" w:cs="仿宋_GB2312"/>
          <w:bCs w:val="0"/>
          <w:snapToGrid w:val="0"/>
          <w:color w:val="auto"/>
          <w:spacing w:val="0"/>
          <w:kern w:val="0"/>
          <w:sz w:val="32"/>
          <w:szCs w:val="32"/>
          <w:highlight w:val="none"/>
          <w:lang w:eastAsia="zh-CN"/>
        </w:rPr>
        <w:t>、日常</w:t>
      </w:r>
      <w:r>
        <w:rPr>
          <w:rFonts w:hint="eastAsia" w:ascii="仿宋_GB2312" w:hAnsi="仿宋_GB2312" w:eastAsia="仿宋_GB2312" w:cs="仿宋_GB2312"/>
          <w:bCs w:val="0"/>
          <w:snapToGrid w:val="0"/>
          <w:color w:val="auto"/>
          <w:spacing w:val="0"/>
          <w:kern w:val="0"/>
          <w:sz w:val="32"/>
          <w:szCs w:val="32"/>
          <w:highlight w:val="none"/>
          <w:lang w:val="en-US" w:eastAsia="zh-CN"/>
        </w:rPr>
        <w:t>检查</w:t>
      </w:r>
      <w:r>
        <w:rPr>
          <w:rFonts w:hint="eastAsia" w:ascii="仿宋_GB2312" w:hAnsi="仿宋_GB2312" w:eastAsia="仿宋_GB2312" w:cs="仿宋_GB2312"/>
          <w:bCs w:val="0"/>
          <w:snapToGrid w:val="0"/>
          <w:color w:val="auto"/>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bCs w:val="0"/>
          <w:snapToGrid w:val="0"/>
          <w:color w:val="auto"/>
          <w:spacing w:val="0"/>
          <w:kern w:val="0"/>
          <w:sz w:val="32"/>
          <w:szCs w:val="32"/>
          <w:highlight w:val="none"/>
          <w:lang w:eastAsia="zh-CN"/>
        </w:rPr>
      </w:pPr>
      <w:r>
        <w:rPr>
          <w:rFonts w:hint="eastAsia" w:ascii="仿宋_GB2312" w:hAnsi="仿宋_GB2312" w:eastAsia="仿宋_GB2312" w:cs="仿宋_GB2312"/>
          <w:bCs w:val="0"/>
          <w:snapToGrid w:val="0"/>
          <w:color w:val="auto"/>
          <w:spacing w:val="0"/>
          <w:kern w:val="0"/>
          <w:sz w:val="32"/>
          <w:szCs w:val="32"/>
          <w:highlight w:val="none"/>
          <w:lang w:eastAsia="zh-CN"/>
        </w:rPr>
        <w:t>甲乙双方应当充分利用医保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bCs w:val="0"/>
          <w:snapToGrid w:val="0"/>
          <w:color w:val="auto"/>
          <w:spacing w:val="0"/>
          <w:kern w:val="0"/>
          <w:sz w:val="32"/>
          <w:szCs w:val="32"/>
          <w:highlight w:val="none"/>
          <w:lang w:eastAsia="zh-CN"/>
        </w:rPr>
        <w:t>智能监控（含审核）系统（以下简称监控系统）</w:t>
      </w:r>
      <w:r>
        <w:rPr>
          <w:rFonts w:hint="eastAsia" w:ascii="仿宋_GB2312" w:hAnsi="仿宋_GB2312" w:eastAsia="仿宋_GB2312" w:cs="仿宋_GB2312"/>
          <w:bCs w:val="0"/>
          <w:snapToGrid w:val="0"/>
          <w:color w:val="auto"/>
          <w:spacing w:val="0"/>
          <w:kern w:val="0"/>
          <w:sz w:val="32"/>
          <w:szCs w:val="32"/>
          <w:highlight w:val="none"/>
          <w:lang w:val="en-US" w:eastAsia="zh-CN"/>
        </w:rPr>
        <w:t>检查</w:t>
      </w:r>
      <w:r>
        <w:rPr>
          <w:rFonts w:hint="eastAsia" w:ascii="仿宋_GB2312" w:hAnsi="仿宋_GB2312" w:eastAsia="仿宋_GB2312" w:cs="仿宋_GB2312"/>
          <w:bCs w:val="0"/>
          <w:snapToGrid w:val="0"/>
          <w:color w:val="auto"/>
          <w:spacing w:val="0"/>
          <w:kern w:val="0"/>
          <w:sz w:val="32"/>
          <w:szCs w:val="32"/>
          <w:highlight w:val="none"/>
          <w:lang w:eastAsia="zh-CN"/>
        </w:rPr>
        <w:t>医疗服务。完成事前提醒、事中预警等智能监控系统功能接入，并在诊疗业务过程中实际应用；监控系统发现乙方界定清楚的违规行为，甲方可直接通过监控系统处理；甲方发现违规疑点时，应及时反馈至乙方，乙方应当及时处理，不得影响参保人员结算。对其他统筹地区医保</w:t>
      </w:r>
      <w:r>
        <w:rPr>
          <w:rFonts w:hint="eastAsia" w:ascii="仿宋_GB2312" w:hAnsi="仿宋_GB2312" w:eastAsia="仿宋_GB2312" w:cs="仿宋_GB2312"/>
          <w:snapToGrid w:val="0"/>
          <w:color w:val="auto"/>
          <w:spacing w:val="0"/>
          <w:kern w:val="0"/>
          <w:sz w:val="32"/>
          <w:szCs w:val="32"/>
          <w:highlight w:val="none"/>
          <w:lang w:eastAsia="zh-CN"/>
        </w:rPr>
        <w:t>或工伤保险</w:t>
      </w:r>
      <w:r>
        <w:rPr>
          <w:rFonts w:hint="eastAsia" w:ascii="仿宋_GB2312" w:hAnsi="仿宋_GB2312" w:eastAsia="仿宋_GB2312" w:cs="仿宋_GB2312"/>
          <w:bCs w:val="0"/>
          <w:snapToGrid w:val="0"/>
          <w:color w:val="auto"/>
          <w:spacing w:val="0"/>
          <w:kern w:val="0"/>
          <w:sz w:val="32"/>
          <w:szCs w:val="32"/>
          <w:highlight w:val="none"/>
          <w:lang w:eastAsia="zh-CN"/>
        </w:rPr>
        <w:t>部门委托甲方对乙方进行监督检查或</w:t>
      </w:r>
      <w:r>
        <w:rPr>
          <w:rFonts w:hint="eastAsia" w:ascii="仿宋_GB2312" w:hAnsi="仿宋_GB2312" w:eastAsia="仿宋_GB2312" w:cs="仿宋_GB2312"/>
          <w:bCs w:val="0"/>
          <w:snapToGrid w:val="0"/>
          <w:color w:val="auto"/>
          <w:spacing w:val="0"/>
          <w:kern w:val="0"/>
          <w:sz w:val="32"/>
          <w:szCs w:val="32"/>
          <w:highlight w:val="none"/>
          <w:lang w:val="en-US" w:eastAsia="zh-CN"/>
        </w:rPr>
        <w:t>审核</w:t>
      </w:r>
      <w:r>
        <w:rPr>
          <w:rFonts w:hint="eastAsia" w:ascii="仿宋_GB2312" w:hAnsi="仿宋_GB2312" w:eastAsia="仿宋_GB2312" w:cs="仿宋_GB2312"/>
          <w:bCs w:val="0"/>
          <w:snapToGrid w:val="0"/>
          <w:color w:val="auto"/>
          <w:spacing w:val="0"/>
          <w:kern w:val="0"/>
          <w:sz w:val="32"/>
          <w:szCs w:val="32"/>
          <w:highlight w:val="none"/>
          <w:lang w:eastAsia="zh-CN"/>
        </w:rPr>
        <w:t>调查的，乙方应予以配合。</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bCs w:val="0"/>
          <w:snapToGrid w:val="0"/>
          <w:color w:val="auto"/>
          <w:spacing w:val="0"/>
          <w:kern w:val="0"/>
          <w:sz w:val="32"/>
          <w:szCs w:val="32"/>
          <w:highlight w:val="none"/>
          <w:lang w:eastAsia="zh-CN"/>
        </w:rPr>
      </w:pPr>
      <w:r>
        <w:rPr>
          <w:rFonts w:hint="default" w:ascii="黑体" w:hAnsi="黑体" w:eastAsia="黑体" w:cs="黑体"/>
          <w:b w:val="0"/>
          <w:snapToGrid w:val="0"/>
          <w:color w:val="auto"/>
          <w:spacing w:val="0"/>
          <w:kern w:val="0"/>
          <w:sz w:val="32"/>
          <w:szCs w:val="32"/>
          <w:highlight w:val="none"/>
          <w:lang w:eastAsia="zh-CN"/>
        </w:rPr>
        <w:t>第</w:t>
      </w:r>
      <w:r>
        <w:rPr>
          <w:rFonts w:hint="default" w:ascii="黑体" w:hAnsi="黑体" w:eastAsia="黑体" w:cs="黑体"/>
          <w:b w:val="0"/>
          <w:snapToGrid w:val="0"/>
          <w:color w:val="auto"/>
          <w:spacing w:val="0"/>
          <w:kern w:val="0"/>
          <w:sz w:val="32"/>
          <w:szCs w:val="32"/>
          <w:highlight w:val="none"/>
          <w:lang w:val="en-US" w:eastAsia="zh-CN"/>
        </w:rPr>
        <w:t>三十二</w:t>
      </w:r>
      <w:r>
        <w:rPr>
          <w:rFonts w:hint="default" w:ascii="黑体" w:hAnsi="黑体" w:eastAsia="黑体" w:cs="黑体"/>
          <w:b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val="en-US" w:eastAsia="zh-CN"/>
        </w:rPr>
        <w:t>审</w:t>
      </w:r>
      <w:r>
        <w:rPr>
          <w:rFonts w:hint="default" w:ascii="黑体" w:hAnsi="黑体" w:eastAsia="黑体" w:cs="黑体"/>
          <w:b w:val="0"/>
          <w:snapToGrid w:val="0"/>
          <w:color w:val="auto"/>
          <w:spacing w:val="0"/>
          <w:kern w:val="0"/>
          <w:sz w:val="32"/>
          <w:szCs w:val="32"/>
          <w:highlight w:val="none"/>
          <w:lang w:eastAsia="zh-CN"/>
        </w:rPr>
        <w:t>核检查】</w:t>
      </w:r>
      <w:r>
        <w:rPr>
          <w:rFonts w:hint="eastAsia" w:ascii="黑体" w:hAnsi="黑体" w:eastAsia="黑体" w:cs="黑体"/>
          <w:b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bCs w:val="0"/>
          <w:snapToGrid w:val="0"/>
          <w:color w:val="auto"/>
          <w:spacing w:val="0"/>
          <w:kern w:val="0"/>
          <w:sz w:val="32"/>
          <w:szCs w:val="32"/>
          <w:highlight w:val="none"/>
          <w:lang w:eastAsia="zh-CN"/>
        </w:rPr>
        <w:t>甲方或受甲方委托的具备资质的机构可定期、不定期通过现场与非现场等方式对乙方执行医疗保险</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bCs w:val="0"/>
          <w:snapToGrid w:val="0"/>
          <w:color w:val="auto"/>
          <w:spacing w:val="0"/>
          <w:kern w:val="0"/>
          <w:sz w:val="32"/>
          <w:szCs w:val="32"/>
          <w:highlight w:val="none"/>
          <w:lang w:eastAsia="zh-CN"/>
        </w:rPr>
        <w:t>政策、履行医疗服务协议情况及异地就医服务情况进行</w:t>
      </w:r>
      <w:r>
        <w:rPr>
          <w:rFonts w:hint="eastAsia" w:ascii="仿宋_GB2312" w:hAnsi="仿宋_GB2312" w:eastAsia="仿宋_GB2312" w:cs="仿宋_GB2312"/>
          <w:bCs w:val="0"/>
          <w:snapToGrid w:val="0"/>
          <w:color w:val="auto"/>
          <w:spacing w:val="0"/>
          <w:kern w:val="0"/>
          <w:sz w:val="32"/>
          <w:szCs w:val="32"/>
          <w:highlight w:val="none"/>
          <w:lang w:val="en-US" w:eastAsia="zh-CN"/>
        </w:rPr>
        <w:t>审</w:t>
      </w:r>
      <w:r>
        <w:rPr>
          <w:rFonts w:hint="eastAsia" w:ascii="仿宋_GB2312" w:hAnsi="仿宋_GB2312" w:eastAsia="仿宋_GB2312" w:cs="仿宋_GB2312"/>
          <w:bCs w:val="0"/>
          <w:snapToGrid w:val="0"/>
          <w:color w:val="auto"/>
          <w:spacing w:val="0"/>
          <w:kern w:val="0"/>
          <w:sz w:val="32"/>
          <w:szCs w:val="32"/>
          <w:highlight w:val="none"/>
          <w:lang w:eastAsia="zh-CN"/>
        </w:rPr>
        <w:t>核检查，乙方应当予以配合，准确完整提供医疗服务有关的材料和数据，</w:t>
      </w:r>
      <w:r>
        <w:rPr>
          <w:rFonts w:hint="eastAsia" w:ascii="仿宋_GB2312" w:hAnsi="仿宋_GB2312" w:eastAsia="仿宋_GB2312" w:cs="仿宋_GB2312"/>
          <w:snapToGrid w:val="0"/>
          <w:color w:val="auto"/>
          <w:spacing w:val="0"/>
          <w:kern w:val="0"/>
          <w:sz w:val="32"/>
          <w:szCs w:val="32"/>
          <w:highlight w:val="none"/>
          <w:lang w:eastAsia="zh-CN"/>
        </w:rPr>
        <w:t>并确保向甲方提供的资料和数据真实、准确、完整。</w:t>
      </w:r>
      <w:r>
        <w:rPr>
          <w:rFonts w:hint="eastAsia" w:ascii="仿宋_GB2312" w:hAnsi="仿宋_GB2312" w:eastAsia="仿宋_GB2312" w:cs="仿宋_GB2312"/>
          <w:bCs w:val="0"/>
          <w:snapToGrid w:val="0"/>
          <w:color w:val="auto"/>
          <w:spacing w:val="0"/>
          <w:kern w:val="0"/>
          <w:sz w:val="32"/>
          <w:szCs w:val="32"/>
          <w:highlight w:val="none"/>
          <w:lang w:eastAsia="zh-CN"/>
        </w:rPr>
        <w:t>因提供不实资料、数据产生的责任由乙方承担。甲方应当将</w:t>
      </w:r>
      <w:r>
        <w:rPr>
          <w:rFonts w:hint="eastAsia" w:ascii="仿宋_GB2312" w:hAnsi="仿宋_GB2312" w:eastAsia="仿宋_GB2312" w:cs="仿宋_GB2312"/>
          <w:snapToGrid w:val="0"/>
          <w:color w:val="auto"/>
          <w:spacing w:val="0"/>
          <w:kern w:val="0"/>
          <w:sz w:val="32"/>
          <w:szCs w:val="32"/>
          <w:highlight w:val="none"/>
          <w:lang w:eastAsia="zh-CN"/>
        </w:rPr>
        <w:t>检查结果反馈给乙方，</w:t>
      </w:r>
      <w:r>
        <w:rPr>
          <w:rFonts w:hint="eastAsia" w:ascii="仿宋_GB2312" w:hAnsi="仿宋_GB2312" w:eastAsia="仿宋_GB2312" w:cs="仿宋_GB2312"/>
          <w:bCs w:val="0"/>
          <w:snapToGrid w:val="0"/>
          <w:color w:val="auto"/>
          <w:spacing w:val="0"/>
          <w:kern w:val="0"/>
          <w:sz w:val="32"/>
          <w:szCs w:val="32"/>
          <w:highlight w:val="none"/>
          <w:lang w:eastAsia="zh-CN"/>
        </w:rPr>
        <w:t>对乙方提供的资料，甲方应当予以保密。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bCs w:val="0"/>
          <w:snapToGrid w:val="0"/>
          <w:color w:val="auto"/>
          <w:kern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lang w:eastAsia="zh-CN"/>
        </w:rPr>
        <w:t>甲方</w:t>
      </w:r>
      <w:r>
        <w:rPr>
          <w:rFonts w:hint="eastAsia" w:ascii="仿宋_GB2312" w:hAnsi="仿宋_GB2312" w:eastAsia="仿宋_GB2312" w:cs="仿宋_GB2312"/>
          <w:snapToGrid w:val="0"/>
          <w:color w:val="auto"/>
          <w:spacing w:val="0"/>
          <w:kern w:val="0"/>
          <w:sz w:val="32"/>
          <w:szCs w:val="32"/>
          <w:highlight w:val="none"/>
          <w:lang w:val="en-US" w:eastAsia="zh-CN"/>
        </w:rPr>
        <w:t>审</w:t>
      </w:r>
      <w:r>
        <w:rPr>
          <w:rFonts w:hint="eastAsia" w:ascii="仿宋_GB2312" w:hAnsi="仿宋_GB2312" w:eastAsia="仿宋_GB2312" w:cs="仿宋_GB2312"/>
          <w:snapToGrid w:val="0"/>
          <w:color w:val="auto"/>
          <w:spacing w:val="0"/>
          <w:kern w:val="0"/>
          <w:sz w:val="32"/>
          <w:szCs w:val="32"/>
          <w:highlight w:val="none"/>
          <w:lang w:eastAsia="zh-CN"/>
        </w:rPr>
        <w:t>核检查发现乙方存在《医疗保障基金使用监管管理条例》所列违法违规问题清单行为的，应当报医保行政部门处理</w:t>
      </w:r>
      <w:r>
        <w:rPr>
          <w:rFonts w:hint="eastAsia" w:ascii="仿宋_GB2312" w:hAnsi="仿宋_GB2312" w:eastAsia="仿宋_GB2312" w:cs="仿宋_GB2312"/>
          <w:snapToGrid w:val="0"/>
          <w:color w:val="auto"/>
          <w:spacing w:val="0"/>
          <w:kern w:val="0"/>
          <w:sz w:val="32"/>
          <w:szCs w:val="32"/>
          <w:highlight w:val="none"/>
          <w:lang w:val="en-US" w:eastAsia="zh-CN"/>
        </w:rPr>
        <w:t>。</w:t>
      </w:r>
    </w:p>
    <w:p>
      <w:pPr>
        <w:keepNext w:val="0"/>
        <w:keepLines w:val="0"/>
        <w:pageBreakBefore w:val="0"/>
        <w:widowControl w:val="0"/>
        <w:tabs>
          <w:tab w:val="left" w:pos="1418"/>
          <w:tab w:val="left" w:pos="1985"/>
        </w:tabs>
        <w:kinsoku/>
        <w:wordWrap/>
        <w:overflowPunct/>
        <w:topLinePunct w:val="0"/>
        <w:autoSpaceDE/>
        <w:autoSpaceDN/>
        <w:bidi w:val="0"/>
        <w:adjustRightInd/>
        <w:snapToGrid/>
        <w:spacing w:beforeLines="0" w:afterLines="0" w:line="560" w:lineRule="exact"/>
        <w:ind w:firstLine="640" w:firstLineChars="200"/>
        <w:jc w:val="both"/>
        <w:textAlignment w:val="baseline"/>
        <w:rPr>
          <w:rFonts w:hint="eastAsia" w:ascii="仿宋_GB2312" w:hAnsi="仿宋_GB2312" w:eastAsia="仿宋_GB2312" w:cs="仿宋_GB2312"/>
          <w:bCs w:val="0"/>
          <w:snapToGrid w:val="0"/>
          <w:color w:val="auto"/>
          <w:spacing w:val="0"/>
          <w:kern w:val="0"/>
          <w:sz w:val="32"/>
          <w:szCs w:val="32"/>
          <w:highlight w:val="none"/>
          <w:lang w:eastAsia="zh-CN"/>
        </w:rPr>
      </w:pPr>
      <w:r>
        <w:rPr>
          <w:rFonts w:hint="default" w:ascii="黑体" w:hAnsi="黑体" w:eastAsia="黑体" w:cs="黑体"/>
          <w:b w:val="0"/>
          <w:snapToGrid w:val="0"/>
          <w:color w:val="auto"/>
          <w:spacing w:val="0"/>
          <w:kern w:val="0"/>
          <w:sz w:val="32"/>
          <w:szCs w:val="32"/>
          <w:highlight w:val="none"/>
          <w:lang w:eastAsia="zh-CN"/>
        </w:rPr>
        <w:t>第</w:t>
      </w:r>
      <w:r>
        <w:rPr>
          <w:rFonts w:hint="default" w:ascii="黑体" w:hAnsi="黑体" w:eastAsia="黑体" w:cs="黑体"/>
          <w:b w:val="0"/>
          <w:snapToGrid w:val="0"/>
          <w:color w:val="auto"/>
          <w:spacing w:val="0"/>
          <w:kern w:val="0"/>
          <w:sz w:val="32"/>
          <w:szCs w:val="32"/>
          <w:highlight w:val="none"/>
          <w:lang w:val="en-US" w:eastAsia="zh-CN"/>
        </w:rPr>
        <w:t>三十</w:t>
      </w:r>
      <w:r>
        <w:rPr>
          <w:rFonts w:hint="eastAsia" w:ascii="黑体" w:hAnsi="黑体" w:eastAsia="黑体" w:cs="黑体"/>
          <w:b w:val="0"/>
          <w:snapToGrid w:val="0"/>
          <w:color w:val="auto"/>
          <w:spacing w:val="0"/>
          <w:kern w:val="0"/>
          <w:sz w:val="32"/>
          <w:szCs w:val="32"/>
          <w:highlight w:val="none"/>
          <w:lang w:val="en-US" w:eastAsia="zh-CN"/>
        </w:rPr>
        <w:t>三</w:t>
      </w:r>
      <w:r>
        <w:rPr>
          <w:rFonts w:hint="default" w:ascii="黑体" w:hAnsi="黑体" w:eastAsia="黑体" w:cs="黑体"/>
          <w:b w:val="0"/>
          <w:snapToGrid w:val="0"/>
          <w:color w:val="auto"/>
          <w:spacing w:val="0"/>
          <w:kern w:val="0"/>
          <w:sz w:val="32"/>
          <w:szCs w:val="32"/>
          <w:highlight w:val="none"/>
          <w:lang w:eastAsia="zh-CN"/>
        </w:rPr>
        <w:t>条【满意评价制度】</w:t>
      </w:r>
      <w:r>
        <w:rPr>
          <w:rFonts w:hint="eastAsia" w:ascii="黑体" w:hAnsi="黑体" w:eastAsia="黑体" w:cs="黑体"/>
          <w:b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bCs w:val="0"/>
          <w:snapToGrid w:val="0"/>
          <w:color w:val="auto"/>
          <w:spacing w:val="0"/>
          <w:kern w:val="0"/>
          <w:sz w:val="32"/>
          <w:szCs w:val="32"/>
          <w:highlight w:val="none"/>
          <w:lang w:eastAsia="zh-CN"/>
        </w:rPr>
        <w:t>甲方建立参保人员满意评价制度，对乙方提供医疗保险</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bCs w:val="0"/>
          <w:snapToGrid w:val="0"/>
          <w:color w:val="auto"/>
          <w:spacing w:val="0"/>
          <w:kern w:val="0"/>
          <w:sz w:val="32"/>
          <w:szCs w:val="32"/>
          <w:highlight w:val="none"/>
          <w:lang w:eastAsia="zh-CN"/>
        </w:rPr>
        <w:t>服务的态度、技术水平和医疗费用等进行综合评价。参保人员满意度调查可由甲方委托第三方进行。</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default" w:ascii="黑体" w:hAnsi="黑体" w:eastAsia="黑体" w:cs="黑体"/>
          <w:b w:val="0"/>
          <w:snapToGrid w:val="0"/>
          <w:color w:val="auto"/>
          <w:spacing w:val="0"/>
          <w:kern w:val="0"/>
          <w:sz w:val="32"/>
          <w:szCs w:val="32"/>
          <w:highlight w:val="none"/>
          <w:lang w:val="en-US" w:eastAsia="zh-CN" w:bidi="ar-SA"/>
        </w:rPr>
        <w:t>第三十</w:t>
      </w:r>
      <w:r>
        <w:rPr>
          <w:rFonts w:hint="eastAsia" w:ascii="黑体" w:hAnsi="黑体" w:eastAsia="黑体" w:cs="黑体"/>
          <w:b w:val="0"/>
          <w:snapToGrid w:val="0"/>
          <w:color w:val="auto"/>
          <w:spacing w:val="0"/>
          <w:kern w:val="0"/>
          <w:sz w:val="32"/>
          <w:szCs w:val="32"/>
          <w:highlight w:val="none"/>
          <w:lang w:val="en-US" w:eastAsia="zh-CN" w:bidi="ar-SA"/>
        </w:rPr>
        <w:t>四</w:t>
      </w:r>
      <w:r>
        <w:rPr>
          <w:rFonts w:hint="default" w:ascii="黑体" w:hAnsi="黑体" w:eastAsia="黑体" w:cs="黑体"/>
          <w:b w:val="0"/>
          <w:snapToGrid w:val="0"/>
          <w:color w:val="auto"/>
          <w:spacing w:val="0"/>
          <w:kern w:val="0"/>
          <w:sz w:val="32"/>
          <w:szCs w:val="32"/>
          <w:highlight w:val="none"/>
          <w:lang w:val="en-US" w:eastAsia="zh-CN" w:bidi="ar-SA"/>
        </w:rPr>
        <w:t>条【通报】</w:t>
      </w:r>
      <w:r>
        <w:rPr>
          <w:rFonts w:hint="eastAsia" w:ascii="黑体" w:hAnsi="黑体" w:eastAsia="黑体" w:cs="黑体"/>
          <w:b w:val="0"/>
          <w:snapToGrid w:val="0"/>
          <w:color w:val="auto"/>
          <w:spacing w:val="0"/>
          <w:kern w:val="0"/>
          <w:sz w:val="32"/>
          <w:szCs w:val="32"/>
          <w:highlight w:val="none"/>
          <w:lang w:val="en-US" w:eastAsia="zh-CN" w:bidi="ar-SA"/>
        </w:rPr>
        <w:t xml:space="preserve"> </w:t>
      </w:r>
      <w:r>
        <w:rPr>
          <w:rFonts w:hint="eastAsia" w:ascii="仿宋_GB2312" w:hAnsi="仿宋_GB2312" w:eastAsia="仿宋_GB2312" w:cs="仿宋_GB2312"/>
          <w:bCs w:val="0"/>
          <w:snapToGrid w:val="0"/>
          <w:color w:val="auto"/>
          <w:spacing w:val="0"/>
          <w:kern w:val="0"/>
          <w:sz w:val="32"/>
          <w:szCs w:val="32"/>
          <w:highlight w:val="none"/>
          <w:lang w:val="en-US" w:eastAsia="zh-CN" w:bidi="ar-SA"/>
        </w:rPr>
        <w:t>甲方可对乙方的医疗服务违约行为、医疗费用的对比分析情况、医保考核结果等向相关部门、参保单位、参保人员和公众媒体等进行通报。</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0" w:firstLineChars="0"/>
        <w:jc w:val="both"/>
        <w:textAlignment w:val="baseline"/>
        <w:outlineLvl w:val="0"/>
        <w:rPr>
          <w:rFonts w:ascii="黑体" w:hAnsi="黑体" w:eastAsia="黑体" w:cs="黑体"/>
          <w:b w:val="0"/>
          <w:bCs w:val="0"/>
          <w:snapToGrid w:val="0"/>
          <w:color w:val="auto"/>
          <w:spacing w:val="0"/>
          <w:kern w:val="0"/>
          <w:sz w:val="36"/>
          <w:szCs w:val="36"/>
          <w:highlight w:val="none"/>
          <w:lang w:eastAsia="en-US"/>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0" w:firstLineChars="0"/>
        <w:jc w:val="center"/>
        <w:textAlignment w:val="baseline"/>
        <w:outlineLvl w:val="0"/>
        <w:rPr>
          <w:rFonts w:ascii="黑体" w:hAnsi="黑体" w:eastAsia="黑体" w:cs="黑体"/>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en-US"/>
        </w:rPr>
        <w:t>第三章</w:t>
      </w:r>
      <w:r>
        <w:rPr>
          <w:rFonts w:hint="default" w:ascii="黑体" w:hAnsi="黑体" w:eastAsia="黑体" w:cs="黑体"/>
          <w:b w:val="0"/>
          <w:bCs w:val="0"/>
          <w:snapToGrid w:val="0"/>
          <w:color w:val="auto"/>
          <w:spacing w:val="0"/>
          <w:kern w:val="0"/>
          <w:sz w:val="32"/>
          <w:szCs w:val="32"/>
          <w:highlight w:val="none"/>
          <w:lang w:val="en-US" w:eastAsia="zh-CN"/>
        </w:rPr>
        <w:t xml:space="preserve"> </w:t>
      </w:r>
      <w:r>
        <w:rPr>
          <w:rFonts w:ascii="黑体" w:hAnsi="黑体" w:eastAsia="黑体" w:cs="黑体"/>
          <w:b w:val="0"/>
          <w:bCs w:val="0"/>
          <w:snapToGrid w:val="0"/>
          <w:color w:val="auto"/>
          <w:spacing w:val="0"/>
          <w:kern w:val="0"/>
          <w:sz w:val="32"/>
          <w:szCs w:val="32"/>
          <w:highlight w:val="none"/>
          <w:lang w:eastAsia="en-US"/>
        </w:rPr>
        <w:t>费用结算</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0" w:firstLineChars="0"/>
        <w:jc w:val="both"/>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default" w:ascii="黑体" w:hAnsi="黑体" w:eastAsia="黑体" w:cs="黑体"/>
          <w:b w:val="0"/>
          <w:bCs w:val="0"/>
          <w:snapToGrid w:val="0"/>
          <w:color w:val="auto"/>
          <w:spacing w:val="0"/>
          <w:kern w:val="0"/>
          <w:sz w:val="32"/>
          <w:szCs w:val="32"/>
          <w:highlight w:val="none"/>
          <w:lang w:eastAsia="zh-CN"/>
        </w:rPr>
        <w:t>第</w:t>
      </w:r>
      <w:r>
        <w:rPr>
          <w:rFonts w:hint="default" w:ascii="黑体" w:hAnsi="黑体" w:eastAsia="黑体" w:cs="黑体"/>
          <w:b w:val="0"/>
          <w:bCs w:val="0"/>
          <w:snapToGrid w:val="0"/>
          <w:color w:val="auto"/>
          <w:spacing w:val="0"/>
          <w:kern w:val="0"/>
          <w:sz w:val="32"/>
          <w:szCs w:val="32"/>
          <w:highlight w:val="none"/>
          <w:lang w:val="en-US" w:eastAsia="zh-CN"/>
        </w:rPr>
        <w:t>三</w:t>
      </w:r>
      <w:r>
        <w:rPr>
          <w:rFonts w:hint="default" w:ascii="黑体" w:hAnsi="黑体" w:eastAsia="黑体" w:cs="黑体"/>
          <w:b w:val="0"/>
          <w:bCs w:val="0"/>
          <w:snapToGrid w:val="0"/>
          <w:color w:val="auto"/>
          <w:spacing w:val="0"/>
          <w:kern w:val="0"/>
          <w:sz w:val="32"/>
          <w:szCs w:val="32"/>
          <w:highlight w:val="none"/>
          <w:lang w:eastAsia="zh-CN"/>
        </w:rPr>
        <w:t>十</w:t>
      </w:r>
      <w:r>
        <w:rPr>
          <w:rFonts w:hint="default" w:ascii="黑体" w:hAnsi="黑体" w:eastAsia="黑体" w:cs="黑体"/>
          <w:b w:val="0"/>
          <w:bCs w:val="0"/>
          <w:snapToGrid w:val="0"/>
          <w:color w:val="auto"/>
          <w:spacing w:val="0"/>
          <w:kern w:val="0"/>
          <w:sz w:val="32"/>
          <w:szCs w:val="32"/>
          <w:highlight w:val="none"/>
          <w:lang w:val="en-US" w:eastAsia="zh-CN"/>
        </w:rPr>
        <w:t>五</w:t>
      </w:r>
      <w:r>
        <w:rPr>
          <w:rFonts w:hint="default"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沟通协商</w:t>
      </w:r>
      <w:r>
        <w:rPr>
          <w:rFonts w:hint="default" w:ascii="黑体" w:hAnsi="黑体" w:eastAsia="黑体" w:cs="黑体"/>
          <w:b w:val="0"/>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eastAsia="en-US"/>
        </w:rPr>
        <w:t xml:space="preserve"> 甲方与乙方建立沟通协商机制，就服务内容、付费方式、结算标准等相关事宜进行沟通协商。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default" w:ascii="黑体" w:hAnsi="黑体" w:eastAsia="黑体" w:cs="黑体"/>
          <w:b w:val="0"/>
          <w:bCs w:val="0"/>
          <w:snapToGrid w:val="0"/>
          <w:color w:val="auto"/>
          <w:spacing w:val="0"/>
          <w:kern w:val="0"/>
          <w:sz w:val="32"/>
          <w:szCs w:val="32"/>
          <w:highlight w:val="none"/>
          <w:lang w:val="en-US" w:eastAsia="zh-CN"/>
        </w:rPr>
        <w:t>第三十六</w:t>
      </w:r>
      <w:r>
        <w:rPr>
          <w:rFonts w:hint="default"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医保基金与医药企业直接结算</w:t>
      </w:r>
      <w:r>
        <w:rPr>
          <w:rFonts w:hint="default" w:ascii="黑体" w:hAnsi="黑体" w:eastAsia="黑体" w:cs="黑体"/>
          <w:b w:val="0"/>
          <w:snapToGrid w:val="0"/>
          <w:color w:val="auto"/>
          <w:spacing w:val="0"/>
          <w:kern w:val="0"/>
          <w:sz w:val="32"/>
          <w:szCs w:val="32"/>
          <w:highlight w:val="none"/>
          <w:lang w:eastAsia="zh-CN"/>
        </w:rPr>
        <w:t>】</w:t>
      </w:r>
      <w:r>
        <w:rPr>
          <w:rFonts w:hint="eastAsia" w:ascii="仿宋_GB2312" w:hAnsi="仿宋_GB2312" w:eastAsia="仿宋_GB2312" w:cs="仿宋_GB2312"/>
          <w:b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b w:val="0"/>
          <w:bCs w:val="0"/>
          <w:snapToGrid w:val="0"/>
          <w:color w:val="auto"/>
          <w:spacing w:val="0"/>
          <w:kern w:val="0"/>
          <w:sz w:val="32"/>
          <w:szCs w:val="32"/>
          <w:highlight w:val="none"/>
          <w:lang w:eastAsia="zh-CN"/>
        </w:rPr>
        <w:t>乙方在</w:t>
      </w:r>
      <w:r>
        <w:rPr>
          <w:rFonts w:hint="eastAsia" w:ascii="仿宋_GB2312" w:hAnsi="仿宋_GB2312" w:eastAsia="仿宋_GB2312" w:cs="仿宋_GB2312"/>
          <w:snapToGrid w:val="0"/>
          <w:color w:val="auto"/>
          <w:spacing w:val="0"/>
          <w:kern w:val="0"/>
          <w:sz w:val="32"/>
          <w:szCs w:val="32"/>
          <w:highlight w:val="none"/>
          <w:shd w:val="clear" w:color="auto" w:fill="auto"/>
          <w:lang w:val="en-US" w:eastAsia="zh-CN"/>
        </w:rPr>
        <w:t>我省医药采购平台</w:t>
      </w:r>
      <w:r>
        <w:rPr>
          <w:rFonts w:hint="eastAsia" w:ascii="仿宋_GB2312" w:hAnsi="仿宋_GB2312" w:eastAsia="仿宋_GB2312" w:cs="仿宋_GB2312"/>
          <w:snapToGrid w:val="0"/>
          <w:color w:val="auto"/>
          <w:spacing w:val="0"/>
          <w:kern w:val="0"/>
          <w:sz w:val="32"/>
          <w:szCs w:val="32"/>
          <w:highlight w:val="none"/>
          <w:lang w:val="en-US" w:eastAsia="zh-CN"/>
        </w:rPr>
        <w:t>采购的药品、医用耗材货款纳入医保基金与医药企业直接结算</w:t>
      </w:r>
      <w:r>
        <w:rPr>
          <w:rFonts w:hint="eastAsia" w:ascii="仿宋_GB2312" w:hAnsi="仿宋_GB2312" w:eastAsia="仿宋_GB2312" w:cs="仿宋_GB2312"/>
          <w:snapToGrid w:val="0"/>
          <w:color w:val="auto"/>
          <w:spacing w:val="0"/>
          <w:kern w:val="0"/>
          <w:sz w:val="32"/>
          <w:szCs w:val="32"/>
          <w:highlight w:val="none"/>
          <w:lang w:val="en-US" w:eastAsia="zh-CN" w:bidi="ar-SA"/>
        </w:rPr>
        <w:t>范围，</w:t>
      </w:r>
      <w:r>
        <w:rPr>
          <w:rFonts w:hint="eastAsia" w:ascii="仿宋_GB2312" w:hAnsi="仿宋_GB2312" w:eastAsia="仿宋_GB2312" w:cs="仿宋_GB2312"/>
          <w:snapToGrid w:val="0"/>
          <w:color w:val="auto"/>
          <w:spacing w:val="0"/>
          <w:kern w:val="0"/>
          <w:sz w:val="32"/>
          <w:szCs w:val="32"/>
          <w:highlight w:val="none"/>
          <w:lang w:eastAsia="zh-CN"/>
        </w:rPr>
        <w:t>但不改变乙方采购结算主体责任，也不改变医药企业和乙方间的债权债务关系。</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2"/>
          <w:sz w:val="32"/>
          <w:szCs w:val="32"/>
          <w:highlight w:val="none"/>
          <w:lang w:val="en-US" w:eastAsia="zh-CN" w:bidi="ar"/>
        </w:rPr>
        <w:t>乙方要通过医药货款结算平台</w:t>
      </w:r>
      <w:r>
        <w:rPr>
          <w:rFonts w:hint="eastAsia" w:ascii="仿宋_GB2312" w:hAnsi="仿宋_GB2312" w:eastAsia="仿宋_GB2312" w:cs="仿宋_GB2312"/>
          <w:snapToGrid w:val="0"/>
          <w:color w:val="auto"/>
          <w:kern w:val="0"/>
          <w:sz w:val="32"/>
          <w:szCs w:val="32"/>
          <w:highlight w:val="none"/>
          <w:lang w:val="en-US" w:eastAsia="zh-CN" w:bidi="ar"/>
        </w:rPr>
        <w:t>签订相关补充购销协议，</w:t>
      </w:r>
      <w:r>
        <w:rPr>
          <w:rFonts w:hint="eastAsia" w:ascii="仿宋_GB2312" w:hAnsi="仿宋_GB2312" w:eastAsia="仿宋_GB2312" w:cs="仿宋_GB2312"/>
          <w:snapToGrid w:val="0"/>
          <w:color w:val="auto"/>
          <w:kern w:val="2"/>
          <w:sz w:val="32"/>
          <w:szCs w:val="32"/>
          <w:highlight w:val="none"/>
          <w:lang w:val="en-US" w:eastAsia="zh-CN" w:bidi="ar"/>
        </w:rPr>
        <w:t>及时</w:t>
      </w:r>
      <w:r>
        <w:rPr>
          <w:rFonts w:hint="eastAsia" w:ascii="仿宋_GB2312" w:hAnsi="仿宋_GB2312" w:eastAsia="仿宋_GB2312" w:cs="仿宋_GB2312"/>
          <w:snapToGrid w:val="0"/>
          <w:color w:val="auto"/>
          <w:kern w:val="0"/>
          <w:sz w:val="32"/>
          <w:szCs w:val="32"/>
          <w:highlight w:val="none"/>
          <w:lang w:eastAsia="en-US" w:bidi="ar"/>
        </w:rPr>
        <w:t>对采购</w:t>
      </w:r>
      <w:r>
        <w:rPr>
          <w:rFonts w:hint="eastAsia" w:ascii="仿宋_GB2312" w:hAnsi="仿宋_GB2312" w:eastAsia="仿宋_GB2312" w:cs="仿宋_GB2312"/>
          <w:snapToGrid w:val="0"/>
          <w:color w:val="auto"/>
          <w:kern w:val="0"/>
          <w:sz w:val="32"/>
          <w:szCs w:val="32"/>
          <w:highlight w:val="none"/>
          <w:lang w:eastAsia="zh-CN" w:bidi="ar"/>
        </w:rPr>
        <w:t>的</w:t>
      </w:r>
      <w:r>
        <w:rPr>
          <w:rFonts w:hint="eastAsia" w:ascii="仿宋_GB2312" w:hAnsi="仿宋_GB2312" w:eastAsia="仿宋_GB2312" w:cs="仿宋_GB2312"/>
          <w:snapToGrid w:val="0"/>
          <w:color w:val="auto"/>
          <w:kern w:val="0"/>
          <w:sz w:val="32"/>
          <w:szCs w:val="32"/>
          <w:highlight w:val="none"/>
          <w:u w:val="none"/>
          <w:lang w:eastAsia="zh-CN" w:bidi="ar"/>
        </w:rPr>
        <w:t>药品、医用耗材</w:t>
      </w:r>
      <w:r>
        <w:rPr>
          <w:rFonts w:hint="eastAsia" w:ascii="仿宋_GB2312" w:hAnsi="仿宋_GB2312" w:eastAsia="仿宋_GB2312" w:cs="仿宋_GB2312"/>
          <w:snapToGrid w:val="0"/>
          <w:color w:val="auto"/>
          <w:kern w:val="2"/>
          <w:sz w:val="32"/>
          <w:szCs w:val="32"/>
          <w:highlight w:val="none"/>
          <w:lang w:val="en-US" w:eastAsia="zh-CN" w:bidi="ar"/>
        </w:rPr>
        <w:t>入库信息、采购数据及相关票据进行审核，确认已配送医药产品情况；及时核对并确认医药企业发起的结算申请，在规定时间内与医药企业进行对账确认。</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default" w:ascii="黑体" w:hAnsi="黑体" w:eastAsia="黑体" w:cs="黑体"/>
          <w:b w:val="0"/>
          <w:bCs w:val="0"/>
          <w:snapToGrid w:val="0"/>
          <w:color w:val="auto"/>
          <w:spacing w:val="0"/>
          <w:kern w:val="0"/>
          <w:sz w:val="32"/>
          <w:szCs w:val="32"/>
          <w:highlight w:val="none"/>
          <w:lang w:eastAsia="zh-CN"/>
        </w:rPr>
        <w:t>第三十</w:t>
      </w:r>
      <w:r>
        <w:rPr>
          <w:rFonts w:hint="default" w:ascii="黑体" w:hAnsi="黑体" w:eastAsia="黑体" w:cs="黑体"/>
          <w:b w:val="0"/>
          <w:bCs w:val="0"/>
          <w:snapToGrid w:val="0"/>
          <w:color w:val="auto"/>
          <w:spacing w:val="0"/>
          <w:kern w:val="0"/>
          <w:sz w:val="32"/>
          <w:szCs w:val="32"/>
          <w:highlight w:val="none"/>
          <w:lang w:val="en-US" w:eastAsia="zh-CN"/>
        </w:rPr>
        <w:t>七</w:t>
      </w:r>
      <w:r>
        <w:rPr>
          <w:rFonts w:hint="default"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总额预算</w:t>
      </w:r>
      <w:r>
        <w:rPr>
          <w:rFonts w:hint="default" w:ascii="黑体" w:hAnsi="黑体" w:eastAsia="黑体" w:cs="黑体"/>
          <w:b w:val="0"/>
          <w:snapToGrid w:val="0"/>
          <w:color w:val="auto"/>
          <w:spacing w:val="0"/>
          <w:kern w:val="0"/>
          <w:sz w:val="32"/>
          <w:szCs w:val="32"/>
          <w:highlight w:val="none"/>
          <w:lang w:eastAsia="zh-CN"/>
        </w:rPr>
        <w:t>】</w:t>
      </w:r>
      <w:r>
        <w:rPr>
          <w:rFonts w:hint="eastAsia" w:ascii="仿宋_GB2312" w:hAnsi="仿宋_GB2312" w:eastAsia="仿宋_GB2312" w:cs="仿宋_GB2312"/>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甲方根据医保政策规定开展医保基金总</w:t>
      </w:r>
      <w:r>
        <w:rPr>
          <w:rFonts w:hint="eastAsia" w:ascii="仿宋_GB2312" w:hAnsi="仿宋_GB2312" w:eastAsia="仿宋_GB2312" w:cs="仿宋_GB2312"/>
          <w:snapToGrid w:val="0"/>
          <w:color w:val="auto"/>
          <w:kern w:val="0"/>
          <w:sz w:val="32"/>
          <w:szCs w:val="32"/>
          <w:highlight w:val="none"/>
          <w:lang w:eastAsia="en-US"/>
        </w:rPr>
        <w:t>额预算管</w:t>
      </w:r>
      <w:r>
        <w:rPr>
          <w:rFonts w:hint="eastAsia" w:ascii="仿宋_GB2312" w:hAnsi="仿宋_GB2312" w:eastAsia="仿宋_GB2312" w:cs="仿宋_GB2312"/>
          <w:snapToGrid w:val="0"/>
          <w:color w:val="auto"/>
          <w:spacing w:val="0"/>
          <w:kern w:val="0"/>
          <w:sz w:val="32"/>
          <w:szCs w:val="32"/>
          <w:highlight w:val="none"/>
          <w:lang w:eastAsia="en-US"/>
        </w:rPr>
        <w:t>理，完善预算办法、健全管理机制，合理确定医保基金年度预算金额。甲方与乙方建立医保基金风险共担机制，对乙方合理超支给予适当补偿；对乙方不合理超支，甲方不予分担。</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default" w:ascii="黑体" w:hAnsi="黑体" w:eastAsia="黑体" w:cs="黑体"/>
          <w:b w:val="0"/>
          <w:bCs w:val="0"/>
          <w:snapToGrid w:val="0"/>
          <w:color w:val="auto"/>
          <w:spacing w:val="0"/>
          <w:kern w:val="0"/>
          <w:sz w:val="32"/>
          <w:szCs w:val="32"/>
          <w:highlight w:val="none"/>
          <w:lang w:eastAsia="zh-CN"/>
        </w:rPr>
        <w:t>第</w:t>
      </w:r>
      <w:r>
        <w:rPr>
          <w:rFonts w:hint="default" w:ascii="黑体" w:hAnsi="黑体" w:eastAsia="黑体" w:cs="黑体"/>
          <w:b w:val="0"/>
          <w:bCs w:val="0"/>
          <w:snapToGrid w:val="0"/>
          <w:color w:val="auto"/>
          <w:spacing w:val="0"/>
          <w:kern w:val="0"/>
          <w:sz w:val="32"/>
          <w:szCs w:val="32"/>
          <w:highlight w:val="none"/>
          <w:lang w:val="en-US" w:eastAsia="zh-CN"/>
        </w:rPr>
        <w:t>三十八</w:t>
      </w:r>
      <w:r>
        <w:rPr>
          <w:rFonts w:hint="default"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支付类别</w:t>
      </w:r>
      <w:r>
        <w:rPr>
          <w:rFonts w:hint="default" w:ascii="黑体" w:hAnsi="黑体" w:eastAsia="黑体" w:cs="黑体"/>
          <w:b w:val="0"/>
          <w:snapToGrid w:val="0"/>
          <w:color w:val="auto"/>
          <w:spacing w:val="0"/>
          <w:kern w:val="0"/>
          <w:sz w:val="32"/>
          <w:szCs w:val="32"/>
          <w:highlight w:val="none"/>
          <w:lang w:eastAsia="zh-CN"/>
        </w:rPr>
        <w:t>】</w:t>
      </w:r>
      <w:r>
        <w:rPr>
          <w:rFonts w:hint="eastAsia" w:ascii="仿宋_GB2312" w:hAnsi="仿宋_GB2312" w:eastAsia="仿宋_GB2312" w:cs="仿宋_GB2312"/>
          <w:b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kern w:val="0"/>
          <w:sz w:val="32"/>
          <w:szCs w:val="32"/>
          <w:highlight w:val="none"/>
          <w:lang w:eastAsia="en-US"/>
        </w:rPr>
        <w:t>确认乙方医疗费用支付类别属于（请在□内标记√）：</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□A.城镇从业人员基本医疗保险、大额医疗费用补助</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□B.城乡居民医疗保险、大病保险</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□C.离休人员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□D.伤残军人医疗费用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□E.生育保险</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560" w:lineRule="exact"/>
        <w:ind w:lef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val="en-US" w:eastAsia="en-US"/>
        </w:rPr>
        <w:t>F</w:t>
      </w:r>
      <w:r>
        <w:rPr>
          <w:rFonts w:hint="eastAsia" w:ascii="仿宋_GB2312" w:hAnsi="仿宋_GB2312" w:eastAsia="仿宋_GB2312" w:cs="仿宋_GB2312"/>
          <w:snapToGrid w:val="0"/>
          <w:color w:val="auto"/>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val="en-US" w:eastAsia="en-US"/>
        </w:rPr>
        <w:t>困难群众</w:t>
      </w:r>
      <w:r>
        <w:rPr>
          <w:rFonts w:hint="eastAsia" w:ascii="仿宋_GB2312" w:hAnsi="仿宋_GB2312" w:eastAsia="仿宋_GB2312" w:cs="仿宋_GB2312"/>
          <w:snapToGrid w:val="0"/>
          <w:color w:val="auto"/>
          <w:kern w:val="0"/>
          <w:sz w:val="32"/>
          <w:szCs w:val="32"/>
          <w:highlight w:val="none"/>
          <w:lang w:eastAsia="en-US"/>
        </w:rPr>
        <w:t>医疗救助</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560" w:lineRule="exact"/>
        <w:ind w:lef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val="en-US" w:eastAsia="en-US"/>
        </w:rPr>
        <w:t>G</w:t>
      </w:r>
      <w:r>
        <w:rPr>
          <w:rFonts w:hint="eastAsia" w:ascii="仿宋_GB2312" w:hAnsi="仿宋_GB2312" w:eastAsia="仿宋_GB2312" w:cs="仿宋_GB2312"/>
          <w:snapToGrid w:val="0"/>
          <w:color w:val="auto"/>
          <w:kern w:val="0"/>
          <w:sz w:val="32"/>
          <w:szCs w:val="32"/>
          <w:highlight w:val="none"/>
          <w:lang w:eastAsia="en-US"/>
        </w:rPr>
        <w:t>.公务员医疗补助</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560" w:lineRule="exact"/>
        <w:ind w:lef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□H.工伤保险</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default"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三</w:t>
      </w:r>
      <w:r>
        <w:rPr>
          <w:rFonts w:hint="default" w:ascii="黑体" w:hAnsi="黑体" w:eastAsia="黑体" w:cs="黑体"/>
          <w:b w:val="0"/>
          <w:bCs w:val="0"/>
          <w:snapToGrid w:val="0"/>
          <w:color w:val="auto"/>
          <w:spacing w:val="0"/>
          <w:kern w:val="0"/>
          <w:sz w:val="32"/>
          <w:szCs w:val="32"/>
          <w:highlight w:val="none"/>
          <w:lang w:val="en-US" w:eastAsia="zh-CN"/>
        </w:rPr>
        <w:t>十</w:t>
      </w:r>
      <w:r>
        <w:rPr>
          <w:rFonts w:hint="eastAsia" w:ascii="黑体" w:hAnsi="黑体" w:eastAsia="黑体" w:cs="黑体"/>
          <w:b w:val="0"/>
          <w:bCs w:val="0"/>
          <w:snapToGrid w:val="0"/>
          <w:color w:val="auto"/>
          <w:spacing w:val="0"/>
          <w:kern w:val="0"/>
          <w:sz w:val="32"/>
          <w:szCs w:val="32"/>
          <w:highlight w:val="none"/>
          <w:lang w:val="en-US" w:eastAsia="zh-CN"/>
        </w:rPr>
        <w:t>九</w:t>
      </w:r>
      <w:r>
        <w:rPr>
          <w:rFonts w:hint="default" w:ascii="黑体" w:hAnsi="黑体" w:eastAsia="黑体" w:cs="黑体"/>
          <w:b w:val="0"/>
          <w:bCs w:val="0"/>
          <w:snapToGrid w:val="0"/>
          <w:color w:val="auto"/>
          <w:spacing w:val="0"/>
          <w:kern w:val="0"/>
          <w:sz w:val="32"/>
          <w:szCs w:val="32"/>
          <w:highlight w:val="none"/>
          <w:lang w:eastAsia="zh-CN"/>
        </w:rPr>
        <w:t>条【结算方式】</w:t>
      </w:r>
      <w:r>
        <w:rPr>
          <w:rFonts w:hint="eastAsia" w:ascii="黑体" w:hAnsi="黑体" w:eastAsia="黑体" w:cs="黑体"/>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zh-CN"/>
        </w:rPr>
        <w:t>确定乙方结算方式属于（请在□内标记√）：</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□B.按病种结算方式</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val="en" w:eastAsia="en-US"/>
        </w:rPr>
        <w:t>C</w:t>
      </w:r>
      <w:r>
        <w:rPr>
          <w:rFonts w:hint="eastAsia" w:ascii="仿宋_GB2312" w:hAnsi="仿宋_GB2312" w:eastAsia="仿宋_GB2312" w:cs="仿宋_GB2312"/>
          <w:snapToGrid w:val="0"/>
          <w:color w:val="auto"/>
          <w:kern w:val="0"/>
          <w:sz w:val="32"/>
          <w:szCs w:val="32"/>
          <w:highlight w:val="none"/>
          <w:lang w:eastAsia="en-US"/>
        </w:rPr>
        <w:t>.按服务项目结算方式（含住院、普通门诊）</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val="en" w:eastAsia="en-US"/>
        </w:rPr>
        <w:t>G</w:t>
      </w:r>
      <w:r>
        <w:rPr>
          <w:rFonts w:hint="eastAsia" w:ascii="仿宋_GB2312" w:hAnsi="仿宋_GB2312" w:eastAsia="仿宋_GB2312" w:cs="仿宋_GB2312"/>
          <w:snapToGrid w:val="0"/>
          <w:color w:val="auto"/>
          <w:kern w:val="0"/>
          <w:sz w:val="32"/>
          <w:szCs w:val="32"/>
          <w:highlight w:val="none"/>
          <w:lang w:eastAsia="en-US"/>
        </w:rPr>
        <w:t>.按疾病诊断相关分组（DRG）付费</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val="en" w:eastAsia="en-US"/>
        </w:rPr>
        <w:t>H</w:t>
      </w:r>
      <w:r>
        <w:rPr>
          <w:rFonts w:hint="eastAsia" w:ascii="仿宋_GB2312" w:hAnsi="仿宋_GB2312" w:eastAsia="仿宋_GB2312" w:cs="仿宋_GB2312"/>
          <w:snapToGrid w:val="0"/>
          <w:color w:val="auto"/>
          <w:kern w:val="0"/>
          <w:sz w:val="32"/>
          <w:szCs w:val="32"/>
          <w:highlight w:val="none"/>
          <w:lang w:eastAsia="en-US"/>
        </w:rPr>
        <w:t>.按区域点数法总额预算和按病种分值（DIP）付费</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val="en" w:eastAsia="en-US"/>
        </w:rPr>
        <w:t>I</w:t>
      </w:r>
      <w:r>
        <w:rPr>
          <w:rFonts w:hint="eastAsia" w:ascii="仿宋_GB2312" w:hAnsi="仿宋_GB2312" w:eastAsia="仿宋_GB2312" w:cs="仿宋_GB2312"/>
          <w:snapToGrid w:val="0"/>
          <w:color w:val="auto"/>
          <w:kern w:val="0"/>
          <w:sz w:val="32"/>
          <w:szCs w:val="32"/>
          <w:highlight w:val="none"/>
          <w:lang w:eastAsia="en-US"/>
        </w:rPr>
        <w:t>.按紧密型医共体（城乡/职工）基本医疗保险按人头总额预付方式</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val="en" w:eastAsia="en-US"/>
        </w:rPr>
        <w:t>J</w:t>
      </w:r>
      <w:r>
        <w:rPr>
          <w:rFonts w:hint="eastAsia" w:ascii="仿宋_GB2312" w:hAnsi="仿宋_GB2312" w:eastAsia="仿宋_GB2312" w:cs="仿宋_GB2312"/>
          <w:snapToGrid w:val="0"/>
          <w:color w:val="auto"/>
          <w:kern w:val="0"/>
          <w:sz w:val="32"/>
          <w:szCs w:val="32"/>
          <w:highlight w:val="none"/>
          <w:lang w:eastAsia="en-US"/>
        </w:rPr>
        <w:t>.按医疗联合体（城乡/职工）实行按区域总额预算包干支付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val="en" w:eastAsia="en-US"/>
        </w:rPr>
        <w:t>K</w:t>
      </w:r>
      <w:r>
        <w:rPr>
          <w:rFonts w:hint="eastAsia" w:ascii="仿宋_GB2312" w:hAnsi="仿宋_GB2312" w:eastAsia="仿宋_GB2312" w:cs="仿宋_GB2312"/>
          <w:snapToGrid w:val="0"/>
          <w:color w:val="auto"/>
          <w:kern w:val="0"/>
          <w:sz w:val="32"/>
          <w:szCs w:val="32"/>
          <w:highlight w:val="none"/>
          <w:lang w:eastAsia="en-US"/>
        </w:rPr>
        <w:t>.日间手术结算方式</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val="en-US" w:eastAsia="en-US"/>
        </w:rPr>
        <w:t>L</w:t>
      </w:r>
      <w:r>
        <w:rPr>
          <w:rFonts w:hint="eastAsia" w:ascii="仿宋_GB2312" w:hAnsi="仿宋_GB2312" w:eastAsia="仿宋_GB2312" w:cs="仿宋_GB2312"/>
          <w:snapToGrid w:val="0"/>
          <w:color w:val="auto"/>
          <w:kern w:val="0"/>
          <w:sz w:val="32"/>
          <w:szCs w:val="32"/>
          <w:highlight w:val="none"/>
          <w:lang w:eastAsia="en-US"/>
        </w:rPr>
        <w:t>.日间病床方式</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 w:eastAsia="en-US"/>
        </w:rPr>
      </w:pPr>
      <w:r>
        <w:rPr>
          <w:rFonts w:hint="eastAsia" w:ascii="仿宋_GB2312" w:hAnsi="仿宋_GB2312" w:eastAsia="仿宋_GB2312" w:cs="仿宋_GB2312"/>
          <w:snapToGrid w:val="0"/>
          <w:color w:val="auto"/>
          <w:kern w:val="0"/>
          <w:sz w:val="32"/>
          <w:szCs w:val="32"/>
          <w:highlight w:val="none"/>
          <w:lang w:eastAsia="en-US"/>
        </w:rPr>
        <w:t>□</w:t>
      </w:r>
      <w:r>
        <w:rPr>
          <w:rFonts w:hint="eastAsia" w:ascii="仿宋_GB2312" w:hAnsi="仿宋_GB2312" w:eastAsia="仿宋_GB2312" w:cs="仿宋_GB2312"/>
          <w:snapToGrid w:val="0"/>
          <w:color w:val="auto"/>
          <w:kern w:val="0"/>
          <w:sz w:val="32"/>
          <w:szCs w:val="32"/>
          <w:highlight w:val="none"/>
          <w:lang w:val="en-US" w:eastAsia="en-US"/>
        </w:rPr>
        <w:t>M</w:t>
      </w:r>
      <w:r>
        <w:rPr>
          <w:rFonts w:hint="eastAsia" w:ascii="仿宋_GB2312" w:hAnsi="仿宋_GB2312" w:eastAsia="仿宋_GB2312" w:cs="仿宋_GB2312"/>
          <w:snapToGrid w:val="0"/>
          <w:color w:val="auto"/>
          <w:kern w:val="0"/>
          <w:sz w:val="32"/>
          <w:szCs w:val="32"/>
          <w:highlight w:val="none"/>
          <w:lang w:val="en" w:eastAsia="en-US"/>
        </w:rPr>
        <w:t>.工伤保险费用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60" w:firstLineChars="0"/>
        <w:jc w:val="both"/>
        <w:textAlignment w:val="baseline"/>
        <w:rPr>
          <w:rFonts w:hint="default" w:ascii="仿宋" w:hAnsi="仿宋" w:eastAsia="仿宋" w:cs="仿宋"/>
          <w:snapToGrid w:val="0"/>
          <w:color w:val="auto"/>
          <w:kern w:val="0"/>
          <w:sz w:val="32"/>
          <w:szCs w:val="32"/>
          <w:highlight w:val="none"/>
          <w:lang w:val="en" w:eastAsia="en-US"/>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val="en-US" w:eastAsia="en-US"/>
        </w:rPr>
        <w:t>参保人员医疗费用中属于参保人员个人承担的费用，由参保人直接与乙方结算，</w:t>
      </w:r>
      <w:r>
        <w:rPr>
          <w:rFonts w:hint="eastAsia" w:ascii="仿宋_GB2312" w:hAnsi="仿宋_GB2312" w:eastAsia="仿宋_GB2312" w:cs="仿宋_GB2312"/>
          <w:snapToGrid w:val="0"/>
          <w:color w:val="auto"/>
          <w:kern w:val="0"/>
          <w:sz w:val="32"/>
          <w:szCs w:val="32"/>
          <w:highlight w:val="none"/>
          <w:lang w:eastAsia="en-US"/>
        </w:rPr>
        <w:t>离休人员医疗费用结算按相关文件规定执行。</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日间病床有关费用结算按相关文件规定执行。</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default" w:ascii="黑体" w:hAnsi="黑体" w:eastAsia="黑体" w:cs="黑体"/>
          <w:b w:val="0"/>
          <w:bCs w:val="0"/>
          <w:snapToGrid w:val="0"/>
          <w:color w:val="auto"/>
          <w:spacing w:val="0"/>
          <w:kern w:val="0"/>
          <w:sz w:val="32"/>
          <w:szCs w:val="32"/>
          <w:highlight w:val="none"/>
          <w:lang w:eastAsia="zh-CN"/>
        </w:rPr>
        <w:t>第</w:t>
      </w:r>
      <w:r>
        <w:rPr>
          <w:rFonts w:hint="default" w:ascii="黑体" w:hAnsi="黑体" w:eastAsia="黑体" w:cs="黑体"/>
          <w:b w:val="0"/>
          <w:bCs w:val="0"/>
          <w:snapToGrid w:val="0"/>
          <w:color w:val="auto"/>
          <w:spacing w:val="0"/>
          <w:kern w:val="0"/>
          <w:sz w:val="32"/>
          <w:szCs w:val="32"/>
          <w:highlight w:val="none"/>
          <w:lang w:val="en-US" w:eastAsia="zh-CN"/>
        </w:rPr>
        <w:t>四十</w:t>
      </w:r>
      <w:r>
        <w:rPr>
          <w:rFonts w:hint="default" w:ascii="黑体" w:hAnsi="黑体" w:eastAsia="黑体" w:cs="黑体"/>
          <w:b w:val="0"/>
          <w:bCs w:val="0"/>
          <w:snapToGrid w:val="0"/>
          <w:color w:val="auto"/>
          <w:spacing w:val="0"/>
          <w:kern w:val="0"/>
          <w:sz w:val="32"/>
          <w:szCs w:val="32"/>
          <w:highlight w:val="none"/>
          <w:lang w:eastAsia="zh-CN"/>
        </w:rPr>
        <w:t>条【即时结算】</w:t>
      </w:r>
      <w:r>
        <w:rPr>
          <w:rFonts w:hint="eastAsia" w:ascii="黑体" w:hAnsi="黑体" w:eastAsia="黑体" w:cs="黑体"/>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kern w:val="0"/>
          <w:sz w:val="32"/>
          <w:szCs w:val="32"/>
          <w:highlight w:val="none"/>
          <w:lang w:eastAsia="en-US"/>
        </w:rPr>
        <w:t>乙方应按照医疗保险相关规定为参保人员即时结算医疗费用，为参保人员提供医疗费用“一站式”结算服务。参保人员在乙方就医结算时，只需交纳按规定应由参保患者个人承担的费用，乙方应开具专用票据(电子票据)。其余费用由甲方按本协议规定向乙方支付。无特殊情况，乙方不得要求参保人员全额现金结算医疗费用。乙方开展异地就医联网结算服务的，无正当理由不得拒绝异地参保人员即时结算费用。乙方需及时结算医疗保险费用，期限为自出院时间之日起1年内，无正当理由对逾期未结算费用甲方不予支付。若因参保人无故拖欠导致不能即时结算的，可向参保人所在地经办机构申请协同配合。</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default" w:ascii="黑体" w:hAnsi="黑体" w:eastAsia="黑体" w:cs="黑体"/>
          <w:b w:val="0"/>
          <w:bCs w:val="0"/>
          <w:snapToGrid w:val="0"/>
          <w:color w:val="auto"/>
          <w:spacing w:val="0"/>
          <w:kern w:val="0"/>
          <w:sz w:val="32"/>
          <w:szCs w:val="32"/>
          <w:highlight w:val="none"/>
          <w:lang w:eastAsia="zh-CN"/>
        </w:rPr>
        <w:t>第</w:t>
      </w:r>
      <w:r>
        <w:rPr>
          <w:rFonts w:hint="default" w:ascii="黑体" w:hAnsi="黑体" w:eastAsia="黑体" w:cs="黑体"/>
          <w:b w:val="0"/>
          <w:bCs w:val="0"/>
          <w:snapToGrid w:val="0"/>
          <w:color w:val="auto"/>
          <w:spacing w:val="0"/>
          <w:kern w:val="0"/>
          <w:sz w:val="32"/>
          <w:szCs w:val="32"/>
          <w:highlight w:val="none"/>
          <w:lang w:val="en-US" w:eastAsia="zh-CN"/>
        </w:rPr>
        <w:t>四十</w:t>
      </w:r>
      <w:r>
        <w:rPr>
          <w:rFonts w:hint="eastAsia" w:ascii="黑体" w:hAnsi="黑体" w:eastAsia="黑体" w:cs="黑体"/>
          <w:b w:val="0"/>
          <w:bCs w:val="0"/>
          <w:snapToGrid w:val="0"/>
          <w:color w:val="auto"/>
          <w:spacing w:val="0"/>
          <w:kern w:val="0"/>
          <w:sz w:val="32"/>
          <w:szCs w:val="32"/>
          <w:highlight w:val="none"/>
          <w:lang w:val="en-US" w:eastAsia="zh-CN"/>
        </w:rPr>
        <w:t>一</w:t>
      </w:r>
      <w:r>
        <w:rPr>
          <w:rFonts w:hint="default" w:ascii="黑体" w:hAnsi="黑体" w:eastAsia="黑体" w:cs="黑体"/>
          <w:b w:val="0"/>
          <w:bCs w:val="0"/>
          <w:snapToGrid w:val="0"/>
          <w:color w:val="auto"/>
          <w:spacing w:val="0"/>
          <w:kern w:val="0"/>
          <w:sz w:val="32"/>
          <w:szCs w:val="32"/>
          <w:highlight w:val="none"/>
          <w:lang w:eastAsia="zh-CN"/>
        </w:rPr>
        <w:t>条【医疗服务质量考核】</w:t>
      </w:r>
      <w:r>
        <w:rPr>
          <w:rFonts w:hint="eastAsia" w:ascii="黑体" w:hAnsi="黑体" w:eastAsia="黑体" w:cs="黑体"/>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kern w:val="0"/>
          <w:sz w:val="32"/>
          <w:szCs w:val="32"/>
          <w:highlight w:val="none"/>
          <w:lang w:eastAsia="en-US"/>
        </w:rPr>
        <w:t>甲方根据医疗保险、生育保险、</w:t>
      </w:r>
      <w:r>
        <w:rPr>
          <w:rFonts w:hint="eastAsia" w:ascii="仿宋_GB2312" w:hAnsi="仿宋_GB2312" w:eastAsia="仿宋_GB2312" w:cs="仿宋_GB2312"/>
          <w:snapToGrid w:val="0"/>
          <w:color w:val="auto"/>
          <w:spacing w:val="0"/>
          <w:kern w:val="0"/>
          <w:sz w:val="32"/>
          <w:szCs w:val="32"/>
          <w:highlight w:val="none"/>
          <w:lang w:eastAsia="en-US"/>
        </w:rPr>
        <w:t>工伤保险、</w:t>
      </w:r>
      <w:r>
        <w:rPr>
          <w:rFonts w:hint="eastAsia" w:ascii="仿宋_GB2312" w:hAnsi="仿宋_GB2312" w:eastAsia="仿宋_GB2312" w:cs="仿宋_GB2312"/>
          <w:snapToGrid w:val="0"/>
          <w:color w:val="auto"/>
          <w:kern w:val="0"/>
          <w:sz w:val="32"/>
          <w:szCs w:val="32"/>
          <w:highlight w:val="none"/>
          <w:lang w:eastAsia="en-US"/>
        </w:rPr>
        <w:t>医疗救助、</w:t>
      </w:r>
      <w:r>
        <w:rPr>
          <w:rFonts w:hint="eastAsia" w:ascii="仿宋_GB2312" w:hAnsi="仿宋_GB2312" w:eastAsia="仿宋_GB2312" w:cs="仿宋_GB2312"/>
          <w:snapToGrid w:val="0"/>
          <w:color w:val="auto"/>
          <w:kern w:val="0"/>
          <w:sz w:val="32"/>
          <w:szCs w:val="32"/>
          <w:highlight w:val="none"/>
          <w:lang w:val="en-US" w:eastAsia="en-US"/>
        </w:rPr>
        <w:t>医保信息化</w:t>
      </w:r>
      <w:r>
        <w:rPr>
          <w:rFonts w:hint="eastAsia" w:ascii="仿宋_GB2312" w:hAnsi="仿宋_GB2312" w:eastAsia="仿宋_GB2312" w:cs="仿宋_GB2312"/>
          <w:snapToGrid w:val="0"/>
          <w:color w:val="auto"/>
          <w:kern w:val="0"/>
          <w:sz w:val="32"/>
          <w:szCs w:val="32"/>
          <w:highlight w:val="none"/>
          <w:lang w:eastAsia="en-US"/>
        </w:rPr>
        <w:t>等政策的规定和本协议的约定对乙方进行考核，考核结果与本年度质量保证金返还、年终清算、分级管理和协议续签等挂钩。甲方对乙方提供的异地就医联网结算服务与本地就医服务一并进行考核。考核结果报同级医疗保险行政部门备案。</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default"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四</w:t>
      </w:r>
      <w:r>
        <w:rPr>
          <w:rFonts w:hint="default" w:ascii="黑体" w:hAnsi="黑体" w:eastAsia="黑体" w:cs="黑体"/>
          <w:b w:val="0"/>
          <w:bCs w:val="0"/>
          <w:snapToGrid w:val="0"/>
          <w:color w:val="auto"/>
          <w:spacing w:val="0"/>
          <w:kern w:val="0"/>
          <w:sz w:val="32"/>
          <w:szCs w:val="32"/>
          <w:highlight w:val="none"/>
          <w:lang w:val="en-US" w:eastAsia="zh-CN"/>
        </w:rPr>
        <w:t>十</w:t>
      </w:r>
      <w:r>
        <w:rPr>
          <w:rFonts w:hint="eastAsia" w:ascii="黑体" w:hAnsi="黑体" w:eastAsia="黑体" w:cs="黑体"/>
          <w:b w:val="0"/>
          <w:bCs w:val="0"/>
          <w:snapToGrid w:val="0"/>
          <w:color w:val="auto"/>
          <w:spacing w:val="0"/>
          <w:kern w:val="0"/>
          <w:sz w:val="32"/>
          <w:szCs w:val="32"/>
          <w:highlight w:val="none"/>
          <w:lang w:val="en-US" w:eastAsia="zh-CN"/>
        </w:rPr>
        <w:t>二</w:t>
      </w:r>
      <w:r>
        <w:rPr>
          <w:rFonts w:hint="default" w:ascii="黑体" w:hAnsi="黑体" w:eastAsia="黑体" w:cs="黑体"/>
          <w:b w:val="0"/>
          <w:bCs w:val="0"/>
          <w:snapToGrid w:val="0"/>
          <w:color w:val="auto"/>
          <w:spacing w:val="0"/>
          <w:kern w:val="0"/>
          <w:sz w:val="32"/>
          <w:szCs w:val="32"/>
          <w:highlight w:val="none"/>
          <w:lang w:eastAsia="zh-CN"/>
        </w:rPr>
        <w:t>条【基金预付】</w:t>
      </w:r>
      <w:r>
        <w:rPr>
          <w:rFonts w:hint="eastAsia" w:ascii="黑体" w:hAnsi="黑体" w:eastAsia="黑体" w:cs="黑体"/>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kern w:val="0"/>
          <w:sz w:val="32"/>
          <w:szCs w:val="32"/>
          <w:highlight w:val="none"/>
          <w:lang w:eastAsia="en-US"/>
        </w:rPr>
        <w:t>甲方可对符合条件的医疗机构建立预付金制度，缓解其资金运行压力。乙方按自愿原则提供真实材料申请，规范使用预付金，并在规定时间内返还预付金。在突发疫情等紧急情况时，可按国家规定预拨专项资金。</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trike w:val="0"/>
          <w:snapToGrid w:val="0"/>
          <w:color w:val="auto"/>
          <w:spacing w:val="0"/>
          <w:kern w:val="0"/>
          <w:sz w:val="32"/>
          <w:szCs w:val="32"/>
          <w:highlight w:val="none"/>
          <w:lang w:val="en-US" w:eastAsia="en-US" w:bidi="ar-SA"/>
        </w:rPr>
      </w:pPr>
      <w:r>
        <w:rPr>
          <w:rFonts w:hint="default" w:ascii="黑体" w:hAnsi="黑体" w:eastAsia="黑体" w:cs="黑体"/>
          <w:b w:val="0"/>
          <w:bCs w:val="0"/>
          <w:snapToGrid w:val="0"/>
          <w:color w:val="auto"/>
          <w:spacing w:val="0"/>
          <w:kern w:val="0"/>
          <w:sz w:val="32"/>
          <w:szCs w:val="32"/>
          <w:highlight w:val="none"/>
          <w:lang w:val="en-US" w:eastAsia="zh-CN" w:bidi="ar-SA"/>
        </w:rPr>
        <w:t>第</w:t>
      </w:r>
      <w:r>
        <w:rPr>
          <w:rFonts w:hint="eastAsia" w:ascii="黑体" w:hAnsi="黑体" w:eastAsia="黑体" w:cs="黑体"/>
          <w:b w:val="0"/>
          <w:bCs w:val="0"/>
          <w:snapToGrid w:val="0"/>
          <w:color w:val="auto"/>
          <w:spacing w:val="0"/>
          <w:kern w:val="0"/>
          <w:sz w:val="32"/>
          <w:szCs w:val="32"/>
          <w:highlight w:val="none"/>
          <w:lang w:val="en-US" w:eastAsia="zh-CN" w:bidi="ar-SA"/>
        </w:rPr>
        <w:t>四</w:t>
      </w:r>
      <w:r>
        <w:rPr>
          <w:rFonts w:hint="default" w:ascii="黑体" w:hAnsi="黑体" w:eastAsia="黑体" w:cs="黑体"/>
          <w:b w:val="0"/>
          <w:bCs w:val="0"/>
          <w:snapToGrid w:val="0"/>
          <w:color w:val="auto"/>
          <w:spacing w:val="0"/>
          <w:kern w:val="0"/>
          <w:sz w:val="32"/>
          <w:szCs w:val="32"/>
          <w:highlight w:val="none"/>
          <w:lang w:val="en-US" w:eastAsia="zh-CN" w:bidi="ar-SA"/>
        </w:rPr>
        <w:t>十</w:t>
      </w:r>
      <w:r>
        <w:rPr>
          <w:rFonts w:hint="eastAsia" w:ascii="黑体" w:hAnsi="黑体" w:eastAsia="黑体" w:cs="黑体"/>
          <w:b w:val="0"/>
          <w:bCs w:val="0"/>
          <w:snapToGrid w:val="0"/>
          <w:color w:val="auto"/>
          <w:spacing w:val="0"/>
          <w:kern w:val="0"/>
          <w:sz w:val="32"/>
          <w:szCs w:val="32"/>
          <w:highlight w:val="none"/>
          <w:lang w:val="en-US" w:eastAsia="zh-CN" w:bidi="ar-SA"/>
        </w:rPr>
        <w:t>三</w:t>
      </w:r>
      <w:r>
        <w:rPr>
          <w:rFonts w:hint="default" w:ascii="黑体" w:hAnsi="黑体" w:eastAsia="黑体" w:cs="黑体"/>
          <w:b w:val="0"/>
          <w:bCs w:val="0"/>
          <w:snapToGrid w:val="0"/>
          <w:color w:val="auto"/>
          <w:spacing w:val="0"/>
          <w:kern w:val="0"/>
          <w:sz w:val="32"/>
          <w:szCs w:val="32"/>
          <w:highlight w:val="none"/>
          <w:lang w:val="en-US" w:eastAsia="zh-CN" w:bidi="ar-SA"/>
        </w:rPr>
        <w:t>条【指标调整】</w:t>
      </w:r>
      <w:r>
        <w:rPr>
          <w:rFonts w:hint="eastAsia" w:ascii="黑体" w:hAnsi="黑体" w:eastAsia="黑体" w:cs="黑体"/>
          <w:b w:val="0"/>
          <w:bCs w:val="0"/>
          <w:snapToGrid w:val="0"/>
          <w:color w:val="auto"/>
          <w:spacing w:val="0"/>
          <w:kern w:val="0"/>
          <w:sz w:val="32"/>
          <w:szCs w:val="32"/>
          <w:highlight w:val="none"/>
          <w:lang w:val="en-US" w:eastAsia="zh-CN" w:bidi="ar-SA"/>
        </w:rPr>
        <w:t xml:space="preserve"> </w:t>
      </w:r>
      <w:r>
        <w:rPr>
          <w:rFonts w:hint="eastAsia" w:ascii="仿宋_GB2312" w:hAnsi="仿宋_GB2312" w:eastAsia="仿宋_GB2312" w:cs="仿宋_GB2312"/>
          <w:snapToGrid w:val="0"/>
          <w:color w:val="auto"/>
          <w:kern w:val="0"/>
          <w:sz w:val="32"/>
          <w:szCs w:val="32"/>
          <w:highlight w:val="none"/>
          <w:lang w:val="en-US" w:eastAsia="en-US" w:bidi="ar-SA"/>
        </w:rPr>
        <w:t>因发生重大政策调整、影响范围较大的突发事件、乙方服务量增幅较大等情况导致医保费用变化较大的，甲方可按规定调整结算指标。</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b w:val="0"/>
          <w:bCs w:val="0"/>
          <w:snapToGrid w:val="0"/>
          <w:color w:val="auto"/>
          <w:spacing w:val="0"/>
          <w:kern w:val="0"/>
          <w:sz w:val="32"/>
          <w:szCs w:val="32"/>
          <w:highlight w:val="none"/>
          <w:lang w:val="en-US" w:eastAsia="en-US"/>
        </w:rPr>
      </w:pPr>
      <w:r>
        <w:rPr>
          <w:rFonts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四</w:t>
      </w:r>
      <w:r>
        <w:rPr>
          <w:rFonts w:ascii="黑体" w:hAnsi="黑体" w:eastAsia="黑体" w:cs="黑体"/>
          <w:b w:val="0"/>
          <w:bCs w:val="0"/>
          <w:snapToGrid w:val="0"/>
          <w:color w:val="auto"/>
          <w:spacing w:val="0"/>
          <w:kern w:val="0"/>
          <w:sz w:val="32"/>
          <w:szCs w:val="32"/>
          <w:highlight w:val="none"/>
          <w:lang w:eastAsia="zh-CN"/>
        </w:rPr>
        <w:t>十</w:t>
      </w:r>
      <w:r>
        <w:rPr>
          <w:rFonts w:hint="default" w:ascii="黑体" w:hAnsi="黑体" w:eastAsia="黑体" w:cs="黑体"/>
          <w:b w:val="0"/>
          <w:bCs w:val="0"/>
          <w:snapToGrid w:val="0"/>
          <w:color w:val="auto"/>
          <w:spacing w:val="0"/>
          <w:kern w:val="0"/>
          <w:sz w:val="32"/>
          <w:szCs w:val="32"/>
          <w:highlight w:val="none"/>
          <w:lang w:val="en-US" w:eastAsia="zh-CN"/>
        </w:rPr>
        <w:t>四</w:t>
      </w:r>
      <w:r>
        <w:rPr>
          <w:rFonts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支付方式</w:t>
      </w:r>
      <w:r>
        <w:rPr>
          <w:rFonts w:hint="default"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ascii="仿宋" w:hAnsi="仿宋" w:eastAsia="仿宋" w:cs="仿宋"/>
          <w:snapToGrid w:val="0"/>
          <w:color w:val="auto"/>
          <w:spacing w:val="0"/>
          <w:kern w:val="0"/>
          <w:sz w:val="32"/>
          <w:szCs w:val="32"/>
          <w:highlight w:val="none"/>
          <w:lang w:eastAsia="en-US"/>
        </w:rPr>
        <w:t>甲</w:t>
      </w:r>
      <w:r>
        <w:rPr>
          <w:rFonts w:hint="eastAsia" w:ascii="仿宋_GB2312" w:hAnsi="仿宋_GB2312" w:eastAsia="仿宋_GB2312" w:cs="仿宋_GB2312"/>
          <w:snapToGrid w:val="0"/>
          <w:color w:val="auto"/>
          <w:spacing w:val="0"/>
          <w:kern w:val="0"/>
          <w:sz w:val="32"/>
          <w:szCs w:val="32"/>
          <w:highlight w:val="none"/>
          <w:lang w:eastAsia="en-US"/>
        </w:rPr>
        <w:t>方结合海南省实际，推行多元复合式医保支付方式改革，乙方应予以配合。双方沟通协商后，甲方可开展按项目、按疾病诊断相关分组(DRG) 、按病种分值 (DIP)、按床日、按人头等支付方式。乙方应配合甲方落实按疾病诊断相关分组(</w:t>
      </w:r>
      <w:r>
        <w:rPr>
          <w:rFonts w:hint="eastAsia" w:ascii="仿宋_GB2312" w:hAnsi="仿宋_GB2312" w:eastAsia="仿宋_GB2312" w:cs="仿宋_GB2312"/>
          <w:snapToGrid w:val="0"/>
          <w:color w:val="auto"/>
          <w:kern w:val="0"/>
          <w:sz w:val="32"/>
          <w:szCs w:val="32"/>
          <w:highlight w:val="none"/>
          <w:lang w:eastAsia="en-US"/>
        </w:rPr>
        <w:t>DRG</w:t>
      </w:r>
      <w:r>
        <w:rPr>
          <w:rFonts w:hint="eastAsia" w:ascii="仿宋_GB2312" w:hAnsi="仿宋_GB2312" w:eastAsia="仿宋_GB2312" w:cs="仿宋_GB2312"/>
          <w:snapToGrid w:val="0"/>
          <w:color w:val="auto"/>
          <w:spacing w:val="0"/>
          <w:kern w:val="0"/>
          <w:sz w:val="32"/>
          <w:szCs w:val="32"/>
          <w:highlight w:val="none"/>
          <w:lang w:eastAsia="en-US"/>
        </w:rPr>
        <w:t>)、按病种分值(</w:t>
      </w:r>
      <w:r>
        <w:rPr>
          <w:rFonts w:hint="eastAsia" w:ascii="仿宋_GB2312" w:hAnsi="仿宋_GB2312" w:eastAsia="仿宋_GB2312" w:cs="仿宋_GB2312"/>
          <w:snapToGrid w:val="0"/>
          <w:color w:val="auto"/>
          <w:kern w:val="0"/>
          <w:sz w:val="32"/>
          <w:szCs w:val="32"/>
          <w:highlight w:val="none"/>
          <w:lang w:eastAsia="en-US"/>
        </w:rPr>
        <w:t>DIP</w:t>
      </w:r>
      <w:r>
        <w:rPr>
          <w:rFonts w:hint="eastAsia" w:ascii="仿宋_GB2312" w:hAnsi="仿宋_GB2312" w:eastAsia="仿宋_GB2312" w:cs="仿宋_GB2312"/>
          <w:snapToGrid w:val="0"/>
          <w:color w:val="auto"/>
          <w:spacing w:val="0"/>
          <w:kern w:val="0"/>
          <w:sz w:val="32"/>
          <w:szCs w:val="32"/>
          <w:highlight w:val="none"/>
          <w:lang w:eastAsia="en-US"/>
        </w:rPr>
        <w:t>)支付方式改革要求，做好医疗费用结算清算工作。省内异地就医住院费用纳入</w:t>
      </w:r>
      <w:r>
        <w:rPr>
          <w:rFonts w:hint="eastAsia" w:ascii="仿宋_GB2312" w:hAnsi="仿宋_GB2312" w:eastAsia="仿宋_GB2312" w:cs="仿宋_GB2312"/>
          <w:snapToGrid w:val="0"/>
          <w:color w:val="auto"/>
          <w:spacing w:val="0"/>
          <w:kern w:val="0"/>
          <w:sz w:val="32"/>
          <w:szCs w:val="32"/>
          <w:highlight w:val="none"/>
          <w:lang w:val="en-US" w:eastAsia="en-US"/>
        </w:rPr>
        <w:t>DRG/DIP付费管理。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四</w:t>
      </w:r>
      <w:r>
        <w:rPr>
          <w:rFonts w:ascii="黑体" w:hAnsi="黑体" w:eastAsia="黑体" w:cs="黑体"/>
          <w:b w:val="0"/>
          <w:bCs w:val="0"/>
          <w:snapToGrid w:val="0"/>
          <w:color w:val="auto"/>
          <w:spacing w:val="0"/>
          <w:kern w:val="0"/>
          <w:sz w:val="32"/>
          <w:szCs w:val="32"/>
          <w:highlight w:val="none"/>
          <w:lang w:eastAsia="zh-CN"/>
        </w:rPr>
        <w:t>十</w:t>
      </w:r>
      <w:r>
        <w:rPr>
          <w:rFonts w:hint="default" w:ascii="黑体" w:hAnsi="黑体" w:eastAsia="黑体" w:cs="黑体"/>
          <w:b w:val="0"/>
          <w:bCs w:val="0"/>
          <w:snapToGrid w:val="0"/>
          <w:color w:val="auto"/>
          <w:spacing w:val="0"/>
          <w:kern w:val="0"/>
          <w:sz w:val="32"/>
          <w:szCs w:val="32"/>
          <w:highlight w:val="none"/>
          <w:lang w:val="en-US" w:eastAsia="zh-CN"/>
        </w:rPr>
        <w:t>五</w:t>
      </w:r>
      <w:r>
        <w:rPr>
          <w:rFonts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结算清单</w:t>
      </w:r>
      <w:r>
        <w:rPr>
          <w:rFonts w:hint="eastAsia" w:ascii="黑体" w:hAnsi="黑体" w:eastAsia="黑体" w:cs="黑体"/>
          <w:b w:val="0"/>
          <w:snapToGrid w:val="0"/>
          <w:color w:val="auto"/>
          <w:spacing w:val="0"/>
          <w:kern w:val="0"/>
          <w:sz w:val="32"/>
          <w:szCs w:val="32"/>
          <w:highlight w:val="none"/>
          <w:lang w:val="en-US" w:eastAsia="zh-CN"/>
        </w:rPr>
        <w:t>管理</w:t>
      </w:r>
      <w:r>
        <w:rPr>
          <w:rFonts w:hint="default"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乙方应严格按照《医疗保障基金结算清单填写规范》要求，规范填写清单信息，建立医疗保障基金结算清单质量控制制度，上传医保信息平台的数据应经过本机构内质控。</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四</w:t>
      </w:r>
      <w:r>
        <w:rPr>
          <w:rFonts w:ascii="黑体" w:hAnsi="黑体" w:eastAsia="黑体" w:cs="黑体"/>
          <w:b w:val="0"/>
          <w:bCs w:val="0"/>
          <w:snapToGrid w:val="0"/>
          <w:color w:val="auto"/>
          <w:spacing w:val="0"/>
          <w:kern w:val="0"/>
          <w:sz w:val="32"/>
          <w:szCs w:val="32"/>
          <w:highlight w:val="none"/>
          <w:lang w:eastAsia="zh-CN"/>
        </w:rPr>
        <w:t>十</w:t>
      </w:r>
      <w:r>
        <w:rPr>
          <w:rFonts w:hint="default" w:ascii="黑体" w:hAnsi="黑体" w:eastAsia="黑体" w:cs="黑体"/>
          <w:b w:val="0"/>
          <w:bCs w:val="0"/>
          <w:snapToGrid w:val="0"/>
          <w:color w:val="auto"/>
          <w:spacing w:val="0"/>
          <w:kern w:val="0"/>
          <w:sz w:val="32"/>
          <w:szCs w:val="32"/>
          <w:highlight w:val="none"/>
          <w:lang w:val="en-US" w:eastAsia="zh-CN"/>
        </w:rPr>
        <w:t>六</w:t>
      </w:r>
      <w:r>
        <w:rPr>
          <w:rFonts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质量保证金</w:t>
      </w:r>
      <w:r>
        <w:rPr>
          <w:rFonts w:hint="eastAsia" w:ascii="黑体" w:hAnsi="黑体" w:eastAsia="黑体" w:cs="黑体"/>
          <w:b w:val="0"/>
          <w:snapToGrid w:val="0"/>
          <w:color w:val="auto"/>
          <w:spacing w:val="0"/>
          <w:kern w:val="0"/>
          <w:sz w:val="32"/>
          <w:szCs w:val="32"/>
          <w:highlight w:val="none"/>
          <w:lang w:val="en-US" w:eastAsia="zh-CN"/>
        </w:rPr>
        <w:t>及返还</w:t>
      </w:r>
      <w:r>
        <w:rPr>
          <w:rFonts w:hint="default" w:ascii="黑体" w:hAnsi="黑体" w:eastAsia="黑体" w:cs="黑体"/>
          <w:b w:val="0"/>
          <w:snapToGrid w:val="0"/>
          <w:color w:val="auto"/>
          <w:spacing w:val="0"/>
          <w:kern w:val="0"/>
          <w:sz w:val="32"/>
          <w:szCs w:val="32"/>
          <w:highlight w:val="none"/>
          <w:lang w:eastAsia="zh-CN"/>
        </w:rPr>
        <w:t>】</w:t>
      </w:r>
      <w:r>
        <w:rPr>
          <w:rFonts w:ascii="黑体" w:hAnsi="黑体" w:eastAsia="黑体" w:cs="黑体"/>
          <w:snapToGrid w:val="0"/>
          <w:color w:val="auto"/>
          <w:spacing w:val="0"/>
          <w:kern w:val="0"/>
          <w:sz w:val="32"/>
          <w:szCs w:val="32"/>
          <w:highlight w:val="none"/>
          <w:lang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 xml:space="preserve">为确保乙方严格履行医保协议，提高医疗服务质量，维护医保基金安全，经甲乙双方商定，甲方预留拨付乙方费用的 </w:t>
      </w:r>
      <w:r>
        <w:rPr>
          <w:rFonts w:hint="eastAsia" w:ascii="仿宋_GB2312" w:hAnsi="仿宋_GB2312" w:eastAsia="仿宋_GB2312" w:cs="仿宋_GB2312"/>
          <w:snapToGrid w:val="0"/>
          <w:color w:val="auto"/>
          <w:spacing w:val="0"/>
          <w:kern w:val="0"/>
          <w:sz w:val="32"/>
          <w:szCs w:val="32"/>
          <w:highlight w:val="none"/>
          <w:u w:val="none"/>
          <w:lang w:eastAsia="en-US"/>
        </w:rPr>
        <w:t xml:space="preserve">  </w:t>
      </w:r>
      <w:r>
        <w:rPr>
          <w:rFonts w:hint="eastAsia" w:ascii="仿宋_GB2312" w:hAnsi="仿宋_GB2312" w:eastAsia="仿宋_GB2312" w:cs="仿宋_GB2312"/>
          <w:snapToGrid w:val="0"/>
          <w:color w:val="auto"/>
          <w:spacing w:val="0"/>
          <w:kern w:val="0"/>
          <w:sz w:val="32"/>
          <w:szCs w:val="32"/>
          <w:highlight w:val="none"/>
          <w:u w:val="none"/>
          <w:lang w:val="en-US" w:eastAsia="en-US"/>
        </w:rPr>
        <w:t>5</w:t>
      </w:r>
      <w:r>
        <w:rPr>
          <w:rFonts w:hint="eastAsia" w:ascii="仿宋_GB2312" w:hAnsi="仿宋_GB2312" w:eastAsia="仿宋_GB2312" w:cs="仿宋_GB2312"/>
          <w:snapToGrid w:val="0"/>
          <w:color w:val="auto"/>
          <w:spacing w:val="0"/>
          <w:kern w:val="0"/>
          <w:sz w:val="32"/>
          <w:szCs w:val="32"/>
          <w:highlight w:val="none"/>
          <w:u w:val="none"/>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 xml:space="preserve"> %作为当年度医保服务质量保证金。</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b w:val="0"/>
          <w:bCs w:val="0"/>
          <w:snapToGrid w:val="0"/>
          <w:color w:val="auto"/>
          <w:spacing w:val="0"/>
          <w:kern w:val="0"/>
          <w:sz w:val="32"/>
          <w:szCs w:val="32"/>
          <w:highlight w:val="none"/>
          <w:lang w:val="en-US" w:eastAsia="en-US"/>
        </w:rPr>
      </w:pPr>
      <w:r>
        <w:rPr>
          <w:rFonts w:hint="eastAsia" w:ascii="仿宋_GB2312" w:hAnsi="仿宋_GB2312" w:eastAsia="仿宋_GB2312" w:cs="仿宋_GB2312"/>
          <w:snapToGrid w:val="0"/>
          <w:color w:val="auto"/>
          <w:kern w:val="0"/>
          <w:sz w:val="32"/>
          <w:szCs w:val="32"/>
          <w:highlight w:val="none"/>
          <w:lang w:eastAsia="en-US"/>
        </w:rPr>
        <w:t>医疗服务质量保证金在年终清算时，根据考核结果返还。乙方被考核考评为优秀的，质量保证金全额返还；良好的，质量保证金返还</w:t>
      </w:r>
      <w:r>
        <w:rPr>
          <w:rFonts w:hint="eastAsia" w:ascii="仿宋_GB2312" w:hAnsi="仿宋_GB2312" w:eastAsia="仿宋_GB2312" w:cs="仿宋_GB2312"/>
          <w:snapToGrid w:val="0"/>
          <w:color w:val="auto"/>
          <w:kern w:val="0"/>
          <w:sz w:val="32"/>
          <w:szCs w:val="32"/>
          <w:highlight w:val="none"/>
          <w:lang w:val="en-US" w:eastAsia="en-US"/>
        </w:rPr>
        <w:t>8</w:t>
      </w:r>
      <w:r>
        <w:rPr>
          <w:rFonts w:hint="eastAsia" w:ascii="仿宋_GB2312" w:hAnsi="仿宋_GB2312" w:eastAsia="仿宋_GB2312" w:cs="仿宋_GB2312"/>
          <w:snapToGrid w:val="0"/>
          <w:color w:val="auto"/>
          <w:kern w:val="0"/>
          <w:sz w:val="32"/>
          <w:szCs w:val="32"/>
          <w:highlight w:val="none"/>
          <w:lang w:eastAsia="en-US"/>
        </w:rPr>
        <w:t>0％；合格的，质量保证金返还</w:t>
      </w:r>
      <w:r>
        <w:rPr>
          <w:rFonts w:hint="eastAsia" w:ascii="仿宋_GB2312" w:hAnsi="仿宋_GB2312" w:eastAsia="仿宋_GB2312" w:cs="仿宋_GB2312"/>
          <w:snapToGrid w:val="0"/>
          <w:color w:val="auto"/>
          <w:kern w:val="0"/>
          <w:sz w:val="32"/>
          <w:szCs w:val="32"/>
          <w:highlight w:val="none"/>
          <w:lang w:val="en-US" w:eastAsia="en-US"/>
        </w:rPr>
        <w:t>6</w:t>
      </w:r>
      <w:r>
        <w:rPr>
          <w:rFonts w:hint="eastAsia" w:ascii="仿宋_GB2312" w:hAnsi="仿宋_GB2312" w:eastAsia="仿宋_GB2312" w:cs="仿宋_GB2312"/>
          <w:snapToGrid w:val="0"/>
          <w:color w:val="auto"/>
          <w:kern w:val="0"/>
          <w:sz w:val="32"/>
          <w:szCs w:val="32"/>
          <w:highlight w:val="none"/>
          <w:lang w:eastAsia="en-US"/>
        </w:rPr>
        <w:t>0％；不合格的，质量保证金不予返还。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en-US"/>
        </w:rPr>
      </w:pPr>
      <w:r>
        <w:rPr>
          <w:rFonts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四</w:t>
      </w:r>
      <w:r>
        <w:rPr>
          <w:rFonts w:ascii="黑体" w:hAnsi="黑体" w:eastAsia="黑体" w:cs="黑体"/>
          <w:b w:val="0"/>
          <w:bCs w:val="0"/>
          <w:snapToGrid w:val="0"/>
          <w:color w:val="auto"/>
          <w:spacing w:val="0"/>
          <w:kern w:val="0"/>
          <w:sz w:val="32"/>
          <w:szCs w:val="32"/>
          <w:highlight w:val="none"/>
          <w:lang w:eastAsia="zh-CN"/>
        </w:rPr>
        <w:t>十</w:t>
      </w:r>
      <w:r>
        <w:rPr>
          <w:rFonts w:hint="default" w:ascii="黑体" w:hAnsi="黑体" w:eastAsia="黑体" w:cs="黑体"/>
          <w:b w:val="0"/>
          <w:bCs w:val="0"/>
          <w:snapToGrid w:val="0"/>
          <w:color w:val="auto"/>
          <w:spacing w:val="0"/>
          <w:kern w:val="0"/>
          <w:sz w:val="32"/>
          <w:szCs w:val="32"/>
          <w:highlight w:val="none"/>
          <w:lang w:val="en-US" w:eastAsia="zh-CN"/>
        </w:rPr>
        <w:t>七</w:t>
      </w:r>
      <w:r>
        <w:rPr>
          <w:rFonts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购买医疗服务</w:t>
      </w:r>
      <w:r>
        <w:rPr>
          <w:rFonts w:hint="default" w:ascii="黑体" w:hAnsi="黑体" w:eastAsia="黑体" w:cs="黑体"/>
          <w:b w:val="0"/>
          <w:snapToGrid w:val="0"/>
          <w:color w:val="auto"/>
          <w:spacing w:val="0"/>
          <w:kern w:val="0"/>
          <w:sz w:val="32"/>
          <w:szCs w:val="32"/>
          <w:highlight w:val="none"/>
          <w:lang w:eastAsia="zh-CN"/>
        </w:rPr>
        <w:t>】</w:t>
      </w:r>
      <w:r>
        <w:rPr>
          <w:rFonts w:ascii="黑体" w:hAnsi="黑体" w:eastAsia="黑体" w:cs="黑体"/>
          <w:snapToGrid w:val="0"/>
          <w:color w:val="auto"/>
          <w:spacing w:val="0"/>
          <w:kern w:val="0"/>
          <w:sz w:val="32"/>
          <w:szCs w:val="32"/>
          <w:highlight w:val="none"/>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乙方向临床检验中心、医学检验实验室、病理诊断中心、医学影像诊断中心等提供第三方服务的医疗机构购买医疗服务的，报甲方备案后，符合医保支付范围的，</w:t>
      </w:r>
      <w:r>
        <w:rPr>
          <w:rFonts w:hint="eastAsia" w:ascii="仿宋_GB2312" w:hAnsi="仿宋_GB2312" w:eastAsia="仿宋_GB2312" w:cs="仿宋_GB2312"/>
          <w:snapToGrid w:val="0"/>
          <w:color w:val="auto"/>
          <w:spacing w:val="0"/>
          <w:kern w:val="0"/>
          <w:sz w:val="32"/>
          <w:szCs w:val="32"/>
          <w:highlight w:val="none"/>
          <w:lang w:val="en-US" w:eastAsia="en-US"/>
        </w:rPr>
        <w:t>甲方按规定与乙方结算。</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应做好诊疗相关检验检查报告存档工作。建立外送检测项目遴选及质量管理相关制度和流程，完整保留提供第三方服务的医疗机构相关资质、服务协议、检验检查报告、票据等相关资料备查，确保申请结算的费用合理、准确、真实。</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乙方不得采取虚构提供第三方服务的医疗机构服务的方式套取或骗取医保基金。</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四</w:t>
      </w:r>
      <w:r>
        <w:rPr>
          <w:rFonts w:ascii="黑体" w:hAnsi="黑体" w:eastAsia="黑体" w:cs="黑体"/>
          <w:b w:val="0"/>
          <w:bCs w:val="0"/>
          <w:snapToGrid w:val="0"/>
          <w:color w:val="auto"/>
          <w:spacing w:val="0"/>
          <w:kern w:val="0"/>
          <w:sz w:val="32"/>
          <w:szCs w:val="32"/>
          <w:highlight w:val="none"/>
          <w:lang w:eastAsia="zh-CN"/>
        </w:rPr>
        <w:t>十</w:t>
      </w:r>
      <w:r>
        <w:rPr>
          <w:rFonts w:hint="default" w:ascii="黑体" w:hAnsi="黑体" w:eastAsia="黑体" w:cs="黑体"/>
          <w:b w:val="0"/>
          <w:bCs w:val="0"/>
          <w:snapToGrid w:val="0"/>
          <w:color w:val="auto"/>
          <w:spacing w:val="0"/>
          <w:kern w:val="0"/>
          <w:sz w:val="32"/>
          <w:szCs w:val="32"/>
          <w:highlight w:val="none"/>
          <w:lang w:eastAsia="zh-CN"/>
        </w:rPr>
        <w:t>八</w:t>
      </w:r>
      <w:r>
        <w:rPr>
          <w:rFonts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内控管理</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应加强内部科室和医务人员的管理，加强建立本机构医保、工伤保险管理部门与医务、财务等部门联动机制，建立医保、工伤保险费用内部审核制度，健全考评体系，开展内部自查，加强本机构内部医保、工伤保险费用审核，定期对本机构发生的医保、工伤保险费用进行分析。</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en-US" w:bidi="ar-SA"/>
        </w:rPr>
      </w:pPr>
      <w:r>
        <w:rPr>
          <w:rFonts w:ascii="黑体" w:hAnsi="黑体" w:eastAsia="黑体" w:cs="黑体"/>
          <w:b w:val="0"/>
          <w:bCs w:val="0"/>
          <w:snapToGrid w:val="0"/>
          <w:color w:val="auto"/>
          <w:spacing w:val="0"/>
          <w:kern w:val="0"/>
          <w:sz w:val="32"/>
          <w:szCs w:val="32"/>
          <w:highlight w:val="none"/>
          <w:lang w:val="en-US" w:eastAsia="zh-CN" w:bidi="ar-SA"/>
        </w:rPr>
        <w:t>第</w:t>
      </w:r>
      <w:r>
        <w:rPr>
          <w:rFonts w:hint="eastAsia" w:ascii="黑体" w:hAnsi="黑体" w:eastAsia="黑体" w:cs="黑体"/>
          <w:b w:val="0"/>
          <w:bCs w:val="0"/>
          <w:snapToGrid w:val="0"/>
          <w:color w:val="auto"/>
          <w:spacing w:val="0"/>
          <w:kern w:val="0"/>
          <w:sz w:val="32"/>
          <w:szCs w:val="32"/>
          <w:highlight w:val="none"/>
          <w:lang w:val="en-US" w:eastAsia="zh-CN" w:bidi="ar-SA"/>
        </w:rPr>
        <w:t>四</w:t>
      </w:r>
      <w:r>
        <w:rPr>
          <w:rFonts w:ascii="黑体" w:hAnsi="黑体" w:eastAsia="黑体" w:cs="黑体"/>
          <w:b w:val="0"/>
          <w:bCs w:val="0"/>
          <w:snapToGrid w:val="0"/>
          <w:color w:val="auto"/>
          <w:spacing w:val="0"/>
          <w:kern w:val="0"/>
          <w:sz w:val="32"/>
          <w:szCs w:val="32"/>
          <w:highlight w:val="none"/>
          <w:lang w:val="en-US" w:eastAsia="zh-CN" w:bidi="ar-SA"/>
        </w:rPr>
        <w:t>十</w:t>
      </w:r>
      <w:r>
        <w:rPr>
          <w:rFonts w:hint="default" w:ascii="黑体" w:hAnsi="黑体" w:eastAsia="黑体" w:cs="黑体"/>
          <w:b w:val="0"/>
          <w:bCs w:val="0"/>
          <w:snapToGrid w:val="0"/>
          <w:color w:val="auto"/>
          <w:spacing w:val="0"/>
          <w:kern w:val="0"/>
          <w:sz w:val="32"/>
          <w:szCs w:val="32"/>
          <w:highlight w:val="none"/>
          <w:lang w:val="en-US" w:eastAsia="zh-CN" w:bidi="ar-SA"/>
        </w:rPr>
        <w:t>九</w:t>
      </w:r>
      <w:r>
        <w:rPr>
          <w:rFonts w:ascii="黑体" w:hAnsi="黑体" w:eastAsia="黑体" w:cs="黑体"/>
          <w:b w:val="0"/>
          <w:bCs w:val="0"/>
          <w:snapToGrid w:val="0"/>
          <w:color w:val="auto"/>
          <w:spacing w:val="0"/>
          <w:kern w:val="0"/>
          <w:sz w:val="32"/>
          <w:szCs w:val="32"/>
          <w:highlight w:val="none"/>
          <w:lang w:val="en-US" w:eastAsia="zh-CN" w:bidi="ar-SA"/>
        </w:rPr>
        <w:t>条</w:t>
      </w:r>
      <w:r>
        <w:rPr>
          <w:rFonts w:hint="default" w:ascii="黑体" w:hAnsi="黑体" w:eastAsia="黑体" w:cs="黑体"/>
          <w:b w:val="0"/>
          <w:snapToGrid w:val="0"/>
          <w:color w:val="auto"/>
          <w:spacing w:val="0"/>
          <w:kern w:val="0"/>
          <w:sz w:val="32"/>
          <w:szCs w:val="32"/>
          <w:highlight w:val="none"/>
          <w:lang w:val="en-US" w:eastAsia="zh-CN" w:bidi="ar-SA"/>
        </w:rPr>
        <w:t>【费用申报】</w:t>
      </w:r>
      <w:r>
        <w:rPr>
          <w:rFonts w:hint="default" w:ascii="黑体" w:hAnsi="黑体" w:eastAsia="黑体" w:cs="黑体"/>
          <w:b w:val="0"/>
          <w:bCs w:val="0"/>
          <w:snapToGrid w:val="0"/>
          <w:color w:val="auto"/>
          <w:spacing w:val="0"/>
          <w:kern w:val="0"/>
          <w:sz w:val="32"/>
          <w:szCs w:val="32"/>
          <w:highlight w:val="none"/>
          <w:lang w:val="en-US" w:eastAsia="zh-CN" w:bidi="ar-SA"/>
        </w:rPr>
        <w:t xml:space="preserve"> </w:t>
      </w:r>
      <w:r>
        <w:rPr>
          <w:rFonts w:hint="eastAsia" w:ascii="仿宋_GB2312" w:hAnsi="仿宋_GB2312" w:eastAsia="仿宋_GB2312" w:cs="仿宋_GB2312"/>
          <w:snapToGrid w:val="0"/>
          <w:color w:val="auto"/>
          <w:spacing w:val="0"/>
          <w:kern w:val="0"/>
          <w:sz w:val="32"/>
          <w:szCs w:val="32"/>
          <w:highlight w:val="none"/>
          <w:lang w:val="en-US" w:eastAsia="en-US" w:bidi="ar-SA"/>
        </w:rPr>
        <w:t>乙方应当在每月20日前将上月参保人员的结算信息上传医保信息平台。按要求向甲方申报医保费用，如实提供医疗费用结算单据和相关资料，并留存结算清单、票据等相关资料备查，确保申请结算的材料完整、真实。费用发生后至次年年度清算前仍未申报的，原则上不纳入年度清算，后续也不再拨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乙方不得将处于中止协议期间的医疗机构或非定点医疗机构的医疗费用纳入申请医保、工伤保险结算范围。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五</w:t>
      </w:r>
      <w:r>
        <w:rPr>
          <w:rFonts w:ascii="黑体" w:hAnsi="黑体" w:eastAsia="黑体" w:cs="黑体"/>
          <w:b w:val="0"/>
          <w:bCs w:val="0"/>
          <w:snapToGrid w:val="0"/>
          <w:color w:val="auto"/>
          <w:spacing w:val="0"/>
          <w:kern w:val="0"/>
          <w:sz w:val="32"/>
          <w:szCs w:val="32"/>
          <w:highlight w:val="none"/>
          <w:lang w:eastAsia="zh-CN"/>
        </w:rPr>
        <w:t>十条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审核机制</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甲方对乙方申报的费用应建立规范的初审、复审两级审核机制。通过医保信息系统实现对乙方申报的费用进行100%全覆盖初审，初审发现的疑似违规费用</w:t>
      </w:r>
      <w:r>
        <w:rPr>
          <w:rFonts w:hint="eastAsia" w:ascii="仿宋_GB2312" w:hAnsi="仿宋_GB2312" w:eastAsia="仿宋_GB2312" w:cs="仿宋_GB2312"/>
          <w:snapToGrid w:val="0"/>
          <w:color w:val="auto"/>
          <w:spacing w:val="0"/>
          <w:kern w:val="0"/>
          <w:sz w:val="32"/>
          <w:szCs w:val="32"/>
          <w:highlight w:val="none"/>
          <w:lang w:val="en-US" w:eastAsia="en-US"/>
        </w:rPr>
        <w:t>可</w:t>
      </w:r>
      <w:r>
        <w:rPr>
          <w:rFonts w:hint="eastAsia" w:ascii="仿宋_GB2312" w:hAnsi="仿宋_GB2312" w:eastAsia="仿宋_GB2312" w:cs="仿宋_GB2312"/>
          <w:snapToGrid w:val="0"/>
          <w:color w:val="auto"/>
          <w:spacing w:val="0"/>
          <w:kern w:val="0"/>
          <w:sz w:val="32"/>
          <w:szCs w:val="32"/>
          <w:highlight w:val="none"/>
          <w:lang w:eastAsia="en-US"/>
        </w:rPr>
        <w:t>通过调阅病历、现场核查等方式核实。对初审通过的费用采取随机抽查方式进行复审，其中住院费用的抽查比例不低于总量的5%。</w:t>
      </w:r>
      <w:r>
        <w:rPr>
          <w:rFonts w:hint="eastAsia" w:ascii="仿宋_GB2312" w:hAnsi="仿宋_GB2312" w:eastAsia="仿宋_GB2312" w:cs="仿宋_GB2312"/>
          <w:snapToGrid w:val="0"/>
          <w:color w:val="auto"/>
          <w:kern w:val="0"/>
          <w:sz w:val="32"/>
          <w:szCs w:val="32"/>
          <w:highlight w:val="none"/>
          <w:lang w:eastAsia="en-US"/>
        </w:rPr>
        <w:t>甲方审核发现乙方申报费用有不符合医疗保险</w:t>
      </w:r>
      <w:r>
        <w:rPr>
          <w:rFonts w:hint="eastAsia" w:ascii="仿宋_GB2312" w:hAnsi="仿宋_GB2312" w:eastAsia="仿宋_GB2312" w:cs="仿宋_GB2312"/>
          <w:snapToGrid w:val="0"/>
          <w:color w:val="auto"/>
          <w:spacing w:val="0"/>
          <w:kern w:val="0"/>
          <w:sz w:val="32"/>
          <w:szCs w:val="32"/>
          <w:highlight w:val="none"/>
          <w:lang w:eastAsia="en-US"/>
        </w:rPr>
        <w:t>、工伤保险</w:t>
      </w:r>
      <w:r>
        <w:rPr>
          <w:rFonts w:hint="eastAsia" w:ascii="仿宋_GB2312" w:hAnsi="仿宋_GB2312" w:eastAsia="仿宋_GB2312" w:cs="仿宋_GB2312"/>
          <w:snapToGrid w:val="0"/>
          <w:color w:val="auto"/>
          <w:kern w:val="0"/>
          <w:sz w:val="32"/>
          <w:szCs w:val="32"/>
          <w:highlight w:val="none"/>
          <w:lang w:eastAsia="en-US"/>
        </w:rPr>
        <w:t>支付规定的，应当及时告知乙方并说明理由。乙方应在接到甲方通知后10日之内向甲方作出说明，特殊情况可申请延期。逾期不说明的，视为默认，甲方可拒付有关费用。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五</w:t>
      </w:r>
      <w:r>
        <w:rPr>
          <w:rFonts w:ascii="黑体" w:hAnsi="黑体" w:eastAsia="黑体" w:cs="黑体"/>
          <w:b w:val="0"/>
          <w:bCs w:val="0"/>
          <w:snapToGrid w:val="0"/>
          <w:color w:val="auto"/>
          <w:spacing w:val="0"/>
          <w:kern w:val="0"/>
          <w:sz w:val="32"/>
          <w:szCs w:val="32"/>
          <w:highlight w:val="none"/>
          <w:lang w:eastAsia="zh-CN"/>
        </w:rPr>
        <w:t>十</w:t>
      </w:r>
      <w:r>
        <w:rPr>
          <w:rFonts w:hint="default" w:ascii="黑体" w:hAnsi="黑体" w:eastAsia="黑体" w:cs="黑体"/>
          <w:b w:val="0"/>
          <w:bCs w:val="0"/>
          <w:snapToGrid w:val="0"/>
          <w:color w:val="auto"/>
          <w:spacing w:val="0"/>
          <w:kern w:val="0"/>
          <w:sz w:val="32"/>
          <w:szCs w:val="32"/>
          <w:highlight w:val="none"/>
          <w:lang w:eastAsia="zh-CN"/>
        </w:rPr>
        <w:t>一</w:t>
      </w:r>
      <w:r>
        <w:rPr>
          <w:rFonts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支付标准</w:t>
      </w:r>
      <w:r>
        <w:rPr>
          <w:rFonts w:hint="default" w:ascii="黑体" w:hAnsi="黑体" w:eastAsia="黑体" w:cs="黑体"/>
          <w:b w:val="0"/>
          <w:snapToGrid w:val="0"/>
          <w:color w:val="auto"/>
          <w:spacing w:val="0"/>
          <w:kern w:val="0"/>
          <w:sz w:val="32"/>
          <w:szCs w:val="32"/>
          <w:highlight w:val="none"/>
          <w:lang w:eastAsia="zh-CN"/>
        </w:rPr>
        <w:t>】</w:t>
      </w:r>
      <w:r>
        <w:rPr>
          <w:rFonts w:ascii="黑体" w:hAnsi="黑体" w:eastAsia="黑体" w:cs="黑体"/>
          <w:snapToGrid w:val="0"/>
          <w:color w:val="auto"/>
          <w:spacing w:val="0"/>
          <w:kern w:val="0"/>
          <w:sz w:val="32"/>
          <w:szCs w:val="32"/>
          <w:highlight w:val="none"/>
          <w:lang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乙方应执行海南省医保、工伤保险基金支付标准，超出支付标准部分，甲方不予支付。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en-US" w:bidi="ar-SA"/>
        </w:rPr>
      </w:pPr>
      <w:r>
        <w:rPr>
          <w:rFonts w:ascii="黑体" w:hAnsi="黑体" w:eastAsia="黑体" w:cs="黑体"/>
          <w:b w:val="0"/>
          <w:bCs w:val="0"/>
          <w:snapToGrid w:val="0"/>
          <w:color w:val="auto"/>
          <w:spacing w:val="0"/>
          <w:kern w:val="0"/>
          <w:sz w:val="32"/>
          <w:szCs w:val="32"/>
          <w:highlight w:val="none"/>
          <w:lang w:val="en-US" w:eastAsia="zh-CN" w:bidi="ar-SA"/>
        </w:rPr>
        <w:t>第</w:t>
      </w:r>
      <w:r>
        <w:rPr>
          <w:rFonts w:hint="eastAsia" w:ascii="黑体" w:hAnsi="黑体" w:eastAsia="黑体" w:cs="黑体"/>
          <w:b w:val="0"/>
          <w:bCs w:val="0"/>
          <w:snapToGrid w:val="0"/>
          <w:color w:val="auto"/>
          <w:spacing w:val="0"/>
          <w:kern w:val="0"/>
          <w:sz w:val="32"/>
          <w:szCs w:val="32"/>
          <w:highlight w:val="none"/>
          <w:lang w:val="en-US" w:eastAsia="zh-CN" w:bidi="ar-SA"/>
        </w:rPr>
        <w:t>五</w:t>
      </w:r>
      <w:r>
        <w:rPr>
          <w:rFonts w:ascii="黑体" w:hAnsi="黑体" w:eastAsia="黑体" w:cs="黑体"/>
          <w:b w:val="0"/>
          <w:bCs w:val="0"/>
          <w:snapToGrid w:val="0"/>
          <w:color w:val="auto"/>
          <w:spacing w:val="0"/>
          <w:kern w:val="0"/>
          <w:sz w:val="32"/>
          <w:szCs w:val="32"/>
          <w:highlight w:val="none"/>
          <w:lang w:val="en-US" w:eastAsia="zh-CN" w:bidi="ar-SA"/>
        </w:rPr>
        <w:t>十</w:t>
      </w:r>
      <w:r>
        <w:rPr>
          <w:rFonts w:hint="default" w:ascii="黑体" w:hAnsi="黑体" w:eastAsia="黑体" w:cs="黑体"/>
          <w:b w:val="0"/>
          <w:bCs w:val="0"/>
          <w:snapToGrid w:val="0"/>
          <w:color w:val="auto"/>
          <w:spacing w:val="0"/>
          <w:kern w:val="0"/>
          <w:sz w:val="32"/>
          <w:szCs w:val="32"/>
          <w:highlight w:val="none"/>
          <w:lang w:val="en-US" w:eastAsia="zh-CN" w:bidi="ar-SA"/>
        </w:rPr>
        <w:t>二</w:t>
      </w:r>
      <w:r>
        <w:rPr>
          <w:rFonts w:ascii="黑体" w:hAnsi="黑体" w:eastAsia="黑体" w:cs="黑体"/>
          <w:b w:val="0"/>
          <w:bCs w:val="0"/>
          <w:snapToGrid w:val="0"/>
          <w:color w:val="auto"/>
          <w:spacing w:val="0"/>
          <w:kern w:val="0"/>
          <w:sz w:val="32"/>
          <w:szCs w:val="32"/>
          <w:highlight w:val="none"/>
          <w:lang w:val="en-US" w:eastAsia="zh-CN" w:bidi="ar-SA"/>
        </w:rPr>
        <w:t>条</w:t>
      </w:r>
      <w:r>
        <w:rPr>
          <w:rFonts w:hint="default" w:ascii="黑体" w:hAnsi="黑体" w:eastAsia="黑体" w:cs="黑体"/>
          <w:b w:val="0"/>
          <w:snapToGrid w:val="0"/>
          <w:color w:val="auto"/>
          <w:spacing w:val="0"/>
          <w:kern w:val="0"/>
          <w:sz w:val="32"/>
          <w:szCs w:val="32"/>
          <w:highlight w:val="none"/>
          <w:lang w:val="en-US" w:eastAsia="zh-CN" w:bidi="ar-SA"/>
        </w:rPr>
        <w:t>【费用拨付】</w:t>
      </w:r>
      <w:r>
        <w:rPr>
          <w:rFonts w:ascii="黑体" w:hAnsi="黑体" w:eastAsia="黑体" w:cs="黑体"/>
          <w:snapToGrid w:val="0"/>
          <w:color w:val="auto"/>
          <w:spacing w:val="0"/>
          <w:kern w:val="0"/>
          <w:sz w:val="32"/>
          <w:szCs w:val="32"/>
          <w:highlight w:val="none"/>
          <w:lang w:val="en-US" w:eastAsia="en-US" w:bidi="ar-SA"/>
        </w:rPr>
        <w:t xml:space="preserve"> </w:t>
      </w:r>
      <w:r>
        <w:rPr>
          <w:rFonts w:hint="eastAsia" w:ascii="仿宋_GB2312" w:hAnsi="仿宋_GB2312" w:eastAsia="仿宋_GB2312" w:cs="仿宋_GB2312"/>
          <w:snapToGrid w:val="0"/>
          <w:color w:val="auto"/>
          <w:spacing w:val="0"/>
          <w:kern w:val="0"/>
          <w:sz w:val="32"/>
          <w:szCs w:val="32"/>
          <w:highlight w:val="none"/>
          <w:lang w:val="en-US" w:eastAsia="en-US" w:bidi="ar-SA"/>
        </w:rPr>
        <w:t>甲方应按照海南省医保</w:t>
      </w:r>
      <w:r>
        <w:rPr>
          <w:rFonts w:hint="eastAsia" w:ascii="仿宋_GB2312" w:hAnsi="仿宋_GB2312" w:eastAsia="仿宋_GB2312" w:cs="仿宋_GB2312"/>
          <w:snapToGrid w:val="0"/>
          <w:color w:val="auto"/>
          <w:spacing w:val="0"/>
          <w:kern w:val="0"/>
          <w:sz w:val="32"/>
          <w:szCs w:val="32"/>
          <w:highlight w:val="none"/>
          <w:lang w:eastAsia="en-US"/>
        </w:rPr>
        <w:t>、工伤保险</w:t>
      </w:r>
      <w:r>
        <w:rPr>
          <w:rFonts w:hint="eastAsia" w:ascii="仿宋_GB2312" w:hAnsi="仿宋_GB2312" w:eastAsia="仿宋_GB2312" w:cs="仿宋_GB2312"/>
          <w:snapToGrid w:val="0"/>
          <w:color w:val="auto"/>
          <w:spacing w:val="0"/>
          <w:kern w:val="0"/>
          <w:sz w:val="32"/>
          <w:szCs w:val="32"/>
          <w:highlight w:val="none"/>
          <w:lang w:val="en-US" w:eastAsia="en-US" w:bidi="ar-SA"/>
        </w:rPr>
        <w:t>支付政策与乙方结算医保</w:t>
      </w:r>
      <w:r>
        <w:rPr>
          <w:rFonts w:hint="eastAsia" w:ascii="仿宋_GB2312" w:hAnsi="仿宋_GB2312" w:eastAsia="仿宋_GB2312" w:cs="仿宋_GB2312"/>
          <w:snapToGrid w:val="0"/>
          <w:color w:val="auto"/>
          <w:spacing w:val="0"/>
          <w:kern w:val="0"/>
          <w:sz w:val="32"/>
          <w:szCs w:val="32"/>
          <w:highlight w:val="none"/>
          <w:lang w:eastAsia="en-US"/>
        </w:rPr>
        <w:t>、工伤保险</w:t>
      </w:r>
      <w:r>
        <w:rPr>
          <w:rFonts w:hint="eastAsia" w:ascii="仿宋_GB2312" w:hAnsi="仿宋_GB2312" w:eastAsia="仿宋_GB2312" w:cs="仿宋_GB2312"/>
          <w:snapToGrid w:val="0"/>
          <w:color w:val="auto"/>
          <w:spacing w:val="0"/>
          <w:kern w:val="0"/>
          <w:sz w:val="32"/>
          <w:szCs w:val="32"/>
          <w:highlight w:val="none"/>
          <w:lang w:val="en-US" w:eastAsia="en-US" w:bidi="ar-SA"/>
        </w:rPr>
        <w:t>费用。甲方原则上应当在乙方申报医保</w:t>
      </w:r>
      <w:r>
        <w:rPr>
          <w:rFonts w:hint="eastAsia" w:ascii="仿宋_GB2312" w:hAnsi="仿宋_GB2312" w:eastAsia="仿宋_GB2312" w:cs="仿宋_GB2312"/>
          <w:snapToGrid w:val="0"/>
          <w:color w:val="auto"/>
          <w:spacing w:val="0"/>
          <w:kern w:val="0"/>
          <w:sz w:val="32"/>
          <w:szCs w:val="32"/>
          <w:highlight w:val="none"/>
          <w:lang w:eastAsia="en-US"/>
        </w:rPr>
        <w:t>、工伤保险</w:t>
      </w:r>
      <w:r>
        <w:rPr>
          <w:rFonts w:hint="eastAsia" w:ascii="仿宋_GB2312" w:hAnsi="仿宋_GB2312" w:eastAsia="仿宋_GB2312" w:cs="仿宋_GB2312"/>
          <w:snapToGrid w:val="0"/>
          <w:color w:val="auto"/>
          <w:spacing w:val="0"/>
          <w:kern w:val="0"/>
          <w:sz w:val="32"/>
          <w:szCs w:val="32"/>
          <w:highlight w:val="none"/>
          <w:lang w:val="en-US" w:eastAsia="en-US" w:bidi="ar-SA"/>
        </w:rPr>
        <w:t>费用后30个工作日内拨付符合规定的医保</w:t>
      </w:r>
      <w:r>
        <w:rPr>
          <w:rFonts w:hint="eastAsia" w:ascii="仿宋_GB2312" w:hAnsi="仿宋_GB2312" w:eastAsia="仿宋_GB2312" w:cs="仿宋_GB2312"/>
          <w:snapToGrid w:val="0"/>
          <w:color w:val="auto"/>
          <w:spacing w:val="0"/>
          <w:kern w:val="0"/>
          <w:sz w:val="32"/>
          <w:szCs w:val="32"/>
          <w:highlight w:val="none"/>
          <w:lang w:eastAsia="en-US"/>
        </w:rPr>
        <w:t>、工伤保险</w:t>
      </w:r>
      <w:r>
        <w:rPr>
          <w:rFonts w:hint="eastAsia" w:ascii="仿宋_GB2312" w:hAnsi="仿宋_GB2312" w:eastAsia="仿宋_GB2312" w:cs="仿宋_GB2312"/>
          <w:snapToGrid w:val="0"/>
          <w:color w:val="auto"/>
          <w:spacing w:val="0"/>
          <w:kern w:val="0"/>
          <w:sz w:val="32"/>
          <w:szCs w:val="32"/>
          <w:highlight w:val="none"/>
          <w:lang w:val="en-US" w:eastAsia="en-US" w:bidi="ar-SA"/>
        </w:rPr>
        <w:t>费用。</w:t>
      </w:r>
      <w:r>
        <w:rPr>
          <w:rFonts w:hint="eastAsia" w:ascii="仿宋_GB2312" w:hAnsi="仿宋_GB2312" w:eastAsia="仿宋_GB2312" w:cs="仿宋_GB2312"/>
          <w:snapToGrid w:val="0"/>
          <w:color w:val="auto"/>
          <w:kern w:val="0"/>
          <w:sz w:val="32"/>
          <w:szCs w:val="32"/>
          <w:highlight w:val="none"/>
          <w:lang w:val="en-US" w:eastAsia="en-US" w:bidi="ar-SA"/>
        </w:rPr>
        <w:t>对因特殊情况需暂缓拨付的，可由双方协商约定，延长期限一般不超过30个工作日。</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甲方超出约定时限不予拨付的，乙方可提请同级医疗保障行政部门或工伤保险行政部门协调处理。甲方以银行转账的方式向乙方拨付医保、工伤保险费用。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五</w:t>
      </w:r>
      <w:r>
        <w:rPr>
          <w:rFonts w:ascii="黑体" w:hAnsi="黑体" w:eastAsia="黑体" w:cs="黑体"/>
          <w:b w:val="0"/>
          <w:bCs w:val="0"/>
          <w:snapToGrid w:val="0"/>
          <w:color w:val="auto"/>
          <w:spacing w:val="0"/>
          <w:kern w:val="0"/>
          <w:sz w:val="32"/>
          <w:szCs w:val="32"/>
          <w:highlight w:val="none"/>
          <w:lang w:eastAsia="zh-CN"/>
        </w:rPr>
        <w:t>十</w:t>
      </w:r>
      <w:r>
        <w:rPr>
          <w:rFonts w:hint="default" w:ascii="黑体" w:hAnsi="黑体" w:eastAsia="黑体" w:cs="黑体"/>
          <w:b w:val="0"/>
          <w:bCs w:val="0"/>
          <w:snapToGrid w:val="0"/>
          <w:color w:val="auto"/>
          <w:spacing w:val="0"/>
          <w:kern w:val="0"/>
          <w:sz w:val="32"/>
          <w:szCs w:val="32"/>
          <w:highlight w:val="none"/>
          <w:lang w:val="en-US" w:eastAsia="zh-CN"/>
        </w:rPr>
        <w:t>三</w:t>
      </w:r>
      <w:r>
        <w:rPr>
          <w:rFonts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争议处理</w:t>
      </w:r>
      <w:r>
        <w:rPr>
          <w:rFonts w:hint="default"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甲乙双方对医疗费用审核结果存在争议的，可提请同级医疗保障行政部门或工伤保险行政部门协调处理。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en-US" w:bidi="ar-SA"/>
        </w:rPr>
      </w:pPr>
      <w:r>
        <w:rPr>
          <w:rFonts w:hint="eastAsia" w:ascii="仿宋_GB2312" w:hAnsi="仿宋_GB2312" w:eastAsia="仿宋_GB2312" w:cs="仿宋_GB2312"/>
          <w:snapToGrid w:val="0"/>
          <w:color w:val="auto"/>
          <w:kern w:val="0"/>
          <w:sz w:val="32"/>
          <w:szCs w:val="32"/>
          <w:highlight w:val="none"/>
          <w:lang w:val="en-US" w:eastAsia="en-US" w:bidi="ar-SA"/>
        </w:rPr>
        <w:t>参保人员与乙方发生医疗纠纷并涉及医疗保险</w:t>
      </w:r>
      <w:r>
        <w:rPr>
          <w:rFonts w:hint="eastAsia" w:ascii="仿宋_GB2312" w:hAnsi="仿宋_GB2312" w:eastAsia="仿宋_GB2312" w:cs="仿宋_GB2312"/>
          <w:snapToGrid w:val="0"/>
          <w:color w:val="auto"/>
          <w:spacing w:val="0"/>
          <w:kern w:val="0"/>
          <w:sz w:val="32"/>
          <w:szCs w:val="32"/>
          <w:highlight w:val="none"/>
          <w:lang w:eastAsia="en-US"/>
        </w:rPr>
        <w:t>、工伤保险</w:t>
      </w:r>
      <w:r>
        <w:rPr>
          <w:rFonts w:hint="eastAsia" w:ascii="仿宋_GB2312" w:hAnsi="仿宋_GB2312" w:eastAsia="仿宋_GB2312" w:cs="仿宋_GB2312"/>
          <w:snapToGrid w:val="0"/>
          <w:color w:val="auto"/>
          <w:kern w:val="0"/>
          <w:sz w:val="32"/>
          <w:szCs w:val="32"/>
          <w:highlight w:val="none"/>
          <w:lang w:val="en-US" w:eastAsia="en-US" w:bidi="ar-SA"/>
        </w:rPr>
        <w:t>费用结算的，经鉴定确认乙方有责任的，乙方责任范围内医疗保险</w:t>
      </w:r>
      <w:r>
        <w:rPr>
          <w:rFonts w:hint="eastAsia" w:ascii="仿宋_GB2312" w:hAnsi="仿宋_GB2312" w:eastAsia="仿宋_GB2312" w:cs="仿宋_GB2312"/>
          <w:snapToGrid w:val="0"/>
          <w:color w:val="auto"/>
          <w:kern w:val="0"/>
          <w:sz w:val="32"/>
          <w:szCs w:val="32"/>
          <w:highlight w:val="none"/>
          <w:lang w:eastAsia="en-US" w:bidi="ar-SA"/>
        </w:rPr>
        <w:t>、工伤医疗</w:t>
      </w:r>
      <w:r>
        <w:rPr>
          <w:rFonts w:hint="eastAsia" w:ascii="仿宋_GB2312" w:hAnsi="仿宋_GB2312" w:eastAsia="仿宋_GB2312" w:cs="仿宋_GB2312"/>
          <w:snapToGrid w:val="0"/>
          <w:color w:val="auto"/>
          <w:kern w:val="0"/>
          <w:sz w:val="32"/>
          <w:szCs w:val="32"/>
          <w:highlight w:val="none"/>
          <w:lang w:val="en-US" w:eastAsia="en-US" w:bidi="ar-SA"/>
        </w:rPr>
        <w:t>费用甲方不予支付，已经支付的，乙方应予以退回。</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u w:val="none"/>
          <w:lang w:eastAsia="en-US"/>
        </w:rPr>
      </w:pPr>
      <w:r>
        <w:rPr>
          <w:rFonts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五</w:t>
      </w:r>
      <w:r>
        <w:rPr>
          <w:rFonts w:ascii="黑体" w:hAnsi="黑体" w:eastAsia="黑体" w:cs="黑体"/>
          <w:b w:val="0"/>
          <w:bCs w:val="0"/>
          <w:snapToGrid w:val="0"/>
          <w:color w:val="auto"/>
          <w:spacing w:val="0"/>
          <w:kern w:val="0"/>
          <w:sz w:val="32"/>
          <w:szCs w:val="32"/>
          <w:highlight w:val="none"/>
          <w:lang w:eastAsia="zh-CN"/>
        </w:rPr>
        <w:t>十</w:t>
      </w:r>
      <w:r>
        <w:rPr>
          <w:rFonts w:hint="default" w:ascii="黑体" w:hAnsi="黑体" w:eastAsia="黑体" w:cs="黑体"/>
          <w:b w:val="0"/>
          <w:bCs w:val="0"/>
          <w:snapToGrid w:val="0"/>
          <w:color w:val="auto"/>
          <w:spacing w:val="0"/>
          <w:kern w:val="0"/>
          <w:sz w:val="32"/>
          <w:szCs w:val="32"/>
          <w:highlight w:val="none"/>
          <w:lang w:val="en-US" w:eastAsia="zh-CN"/>
        </w:rPr>
        <w:t>四</w:t>
      </w:r>
      <w:r>
        <w:rPr>
          <w:rFonts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基金对账</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w:t>
      </w:r>
      <w:r>
        <w:rPr>
          <w:rFonts w:hint="eastAsia" w:ascii="仿宋_GB2312" w:hAnsi="仿宋_GB2312" w:eastAsia="仿宋_GB2312" w:cs="仿宋_GB2312"/>
          <w:snapToGrid w:val="0"/>
          <w:color w:val="auto"/>
          <w:kern w:val="0"/>
          <w:sz w:val="32"/>
          <w:szCs w:val="32"/>
          <w:highlight w:val="none"/>
          <w:lang w:eastAsia="en-US"/>
        </w:rPr>
        <w:t>乙双方</w:t>
      </w:r>
      <w:r>
        <w:rPr>
          <w:rFonts w:hint="eastAsia" w:ascii="仿宋_GB2312" w:hAnsi="仿宋_GB2312" w:eastAsia="仿宋_GB2312" w:cs="仿宋_GB2312"/>
          <w:snapToGrid w:val="0"/>
          <w:color w:val="auto"/>
          <w:spacing w:val="0"/>
          <w:kern w:val="0"/>
          <w:sz w:val="32"/>
          <w:szCs w:val="32"/>
          <w:highlight w:val="none"/>
          <w:lang w:eastAsia="en-US"/>
        </w:rPr>
        <w:t>建立并完善基金收付对账机制，定期核对账目，</w:t>
      </w:r>
      <w:r>
        <w:rPr>
          <w:rFonts w:hint="eastAsia" w:ascii="仿宋_GB2312" w:hAnsi="仿宋_GB2312" w:eastAsia="仿宋_GB2312" w:cs="仿宋_GB2312"/>
          <w:snapToGrid w:val="0"/>
          <w:color w:val="auto"/>
          <w:kern w:val="0"/>
          <w:sz w:val="32"/>
          <w:szCs w:val="32"/>
          <w:highlight w:val="none"/>
          <w:lang w:eastAsia="en-US"/>
        </w:rPr>
        <w:t>双方应积极完善结算系统，实现单据系统内上传。</w:t>
      </w:r>
      <w:r>
        <w:rPr>
          <w:rFonts w:hint="eastAsia" w:ascii="仿宋_GB2312" w:hAnsi="仿宋_GB2312" w:eastAsia="仿宋_GB2312" w:cs="仿宋_GB2312"/>
          <w:snapToGrid w:val="0"/>
          <w:color w:val="auto"/>
          <w:spacing w:val="0"/>
          <w:kern w:val="0"/>
          <w:sz w:val="32"/>
          <w:szCs w:val="32"/>
          <w:highlight w:val="none"/>
          <w:lang w:eastAsia="en-US"/>
        </w:rPr>
        <w:t>并开展年终清算。</w:t>
      </w:r>
      <w:r>
        <w:rPr>
          <w:rFonts w:hint="eastAsia" w:ascii="仿宋_GB2312" w:hAnsi="仿宋_GB2312" w:eastAsia="仿宋_GB2312" w:cs="仿宋_GB2312"/>
          <w:snapToGrid w:val="0"/>
          <w:color w:val="auto"/>
          <w:kern w:val="0"/>
          <w:sz w:val="32"/>
          <w:szCs w:val="32"/>
          <w:highlight w:val="none"/>
          <w:lang w:eastAsia="en-US"/>
        </w:rPr>
        <w:t>甲方已按预付方式进行结算后剩余的医疗费用、应当纳入年终清算范围的质量保证金、超支分担等医疗费用、审核扣款或拒付的医疗费用、乙方未通过两定平台申报的医疗费用、申报后结算时限未超过30个工作日的医疗费用不计入医保基金欠款范围。清算差额退款乙方也应在对账清楚收到退款函后的3</w:t>
      </w:r>
      <w:r>
        <w:rPr>
          <w:rFonts w:hint="eastAsia" w:ascii="仿宋_GB2312" w:hAnsi="仿宋_GB2312" w:eastAsia="仿宋_GB2312" w:cs="仿宋_GB2312"/>
          <w:snapToGrid w:val="0"/>
          <w:color w:val="auto"/>
          <w:kern w:val="0"/>
          <w:sz w:val="32"/>
          <w:szCs w:val="32"/>
          <w:highlight w:val="none"/>
          <w:lang w:val="en-US" w:eastAsia="en-US"/>
        </w:rPr>
        <w:t>0</w:t>
      </w:r>
      <w:r>
        <w:rPr>
          <w:rFonts w:hint="eastAsia" w:ascii="仿宋_GB2312" w:hAnsi="仿宋_GB2312" w:eastAsia="仿宋_GB2312" w:cs="仿宋_GB2312"/>
          <w:snapToGrid w:val="0"/>
          <w:color w:val="auto"/>
          <w:kern w:val="0"/>
          <w:sz w:val="32"/>
          <w:szCs w:val="32"/>
          <w:highlight w:val="none"/>
          <w:lang w:eastAsia="en-US"/>
        </w:rPr>
        <w:t>个工作日内及时退款。</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双方完成年度费用清算后该年度相关医保、工伤保险费用不</w:t>
      </w:r>
      <w:r>
        <w:rPr>
          <w:rFonts w:hint="eastAsia" w:ascii="仿宋_GB2312" w:hAnsi="仿宋_GB2312" w:eastAsia="仿宋_GB2312" w:cs="仿宋_GB2312"/>
          <w:snapToGrid w:val="0"/>
          <w:color w:val="auto"/>
          <w:spacing w:val="0"/>
          <w:kern w:val="0"/>
          <w:sz w:val="32"/>
          <w:szCs w:val="32"/>
          <w:highlight w:val="none"/>
          <w:lang w:val="en-US" w:eastAsia="en-US"/>
        </w:rPr>
        <w:t>再</w:t>
      </w:r>
      <w:r>
        <w:rPr>
          <w:rFonts w:hint="eastAsia" w:ascii="仿宋_GB2312" w:hAnsi="仿宋_GB2312" w:eastAsia="仿宋_GB2312" w:cs="仿宋_GB2312"/>
          <w:snapToGrid w:val="0"/>
          <w:color w:val="auto"/>
          <w:spacing w:val="0"/>
          <w:kern w:val="0"/>
          <w:sz w:val="32"/>
          <w:szCs w:val="32"/>
          <w:highlight w:val="none"/>
          <w:lang w:eastAsia="en-US"/>
        </w:rPr>
        <w:t>变更，甲方不予支付的费用及乙方在年度清算前未申报的费用，乙方不得作为医保、工伤保险欠费处理。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五</w:t>
      </w:r>
      <w:r>
        <w:rPr>
          <w:rFonts w:ascii="黑体" w:hAnsi="黑体" w:eastAsia="黑体" w:cs="黑体"/>
          <w:b w:val="0"/>
          <w:bCs w:val="0"/>
          <w:snapToGrid w:val="0"/>
          <w:color w:val="auto"/>
          <w:spacing w:val="0"/>
          <w:kern w:val="0"/>
          <w:sz w:val="32"/>
          <w:szCs w:val="32"/>
          <w:highlight w:val="none"/>
          <w:lang w:eastAsia="zh-CN"/>
        </w:rPr>
        <w:t>十</w:t>
      </w:r>
      <w:r>
        <w:rPr>
          <w:rFonts w:hint="default" w:ascii="黑体" w:hAnsi="黑体" w:eastAsia="黑体" w:cs="黑体"/>
          <w:b w:val="0"/>
          <w:bCs w:val="0"/>
          <w:snapToGrid w:val="0"/>
          <w:color w:val="auto"/>
          <w:spacing w:val="0"/>
          <w:kern w:val="0"/>
          <w:sz w:val="32"/>
          <w:szCs w:val="32"/>
          <w:highlight w:val="none"/>
          <w:lang w:val="en-US" w:eastAsia="zh-CN"/>
        </w:rPr>
        <w:t>五</w:t>
      </w:r>
      <w:r>
        <w:rPr>
          <w:rFonts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snapToGrid w:val="0"/>
          <w:color w:val="auto"/>
          <w:spacing w:val="0"/>
          <w:kern w:val="0"/>
          <w:sz w:val="32"/>
          <w:szCs w:val="32"/>
          <w:highlight w:val="none"/>
          <w:lang w:val="en-US" w:eastAsia="zh-CN"/>
        </w:rPr>
        <w:t>违规费用</w:t>
      </w:r>
      <w:r>
        <w:rPr>
          <w:rFonts w:hint="default" w:ascii="黑体" w:hAnsi="黑体" w:eastAsia="黑体" w:cs="黑体"/>
          <w:b w:val="0"/>
          <w:snapToGrid w:val="0"/>
          <w:color w:val="auto"/>
          <w:spacing w:val="0"/>
          <w:kern w:val="0"/>
          <w:sz w:val="32"/>
          <w:szCs w:val="32"/>
          <w:highlight w:val="none"/>
          <w:lang w:eastAsia="zh-CN"/>
        </w:rPr>
        <w:t>】</w:t>
      </w:r>
      <w:r>
        <w:rPr>
          <w:rFonts w:hint="default" w:ascii="黑体" w:hAnsi="黑体" w:eastAsia="黑体" w:cs="黑体"/>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经核实后属于违规费用的，甲方不予支付；已经支付给乙方的，乙方应按要求及时退回。未及时退回的，甲方可从次月起，在支付费用中进行抵扣，直至抵扣完成。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甲方不予支付的费用、乙方按</w:t>
      </w:r>
      <w:r>
        <w:rPr>
          <w:rFonts w:hint="eastAsia" w:ascii="仿宋_GB2312" w:hAnsi="仿宋_GB2312" w:eastAsia="仿宋_GB2312" w:cs="仿宋_GB2312"/>
          <w:snapToGrid w:val="0"/>
          <w:color w:val="auto"/>
          <w:spacing w:val="0"/>
          <w:kern w:val="0"/>
          <w:sz w:val="32"/>
          <w:szCs w:val="32"/>
          <w:highlight w:val="none"/>
          <w:lang w:val="en-US" w:eastAsia="en-US"/>
        </w:rPr>
        <w:t>本</w:t>
      </w:r>
      <w:r>
        <w:rPr>
          <w:rFonts w:hint="eastAsia" w:ascii="仿宋_GB2312" w:hAnsi="仿宋_GB2312" w:eastAsia="仿宋_GB2312" w:cs="仿宋_GB2312"/>
          <w:snapToGrid w:val="0"/>
          <w:color w:val="auto"/>
          <w:spacing w:val="0"/>
          <w:kern w:val="0"/>
          <w:sz w:val="32"/>
          <w:szCs w:val="32"/>
          <w:highlight w:val="none"/>
          <w:lang w:eastAsia="en-US"/>
        </w:rPr>
        <w:t>协议约定被扣除的质量保证金及其支付的违约金等，乙方不得作为医保、工伤保险欠费处理。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default"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五</w:t>
      </w:r>
      <w:r>
        <w:rPr>
          <w:rFonts w:hint="default" w:ascii="黑体" w:hAnsi="黑体" w:eastAsia="黑体" w:cs="黑体"/>
          <w:b w:val="0"/>
          <w:bCs w:val="0"/>
          <w:snapToGrid w:val="0"/>
          <w:color w:val="auto"/>
          <w:spacing w:val="0"/>
          <w:kern w:val="0"/>
          <w:sz w:val="32"/>
          <w:szCs w:val="32"/>
          <w:highlight w:val="none"/>
          <w:lang w:val="en-US" w:eastAsia="zh-CN"/>
        </w:rPr>
        <w:t>十六</w:t>
      </w:r>
      <w:r>
        <w:rPr>
          <w:rFonts w:hint="default"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DIP</w:t>
      </w:r>
      <w:r>
        <w:rPr>
          <w:rFonts w:hint="eastAsia" w:ascii="黑体" w:hAnsi="黑体" w:eastAsia="黑体" w:cs="黑体"/>
          <w:b w:val="0"/>
          <w:snapToGrid w:val="0"/>
          <w:color w:val="auto"/>
          <w:spacing w:val="0"/>
          <w:kern w:val="0"/>
          <w:sz w:val="32"/>
          <w:szCs w:val="32"/>
          <w:highlight w:val="none"/>
          <w:lang w:val="en-US" w:eastAsia="zh-CN"/>
        </w:rPr>
        <w:t>/DRG</w:t>
      </w:r>
      <w:r>
        <w:rPr>
          <w:rFonts w:hint="default" w:ascii="黑体" w:hAnsi="黑体" w:eastAsia="黑体" w:cs="黑体"/>
          <w:b w:val="0"/>
          <w:bCs w:val="0"/>
          <w:snapToGrid w:val="0"/>
          <w:color w:val="auto"/>
          <w:spacing w:val="0"/>
          <w:kern w:val="0"/>
          <w:sz w:val="32"/>
          <w:szCs w:val="32"/>
          <w:highlight w:val="none"/>
          <w:lang w:eastAsia="zh-CN"/>
        </w:rPr>
        <w:t>数据管理】</w:t>
      </w:r>
      <w:r>
        <w:rPr>
          <w:rFonts w:hint="eastAsia" w:ascii="黑体" w:hAnsi="黑体" w:eastAsia="黑体" w:cs="黑体"/>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甲乙双方应</w:t>
      </w:r>
      <w:r>
        <w:rPr>
          <w:rFonts w:hint="eastAsia" w:ascii="仿宋_GB2312" w:hAnsi="仿宋_GB2312" w:eastAsia="仿宋_GB2312" w:cs="仿宋_GB2312"/>
          <w:bCs w:val="0"/>
          <w:snapToGrid w:val="0"/>
          <w:color w:val="auto"/>
          <w:spacing w:val="0"/>
          <w:kern w:val="0"/>
          <w:sz w:val="32"/>
          <w:szCs w:val="32"/>
          <w:highlight w:val="none"/>
          <w:lang w:eastAsia="en-US"/>
        </w:rPr>
        <w:t>严格执行国家和行业相关标准和规范，按照标准统一、术语规范、内容准确的要求对按病种分值付费（DIP）</w:t>
      </w:r>
      <w:r>
        <w:rPr>
          <w:rFonts w:hint="eastAsia" w:ascii="仿宋_GB2312" w:hAnsi="仿宋_GB2312" w:eastAsia="仿宋_GB2312" w:cs="仿宋_GB2312"/>
          <w:bCs w:val="0"/>
          <w:snapToGrid w:val="0"/>
          <w:color w:val="auto"/>
          <w:spacing w:val="0"/>
          <w:kern w:val="0"/>
          <w:sz w:val="32"/>
          <w:szCs w:val="32"/>
          <w:highlight w:val="none"/>
          <w:lang w:val="en-US" w:eastAsia="en-US"/>
        </w:rPr>
        <w:t>/按疾病诊断相关组（DRG）</w:t>
      </w:r>
      <w:r>
        <w:rPr>
          <w:rFonts w:hint="eastAsia" w:ascii="仿宋_GB2312" w:hAnsi="仿宋_GB2312" w:eastAsia="仿宋_GB2312" w:cs="仿宋_GB2312"/>
          <w:bCs w:val="0"/>
          <w:snapToGrid w:val="0"/>
          <w:color w:val="auto"/>
          <w:spacing w:val="0"/>
          <w:kern w:val="0"/>
          <w:sz w:val="32"/>
          <w:szCs w:val="32"/>
          <w:highlight w:val="none"/>
          <w:lang w:eastAsia="en-US"/>
        </w:rPr>
        <w:t>基础数据进行治理，保证服务和管理对象在信息系统中身份标识唯一、基本数据项一致。</w:t>
      </w:r>
      <w:r>
        <w:rPr>
          <w:rFonts w:hint="eastAsia" w:ascii="仿宋_GB2312" w:hAnsi="仿宋_GB2312" w:eastAsia="仿宋_GB2312" w:cs="仿宋_GB2312"/>
          <w:snapToGrid w:val="0"/>
          <w:color w:val="auto"/>
          <w:spacing w:val="0"/>
          <w:kern w:val="0"/>
          <w:sz w:val="32"/>
          <w:szCs w:val="32"/>
          <w:highlight w:val="none"/>
          <w:lang w:eastAsia="en-US"/>
        </w:rPr>
        <w:t>应结合服务和管理工作需要，基于及时性、完整性、合理性和规范性四个维度，开展基础数据的审核管理和质量控制。</w:t>
      </w:r>
    </w:p>
    <w:p>
      <w:pPr>
        <w:keepNext w:val="0"/>
        <w:keepLines w:val="0"/>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Cs w:val="0"/>
          <w:snapToGrid w:val="0"/>
          <w:color w:val="auto"/>
          <w:spacing w:val="0"/>
          <w:kern w:val="0"/>
          <w:sz w:val="32"/>
          <w:szCs w:val="32"/>
          <w:highlight w:val="none"/>
          <w:lang w:val="en-US" w:eastAsia="en-US" w:bidi="ar-SA"/>
        </w:rPr>
      </w:pPr>
      <w:r>
        <w:rPr>
          <w:rFonts w:hint="eastAsia" w:ascii="仿宋_GB2312" w:hAnsi="仿宋_GB2312" w:eastAsia="仿宋_GB2312" w:cs="仿宋_GB2312"/>
          <w:b w:val="0"/>
          <w:bCs w:val="0"/>
          <w:snapToGrid w:val="0"/>
          <w:color w:val="auto"/>
          <w:spacing w:val="0"/>
          <w:kern w:val="0"/>
          <w:sz w:val="32"/>
          <w:szCs w:val="32"/>
          <w:highlight w:val="none"/>
          <w:lang w:val="en-US" w:eastAsia="en-US" w:bidi="ar-SA"/>
        </w:rPr>
        <w:t>乙方应严格按照《国家医疗保障局办公室关于印发医疗保障基金结算清单填写规范的通知》（医保办发〔2021〕34号）《海南省医疗保障局关于进一步做好医疗保障基金结算清单落地使用工作的通知》（琼医保〔2022〕175号）要求，</w:t>
      </w:r>
      <w:r>
        <w:rPr>
          <w:rFonts w:hint="eastAsia" w:ascii="仿宋_GB2312" w:hAnsi="仿宋_GB2312" w:eastAsia="仿宋_GB2312" w:cs="仿宋_GB2312"/>
          <w:bCs w:val="0"/>
          <w:snapToGrid w:val="0"/>
          <w:color w:val="auto"/>
          <w:spacing w:val="0"/>
          <w:kern w:val="0"/>
          <w:sz w:val="32"/>
          <w:szCs w:val="32"/>
          <w:highlight w:val="none"/>
          <w:lang w:val="en-US" w:eastAsia="en-US" w:bidi="ar-SA"/>
        </w:rPr>
        <w:t>认真规范结算清单信息的填写</w:t>
      </w:r>
      <w:r>
        <w:rPr>
          <w:rFonts w:hint="eastAsia" w:ascii="仿宋_GB2312" w:hAnsi="仿宋_GB2312" w:eastAsia="仿宋_GB2312" w:cs="仿宋_GB2312"/>
          <w:snapToGrid w:val="0"/>
          <w:color w:val="auto"/>
          <w:spacing w:val="0"/>
          <w:kern w:val="0"/>
          <w:sz w:val="32"/>
          <w:szCs w:val="32"/>
          <w:highlight w:val="none"/>
          <w:lang w:val="en-US" w:eastAsia="en-US" w:bidi="ar-SA"/>
        </w:rPr>
        <w:t>，</w:t>
      </w:r>
      <w:r>
        <w:rPr>
          <w:rFonts w:hint="eastAsia" w:ascii="仿宋_GB2312" w:hAnsi="仿宋_GB2312" w:eastAsia="仿宋_GB2312" w:cs="仿宋_GB2312"/>
          <w:bCs w:val="0"/>
          <w:snapToGrid w:val="0"/>
          <w:color w:val="auto"/>
          <w:spacing w:val="0"/>
          <w:kern w:val="0"/>
          <w:sz w:val="32"/>
          <w:szCs w:val="32"/>
          <w:highlight w:val="none"/>
          <w:lang w:val="en-US" w:eastAsia="en-US" w:bidi="ar-SA"/>
        </w:rPr>
        <w:t>在报送、传输数据时，应按照国家和本统筹区相关标准、规范，对核心业务信息系统进行标准化改造，向医保部门开放数据报送端口和监管反馈端口，以满足</w:t>
      </w:r>
      <w:r>
        <w:rPr>
          <w:rFonts w:hint="eastAsia" w:ascii="仿宋_GB2312" w:hAnsi="仿宋_GB2312" w:eastAsia="仿宋_GB2312" w:cs="仿宋_GB2312"/>
          <w:snapToGrid w:val="0"/>
          <w:color w:val="auto"/>
          <w:spacing w:val="0"/>
          <w:kern w:val="0"/>
          <w:sz w:val="32"/>
          <w:szCs w:val="32"/>
          <w:highlight w:val="none"/>
          <w:lang w:val="en-US" w:eastAsia="en-US" w:bidi="ar-SA"/>
        </w:rPr>
        <w:t>按病种分值付费数据</w:t>
      </w:r>
      <w:r>
        <w:rPr>
          <w:rFonts w:hint="eastAsia" w:ascii="仿宋_GB2312" w:hAnsi="仿宋_GB2312" w:eastAsia="仿宋_GB2312" w:cs="仿宋_GB2312"/>
          <w:bCs w:val="0"/>
          <w:snapToGrid w:val="0"/>
          <w:color w:val="auto"/>
          <w:spacing w:val="0"/>
          <w:kern w:val="0"/>
          <w:sz w:val="32"/>
          <w:szCs w:val="32"/>
          <w:highlight w:val="none"/>
          <w:lang w:val="en-US" w:eastAsia="en-US" w:bidi="ar-SA"/>
        </w:rPr>
        <w:t>的采集和管理需要。</w:t>
      </w:r>
    </w:p>
    <w:p>
      <w:pPr>
        <w:keepNext w:val="0"/>
        <w:keepLines w:val="0"/>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napToGrid w:val="0"/>
          <w:color w:val="auto"/>
          <w:spacing w:val="0"/>
          <w:kern w:val="0"/>
          <w:sz w:val="32"/>
          <w:szCs w:val="32"/>
          <w:highlight w:val="none"/>
          <w:lang w:val="en-US" w:eastAsia="en-US" w:bidi="ar-SA"/>
        </w:rPr>
      </w:pPr>
      <w:r>
        <w:rPr>
          <w:rFonts w:hint="eastAsia" w:ascii="仿宋_GB2312" w:hAnsi="仿宋_GB2312" w:eastAsia="仿宋_GB2312" w:cs="仿宋_GB2312"/>
          <w:b w:val="0"/>
          <w:bCs w:val="0"/>
          <w:snapToGrid w:val="0"/>
          <w:color w:val="auto"/>
          <w:spacing w:val="0"/>
          <w:kern w:val="0"/>
          <w:sz w:val="32"/>
          <w:szCs w:val="32"/>
          <w:highlight w:val="none"/>
          <w:lang w:val="en-US" w:eastAsia="en-US" w:bidi="ar-SA"/>
        </w:rPr>
        <w:t>乙方原则上应在住院病人出院结算后的10个工作日内按国家医疗保障基金结算清单要求完成清单的上传工作。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甲乙双方应落实医保数据的安全管理，包括数据采集、存储、传输、汇聚、挖掘、服务等环节中的安全管理，落实国家安全、群众生命安全、个人信息安全等权责管理工作。</w:t>
      </w:r>
      <w:r>
        <w:rPr>
          <w:rFonts w:hint="eastAsia" w:ascii="仿宋_GB2312" w:hAnsi="仿宋_GB2312" w:eastAsia="仿宋_GB2312" w:cs="仿宋_GB2312"/>
          <w:b w:val="0"/>
          <w:bCs w:val="0"/>
          <w:snapToGrid w:val="0"/>
          <w:color w:val="auto"/>
          <w:spacing w:val="0"/>
          <w:kern w:val="0"/>
          <w:sz w:val="32"/>
          <w:szCs w:val="32"/>
          <w:highlight w:val="none"/>
          <w:lang w:eastAsia="en-US" w:bidi="ar-SA"/>
        </w:rPr>
        <w:t>甲方</w:t>
      </w:r>
      <w:r>
        <w:rPr>
          <w:rFonts w:hint="eastAsia" w:ascii="仿宋_GB2312" w:hAnsi="仿宋_GB2312" w:eastAsia="仿宋_GB2312" w:cs="仿宋_GB2312"/>
          <w:b w:val="0"/>
          <w:bCs w:val="0"/>
          <w:snapToGrid w:val="0"/>
          <w:color w:val="auto"/>
          <w:spacing w:val="0"/>
          <w:kern w:val="0"/>
          <w:sz w:val="32"/>
          <w:szCs w:val="32"/>
          <w:highlight w:val="none"/>
          <w:lang w:val="en-US" w:eastAsia="en-US" w:bidi="ar-SA"/>
        </w:rPr>
        <w:t>按照“区域总额控制、病种赋值、月预结算、年度清算”的原则，</w:t>
      </w:r>
      <w:r>
        <w:rPr>
          <w:rFonts w:hint="eastAsia" w:ascii="仿宋_GB2312" w:hAnsi="仿宋_GB2312" w:eastAsia="仿宋_GB2312" w:cs="仿宋_GB2312"/>
          <w:snapToGrid w:val="0"/>
          <w:color w:val="auto"/>
          <w:spacing w:val="0"/>
          <w:kern w:val="0"/>
          <w:sz w:val="32"/>
          <w:szCs w:val="32"/>
          <w:highlight w:val="none"/>
          <w:lang w:eastAsia="en-US"/>
        </w:rPr>
        <w:t>进行医疗费用结算。</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default"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五</w:t>
      </w:r>
      <w:r>
        <w:rPr>
          <w:rFonts w:hint="default" w:ascii="黑体" w:hAnsi="黑体" w:eastAsia="黑体" w:cs="黑体"/>
          <w:b w:val="0"/>
          <w:bCs w:val="0"/>
          <w:snapToGrid w:val="0"/>
          <w:color w:val="auto"/>
          <w:spacing w:val="0"/>
          <w:kern w:val="0"/>
          <w:sz w:val="32"/>
          <w:szCs w:val="32"/>
          <w:highlight w:val="none"/>
          <w:lang w:val="en-US" w:eastAsia="zh-CN"/>
        </w:rPr>
        <w:t>十七</w:t>
      </w:r>
      <w:r>
        <w:rPr>
          <w:rFonts w:hint="default"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snapToGrid w:val="0"/>
          <w:color w:val="auto"/>
          <w:spacing w:val="0"/>
          <w:kern w:val="0"/>
          <w:sz w:val="32"/>
          <w:szCs w:val="32"/>
          <w:highlight w:val="none"/>
          <w:lang w:eastAsia="zh-CN"/>
        </w:rPr>
        <w:t>DIP</w:t>
      </w:r>
      <w:r>
        <w:rPr>
          <w:rFonts w:hint="eastAsia" w:ascii="黑体" w:hAnsi="黑体" w:eastAsia="黑体" w:cs="黑体"/>
          <w:b w:val="0"/>
          <w:snapToGrid w:val="0"/>
          <w:color w:val="auto"/>
          <w:spacing w:val="0"/>
          <w:kern w:val="0"/>
          <w:sz w:val="32"/>
          <w:szCs w:val="32"/>
          <w:highlight w:val="none"/>
          <w:lang w:val="en-US" w:eastAsia="zh-CN"/>
        </w:rPr>
        <w:t>/DRG预算、月预付</w:t>
      </w:r>
      <w:r>
        <w:rPr>
          <w:rFonts w:hint="eastAsia" w:ascii="黑体" w:hAnsi="黑体" w:eastAsia="黑体" w:cs="黑体"/>
          <w:snapToGrid w:val="0"/>
          <w:color w:val="auto"/>
          <w:spacing w:val="0"/>
          <w:kern w:val="0"/>
          <w:sz w:val="32"/>
          <w:szCs w:val="32"/>
          <w:highlight w:val="none"/>
          <w:lang w:eastAsia="zh-CN"/>
        </w:rPr>
        <w:t>及年度清算</w:t>
      </w:r>
      <w:r>
        <w:rPr>
          <w:rFonts w:hint="default" w:ascii="黑体" w:hAnsi="黑体" w:eastAsia="黑体" w:cs="黑体"/>
          <w:b w:val="0"/>
          <w:bCs w:val="0"/>
          <w:snapToGrid w:val="0"/>
          <w:color w:val="auto"/>
          <w:spacing w:val="0"/>
          <w:kern w:val="0"/>
          <w:sz w:val="32"/>
          <w:szCs w:val="32"/>
          <w:highlight w:val="none"/>
          <w:lang w:eastAsia="zh-CN"/>
        </w:rPr>
        <w:t>】</w:t>
      </w:r>
      <w:r>
        <w:rPr>
          <w:rFonts w:hint="eastAsia" w:ascii="黑体" w:hAnsi="黑体" w:eastAsia="黑体" w:cs="黑体"/>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bidi="ar-SA"/>
        </w:rPr>
        <w:t>甲方依据DIP结算细则，制定</w:t>
      </w:r>
      <w:r>
        <w:rPr>
          <w:rFonts w:hint="eastAsia" w:ascii="仿宋_GB2312" w:hAnsi="仿宋_GB2312" w:eastAsia="仿宋_GB2312" w:cs="仿宋_GB2312"/>
          <w:snapToGrid w:val="0"/>
          <w:color w:val="auto"/>
          <w:spacing w:val="0"/>
          <w:kern w:val="0"/>
          <w:sz w:val="32"/>
          <w:szCs w:val="32"/>
          <w:highlight w:val="none"/>
          <w:lang w:val="en-US" w:eastAsia="en-US" w:bidi="ar-SA"/>
        </w:rPr>
        <w:t>DIP预算，与乙方做好月预付及年度清算工作。儋州市DRG预算、月度预结算及年度清算从其相关规定执行。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bidi="ar-SA"/>
        </w:rPr>
      </w:pPr>
      <w:r>
        <w:rPr>
          <w:rFonts w:hint="default"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五</w:t>
      </w:r>
      <w:r>
        <w:rPr>
          <w:rFonts w:hint="default" w:ascii="黑体" w:hAnsi="黑体" w:eastAsia="黑体" w:cs="黑体"/>
          <w:b w:val="0"/>
          <w:bCs w:val="0"/>
          <w:snapToGrid w:val="0"/>
          <w:color w:val="auto"/>
          <w:spacing w:val="0"/>
          <w:kern w:val="0"/>
          <w:sz w:val="32"/>
          <w:szCs w:val="32"/>
          <w:highlight w:val="none"/>
          <w:lang w:val="en-US" w:eastAsia="zh-CN"/>
        </w:rPr>
        <w:t>十八</w:t>
      </w:r>
      <w:r>
        <w:rPr>
          <w:rFonts w:hint="default" w:ascii="黑体" w:hAnsi="黑体" w:eastAsia="黑体" w:cs="黑体"/>
          <w:b w:val="0"/>
          <w:bCs w:val="0"/>
          <w:snapToGrid w:val="0"/>
          <w:color w:val="auto"/>
          <w:spacing w:val="0"/>
          <w:kern w:val="0"/>
          <w:sz w:val="32"/>
          <w:szCs w:val="32"/>
          <w:highlight w:val="none"/>
          <w:lang w:eastAsia="zh-CN"/>
        </w:rPr>
        <w:t>条【</w:t>
      </w:r>
      <w:r>
        <w:rPr>
          <w:rFonts w:hint="default" w:ascii="黑体" w:hAnsi="黑体" w:eastAsia="黑体" w:cs="黑体"/>
          <w:b w:val="0"/>
          <w:bCs w:val="0"/>
          <w:snapToGrid w:val="0"/>
          <w:color w:val="auto"/>
          <w:spacing w:val="0"/>
          <w:kern w:val="0"/>
          <w:sz w:val="32"/>
          <w:szCs w:val="32"/>
          <w:highlight w:val="none"/>
          <w:lang w:val="en-US" w:eastAsia="zh-CN" w:bidi="zh-CN"/>
        </w:rPr>
        <w:t>特</w:t>
      </w:r>
      <w:r>
        <w:rPr>
          <w:rFonts w:hint="eastAsia" w:ascii="黑体" w:hAnsi="黑体" w:eastAsia="黑体" w:cs="黑体"/>
          <w:b w:val="0"/>
          <w:bCs w:val="0"/>
          <w:snapToGrid w:val="0"/>
          <w:color w:val="auto"/>
          <w:spacing w:val="0"/>
          <w:kern w:val="0"/>
          <w:sz w:val="32"/>
          <w:szCs w:val="32"/>
          <w:highlight w:val="none"/>
          <w:lang w:val="en-US" w:eastAsia="zh-CN" w:bidi="zh-CN"/>
        </w:rPr>
        <w:t>例</w:t>
      </w:r>
      <w:r>
        <w:rPr>
          <w:rFonts w:hint="default" w:ascii="黑体" w:hAnsi="黑体" w:eastAsia="黑体" w:cs="黑体"/>
          <w:b w:val="0"/>
          <w:bCs w:val="0"/>
          <w:snapToGrid w:val="0"/>
          <w:color w:val="auto"/>
          <w:spacing w:val="0"/>
          <w:kern w:val="0"/>
          <w:sz w:val="32"/>
          <w:szCs w:val="32"/>
          <w:highlight w:val="none"/>
          <w:lang w:val="en-US" w:eastAsia="zh-CN" w:bidi="zh-CN"/>
        </w:rPr>
        <w:t>单议</w:t>
      </w:r>
      <w:r>
        <w:rPr>
          <w:rFonts w:hint="default" w:ascii="黑体" w:hAnsi="黑体" w:eastAsia="黑体" w:cs="黑体"/>
          <w:b w:val="0"/>
          <w:bCs w:val="0"/>
          <w:snapToGrid w:val="0"/>
          <w:color w:val="auto"/>
          <w:spacing w:val="0"/>
          <w:kern w:val="0"/>
          <w:sz w:val="32"/>
          <w:szCs w:val="32"/>
          <w:highlight w:val="none"/>
          <w:lang w:eastAsia="zh-CN"/>
        </w:rPr>
        <w:t>】</w:t>
      </w:r>
      <w:r>
        <w:rPr>
          <w:rFonts w:hint="eastAsia" w:ascii="黑体" w:hAnsi="黑体" w:eastAsia="黑体" w:cs="黑体"/>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bidi="ar-SA"/>
        </w:rPr>
        <w:t>甲方组织乙方，按照DIP</w:t>
      </w:r>
      <w:r>
        <w:rPr>
          <w:rFonts w:hint="eastAsia" w:ascii="仿宋_GB2312" w:hAnsi="仿宋_GB2312" w:eastAsia="仿宋_GB2312" w:cs="仿宋_GB2312"/>
          <w:snapToGrid w:val="0"/>
          <w:color w:val="auto"/>
          <w:spacing w:val="0"/>
          <w:kern w:val="0"/>
          <w:sz w:val="32"/>
          <w:szCs w:val="32"/>
          <w:highlight w:val="none"/>
          <w:lang w:val="en-US" w:eastAsia="en-US" w:bidi="ar-SA"/>
        </w:rPr>
        <w:t>/DRG</w:t>
      </w:r>
      <w:r>
        <w:rPr>
          <w:rFonts w:hint="eastAsia" w:ascii="仿宋_GB2312" w:hAnsi="仿宋_GB2312" w:eastAsia="仿宋_GB2312" w:cs="仿宋_GB2312"/>
          <w:snapToGrid w:val="0"/>
          <w:color w:val="auto"/>
          <w:spacing w:val="0"/>
          <w:kern w:val="0"/>
          <w:sz w:val="32"/>
          <w:szCs w:val="32"/>
          <w:highlight w:val="none"/>
          <w:lang w:eastAsia="en-US" w:bidi="ar-SA"/>
        </w:rPr>
        <w:t>特</w:t>
      </w:r>
      <w:r>
        <w:rPr>
          <w:rFonts w:hint="eastAsia" w:ascii="仿宋_GB2312" w:hAnsi="仿宋_GB2312" w:eastAsia="仿宋_GB2312" w:cs="仿宋_GB2312"/>
          <w:snapToGrid w:val="0"/>
          <w:color w:val="auto"/>
          <w:spacing w:val="0"/>
          <w:kern w:val="0"/>
          <w:sz w:val="32"/>
          <w:szCs w:val="32"/>
          <w:highlight w:val="none"/>
          <w:lang w:val="en-US" w:eastAsia="en-US" w:bidi="ar-SA"/>
        </w:rPr>
        <w:t>例</w:t>
      </w:r>
      <w:r>
        <w:rPr>
          <w:rFonts w:hint="eastAsia" w:ascii="仿宋_GB2312" w:hAnsi="仿宋_GB2312" w:eastAsia="仿宋_GB2312" w:cs="仿宋_GB2312"/>
          <w:snapToGrid w:val="0"/>
          <w:color w:val="auto"/>
          <w:spacing w:val="0"/>
          <w:kern w:val="0"/>
          <w:sz w:val="32"/>
          <w:szCs w:val="32"/>
          <w:highlight w:val="none"/>
          <w:lang w:eastAsia="en-US" w:bidi="ar-SA"/>
        </w:rPr>
        <w:t>单议办法，开展特</w:t>
      </w:r>
      <w:r>
        <w:rPr>
          <w:rFonts w:hint="eastAsia" w:ascii="仿宋_GB2312" w:hAnsi="仿宋_GB2312" w:eastAsia="仿宋_GB2312" w:cs="仿宋_GB2312"/>
          <w:snapToGrid w:val="0"/>
          <w:color w:val="auto"/>
          <w:spacing w:val="0"/>
          <w:kern w:val="0"/>
          <w:sz w:val="32"/>
          <w:szCs w:val="32"/>
          <w:highlight w:val="none"/>
          <w:lang w:val="en-US" w:eastAsia="en-US" w:bidi="ar-SA"/>
        </w:rPr>
        <w:t>例</w:t>
      </w:r>
      <w:r>
        <w:rPr>
          <w:rFonts w:hint="eastAsia" w:ascii="仿宋_GB2312" w:hAnsi="仿宋_GB2312" w:eastAsia="仿宋_GB2312" w:cs="仿宋_GB2312"/>
          <w:snapToGrid w:val="0"/>
          <w:color w:val="auto"/>
          <w:spacing w:val="0"/>
          <w:kern w:val="0"/>
          <w:sz w:val="32"/>
          <w:szCs w:val="32"/>
          <w:highlight w:val="none"/>
          <w:lang w:eastAsia="en-US" w:bidi="ar-SA"/>
        </w:rPr>
        <w:t>单议，将符合条件的结算病例纳入特</w:t>
      </w:r>
      <w:r>
        <w:rPr>
          <w:rFonts w:hint="eastAsia" w:ascii="仿宋_GB2312" w:hAnsi="仿宋_GB2312" w:eastAsia="仿宋_GB2312" w:cs="仿宋_GB2312"/>
          <w:snapToGrid w:val="0"/>
          <w:color w:val="auto"/>
          <w:spacing w:val="0"/>
          <w:kern w:val="0"/>
          <w:sz w:val="32"/>
          <w:szCs w:val="32"/>
          <w:highlight w:val="none"/>
          <w:lang w:val="en-US" w:eastAsia="en-US" w:bidi="ar-SA"/>
        </w:rPr>
        <w:t>例</w:t>
      </w:r>
      <w:r>
        <w:rPr>
          <w:rFonts w:hint="eastAsia" w:ascii="仿宋_GB2312" w:hAnsi="仿宋_GB2312" w:eastAsia="仿宋_GB2312" w:cs="仿宋_GB2312"/>
          <w:snapToGrid w:val="0"/>
          <w:color w:val="auto"/>
          <w:spacing w:val="0"/>
          <w:kern w:val="0"/>
          <w:sz w:val="32"/>
          <w:szCs w:val="32"/>
          <w:highlight w:val="none"/>
          <w:lang w:eastAsia="en-US" w:bidi="ar-SA"/>
        </w:rPr>
        <w:t>单议结算范围。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Cs w:val="0"/>
          <w:snapToGrid w:val="0"/>
          <w:color w:val="auto"/>
          <w:spacing w:val="0"/>
          <w:kern w:val="0"/>
          <w:sz w:val="32"/>
          <w:szCs w:val="32"/>
          <w:highlight w:val="none"/>
          <w:lang w:eastAsia="en-US"/>
        </w:rPr>
      </w:pPr>
      <w:r>
        <w:rPr>
          <w:rFonts w:hint="default" w:ascii="黑体" w:hAnsi="黑体" w:eastAsia="黑体" w:cs="黑体"/>
          <w:b w:val="0"/>
          <w:snapToGrid w:val="0"/>
          <w:color w:val="auto"/>
          <w:spacing w:val="0"/>
          <w:kern w:val="0"/>
          <w:sz w:val="32"/>
          <w:szCs w:val="32"/>
          <w:highlight w:val="none"/>
          <w:lang w:eastAsia="zh-CN" w:bidi="zh-CN"/>
        </w:rPr>
        <w:t>第</w:t>
      </w:r>
      <w:r>
        <w:rPr>
          <w:rFonts w:hint="eastAsia" w:ascii="黑体" w:hAnsi="黑体" w:eastAsia="黑体" w:cs="黑体"/>
          <w:b w:val="0"/>
          <w:snapToGrid w:val="0"/>
          <w:color w:val="auto"/>
          <w:spacing w:val="0"/>
          <w:kern w:val="0"/>
          <w:sz w:val="32"/>
          <w:szCs w:val="32"/>
          <w:highlight w:val="none"/>
          <w:lang w:val="en-US" w:eastAsia="zh-CN" w:bidi="zh-CN"/>
        </w:rPr>
        <w:t>五</w:t>
      </w:r>
      <w:r>
        <w:rPr>
          <w:rFonts w:hint="default" w:ascii="黑体" w:hAnsi="黑体" w:eastAsia="黑体" w:cs="黑体"/>
          <w:b w:val="0"/>
          <w:snapToGrid w:val="0"/>
          <w:color w:val="auto"/>
          <w:spacing w:val="0"/>
          <w:kern w:val="0"/>
          <w:sz w:val="32"/>
          <w:szCs w:val="32"/>
          <w:highlight w:val="none"/>
          <w:lang w:val="en-US" w:eastAsia="zh-CN" w:bidi="zh-CN"/>
        </w:rPr>
        <w:t>十</w:t>
      </w:r>
      <w:r>
        <w:rPr>
          <w:rFonts w:hint="eastAsia" w:ascii="黑体" w:hAnsi="黑体" w:eastAsia="黑体" w:cs="黑体"/>
          <w:b w:val="0"/>
          <w:snapToGrid w:val="0"/>
          <w:color w:val="auto"/>
          <w:spacing w:val="0"/>
          <w:kern w:val="0"/>
          <w:sz w:val="32"/>
          <w:szCs w:val="32"/>
          <w:highlight w:val="none"/>
          <w:lang w:val="en-US" w:eastAsia="zh-CN" w:bidi="zh-CN"/>
        </w:rPr>
        <w:t>九</w:t>
      </w:r>
      <w:r>
        <w:rPr>
          <w:rFonts w:hint="default" w:ascii="黑体" w:hAnsi="黑体" w:eastAsia="黑体" w:cs="黑体"/>
          <w:b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rPr>
        <w:t>生育保险</w:t>
      </w:r>
      <w:r>
        <w:rPr>
          <w:rFonts w:hint="default" w:ascii="黑体" w:hAnsi="黑体" w:eastAsia="黑体" w:cs="黑体"/>
          <w:b w:val="0"/>
          <w:snapToGrid w:val="0"/>
          <w:color w:val="auto"/>
          <w:spacing w:val="0"/>
          <w:kern w:val="0"/>
          <w:sz w:val="32"/>
          <w:szCs w:val="32"/>
          <w:highlight w:val="none"/>
          <w:lang w:eastAsia="zh-CN" w:bidi="zh-CN"/>
        </w:rPr>
        <w:t>付费管理】</w:t>
      </w:r>
      <w:r>
        <w:rPr>
          <w:rFonts w:hint="eastAsia" w:ascii="黑体" w:hAnsi="黑体" w:eastAsia="黑体" w:cs="黑体"/>
          <w:b w:val="0"/>
          <w:snapToGrid w:val="0"/>
          <w:color w:val="auto"/>
          <w:spacing w:val="0"/>
          <w:kern w:val="0"/>
          <w:sz w:val="32"/>
          <w:szCs w:val="32"/>
          <w:highlight w:val="none"/>
          <w:lang w:val="en-US" w:eastAsia="zh-CN" w:bidi="zh-CN"/>
        </w:rPr>
        <w:t xml:space="preserve"> </w:t>
      </w:r>
      <w:r>
        <w:rPr>
          <w:rFonts w:hint="eastAsia" w:ascii="仿宋_GB2312" w:hAnsi="仿宋_GB2312" w:eastAsia="仿宋_GB2312" w:cs="仿宋_GB2312"/>
          <w:bCs w:val="0"/>
          <w:snapToGrid w:val="0"/>
          <w:color w:val="auto"/>
          <w:spacing w:val="0"/>
          <w:kern w:val="0"/>
          <w:sz w:val="32"/>
          <w:szCs w:val="32"/>
          <w:highlight w:val="none"/>
          <w:lang w:eastAsia="en-US"/>
        </w:rPr>
        <w:t>参保人及其未就业配偶因生育在定点医疗机构发生的符合药品目录、诊疗目录和医疗设施项目规定的费用由医保经办机构采取</w:t>
      </w:r>
      <w:r>
        <w:rPr>
          <w:rFonts w:hint="eastAsia" w:ascii="仿宋_GB2312" w:hAnsi="仿宋_GB2312" w:eastAsia="仿宋_GB2312" w:cs="仿宋_GB2312"/>
          <w:bCs w:val="0"/>
          <w:snapToGrid w:val="0"/>
          <w:color w:val="auto"/>
          <w:spacing w:val="0"/>
          <w:kern w:val="0"/>
          <w:sz w:val="32"/>
          <w:szCs w:val="32"/>
          <w:highlight w:val="none"/>
          <w:lang w:val="en" w:eastAsia="en-US"/>
        </w:rPr>
        <w:t>DIP</w:t>
      </w:r>
      <w:r>
        <w:rPr>
          <w:rFonts w:hint="eastAsia" w:ascii="仿宋_GB2312" w:hAnsi="仿宋_GB2312" w:eastAsia="仿宋_GB2312" w:cs="仿宋_GB2312"/>
          <w:bCs w:val="0"/>
          <w:snapToGrid w:val="0"/>
          <w:color w:val="auto"/>
          <w:spacing w:val="0"/>
          <w:kern w:val="0"/>
          <w:sz w:val="32"/>
          <w:szCs w:val="32"/>
          <w:highlight w:val="none"/>
          <w:lang w:val="en-US" w:eastAsia="en-US"/>
        </w:rPr>
        <w:t>/DRG</w:t>
      </w:r>
      <w:r>
        <w:rPr>
          <w:rFonts w:hint="eastAsia" w:ascii="仿宋_GB2312" w:hAnsi="仿宋_GB2312" w:eastAsia="仿宋_GB2312" w:cs="仿宋_GB2312"/>
          <w:bCs w:val="0"/>
          <w:snapToGrid w:val="0"/>
          <w:color w:val="auto"/>
          <w:spacing w:val="0"/>
          <w:kern w:val="0"/>
          <w:sz w:val="32"/>
          <w:szCs w:val="32"/>
          <w:highlight w:val="none"/>
          <w:lang w:val="en" w:eastAsia="en-US"/>
        </w:rPr>
        <w:t>支付</w:t>
      </w:r>
      <w:r>
        <w:rPr>
          <w:rFonts w:hint="eastAsia" w:ascii="仿宋_GB2312" w:hAnsi="仿宋_GB2312" w:eastAsia="仿宋_GB2312" w:cs="仿宋_GB2312"/>
          <w:bCs w:val="0"/>
          <w:snapToGrid w:val="0"/>
          <w:color w:val="auto"/>
          <w:spacing w:val="0"/>
          <w:kern w:val="0"/>
          <w:sz w:val="32"/>
          <w:szCs w:val="32"/>
          <w:highlight w:val="none"/>
          <w:lang w:eastAsia="en-US"/>
        </w:rPr>
        <w:t>。计划生育手术费用和产前检查费用按照相关</w:t>
      </w:r>
      <w:r>
        <w:rPr>
          <w:rFonts w:hint="eastAsia" w:ascii="仿宋_GB2312" w:hAnsi="仿宋_GB2312" w:eastAsia="仿宋_GB2312" w:cs="仿宋_GB2312"/>
          <w:bCs w:val="0"/>
          <w:snapToGrid w:val="0"/>
          <w:color w:val="auto"/>
          <w:spacing w:val="0"/>
          <w:kern w:val="0"/>
          <w:sz w:val="32"/>
          <w:szCs w:val="32"/>
          <w:highlight w:val="none"/>
          <w:lang w:val="en" w:eastAsia="en-US"/>
        </w:rPr>
        <w:t>规定</w:t>
      </w:r>
      <w:r>
        <w:rPr>
          <w:rFonts w:hint="eastAsia" w:ascii="仿宋_GB2312" w:hAnsi="仿宋_GB2312" w:eastAsia="仿宋_GB2312" w:cs="仿宋_GB2312"/>
          <w:bCs w:val="0"/>
          <w:snapToGrid w:val="0"/>
          <w:color w:val="auto"/>
          <w:spacing w:val="0"/>
          <w:kern w:val="0"/>
          <w:sz w:val="32"/>
          <w:szCs w:val="32"/>
          <w:highlight w:val="none"/>
          <w:lang w:eastAsia="en-US"/>
        </w:rPr>
        <w:t>结算</w:t>
      </w:r>
      <w:r>
        <w:rPr>
          <w:rFonts w:hint="eastAsia" w:ascii="仿宋_GB2312" w:hAnsi="仿宋_GB2312" w:eastAsia="仿宋_GB2312" w:cs="仿宋_GB2312"/>
          <w:bCs w:val="0"/>
          <w:snapToGrid w:val="0"/>
          <w:color w:val="auto"/>
          <w:spacing w:val="0"/>
          <w:kern w:val="0"/>
          <w:sz w:val="32"/>
          <w:szCs w:val="32"/>
          <w:highlight w:val="none"/>
          <w:lang w:val="en" w:eastAsia="en-US"/>
        </w:rPr>
        <w:t>。</w:t>
      </w:r>
      <w:r>
        <w:rPr>
          <w:rFonts w:hint="eastAsia" w:ascii="仿宋_GB2312" w:hAnsi="仿宋_GB2312" w:eastAsia="仿宋_GB2312" w:cs="仿宋_GB2312"/>
          <w:bCs w:val="0"/>
          <w:snapToGrid w:val="0"/>
          <w:color w:val="auto"/>
          <w:spacing w:val="0"/>
          <w:kern w:val="0"/>
          <w:sz w:val="32"/>
          <w:szCs w:val="32"/>
          <w:highlight w:val="none"/>
          <w:lang w:eastAsia="en-US"/>
        </w:rPr>
        <w:t>月结算费用列入省级统一结算范围。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en-US" w:bidi="ar-SA"/>
        </w:rPr>
      </w:pPr>
      <w:r>
        <w:rPr>
          <w:rFonts w:hint="eastAsia" w:ascii="仿宋_GB2312" w:hAnsi="仿宋_GB2312" w:eastAsia="仿宋_GB2312" w:cs="仿宋_GB2312"/>
          <w:bCs w:val="0"/>
          <w:snapToGrid w:val="0"/>
          <w:color w:val="auto"/>
          <w:spacing w:val="0"/>
          <w:kern w:val="0"/>
          <w:sz w:val="32"/>
          <w:szCs w:val="32"/>
          <w:highlight w:val="none"/>
          <w:lang w:eastAsia="en-US"/>
        </w:rPr>
        <w:t>参保人在妊娠期、分娩期、产褥期及计划生育手术时发生的符合报销规定范围的并发症(含宫内节育器嵌顿、断裂等须住院实施取出宫内节育器)产生的符合规定的医疗费用，由医保经办机构采取</w:t>
      </w:r>
      <w:r>
        <w:rPr>
          <w:rFonts w:hint="eastAsia" w:ascii="仿宋_GB2312" w:hAnsi="仿宋_GB2312" w:eastAsia="仿宋_GB2312" w:cs="仿宋_GB2312"/>
          <w:bCs w:val="0"/>
          <w:snapToGrid w:val="0"/>
          <w:color w:val="auto"/>
          <w:spacing w:val="0"/>
          <w:kern w:val="0"/>
          <w:sz w:val="32"/>
          <w:szCs w:val="32"/>
          <w:highlight w:val="none"/>
          <w:lang w:val="en" w:eastAsia="en-US"/>
        </w:rPr>
        <w:t>DIP</w:t>
      </w:r>
      <w:r>
        <w:rPr>
          <w:rFonts w:hint="eastAsia" w:ascii="仿宋_GB2312" w:hAnsi="仿宋_GB2312" w:eastAsia="仿宋_GB2312" w:cs="仿宋_GB2312"/>
          <w:bCs w:val="0"/>
          <w:snapToGrid w:val="0"/>
          <w:color w:val="auto"/>
          <w:spacing w:val="0"/>
          <w:kern w:val="0"/>
          <w:sz w:val="32"/>
          <w:szCs w:val="32"/>
          <w:highlight w:val="none"/>
          <w:lang w:val="en-US" w:eastAsia="en-US"/>
        </w:rPr>
        <w:t>/DRG</w:t>
      </w:r>
      <w:r>
        <w:rPr>
          <w:rFonts w:hint="eastAsia" w:ascii="仿宋_GB2312" w:hAnsi="仿宋_GB2312" w:eastAsia="仿宋_GB2312" w:cs="仿宋_GB2312"/>
          <w:bCs w:val="0"/>
          <w:snapToGrid w:val="0"/>
          <w:color w:val="auto"/>
          <w:spacing w:val="0"/>
          <w:kern w:val="0"/>
          <w:sz w:val="32"/>
          <w:szCs w:val="32"/>
          <w:highlight w:val="none"/>
          <w:lang w:val="en" w:eastAsia="en-US"/>
        </w:rPr>
        <w:t>支付方式</w:t>
      </w:r>
      <w:r>
        <w:rPr>
          <w:rFonts w:hint="eastAsia" w:ascii="仿宋_GB2312" w:hAnsi="仿宋_GB2312" w:eastAsia="仿宋_GB2312" w:cs="仿宋_GB2312"/>
          <w:bCs w:val="0"/>
          <w:snapToGrid w:val="0"/>
          <w:color w:val="auto"/>
          <w:spacing w:val="0"/>
          <w:kern w:val="0"/>
          <w:sz w:val="32"/>
          <w:szCs w:val="32"/>
          <w:highlight w:val="none"/>
          <w:lang w:eastAsia="en-US"/>
        </w:rPr>
        <w:t>支付。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en-US" w:bidi="ar-SA"/>
        </w:rPr>
      </w:pPr>
      <w:r>
        <w:rPr>
          <w:rFonts w:hint="eastAsia" w:ascii="黑体" w:hAnsi="黑体" w:eastAsia="黑体" w:cs="黑体"/>
          <w:b w:val="0"/>
          <w:snapToGrid w:val="0"/>
          <w:color w:val="auto"/>
          <w:spacing w:val="0"/>
          <w:kern w:val="0"/>
          <w:sz w:val="32"/>
          <w:szCs w:val="32"/>
          <w:highlight w:val="none"/>
          <w:lang w:val="en-US"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六</w:t>
      </w:r>
      <w:r>
        <w:rPr>
          <w:rFonts w:ascii="黑体" w:hAnsi="黑体" w:eastAsia="黑体" w:cs="黑体"/>
          <w:b w:val="0"/>
          <w:bCs w:val="0"/>
          <w:snapToGrid w:val="0"/>
          <w:color w:val="auto"/>
          <w:spacing w:val="0"/>
          <w:kern w:val="0"/>
          <w:sz w:val="32"/>
          <w:szCs w:val="32"/>
          <w:highlight w:val="none"/>
          <w:lang w:val="en-US" w:eastAsia="zh-CN" w:bidi="zh-CN"/>
        </w:rPr>
        <w:t>十</w:t>
      </w:r>
      <w:r>
        <w:rPr>
          <w:rFonts w:hint="eastAsia" w:ascii="黑体" w:hAnsi="黑体" w:eastAsia="黑体" w:cs="黑体"/>
          <w:b w:val="0"/>
          <w:snapToGrid w:val="0"/>
          <w:color w:val="auto"/>
          <w:spacing w:val="0"/>
          <w:kern w:val="0"/>
          <w:sz w:val="32"/>
          <w:szCs w:val="32"/>
          <w:highlight w:val="none"/>
          <w:lang w:val="en-US" w:eastAsia="zh-CN" w:bidi="zh-CN"/>
        </w:rPr>
        <w:t>条</w:t>
      </w:r>
      <w:r>
        <w:rPr>
          <w:rFonts w:hint="default" w:ascii="黑体" w:hAnsi="黑体" w:eastAsia="黑体" w:cs="黑体"/>
          <w:b w:val="0"/>
          <w:snapToGrid w:val="0"/>
          <w:color w:val="auto"/>
          <w:spacing w:val="0"/>
          <w:kern w:val="0"/>
          <w:sz w:val="32"/>
          <w:szCs w:val="32"/>
          <w:highlight w:val="none"/>
          <w:lang w:val="en-US" w:eastAsia="zh-CN" w:bidi="zh-CN"/>
        </w:rPr>
        <w:t>【</w:t>
      </w:r>
      <w:r>
        <w:rPr>
          <w:rFonts w:hint="eastAsia" w:ascii="黑体" w:hAnsi="黑体" w:eastAsia="黑体" w:cs="黑体"/>
          <w:b w:val="0"/>
          <w:snapToGrid w:val="0"/>
          <w:color w:val="auto"/>
          <w:spacing w:val="0"/>
          <w:kern w:val="0"/>
          <w:sz w:val="32"/>
          <w:szCs w:val="32"/>
          <w:highlight w:val="none"/>
          <w:lang w:val="en-US" w:eastAsia="zh-CN" w:bidi="ar-SA"/>
        </w:rPr>
        <w:t>困难群众医疗救助</w:t>
      </w:r>
      <w:r>
        <w:rPr>
          <w:rFonts w:hint="default" w:ascii="黑体" w:hAnsi="黑体" w:eastAsia="黑体" w:cs="黑体"/>
          <w:b w:val="0"/>
          <w:snapToGrid w:val="0"/>
          <w:color w:val="auto"/>
          <w:spacing w:val="0"/>
          <w:kern w:val="0"/>
          <w:sz w:val="32"/>
          <w:szCs w:val="32"/>
          <w:highlight w:val="none"/>
          <w:lang w:val="en-US" w:eastAsia="zh-CN" w:bidi="zh-CN"/>
        </w:rPr>
        <w:t>付费管理】</w:t>
      </w:r>
      <w:r>
        <w:rPr>
          <w:rFonts w:hint="eastAsia" w:ascii="黑体" w:hAnsi="黑体" w:eastAsia="黑体" w:cs="黑体"/>
          <w:b w:val="0"/>
          <w:snapToGrid w:val="0"/>
          <w:color w:val="auto"/>
          <w:spacing w:val="0"/>
          <w:ker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kern w:val="0"/>
          <w:sz w:val="32"/>
          <w:szCs w:val="32"/>
          <w:highlight w:val="none"/>
          <w:lang w:val="en-US" w:eastAsia="en-US" w:bidi="ar-SA"/>
        </w:rPr>
        <w:t>定点医疗机构要优先选用医保支付范围内项目，严格控制困难群众政策范围外医疗费用（即丙类的自费项目，特需项目除外），二级及以下定点医疗机构应控制在5%以内、三级定点医疗机构应控制在10%以内，超出部分医疗保障经办机构应当对费用情况进行审核，发现不合理的，应当扣减定点医疗机构结算费用，按规定由定点医疗机构承担并纳入协议管理严格执行。</w:t>
      </w:r>
    </w:p>
    <w:p>
      <w:pPr>
        <w:autoSpaceDE/>
        <w:autoSpaceDN/>
        <w:adjustRightInd w:val="0"/>
        <w:snapToGrid w:val="0"/>
        <w:spacing w:line="560" w:lineRule="exact"/>
        <w:ind w:firstLine="640" w:firstLineChars="200"/>
        <w:jc w:val="both"/>
        <w:textAlignment w:val="baseline"/>
        <w:rPr>
          <w:rFonts w:hint="eastAsia" w:ascii="黑体" w:hAnsi="黑体" w:eastAsia="黑体" w:cs="黑体"/>
          <w:b w:val="0"/>
          <w:snapToGrid w:val="0"/>
          <w:color w:val="auto"/>
          <w:spacing w:val="0"/>
          <w:kern w:val="0"/>
          <w:sz w:val="32"/>
          <w:szCs w:val="32"/>
          <w:highlight w:val="none"/>
          <w:lang w:val="en-US" w:eastAsia="zh-CN" w:bidi="zh-CN"/>
        </w:rPr>
      </w:pPr>
      <w:r>
        <w:rPr>
          <w:rFonts w:hint="eastAsia" w:ascii="黑体" w:hAnsi="黑体" w:eastAsia="黑体" w:cs="黑体"/>
          <w:b w:val="0"/>
          <w:snapToGrid w:val="0"/>
          <w:color w:val="auto"/>
          <w:spacing w:val="0"/>
          <w:kern w:val="0"/>
          <w:sz w:val="32"/>
          <w:szCs w:val="32"/>
          <w:highlight w:val="none"/>
          <w:lang w:val="en-US"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六十</w:t>
      </w:r>
      <w:r>
        <w:rPr>
          <w:rFonts w:hint="eastAsia" w:ascii="黑体" w:hAnsi="黑体" w:eastAsia="黑体" w:cs="黑体"/>
          <w:b w:val="0"/>
          <w:bCs w:val="0"/>
          <w:snapToGrid w:val="0"/>
          <w:color w:val="auto"/>
          <w:spacing w:val="0"/>
          <w:kern w:val="0"/>
          <w:sz w:val="32"/>
          <w:szCs w:val="32"/>
          <w:highlight w:val="none"/>
          <w:lang w:eastAsia="zh-CN" w:bidi="zh-CN"/>
        </w:rPr>
        <w:t>一</w:t>
      </w:r>
      <w:r>
        <w:rPr>
          <w:rFonts w:hint="eastAsia" w:ascii="黑体" w:hAnsi="黑体" w:eastAsia="黑体" w:cs="黑体"/>
          <w:b w:val="0"/>
          <w:snapToGrid w:val="0"/>
          <w:color w:val="auto"/>
          <w:spacing w:val="0"/>
          <w:kern w:val="0"/>
          <w:sz w:val="32"/>
          <w:szCs w:val="32"/>
          <w:highlight w:val="none"/>
          <w:lang w:val="en-US" w:eastAsia="zh-CN" w:bidi="zh-CN"/>
        </w:rPr>
        <w:t>条【</w:t>
      </w:r>
      <w:r>
        <w:rPr>
          <w:rFonts w:hint="eastAsia" w:ascii="黑体" w:hAnsi="黑体" w:eastAsia="黑体" w:cs="黑体"/>
          <w:b w:val="0"/>
          <w:snapToGrid w:val="0"/>
          <w:color w:val="auto"/>
          <w:spacing w:val="0"/>
          <w:kern w:val="0"/>
          <w:sz w:val="32"/>
          <w:szCs w:val="32"/>
          <w:highlight w:val="none"/>
          <w:lang w:eastAsia="zh-CN" w:bidi="zh-CN"/>
        </w:rPr>
        <w:t>工伤保险结算</w:t>
      </w:r>
      <w:r>
        <w:rPr>
          <w:rFonts w:hint="eastAsia" w:ascii="黑体" w:hAnsi="黑体" w:eastAsia="黑体" w:cs="黑体"/>
          <w:b w:val="0"/>
          <w:snapToGrid w:val="0"/>
          <w:color w:val="auto"/>
          <w:spacing w:val="0"/>
          <w:kern w:val="0"/>
          <w:sz w:val="32"/>
          <w:szCs w:val="32"/>
          <w:highlight w:val="none"/>
          <w:lang w:val="en-US" w:eastAsia="zh-CN" w:bidi="zh-CN"/>
        </w:rPr>
        <w:t>管理】</w:t>
      </w:r>
    </w:p>
    <w:p>
      <w:pPr>
        <w:autoSpaceDE/>
        <w:autoSpaceDN/>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（一）</w:t>
      </w:r>
      <w:r>
        <w:rPr>
          <w:rFonts w:hint="eastAsia" w:ascii="楷体_GB2312" w:hAnsi="楷体_GB2312" w:eastAsia="楷体_GB2312" w:cs="楷体_GB2312"/>
          <w:b w:val="0"/>
          <w:snapToGrid w:val="0"/>
          <w:color w:val="auto"/>
          <w:spacing w:val="0"/>
          <w:kern w:val="0"/>
          <w:sz w:val="32"/>
          <w:szCs w:val="32"/>
          <w:highlight w:val="none"/>
          <w:lang w:eastAsia="en-US" w:bidi="zh-CN"/>
        </w:rPr>
        <w:t>付费管理。</w:t>
      </w:r>
      <w:r>
        <w:rPr>
          <w:rFonts w:hint="eastAsia" w:ascii="仿宋_GB2312" w:hAnsi="仿宋_GB2312" w:eastAsia="仿宋_GB2312" w:cs="仿宋_GB2312"/>
          <w:b w:val="0"/>
          <w:snapToGrid w:val="0"/>
          <w:color w:val="auto"/>
          <w:spacing w:val="0"/>
          <w:kern w:val="0"/>
          <w:sz w:val="32"/>
          <w:szCs w:val="32"/>
          <w:highlight w:val="none"/>
          <w:lang w:eastAsia="en-US" w:bidi="zh-CN"/>
        </w:rPr>
        <w:t>参保人员</w:t>
      </w:r>
      <w:r>
        <w:rPr>
          <w:rFonts w:hint="eastAsia" w:ascii="仿宋_GB2312" w:hAnsi="仿宋_GB2312" w:eastAsia="仿宋_GB2312" w:cs="仿宋_GB2312"/>
          <w:snapToGrid w:val="0"/>
          <w:color w:val="auto"/>
          <w:kern w:val="0"/>
          <w:sz w:val="32"/>
          <w:szCs w:val="32"/>
          <w:highlight w:val="none"/>
          <w:lang w:eastAsia="en-US"/>
        </w:rPr>
        <w:t>认定工伤后的医疗费用，乙方应按照相关规定与甲方联网直接结算，或由乙方垫付后向甲方办理结算手续。</w:t>
      </w:r>
    </w:p>
    <w:p>
      <w:pPr>
        <w:autoSpaceDE/>
        <w:autoSpaceDN/>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出院结算时已申请工伤认定但未完成工伤认定的工伤职工，其医疗费用由用人单位或参保人员先行垫付。待完成工伤认定后，用人单位或工伤职工可持医疗票据、病历等资料到乙方办理退费手续，乙方按工伤保险相关规定补记账结算，并向甲方办理结算手续。</w:t>
      </w:r>
    </w:p>
    <w:p>
      <w:pPr>
        <w:autoSpaceDE/>
        <w:autoSpaceDN/>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kern w:val="0"/>
          <w:sz w:val="32"/>
          <w:szCs w:val="32"/>
          <w:highlight w:val="none"/>
          <w:lang w:eastAsia="en-US"/>
        </w:rPr>
        <w:t>乙方在为工伤职工提供医疗服务时，应区分“工伤伤情”和“非工伤病情”，将工伤伤情和非工伤病情治疗产生的医疗费用进行分割；治疗非工伤病情发生的费用，不得纳入工伤保险基金支付范围，并及时告知工伤职工。</w:t>
      </w:r>
    </w:p>
    <w:p>
      <w:pPr>
        <w:autoSpaceDE/>
        <w:autoSpaceDN/>
        <w:adjustRightInd w:val="0"/>
        <w:snapToGrid w:val="0"/>
        <w:spacing w:line="560" w:lineRule="exact"/>
        <w:ind w:firstLine="640" w:firstLineChars="200"/>
        <w:jc w:val="both"/>
        <w:textAlignment w:val="baseline"/>
        <w:rPr>
          <w:rFonts w:hint="eastAsia" w:ascii="仿宋_GB2312" w:hAnsi="仿宋_GB2312" w:eastAsia="仿宋_GB2312" w:cs="仿宋_GB2312"/>
          <w:bCs w:val="0"/>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（二）</w:t>
      </w:r>
      <w:r>
        <w:rPr>
          <w:rFonts w:hint="eastAsia" w:ascii="楷体_GB2312" w:hAnsi="楷体_GB2312" w:eastAsia="楷体_GB2312" w:cs="楷体_GB2312"/>
          <w:b w:val="0"/>
          <w:snapToGrid w:val="0"/>
          <w:color w:val="auto"/>
          <w:kern w:val="0"/>
          <w:sz w:val="32"/>
          <w:szCs w:val="32"/>
          <w:highlight w:val="none"/>
          <w:lang w:eastAsia="en-US" w:bidi="zh-CN"/>
        </w:rPr>
        <w:t>质量保证金。</w:t>
      </w:r>
      <w:r>
        <w:rPr>
          <w:rFonts w:hint="eastAsia" w:ascii="仿宋_GB2312" w:hAnsi="仿宋_GB2312" w:eastAsia="仿宋_GB2312" w:cs="仿宋_GB2312"/>
          <w:bCs w:val="0"/>
          <w:snapToGrid w:val="0"/>
          <w:color w:val="auto"/>
          <w:kern w:val="0"/>
          <w:sz w:val="32"/>
          <w:szCs w:val="32"/>
          <w:highlight w:val="none"/>
          <w:lang w:eastAsia="en-US"/>
        </w:rPr>
        <w:t>乙方住院工伤保险基金年实际支付金额的10%作为质量保证金，但不作提取，待年终支付时一并作财务抵扣处理。计算公式为（住院工伤基金年申报金额-审核扣款）×10%。</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en-US" w:bidi="ar-SA"/>
        </w:rPr>
      </w:pPr>
      <w:r>
        <w:rPr>
          <w:rFonts w:hint="eastAsia" w:ascii="仿宋_GB2312" w:hAnsi="仿宋_GB2312" w:eastAsia="仿宋_GB2312" w:cs="仿宋_GB2312"/>
          <w:snapToGrid w:val="0"/>
          <w:color w:val="auto"/>
          <w:spacing w:val="0"/>
          <w:kern w:val="0"/>
          <w:sz w:val="32"/>
          <w:szCs w:val="32"/>
          <w:highlight w:val="none"/>
          <w:lang w:eastAsia="zh-CN"/>
        </w:rPr>
        <w:t>（三）</w:t>
      </w:r>
      <w:r>
        <w:rPr>
          <w:rFonts w:hint="eastAsia" w:ascii="楷体_GB2312" w:hAnsi="楷体_GB2312" w:eastAsia="楷体_GB2312" w:cs="楷体_GB2312"/>
          <w:b w:val="0"/>
          <w:snapToGrid w:val="0"/>
          <w:color w:val="auto"/>
          <w:kern w:val="0"/>
          <w:sz w:val="32"/>
          <w:szCs w:val="32"/>
          <w:highlight w:val="none"/>
          <w:lang w:eastAsia="en-US" w:bidi="zh-CN"/>
        </w:rPr>
        <w:t>质量保证金返还。</w:t>
      </w:r>
      <w:r>
        <w:rPr>
          <w:rFonts w:hint="eastAsia" w:ascii="仿宋_GB2312" w:hAnsi="仿宋_GB2312" w:eastAsia="仿宋_GB2312" w:cs="仿宋_GB2312"/>
          <w:bCs w:val="0"/>
          <w:snapToGrid w:val="0"/>
          <w:color w:val="auto"/>
          <w:kern w:val="0"/>
          <w:sz w:val="32"/>
          <w:szCs w:val="32"/>
          <w:highlight w:val="none"/>
          <w:lang w:eastAsia="en-US"/>
        </w:rPr>
        <w:t>医疗服务质量保证金在年终清算时，根据考核结果返还。乙方被考核考评为合格以上等次的，质量保证金全额返还；不合格的，质量保证金不予返还。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jc w:val="both"/>
        <w:textAlignment w:val="baseline"/>
        <w:outlineLvl w:val="0"/>
        <w:rPr>
          <w:rFonts w:hint="default" w:ascii="黑体" w:hAnsi="黑体" w:eastAsia="黑体" w:cs="黑体"/>
          <w:b w:val="0"/>
          <w:snapToGrid w:val="0"/>
          <w:color w:val="auto"/>
          <w:spacing w:val="0"/>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center"/>
        <w:textAlignment w:val="baseline"/>
        <w:outlineLvl w:val="0"/>
        <w:rPr>
          <w:rFonts w:ascii="黑体" w:hAnsi="黑体" w:eastAsia="黑体" w:cs="黑体"/>
          <w:snapToGrid w:val="0"/>
          <w:color w:val="auto"/>
          <w:spacing w:val="0"/>
          <w:kern w:val="0"/>
          <w:sz w:val="32"/>
          <w:szCs w:val="32"/>
          <w:highlight w:val="none"/>
          <w:lang w:eastAsia="zh-CN"/>
        </w:rPr>
      </w:pPr>
      <w:r>
        <w:rPr>
          <w:rFonts w:ascii="黑体" w:hAnsi="黑体" w:eastAsia="黑体" w:cs="黑体"/>
          <w:b w:val="0"/>
          <w:bCs w:val="0"/>
          <w:snapToGrid w:val="0"/>
          <w:color w:val="auto"/>
          <w:spacing w:val="0"/>
          <w:kern w:val="0"/>
          <w:sz w:val="32"/>
          <w:szCs w:val="32"/>
          <w:highlight w:val="none"/>
          <w:lang w:eastAsia="zh-CN"/>
        </w:rPr>
        <w:t>第四章</w:t>
      </w:r>
      <w:r>
        <w:rPr>
          <w:rFonts w:hint="default" w:ascii="黑体" w:hAnsi="黑体" w:eastAsia="黑体" w:cs="黑体"/>
          <w:b w:val="0"/>
          <w:bCs w:val="0"/>
          <w:snapToGrid w:val="0"/>
          <w:color w:val="auto"/>
          <w:spacing w:val="0"/>
          <w:kern w:val="0"/>
          <w:sz w:val="32"/>
          <w:szCs w:val="32"/>
          <w:highlight w:val="none"/>
          <w:lang w:val="en-US" w:eastAsia="zh-CN"/>
        </w:rPr>
        <w:t xml:space="preserve"> </w:t>
      </w:r>
      <w:r>
        <w:rPr>
          <w:rFonts w:ascii="黑体" w:hAnsi="黑体" w:eastAsia="黑体" w:cs="黑体"/>
          <w:b w:val="0"/>
          <w:bCs w:val="0"/>
          <w:snapToGrid w:val="0"/>
          <w:color w:val="auto"/>
          <w:spacing w:val="0"/>
          <w:kern w:val="0"/>
          <w:sz w:val="32"/>
          <w:szCs w:val="32"/>
          <w:highlight w:val="none"/>
          <w:lang w:eastAsia="zh-CN"/>
        </w:rPr>
        <w:t>医药价格与集采</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both"/>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六</w:t>
      </w:r>
      <w:r>
        <w:rPr>
          <w:rFonts w:ascii="黑体" w:hAnsi="黑体" w:eastAsia="黑体" w:cs="黑体"/>
          <w:b w:val="0"/>
          <w:bCs w:val="0"/>
          <w:snapToGrid w:val="0"/>
          <w:color w:val="auto"/>
          <w:spacing w:val="0"/>
          <w:kern w:val="0"/>
          <w:sz w:val="32"/>
          <w:szCs w:val="32"/>
          <w:highlight w:val="none"/>
          <w:lang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二</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医疗服务价格和成本监测</w:t>
      </w:r>
      <w:r>
        <w:rPr>
          <w:rFonts w:hint="default" w:ascii="黑体" w:hAnsi="黑体" w:eastAsia="黑体" w:cs="黑体"/>
          <w:b w:val="0"/>
          <w:snapToGrid w:val="0"/>
          <w:color w:val="auto"/>
          <w:spacing w:val="0"/>
          <w:kern w:val="0"/>
          <w:sz w:val="32"/>
          <w:szCs w:val="32"/>
          <w:highlight w:val="none"/>
          <w:lang w:eastAsia="zh-CN" w:bidi="zh-CN"/>
        </w:rPr>
        <w:t>】</w:t>
      </w:r>
      <w:r>
        <w:rPr>
          <w:rFonts w:ascii="黑体" w:hAnsi="黑体" w:eastAsia="黑体" w:cs="黑体"/>
          <w:snapToGrid w:val="0"/>
          <w:color w:val="auto"/>
          <w:spacing w:val="0"/>
          <w:kern w:val="0"/>
          <w:sz w:val="32"/>
          <w:szCs w:val="32"/>
          <w:highlight w:val="none"/>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应执行或承诺执行医疗保障行政部门制定的医疗服务价格项目和价格政策，包括项目名称、项目内涵、计价单元、收费方式和价格水平等。对于实行市场调节价的医疗服务价格项目，乙方应按照公平合理、诚实信用、质价相符的原则，自主合理制定医疗服务价格，做好公开公示，并加强同地区同层次医疗机构比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val="en-US" w:eastAsia="zh-CN" w:bidi="ar-SA"/>
        </w:rPr>
        <w:t>乙方应配合甲方开展医疗服务价格和成本监测，按要求及时提供医疗服务项目价格执行情况、项目成本等医疗服务改革所需数据。</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default" w:ascii="仿宋" w:hAnsi="仿宋" w:eastAsia="仿宋" w:cs="仿宋"/>
          <w:snapToGrid w:val="0"/>
          <w:color w:val="auto"/>
          <w:spacing w:val="0"/>
          <w:kern w:val="0"/>
          <w:sz w:val="32"/>
          <w:szCs w:val="32"/>
          <w:highlight w:val="none"/>
          <w:lang w:val="en-US" w:eastAsia="zh-CN"/>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六</w:t>
      </w:r>
      <w:r>
        <w:rPr>
          <w:rFonts w:ascii="黑体" w:hAnsi="黑体" w:eastAsia="黑体" w:cs="黑体"/>
          <w:b w:val="0"/>
          <w:bCs w:val="0"/>
          <w:snapToGrid w:val="0"/>
          <w:color w:val="auto"/>
          <w:spacing w:val="0"/>
          <w:kern w:val="0"/>
          <w:sz w:val="32"/>
          <w:szCs w:val="32"/>
          <w:highlight w:val="none"/>
          <w:lang w:eastAsia="zh-CN" w:bidi="zh-CN"/>
        </w:rPr>
        <w:t>十</w:t>
      </w:r>
      <w:r>
        <w:rPr>
          <w:rFonts w:hint="eastAsia" w:ascii="黑体" w:hAnsi="黑体" w:eastAsia="黑体" w:cs="黑体"/>
          <w:b w:val="0"/>
          <w:bCs w:val="0"/>
          <w:snapToGrid w:val="0"/>
          <w:color w:val="auto"/>
          <w:spacing w:val="0"/>
          <w:kern w:val="0"/>
          <w:sz w:val="32"/>
          <w:szCs w:val="32"/>
          <w:highlight w:val="none"/>
          <w:lang w:eastAsia="zh-CN" w:bidi="zh-CN"/>
        </w:rPr>
        <w:t>三</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药品医用耗材价格</w:t>
      </w:r>
      <w:r>
        <w:rPr>
          <w:rFonts w:hint="default" w:ascii="黑体" w:hAnsi="黑体" w:eastAsia="黑体" w:cs="黑体"/>
          <w:b w:val="0"/>
          <w:snapToGrid w:val="0"/>
          <w:color w:val="auto"/>
          <w:spacing w:val="0"/>
          <w:kern w:val="0"/>
          <w:sz w:val="32"/>
          <w:szCs w:val="32"/>
          <w:highlight w:val="none"/>
          <w:lang w:eastAsia="zh-CN" w:bidi="zh-CN"/>
        </w:rPr>
        <w:t>】</w:t>
      </w:r>
      <w:r>
        <w:rPr>
          <w:rFonts w:ascii="黑体" w:hAnsi="黑体" w:eastAsia="黑体" w:cs="黑体"/>
          <w:snapToGrid w:val="0"/>
          <w:color w:val="auto"/>
          <w:spacing w:val="0"/>
          <w:kern w:val="0"/>
          <w:sz w:val="32"/>
          <w:szCs w:val="32"/>
          <w:highlight w:val="none"/>
          <w:lang w:eastAsia="zh-CN" w:bidi="zh-CN"/>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为公立医疗机构(含军队医疗机构)的，执行药品(中药饮片除外)和医用耗材零加成销售政策，按照不高于医药采购平台价格向参保人员提供治疗所需要的药品和医用耗材。乙方为非公立医疗机构的，按照公平合理、诚实信用、质价相符的原则确定所提供药品、医用耗材价格，应承诺不得高于</w:t>
      </w:r>
      <w:r>
        <w:rPr>
          <w:rFonts w:hint="eastAsia" w:ascii="仿宋_GB2312" w:hAnsi="仿宋_GB2312" w:eastAsia="仿宋_GB2312" w:cs="仿宋_GB2312"/>
          <w:snapToGrid w:val="0"/>
          <w:color w:val="auto"/>
          <w:spacing w:val="0"/>
          <w:kern w:val="0"/>
          <w:sz w:val="32"/>
          <w:szCs w:val="32"/>
          <w:highlight w:val="none"/>
          <w:lang w:val="en-US" w:eastAsia="zh-CN"/>
        </w:rPr>
        <w:t>海南省</w:t>
      </w:r>
      <w:r>
        <w:rPr>
          <w:rFonts w:hint="eastAsia" w:ascii="仿宋_GB2312" w:hAnsi="仿宋_GB2312" w:eastAsia="仿宋_GB2312" w:cs="仿宋_GB2312"/>
          <w:snapToGrid w:val="0"/>
          <w:color w:val="auto"/>
          <w:spacing w:val="0"/>
          <w:kern w:val="0"/>
          <w:sz w:val="32"/>
          <w:szCs w:val="32"/>
          <w:highlight w:val="none"/>
          <w:lang w:eastAsia="en-US"/>
        </w:rPr>
        <w:t>公立医疗机构价格水平；提供未在医药采购平台挂网的药品和医用耗材的，应承诺不得明显高于</w:t>
      </w:r>
      <w:r>
        <w:rPr>
          <w:rFonts w:hint="eastAsia" w:ascii="仿宋_GB2312" w:hAnsi="仿宋_GB2312" w:eastAsia="仿宋_GB2312" w:cs="仿宋_GB2312"/>
          <w:snapToGrid w:val="0"/>
          <w:color w:val="auto"/>
          <w:spacing w:val="0"/>
          <w:kern w:val="0"/>
          <w:sz w:val="32"/>
          <w:szCs w:val="32"/>
          <w:highlight w:val="none"/>
          <w:lang w:eastAsia="zh-CN"/>
        </w:rPr>
        <w:t>我省</w:t>
      </w:r>
      <w:r>
        <w:rPr>
          <w:rFonts w:hint="eastAsia" w:ascii="仿宋_GB2312" w:hAnsi="仿宋_GB2312" w:eastAsia="仿宋_GB2312" w:cs="仿宋_GB2312"/>
          <w:snapToGrid w:val="0"/>
          <w:color w:val="auto"/>
          <w:spacing w:val="0"/>
          <w:kern w:val="0"/>
          <w:sz w:val="32"/>
          <w:szCs w:val="32"/>
          <w:highlight w:val="none"/>
          <w:lang w:eastAsia="en-US"/>
        </w:rPr>
        <w:t>其他医疗机构价格水平。</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六</w:t>
      </w:r>
      <w:r>
        <w:rPr>
          <w:rFonts w:ascii="黑体" w:hAnsi="黑体" w:eastAsia="黑体" w:cs="黑体"/>
          <w:b w:val="0"/>
          <w:bCs w:val="0"/>
          <w:snapToGrid w:val="0"/>
          <w:color w:val="auto"/>
          <w:spacing w:val="0"/>
          <w:kern w:val="0"/>
          <w:sz w:val="32"/>
          <w:szCs w:val="32"/>
          <w:highlight w:val="none"/>
          <w:lang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四</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价格公平</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bCs w:val="0"/>
          <w:snapToGrid w:val="0"/>
          <w:color w:val="auto"/>
          <w:spacing w:val="0"/>
          <w:ker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乙方向参保人员提供药品、医用耗材、医疗服务和服务设施时，不得实行不公平、歧视性高价，不得以高于非医保患者的价格收费。</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六</w:t>
      </w:r>
      <w:r>
        <w:rPr>
          <w:rFonts w:ascii="黑体" w:hAnsi="黑体" w:eastAsia="黑体" w:cs="黑体"/>
          <w:b w:val="0"/>
          <w:bCs w:val="0"/>
          <w:snapToGrid w:val="0"/>
          <w:color w:val="auto"/>
          <w:spacing w:val="0"/>
          <w:kern w:val="0"/>
          <w:sz w:val="32"/>
          <w:szCs w:val="32"/>
          <w:highlight w:val="none"/>
          <w:lang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五</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价格公示</w:t>
      </w:r>
      <w:r>
        <w:rPr>
          <w:rFonts w:hint="default" w:ascii="黑体" w:hAnsi="黑体" w:eastAsia="黑体" w:cs="黑体"/>
          <w:b w:val="0"/>
          <w:snapToGrid w:val="0"/>
          <w:color w:val="auto"/>
          <w:spacing w:val="0"/>
          <w:kern w:val="0"/>
          <w:sz w:val="32"/>
          <w:szCs w:val="32"/>
          <w:highlight w:val="none"/>
          <w:lang w:eastAsia="zh-CN" w:bidi="zh-CN"/>
        </w:rPr>
        <w:t>】</w:t>
      </w:r>
      <w:r>
        <w:rPr>
          <w:rFonts w:ascii="黑体" w:hAnsi="黑体" w:eastAsia="黑体" w:cs="黑体"/>
          <w:snapToGrid w:val="0"/>
          <w:color w:val="auto"/>
          <w:spacing w:val="0"/>
          <w:kern w:val="0"/>
          <w:sz w:val="32"/>
          <w:szCs w:val="32"/>
          <w:highlight w:val="none"/>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乙方应在显著位置如实公开公示所提供的药品、医用耗材、医疗服务和服务设施的价格，自觉接受社会监督和行政监管。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en-US" w:bidi="ar-SA"/>
        </w:rPr>
      </w:pPr>
      <w:r>
        <w:rPr>
          <w:rFonts w:ascii="黑体" w:hAnsi="黑体" w:eastAsia="黑体" w:cs="黑体"/>
          <w:b w:val="0"/>
          <w:bCs w:val="0"/>
          <w:snapToGrid w:val="0"/>
          <w:color w:val="auto"/>
          <w:spacing w:val="0"/>
          <w:kern w:val="0"/>
          <w:sz w:val="32"/>
          <w:szCs w:val="32"/>
          <w:highlight w:val="none"/>
          <w:lang w:val="en-US"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六</w:t>
      </w:r>
      <w:r>
        <w:rPr>
          <w:rFonts w:ascii="黑体" w:hAnsi="黑体" w:eastAsia="黑体" w:cs="黑体"/>
          <w:b w:val="0"/>
          <w:bCs w:val="0"/>
          <w:snapToGrid w:val="0"/>
          <w:color w:val="auto"/>
          <w:spacing w:val="0"/>
          <w:kern w:val="0"/>
          <w:sz w:val="32"/>
          <w:szCs w:val="32"/>
          <w:highlight w:val="none"/>
          <w:lang w:val="en-US"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六</w:t>
      </w:r>
      <w:r>
        <w:rPr>
          <w:rFonts w:ascii="黑体" w:hAnsi="黑体" w:eastAsia="黑体" w:cs="黑体"/>
          <w:b w:val="0"/>
          <w:bCs w:val="0"/>
          <w:snapToGrid w:val="0"/>
          <w:color w:val="auto"/>
          <w:spacing w:val="0"/>
          <w:kern w:val="0"/>
          <w:sz w:val="32"/>
          <w:szCs w:val="32"/>
          <w:highlight w:val="none"/>
          <w:lang w:val="en-US" w:eastAsia="zh-CN" w:bidi="zh-CN"/>
        </w:rPr>
        <w:t>条</w:t>
      </w:r>
      <w:r>
        <w:rPr>
          <w:rFonts w:hint="default" w:ascii="黑体" w:hAnsi="黑体" w:eastAsia="黑体" w:cs="黑体"/>
          <w:b w:val="0"/>
          <w:snapToGrid w:val="0"/>
          <w:color w:val="auto"/>
          <w:spacing w:val="0"/>
          <w:kern w:val="0"/>
          <w:sz w:val="32"/>
          <w:szCs w:val="32"/>
          <w:highlight w:val="none"/>
          <w:lang w:val="en-US" w:eastAsia="zh-CN" w:bidi="zh-CN"/>
        </w:rPr>
        <w:t>【药品</w:t>
      </w:r>
      <w:r>
        <w:rPr>
          <w:rFonts w:hint="eastAsia" w:ascii="黑体" w:hAnsi="黑体" w:eastAsia="黑体" w:cs="黑体"/>
          <w:b w:val="0"/>
          <w:snapToGrid w:val="0"/>
          <w:color w:val="auto"/>
          <w:spacing w:val="0"/>
          <w:kern w:val="0"/>
          <w:sz w:val="32"/>
          <w:szCs w:val="32"/>
          <w:highlight w:val="none"/>
          <w:lang w:val="en-US" w:eastAsia="zh-CN" w:bidi="zh-CN"/>
        </w:rPr>
        <w:t>、</w:t>
      </w:r>
      <w:r>
        <w:rPr>
          <w:rFonts w:hint="default" w:ascii="黑体" w:hAnsi="黑体" w:eastAsia="黑体" w:cs="黑体"/>
          <w:b w:val="0"/>
          <w:snapToGrid w:val="0"/>
          <w:color w:val="auto"/>
          <w:spacing w:val="0"/>
          <w:kern w:val="0"/>
          <w:sz w:val="32"/>
          <w:szCs w:val="32"/>
          <w:highlight w:val="none"/>
          <w:lang w:val="en-US" w:eastAsia="zh-CN" w:bidi="zh-CN"/>
        </w:rPr>
        <w:t>医用耗材采购】</w:t>
      </w:r>
      <w:r>
        <w:rPr>
          <w:rFonts w:ascii="黑体" w:hAnsi="黑体" w:eastAsia="黑体" w:cs="黑体"/>
          <w:snapToGrid w:val="0"/>
          <w:color w:val="auto"/>
          <w:spacing w:val="0"/>
          <w:kern w:val="0"/>
          <w:sz w:val="32"/>
          <w:szCs w:val="32"/>
          <w:highlight w:val="none"/>
          <w:lang w:val="en-US" w:eastAsia="en-US" w:bidi="ar-SA"/>
        </w:rPr>
        <w:t xml:space="preserve"> </w:t>
      </w:r>
      <w:r>
        <w:rPr>
          <w:rFonts w:hint="eastAsia" w:ascii="仿宋_GB2312" w:hAnsi="仿宋_GB2312" w:eastAsia="仿宋_GB2312" w:cs="仿宋_GB2312"/>
          <w:snapToGrid w:val="0"/>
          <w:color w:val="auto"/>
          <w:spacing w:val="0"/>
          <w:kern w:val="0"/>
          <w:sz w:val="32"/>
          <w:szCs w:val="32"/>
          <w:highlight w:val="none"/>
          <w:lang w:val="en-US" w:eastAsia="en-US" w:bidi="ar-SA"/>
        </w:rPr>
        <w:t>乙方为公立医疗机构(含军队医疗机构)的，所使用的药品、医用耗材应当按规定在医疗保障行政部门规定的医药采购平台上采购，医药采购平台未挂网短缺药品须及时在平台备案；乙方为非公立医疗机构的，按照国家及海南省相关规定采购。鼓励其优先合理采购和使用集采品种；考虑到保障患者多层次用药需求，若确实需要采购非集采中选品种的，应结合集采中选结果，优先合理采购质优价宜的同通用名同剂型药品或同类型医用耗材。乙方应严格遵循临床需要和患者个人意愿原则，充分向患者做好沟通解释工作。</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乙方应严格执行集中带量采购和使用相关规定，根据临床需要精准报量，优先使用集中带量采购中选的药品和医用耗材，不得以任何理由拒绝中选产品进入本机构、配备使用。乙方应当按要求如实向</w:t>
      </w:r>
      <w:r>
        <w:rPr>
          <w:rFonts w:hint="eastAsia" w:ascii="仿宋_GB2312" w:hAnsi="仿宋_GB2312" w:eastAsia="仿宋_GB2312" w:cs="仿宋_GB2312"/>
          <w:snapToGrid w:val="0"/>
          <w:color w:val="auto"/>
          <w:spacing w:val="0"/>
          <w:kern w:val="0"/>
          <w:sz w:val="32"/>
          <w:szCs w:val="32"/>
          <w:highlight w:val="none"/>
          <w:lang w:val="en-US" w:eastAsia="en-US"/>
        </w:rPr>
        <w:t>海南</w:t>
      </w:r>
      <w:r>
        <w:rPr>
          <w:rFonts w:hint="eastAsia" w:ascii="仿宋_GB2312" w:hAnsi="仿宋_GB2312" w:eastAsia="仿宋_GB2312" w:cs="仿宋_GB2312"/>
          <w:snapToGrid w:val="0"/>
          <w:color w:val="auto"/>
          <w:spacing w:val="0"/>
          <w:kern w:val="0"/>
          <w:sz w:val="32"/>
          <w:szCs w:val="32"/>
          <w:highlight w:val="none"/>
          <w:lang w:eastAsia="en-US"/>
        </w:rPr>
        <w:t>省医疗保障</w:t>
      </w:r>
      <w:r>
        <w:rPr>
          <w:rFonts w:hint="eastAsia" w:ascii="仿宋_GB2312" w:hAnsi="仿宋_GB2312" w:eastAsia="仿宋_GB2312" w:cs="仿宋_GB2312"/>
          <w:snapToGrid w:val="0"/>
          <w:color w:val="auto"/>
          <w:spacing w:val="0"/>
          <w:kern w:val="0"/>
          <w:sz w:val="32"/>
          <w:szCs w:val="32"/>
          <w:highlight w:val="none"/>
          <w:lang w:val="en-US" w:eastAsia="en-US"/>
        </w:rPr>
        <w:t>行政</w:t>
      </w:r>
      <w:r>
        <w:rPr>
          <w:rFonts w:hint="eastAsia" w:ascii="仿宋_GB2312" w:hAnsi="仿宋_GB2312" w:eastAsia="仿宋_GB2312" w:cs="仿宋_GB2312"/>
          <w:snapToGrid w:val="0"/>
          <w:color w:val="auto"/>
          <w:spacing w:val="0"/>
          <w:kern w:val="0"/>
          <w:sz w:val="32"/>
          <w:szCs w:val="32"/>
          <w:highlight w:val="none"/>
          <w:lang w:eastAsia="en-US"/>
        </w:rPr>
        <w:t>部门报送药品、医用耗材的采购价格和数量等相关数据。</w:t>
      </w:r>
      <w:r>
        <w:rPr>
          <w:rFonts w:hint="eastAsia" w:ascii="仿宋_GB2312" w:hAnsi="仿宋_GB2312" w:eastAsia="仿宋_GB2312" w:cs="仿宋_GB2312"/>
          <w:snapToGrid w:val="0"/>
          <w:color w:val="auto"/>
          <w:spacing w:val="0"/>
          <w:kern w:val="0"/>
          <w:sz w:val="32"/>
          <w:szCs w:val="32"/>
          <w:highlight w:val="none"/>
          <w:lang w:val="en-US" w:eastAsia="en-US"/>
        </w:rPr>
        <w:t>海南省</w:t>
      </w:r>
      <w:r>
        <w:rPr>
          <w:rFonts w:hint="eastAsia" w:ascii="仿宋_GB2312" w:hAnsi="仿宋_GB2312" w:eastAsia="仿宋_GB2312" w:cs="仿宋_GB2312"/>
          <w:snapToGrid w:val="0"/>
          <w:color w:val="auto"/>
          <w:spacing w:val="0"/>
          <w:kern w:val="0"/>
          <w:sz w:val="32"/>
          <w:szCs w:val="32"/>
          <w:highlight w:val="none"/>
          <w:lang w:eastAsia="en-US"/>
        </w:rPr>
        <w:t>医疗保障</w:t>
      </w:r>
      <w:r>
        <w:rPr>
          <w:rFonts w:hint="eastAsia" w:ascii="仿宋_GB2312" w:hAnsi="仿宋_GB2312" w:eastAsia="仿宋_GB2312" w:cs="仿宋_GB2312"/>
          <w:snapToGrid w:val="0"/>
          <w:color w:val="auto"/>
          <w:spacing w:val="0"/>
          <w:kern w:val="0"/>
          <w:sz w:val="32"/>
          <w:szCs w:val="32"/>
          <w:highlight w:val="none"/>
          <w:lang w:val="en-US" w:eastAsia="en-US"/>
        </w:rPr>
        <w:t>行政</w:t>
      </w:r>
      <w:r>
        <w:rPr>
          <w:rFonts w:hint="eastAsia" w:ascii="仿宋_GB2312" w:hAnsi="仿宋_GB2312" w:eastAsia="仿宋_GB2312" w:cs="仿宋_GB2312"/>
          <w:snapToGrid w:val="0"/>
          <w:color w:val="auto"/>
          <w:spacing w:val="0"/>
          <w:kern w:val="0"/>
          <w:sz w:val="32"/>
          <w:szCs w:val="32"/>
          <w:highlight w:val="none"/>
          <w:lang w:eastAsia="en-US"/>
        </w:rPr>
        <w:t>部门有权对乙方药品、医用耗材的采购和使用情况进行考核。</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both"/>
        <w:textAlignment w:val="baseline"/>
        <w:outlineLvl w:val="6"/>
        <w:rPr>
          <w:rFonts w:ascii="黑体" w:hAnsi="黑体" w:eastAsia="黑体" w:cs="黑体"/>
          <w:b/>
          <w:bCs/>
          <w:snapToGrid w:val="0"/>
          <w:color w:val="auto"/>
          <w:spacing w:val="0"/>
          <w:kern w:val="0"/>
          <w:sz w:val="32"/>
          <w:szCs w:val="32"/>
          <w:highlight w:val="none"/>
          <w:lang w:eastAsia="en-US"/>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center"/>
        <w:textAlignment w:val="baseline"/>
        <w:outlineLvl w:val="0"/>
        <w:rPr>
          <w:rFonts w:ascii="黑体" w:hAnsi="黑体" w:eastAsia="黑体" w:cs="黑体"/>
          <w:snapToGrid w:val="0"/>
          <w:color w:val="auto"/>
          <w:spacing w:val="0"/>
          <w:kern w:val="0"/>
          <w:sz w:val="32"/>
          <w:szCs w:val="32"/>
          <w:highlight w:val="none"/>
          <w:lang w:eastAsia="zh-CN"/>
        </w:rPr>
      </w:pPr>
      <w:r>
        <w:rPr>
          <w:rFonts w:ascii="黑体" w:hAnsi="黑体" w:eastAsia="黑体" w:cs="黑体"/>
          <w:b w:val="0"/>
          <w:bCs w:val="0"/>
          <w:snapToGrid w:val="0"/>
          <w:color w:val="auto"/>
          <w:spacing w:val="0"/>
          <w:kern w:val="0"/>
          <w:sz w:val="32"/>
          <w:szCs w:val="32"/>
          <w:highlight w:val="none"/>
          <w:lang w:eastAsia="zh-CN"/>
        </w:rPr>
        <w:t>第五章</w:t>
      </w:r>
      <w:r>
        <w:rPr>
          <w:rFonts w:ascii="黑体" w:hAnsi="黑体" w:eastAsia="黑体" w:cs="黑体"/>
          <w:snapToGrid w:val="0"/>
          <w:color w:val="auto"/>
          <w:spacing w:val="0"/>
          <w:kern w:val="0"/>
          <w:sz w:val="32"/>
          <w:szCs w:val="32"/>
          <w:highlight w:val="none"/>
          <w:lang w:eastAsia="zh-CN"/>
        </w:rPr>
        <w:t xml:space="preserve"> </w:t>
      </w:r>
      <w:r>
        <w:rPr>
          <w:rFonts w:ascii="黑体" w:hAnsi="黑体" w:eastAsia="黑体" w:cs="黑体"/>
          <w:b w:val="0"/>
          <w:bCs w:val="0"/>
          <w:snapToGrid w:val="0"/>
          <w:color w:val="auto"/>
          <w:spacing w:val="0"/>
          <w:kern w:val="0"/>
          <w:sz w:val="32"/>
          <w:szCs w:val="32"/>
          <w:highlight w:val="none"/>
          <w:lang w:eastAsia="zh-CN"/>
        </w:rPr>
        <w:t>医保信息系统</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both"/>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六</w:t>
      </w:r>
      <w:r>
        <w:rPr>
          <w:rFonts w:ascii="黑体" w:hAnsi="黑体" w:eastAsia="黑体" w:cs="黑体"/>
          <w:b w:val="0"/>
          <w:bCs w:val="0"/>
          <w:snapToGrid w:val="0"/>
          <w:color w:val="auto"/>
          <w:spacing w:val="0"/>
          <w:kern w:val="0"/>
          <w:sz w:val="32"/>
          <w:szCs w:val="32"/>
          <w:highlight w:val="none"/>
          <w:lang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七</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信息接口标准</w:t>
      </w:r>
      <w:r>
        <w:rPr>
          <w:rFonts w:hint="default" w:ascii="黑体" w:hAnsi="黑体" w:eastAsia="黑体" w:cs="黑体"/>
          <w:b w:val="0"/>
          <w:snapToGrid w:val="0"/>
          <w:color w:val="auto"/>
          <w:spacing w:val="0"/>
          <w:kern w:val="0"/>
          <w:sz w:val="32"/>
          <w:szCs w:val="32"/>
          <w:highlight w:val="none"/>
          <w:lang w:eastAsia="zh-CN" w:bidi="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方应向乙方提供医保信息平台接口标准。乙方应严格按照接口标准在约定时间内做好本机构信息系统与医保信息平台的对接及更新。乙方自主选择与医保对接的有关信息系统的运行和维护供应商，甲方不得以任何名义收取任何费用及指定供应商。</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甲方有权要求乙方提供医院信息系统接口标准并获得接入乙方医院信息系统的权限。</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六</w:t>
      </w:r>
      <w:r>
        <w:rPr>
          <w:rFonts w:hint="default" w:ascii="黑体" w:hAnsi="黑体" w:eastAsia="黑体" w:cs="黑体"/>
          <w:b w:val="0"/>
          <w:bCs w:val="0"/>
          <w:snapToGrid w:val="0"/>
          <w:color w:val="auto"/>
          <w:spacing w:val="0"/>
          <w:kern w:val="0"/>
          <w:sz w:val="32"/>
          <w:szCs w:val="32"/>
          <w:highlight w:val="none"/>
          <w:lang w:val="en-US"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八</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编码维护</w:t>
      </w:r>
      <w:r>
        <w:rPr>
          <w:rFonts w:hint="default" w:ascii="黑体" w:hAnsi="黑体" w:eastAsia="黑体" w:cs="黑体"/>
          <w:b w:val="0"/>
          <w:snapToGrid w:val="0"/>
          <w:color w:val="auto"/>
          <w:spacing w:val="0"/>
          <w:kern w:val="0"/>
          <w:sz w:val="32"/>
          <w:szCs w:val="32"/>
          <w:highlight w:val="none"/>
          <w:lang w:eastAsia="zh-CN" w:bidi="zh-CN"/>
        </w:rPr>
        <w:t>】</w:t>
      </w:r>
      <w:r>
        <w:rPr>
          <w:rFonts w:ascii="黑体" w:hAnsi="黑体" w:eastAsia="黑体" w:cs="黑体"/>
          <w:snapToGrid w:val="0"/>
          <w:color w:val="auto"/>
          <w:spacing w:val="0"/>
          <w:kern w:val="0"/>
          <w:sz w:val="32"/>
          <w:szCs w:val="32"/>
          <w:highlight w:val="none"/>
          <w:lang w:eastAsia="zh-CN" w:bidi="zh-CN"/>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应按照国家统一要求，做好国家医保信息业务编码标准数据库的应用和动态维护工作，并及时做好更新维护。应有专门部门负责定期检查、核验在用编码的有效性和一致性，对编码数据进行备份，根据甲方需要将编码数据上报或上传给甲方。无编码的医疗项目费用甲方不予支付。</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应在本机构内信息系统中应用国家医保信息业务编码及数据库信息。基本信息、医师、护士等信息变更时，应按规定时限进行维护。因乙方信息维护不及时、对应不正确，导致相关医疗费用未能纳入医保基金支付的，由乙方自行承担。</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en-US" w:bidi="ar-SA"/>
        </w:rPr>
      </w:pPr>
      <w:r>
        <w:rPr>
          <w:rFonts w:hint="default" w:ascii="黑体" w:hAnsi="黑体" w:eastAsia="黑体" w:cs="黑体"/>
          <w:b w:val="0"/>
          <w:bCs w:val="0"/>
          <w:snapToGrid w:val="0"/>
          <w:color w:val="auto"/>
          <w:spacing w:val="0"/>
          <w:kern w:val="0"/>
          <w:sz w:val="32"/>
          <w:szCs w:val="32"/>
          <w:highlight w:val="none"/>
          <w:lang w:val="en-US"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六</w:t>
      </w:r>
      <w:r>
        <w:rPr>
          <w:rFonts w:ascii="黑体" w:hAnsi="黑体" w:eastAsia="黑体" w:cs="黑体"/>
          <w:b w:val="0"/>
          <w:bCs w:val="0"/>
          <w:snapToGrid w:val="0"/>
          <w:color w:val="auto"/>
          <w:spacing w:val="0"/>
          <w:kern w:val="0"/>
          <w:sz w:val="32"/>
          <w:szCs w:val="32"/>
          <w:highlight w:val="none"/>
          <w:lang w:val="en-US"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九</w:t>
      </w:r>
      <w:r>
        <w:rPr>
          <w:rFonts w:hint="default" w:ascii="黑体" w:hAnsi="黑体" w:eastAsia="黑体" w:cs="黑体"/>
          <w:b w:val="0"/>
          <w:bCs w:val="0"/>
          <w:snapToGrid w:val="0"/>
          <w:color w:val="auto"/>
          <w:spacing w:val="0"/>
          <w:kern w:val="0"/>
          <w:sz w:val="32"/>
          <w:szCs w:val="32"/>
          <w:highlight w:val="none"/>
          <w:lang w:val="en-US" w:eastAsia="zh-CN" w:bidi="zh-CN"/>
        </w:rPr>
        <w:t>条</w:t>
      </w:r>
      <w:r>
        <w:rPr>
          <w:rFonts w:hint="default" w:ascii="黑体" w:hAnsi="黑体" w:eastAsia="黑体" w:cs="黑体"/>
          <w:b w:val="0"/>
          <w:snapToGrid w:val="0"/>
          <w:color w:val="auto"/>
          <w:spacing w:val="0"/>
          <w:kern w:val="0"/>
          <w:sz w:val="32"/>
          <w:szCs w:val="32"/>
          <w:highlight w:val="none"/>
          <w:lang w:val="en-US" w:eastAsia="zh-CN" w:bidi="zh-CN"/>
        </w:rPr>
        <w:t>【信息处理】</w:t>
      </w:r>
      <w:r>
        <w:rPr>
          <w:rFonts w:hint="default" w:ascii="黑体" w:hAnsi="黑体" w:eastAsia="黑体" w:cs="黑体"/>
          <w:snapToGrid w:val="0"/>
          <w:color w:val="auto"/>
          <w:spacing w:val="0"/>
          <w:ker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kern w:val="0"/>
          <w:sz w:val="32"/>
          <w:szCs w:val="32"/>
          <w:highlight w:val="none"/>
          <w:lang w:val="en-US" w:eastAsia="en-US" w:bidi="ar-SA"/>
        </w:rPr>
        <w:t>乙方应在海南省公共服务平台定期维护甲方招采子系统中价格监测模块涉及本机构的基本信息，按要求报送药品、医用耗材及医疗服务相关数据信息，并对数据信息的真实性、准确性及有效性负责；按有关规定及时处理医药价格预警信息、异常信息、申报信息等。</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七</w:t>
      </w:r>
      <w:r>
        <w:rPr>
          <w:rFonts w:ascii="黑体" w:hAnsi="黑体" w:eastAsia="黑体" w:cs="黑体"/>
          <w:b w:val="0"/>
          <w:bCs w:val="0"/>
          <w:snapToGrid w:val="0"/>
          <w:color w:val="auto"/>
          <w:spacing w:val="0"/>
          <w:kern w:val="0"/>
          <w:sz w:val="32"/>
          <w:szCs w:val="32"/>
          <w:highlight w:val="none"/>
          <w:lang w:eastAsia="zh-CN" w:bidi="zh-CN"/>
        </w:rPr>
        <w:t>十条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系统建设</w:t>
      </w:r>
      <w:r>
        <w:rPr>
          <w:rFonts w:hint="default" w:ascii="黑体" w:hAnsi="黑体" w:eastAsia="黑体" w:cs="黑体"/>
          <w:b w:val="0"/>
          <w:snapToGrid w:val="0"/>
          <w:color w:val="auto"/>
          <w:spacing w:val="0"/>
          <w:kern w:val="0"/>
          <w:sz w:val="32"/>
          <w:szCs w:val="32"/>
          <w:highlight w:val="none"/>
          <w:lang w:eastAsia="zh-CN" w:bidi="zh-CN"/>
        </w:rPr>
        <w:t>】</w:t>
      </w:r>
      <w:r>
        <w:rPr>
          <w:rFonts w:ascii="黑体" w:hAnsi="黑体" w:eastAsia="黑体" w:cs="黑体"/>
          <w:snapToGrid w:val="0"/>
          <w:color w:val="auto"/>
          <w:spacing w:val="0"/>
          <w:kern w:val="0"/>
          <w:sz w:val="32"/>
          <w:szCs w:val="32"/>
          <w:highlight w:val="none"/>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乙方应配合医疗保障部门依托全国统一的医保信息平台，推进医保电子处方中心落地应用，按甲方要求提供进销存系统、</w:t>
      </w:r>
      <w:r>
        <w:rPr>
          <w:rFonts w:hint="eastAsia" w:ascii="仿宋_GB2312" w:hAnsi="仿宋_GB2312" w:eastAsia="仿宋_GB2312" w:cs="仿宋_GB2312"/>
          <w:snapToGrid w:val="0"/>
          <w:color w:val="auto"/>
          <w:spacing w:val="0"/>
          <w:kern w:val="0"/>
          <w:sz w:val="32"/>
          <w:szCs w:val="32"/>
          <w:highlight w:val="none"/>
          <w:lang w:val="en-US" w:eastAsia="en-US"/>
        </w:rPr>
        <w:t>追溯码系统</w:t>
      </w:r>
      <w:r>
        <w:rPr>
          <w:rFonts w:hint="eastAsia" w:ascii="仿宋_GB2312" w:hAnsi="仿宋_GB2312" w:eastAsia="仿宋_GB2312" w:cs="仿宋_GB2312"/>
          <w:snapToGrid w:val="0"/>
          <w:color w:val="auto"/>
          <w:spacing w:val="0"/>
          <w:kern w:val="0"/>
          <w:sz w:val="32"/>
          <w:szCs w:val="32"/>
          <w:highlight w:val="none"/>
          <w:lang w:eastAsia="en-US"/>
        </w:rPr>
        <w:t>对接接口；乙方应配合做好</w:t>
      </w:r>
      <w:r>
        <w:rPr>
          <w:rFonts w:hint="eastAsia" w:ascii="仿宋_GB2312" w:hAnsi="仿宋_GB2312" w:eastAsia="仿宋_GB2312" w:cs="仿宋_GB2312"/>
          <w:snapToGrid w:val="0"/>
          <w:color w:val="auto"/>
          <w:spacing w:val="0"/>
          <w:kern w:val="0"/>
          <w:sz w:val="32"/>
          <w:szCs w:val="32"/>
          <w:highlight w:val="none"/>
          <w:lang w:val="en-US" w:eastAsia="en-US"/>
        </w:rPr>
        <w:t>医保移动支付、</w:t>
      </w:r>
      <w:r>
        <w:rPr>
          <w:rFonts w:hint="eastAsia" w:ascii="仿宋_GB2312" w:hAnsi="仿宋_GB2312" w:eastAsia="仿宋_GB2312" w:cs="仿宋_GB2312"/>
          <w:snapToGrid w:val="0"/>
          <w:color w:val="auto"/>
          <w:spacing w:val="0"/>
          <w:kern w:val="0"/>
          <w:sz w:val="32"/>
          <w:szCs w:val="32"/>
          <w:highlight w:val="none"/>
          <w:lang w:eastAsia="en-US"/>
        </w:rPr>
        <w:t>电子处方流转、进销存、</w:t>
      </w:r>
      <w:r>
        <w:rPr>
          <w:rFonts w:hint="eastAsia" w:ascii="仿宋_GB2312" w:hAnsi="仿宋_GB2312" w:eastAsia="仿宋_GB2312" w:cs="仿宋_GB2312"/>
          <w:snapToGrid w:val="0"/>
          <w:color w:val="auto"/>
          <w:spacing w:val="0"/>
          <w:kern w:val="0"/>
          <w:sz w:val="32"/>
          <w:szCs w:val="32"/>
          <w:highlight w:val="none"/>
          <w:lang w:val="en-US" w:eastAsia="en-US"/>
        </w:rPr>
        <w:t>追溯码</w:t>
      </w:r>
      <w:r>
        <w:rPr>
          <w:rFonts w:hint="eastAsia" w:ascii="仿宋_GB2312" w:hAnsi="仿宋_GB2312" w:eastAsia="仿宋_GB2312" w:cs="仿宋_GB2312"/>
          <w:snapToGrid w:val="0"/>
          <w:color w:val="auto"/>
          <w:spacing w:val="0"/>
          <w:kern w:val="0"/>
          <w:sz w:val="32"/>
          <w:szCs w:val="32"/>
          <w:highlight w:val="none"/>
          <w:lang w:eastAsia="en-US"/>
        </w:rPr>
        <w:t>电子管理系统与医保信息平台的对接；</w:t>
      </w:r>
      <w:r>
        <w:rPr>
          <w:rFonts w:hint="eastAsia" w:ascii="仿宋_GB2312" w:hAnsi="仿宋_GB2312" w:eastAsia="仿宋_GB2312" w:cs="仿宋_GB2312"/>
          <w:snapToGrid w:val="0"/>
          <w:color w:val="auto"/>
          <w:spacing w:val="0"/>
          <w:kern w:val="0"/>
          <w:sz w:val="32"/>
          <w:szCs w:val="32"/>
          <w:highlight w:val="none"/>
          <w:lang w:val="en-US" w:eastAsia="en-US"/>
        </w:rPr>
        <w:t>做好医保码的全流程应用、医保移动支付以及医保药品耗材追溯码采集应用上传工作</w:t>
      </w:r>
      <w:r>
        <w:rPr>
          <w:rFonts w:hint="eastAsia" w:ascii="仿宋_GB2312" w:hAnsi="仿宋_GB2312" w:eastAsia="仿宋_GB2312" w:cs="仿宋_GB2312"/>
          <w:snapToGrid w:val="0"/>
          <w:color w:val="auto"/>
          <w:spacing w:val="0"/>
          <w:kern w:val="0"/>
          <w:sz w:val="32"/>
          <w:szCs w:val="32"/>
          <w:highlight w:val="none"/>
          <w:lang w:eastAsia="en-US"/>
        </w:rPr>
        <w:t>。乙方应及时、准确上传进销存台账记录，且应与本协议要求台账记录内容包括的信息项目一致。</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七</w:t>
      </w:r>
      <w:r>
        <w:rPr>
          <w:rFonts w:ascii="黑体" w:hAnsi="黑体" w:eastAsia="黑体" w:cs="黑体"/>
          <w:b w:val="0"/>
          <w:bCs w:val="0"/>
          <w:snapToGrid w:val="0"/>
          <w:color w:val="auto"/>
          <w:spacing w:val="0"/>
          <w:kern w:val="0"/>
          <w:sz w:val="32"/>
          <w:szCs w:val="32"/>
          <w:highlight w:val="none"/>
          <w:lang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一</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身份识别</w:t>
      </w:r>
      <w:r>
        <w:rPr>
          <w:rFonts w:hint="default" w:ascii="黑体" w:hAnsi="黑体" w:eastAsia="黑体" w:cs="黑体"/>
          <w:b w:val="0"/>
          <w:snapToGrid w:val="0"/>
          <w:color w:val="auto"/>
          <w:spacing w:val="0"/>
          <w:kern w:val="0"/>
          <w:sz w:val="32"/>
          <w:szCs w:val="32"/>
          <w:highlight w:val="none"/>
          <w:lang w:eastAsia="zh-CN" w:bidi="zh-CN"/>
        </w:rPr>
        <w:t>】</w:t>
      </w:r>
      <w:r>
        <w:rPr>
          <w:rFonts w:ascii="黑体" w:hAnsi="黑体" w:eastAsia="黑体" w:cs="黑体"/>
          <w:snapToGrid w:val="0"/>
          <w:color w:val="auto"/>
          <w:spacing w:val="0"/>
          <w:kern w:val="0"/>
          <w:sz w:val="32"/>
          <w:szCs w:val="32"/>
          <w:highlight w:val="none"/>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乙方应按照甲方要求配置必备的医保身份识别设备，支持参保人员使用医保电子凭证(医保码)。乙方应加强对医保身份识别设备管理，不得转借或赠与他人，因乙方管理使用不当造成的损失由乙方自行承担。</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七</w:t>
      </w:r>
      <w:r>
        <w:rPr>
          <w:rFonts w:ascii="黑体" w:hAnsi="黑体" w:eastAsia="黑体" w:cs="黑体"/>
          <w:b w:val="0"/>
          <w:bCs w:val="0"/>
          <w:snapToGrid w:val="0"/>
          <w:color w:val="auto"/>
          <w:spacing w:val="0"/>
          <w:kern w:val="0"/>
          <w:sz w:val="32"/>
          <w:szCs w:val="32"/>
          <w:highlight w:val="none"/>
          <w:lang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二</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事前提醒</w:t>
      </w:r>
      <w:r>
        <w:rPr>
          <w:rFonts w:hint="default" w:ascii="黑体" w:hAnsi="黑体" w:eastAsia="黑体" w:cs="黑体"/>
          <w:b w:val="0"/>
          <w:snapToGrid w:val="0"/>
          <w:color w:val="auto"/>
          <w:spacing w:val="0"/>
          <w:kern w:val="0"/>
          <w:sz w:val="32"/>
          <w:szCs w:val="32"/>
          <w:highlight w:val="none"/>
          <w:lang w:eastAsia="zh-CN" w:bidi="zh-CN"/>
        </w:rPr>
        <w:t>】</w:t>
      </w:r>
      <w:r>
        <w:rPr>
          <w:rFonts w:ascii="黑体" w:hAnsi="黑体" w:eastAsia="黑体" w:cs="黑体"/>
          <w:snapToGrid w:val="0"/>
          <w:color w:val="auto"/>
          <w:spacing w:val="0"/>
          <w:kern w:val="0"/>
          <w:sz w:val="32"/>
          <w:szCs w:val="32"/>
          <w:highlight w:val="none"/>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甲方应为乙方对接国家医疗保障信息平台智能监管子系统提供支持，对医药服务行为实时提醒，帮助乙方减少违法违规行为的发生。</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bidi="zh-CN"/>
        </w:rPr>
        <w:t>第</w:t>
      </w:r>
      <w:r>
        <w:rPr>
          <w:rFonts w:hint="eastAsia" w:ascii="黑体" w:hAnsi="黑体" w:eastAsia="黑体" w:cs="黑体"/>
          <w:b w:val="0"/>
          <w:bCs w:val="0"/>
          <w:snapToGrid w:val="0"/>
          <w:color w:val="auto"/>
          <w:spacing w:val="0"/>
          <w:kern w:val="0"/>
          <w:sz w:val="32"/>
          <w:szCs w:val="32"/>
          <w:highlight w:val="none"/>
          <w:lang w:val="en-US" w:eastAsia="en-US" w:bidi="zh-CN"/>
        </w:rPr>
        <w:t>七</w:t>
      </w:r>
      <w:r>
        <w:rPr>
          <w:rFonts w:hint="eastAsia" w:ascii="黑体" w:hAnsi="黑体" w:eastAsia="黑体" w:cs="黑体"/>
          <w:b w:val="0"/>
          <w:bCs w:val="0"/>
          <w:snapToGrid w:val="0"/>
          <w:color w:val="auto"/>
          <w:spacing w:val="0"/>
          <w:kern w:val="0"/>
          <w:sz w:val="32"/>
          <w:szCs w:val="32"/>
          <w:highlight w:val="none"/>
          <w:lang w:eastAsia="en-US" w:bidi="zh-CN"/>
        </w:rPr>
        <w:t>十</w:t>
      </w:r>
      <w:r>
        <w:rPr>
          <w:rFonts w:hint="eastAsia" w:ascii="黑体" w:hAnsi="黑体" w:eastAsia="黑体" w:cs="黑体"/>
          <w:b w:val="0"/>
          <w:bCs w:val="0"/>
          <w:snapToGrid w:val="0"/>
          <w:color w:val="auto"/>
          <w:spacing w:val="0"/>
          <w:kern w:val="0"/>
          <w:sz w:val="32"/>
          <w:szCs w:val="32"/>
          <w:highlight w:val="none"/>
          <w:lang w:val="en-US" w:eastAsia="en-US" w:bidi="zh-CN"/>
        </w:rPr>
        <w:t>三</w:t>
      </w:r>
      <w:r>
        <w:rPr>
          <w:rFonts w:hint="eastAsia" w:ascii="黑体" w:hAnsi="黑体" w:eastAsia="黑体" w:cs="黑体"/>
          <w:b w:val="0"/>
          <w:bCs w:val="0"/>
          <w:snapToGrid w:val="0"/>
          <w:color w:val="auto"/>
          <w:spacing w:val="0"/>
          <w:kern w:val="0"/>
          <w:sz w:val="32"/>
          <w:szCs w:val="32"/>
          <w:highlight w:val="none"/>
          <w:lang w:eastAsia="en-US" w:bidi="zh-CN"/>
        </w:rPr>
        <w:t>条</w:t>
      </w:r>
      <w:r>
        <w:rPr>
          <w:rFonts w:hint="eastAsia" w:ascii="黑体" w:hAnsi="黑体" w:eastAsia="黑体" w:cs="黑体"/>
          <w:b w:val="0"/>
          <w:snapToGrid w:val="0"/>
          <w:color w:val="auto"/>
          <w:spacing w:val="0"/>
          <w:kern w:val="0"/>
          <w:sz w:val="32"/>
          <w:szCs w:val="32"/>
          <w:highlight w:val="none"/>
          <w:lang w:eastAsia="en-US" w:bidi="zh-CN"/>
        </w:rPr>
        <w:t>【</w:t>
      </w:r>
      <w:r>
        <w:rPr>
          <w:rFonts w:hint="eastAsia" w:ascii="黑体" w:hAnsi="黑体" w:eastAsia="黑体" w:cs="黑体"/>
          <w:b w:val="0"/>
          <w:snapToGrid w:val="0"/>
          <w:color w:val="auto"/>
          <w:spacing w:val="0"/>
          <w:kern w:val="0"/>
          <w:sz w:val="32"/>
          <w:szCs w:val="32"/>
          <w:highlight w:val="none"/>
          <w:lang w:val="en-US" w:eastAsia="en-US" w:bidi="zh-CN"/>
        </w:rPr>
        <w:t>信息传输</w:t>
      </w:r>
      <w:r>
        <w:rPr>
          <w:rFonts w:hint="eastAsia" w:ascii="黑体" w:hAnsi="黑体" w:eastAsia="黑体" w:cs="黑体"/>
          <w:b w:val="0"/>
          <w:snapToGrid w:val="0"/>
          <w:color w:val="auto"/>
          <w:spacing w:val="0"/>
          <w:kern w:val="0"/>
          <w:sz w:val="32"/>
          <w:szCs w:val="32"/>
          <w:highlight w:val="none"/>
          <w:lang w:eastAsia="en-US" w:bidi="zh-CN"/>
        </w:rPr>
        <w:t>】</w:t>
      </w:r>
      <w:r>
        <w:rPr>
          <w:rFonts w:hint="eastAsia" w:ascii="仿宋_GB2312" w:hAnsi="仿宋_GB2312" w:eastAsia="仿宋_GB2312" w:cs="仿宋_GB2312"/>
          <w:snapToGrid w:val="0"/>
          <w:color w:val="auto"/>
          <w:spacing w:val="0"/>
          <w:kern w:val="0"/>
          <w:sz w:val="32"/>
          <w:szCs w:val="32"/>
          <w:highlight w:val="none"/>
          <w:lang w:eastAsia="en-US"/>
        </w:rPr>
        <w:t xml:space="preserve"> 乙方应按规定及时向医保信息平台传送参保人员医保审核结算、医保基金监管所需信息、数据，并及时传输医疗保障基金结算清单等信息，对其真实性负责。特殊情况不能及时传输的，应在故障排除后24小时内上传。</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乙方应按要求向医保信息系统传送全部就诊人员基本信息、费用信息、电子票据信息等相关信息。</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bidi="zh-CN"/>
        </w:rPr>
        <w:t>第</w:t>
      </w:r>
      <w:r>
        <w:rPr>
          <w:rFonts w:hint="default" w:ascii="黑体" w:hAnsi="黑体" w:eastAsia="黑体" w:cs="黑体"/>
          <w:b w:val="0"/>
          <w:bCs w:val="0"/>
          <w:snapToGrid w:val="0"/>
          <w:color w:val="auto"/>
          <w:spacing w:val="0"/>
          <w:kern w:val="0"/>
          <w:sz w:val="32"/>
          <w:szCs w:val="32"/>
          <w:highlight w:val="none"/>
          <w:lang w:val="en-US" w:eastAsia="zh-CN" w:bidi="zh-CN"/>
        </w:rPr>
        <w:t>七</w:t>
      </w:r>
      <w:r>
        <w:rPr>
          <w:rFonts w:ascii="黑体" w:hAnsi="黑体" w:eastAsia="黑体" w:cs="黑体"/>
          <w:b w:val="0"/>
          <w:bCs w:val="0"/>
          <w:snapToGrid w:val="0"/>
          <w:color w:val="auto"/>
          <w:spacing w:val="0"/>
          <w:kern w:val="0"/>
          <w:sz w:val="32"/>
          <w:szCs w:val="32"/>
          <w:highlight w:val="none"/>
          <w:lang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四</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设施要求</w:t>
      </w:r>
      <w:r>
        <w:rPr>
          <w:rFonts w:hint="default" w:ascii="黑体" w:hAnsi="黑体" w:eastAsia="黑体" w:cs="黑体"/>
          <w:b w:val="0"/>
          <w:snapToGrid w:val="0"/>
          <w:color w:val="auto"/>
          <w:spacing w:val="0"/>
          <w:kern w:val="0"/>
          <w:sz w:val="32"/>
          <w:szCs w:val="32"/>
          <w:highlight w:val="none"/>
          <w:lang w:eastAsia="zh-CN" w:bidi="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乙方应</w:t>
      </w:r>
      <w:r>
        <w:rPr>
          <w:rFonts w:hint="eastAsia" w:ascii="仿宋_GB2312" w:hAnsi="仿宋_GB2312" w:eastAsia="仿宋_GB2312" w:cs="仿宋_GB2312"/>
          <w:snapToGrid w:val="0"/>
          <w:color w:val="auto"/>
          <w:spacing w:val="0"/>
          <w:kern w:val="0"/>
          <w:sz w:val="32"/>
          <w:szCs w:val="32"/>
          <w:highlight w:val="none"/>
          <w:lang w:val="en-US" w:eastAsia="en-US"/>
        </w:rPr>
        <w:t>按照《医疗保障核心业务区网络安全接入规范》的要求，</w:t>
      </w:r>
      <w:r>
        <w:rPr>
          <w:rFonts w:hint="eastAsia" w:ascii="仿宋_GB2312" w:hAnsi="仿宋_GB2312" w:eastAsia="仿宋_GB2312" w:cs="仿宋_GB2312"/>
          <w:snapToGrid w:val="0"/>
          <w:color w:val="auto"/>
          <w:spacing w:val="0"/>
          <w:kern w:val="0"/>
          <w:sz w:val="32"/>
          <w:szCs w:val="32"/>
          <w:highlight w:val="none"/>
          <w:lang w:eastAsia="en-US"/>
        </w:rPr>
        <w:t>确保对接医保信息平台的网络、设备与互联网物理隔离，与其它外部网络联网时采用有效的安全及隔离措施，医保信息数据同步存储备份。乙方对接医保平台的应用系统须通过安全等级保护测评。因系统升级、硬件损坏等原因重新安装本地系统时，应向甲方备案，经甲方重新验收后方可与医保信息平台对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乙方应当做好但不限于以下防护措施：</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（一）</w:t>
      </w:r>
      <w:r>
        <w:rPr>
          <w:rFonts w:hint="eastAsia" w:ascii="仿宋_GB2312" w:hAnsi="仿宋_GB2312" w:eastAsia="仿宋_GB2312" w:cs="仿宋_GB2312"/>
          <w:snapToGrid w:val="0"/>
          <w:color w:val="auto"/>
          <w:spacing w:val="0"/>
          <w:kern w:val="0"/>
          <w:sz w:val="32"/>
          <w:szCs w:val="32"/>
          <w:highlight w:val="none"/>
          <w:lang w:eastAsia="en-US"/>
        </w:rPr>
        <w:t>对接医保平台的应用系统及平台应通过第三级安全等级保护测评，并提供网络安全等级保护测评相关证明。</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（二）</w:t>
      </w:r>
      <w:r>
        <w:rPr>
          <w:rFonts w:hint="eastAsia" w:ascii="仿宋_GB2312" w:hAnsi="仿宋_GB2312" w:eastAsia="仿宋_GB2312" w:cs="仿宋_GB2312"/>
          <w:snapToGrid w:val="0"/>
          <w:color w:val="auto"/>
          <w:spacing w:val="0"/>
          <w:kern w:val="0"/>
          <w:sz w:val="32"/>
          <w:szCs w:val="32"/>
          <w:highlight w:val="none"/>
          <w:lang w:eastAsia="en-US"/>
        </w:rPr>
        <w:t>乙方接入医保网络采用专线接入，保证专网专用，不得与其他网络混合组网。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（三）</w:t>
      </w:r>
      <w:r>
        <w:rPr>
          <w:rFonts w:hint="eastAsia" w:ascii="仿宋_GB2312" w:hAnsi="仿宋_GB2312" w:eastAsia="仿宋_GB2312" w:cs="仿宋_GB2312"/>
          <w:snapToGrid w:val="0"/>
          <w:color w:val="auto"/>
          <w:spacing w:val="0"/>
          <w:kern w:val="0"/>
          <w:sz w:val="32"/>
          <w:szCs w:val="32"/>
          <w:highlight w:val="none"/>
          <w:lang w:eastAsia="en-US"/>
        </w:rPr>
        <w:t>乙方接入医保网络的终端必须专机专用，接入专网前必须确认终端安全。终端在停用后，必须采取技术手段保证医保信息不泄露。</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en-US"/>
        </w:rPr>
      </w:pPr>
      <w:r>
        <w:rPr>
          <w:rFonts w:hint="eastAsia" w:ascii="仿宋_GB2312" w:hAnsi="仿宋_GB2312" w:eastAsia="仿宋_GB2312" w:cs="仿宋_GB2312"/>
          <w:snapToGrid w:val="0"/>
          <w:color w:val="auto"/>
          <w:spacing w:val="0"/>
          <w:kern w:val="0"/>
          <w:sz w:val="32"/>
          <w:szCs w:val="32"/>
          <w:highlight w:val="none"/>
          <w:lang w:eastAsia="zh-CN"/>
        </w:rPr>
        <w:t>（四）</w:t>
      </w:r>
      <w:r>
        <w:rPr>
          <w:rFonts w:hint="eastAsia" w:ascii="仿宋_GB2312" w:hAnsi="仿宋_GB2312" w:eastAsia="仿宋_GB2312" w:cs="仿宋_GB2312"/>
          <w:snapToGrid w:val="0"/>
          <w:color w:val="auto"/>
          <w:spacing w:val="0"/>
          <w:kern w:val="0"/>
          <w:sz w:val="32"/>
          <w:szCs w:val="32"/>
          <w:highlight w:val="none"/>
          <w:lang w:val="en-US" w:eastAsia="en-US" w:bidi="ar-SA"/>
        </w:rPr>
        <w:t>乙方计算机采用的操作系统应具备最新的安全补丁，具有漏洞补丁升级措施和方法，安装好杀毒软件，确保系统安全。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bidi="zh-CN"/>
        </w:rPr>
        <w:t>七</w:t>
      </w:r>
      <w:r>
        <w:rPr>
          <w:rFonts w:ascii="黑体" w:hAnsi="黑体" w:eastAsia="黑体" w:cs="黑体"/>
          <w:b w:val="0"/>
          <w:bCs w:val="0"/>
          <w:snapToGrid w:val="0"/>
          <w:color w:val="auto"/>
          <w:spacing w:val="0"/>
          <w:kern w:val="0"/>
          <w:sz w:val="32"/>
          <w:szCs w:val="32"/>
          <w:highlight w:val="none"/>
          <w:lang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五</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应急处置</w:t>
      </w:r>
      <w:r>
        <w:rPr>
          <w:rFonts w:hint="default" w:ascii="黑体" w:hAnsi="黑体" w:eastAsia="黑体" w:cs="黑体"/>
          <w:b w:val="0"/>
          <w:snapToGrid w:val="0"/>
          <w:color w:val="auto"/>
          <w:spacing w:val="0"/>
          <w:kern w:val="0"/>
          <w:sz w:val="32"/>
          <w:szCs w:val="32"/>
          <w:highlight w:val="none"/>
          <w:lang w:eastAsia="zh-CN" w:bidi="zh-CN"/>
        </w:rPr>
        <w:t>】</w:t>
      </w:r>
      <w:r>
        <w:rPr>
          <w:rFonts w:ascii="黑体" w:hAnsi="黑体" w:eastAsia="黑体" w:cs="黑体"/>
          <w:snapToGrid w:val="0"/>
          <w:color w:val="auto"/>
          <w:spacing w:val="0"/>
          <w:kern w:val="0"/>
          <w:sz w:val="32"/>
          <w:szCs w:val="32"/>
          <w:highlight w:val="none"/>
          <w:lang w:eastAsia="zh-CN" w:bidi="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甲乙双方应当制定应急预案，一方信息系统出现故障并影响参保人员就医结算的，应及时通知对方启动应急预案。</w:t>
      </w:r>
      <w:r>
        <w:rPr>
          <w:rFonts w:hint="eastAsia" w:ascii="仿宋_GB2312" w:hAnsi="仿宋_GB2312" w:eastAsia="仿宋_GB2312" w:cs="仿宋_GB2312"/>
          <w:b w:val="0"/>
          <w:bCs w:val="0"/>
          <w:snapToGrid w:val="0"/>
          <w:color w:val="auto"/>
          <w:spacing w:val="0"/>
          <w:kern w:val="0"/>
          <w:sz w:val="32"/>
          <w:szCs w:val="32"/>
          <w:highlight w:val="none"/>
          <w:lang w:val="en-US" w:eastAsia="en-US"/>
        </w:rPr>
        <w:t>甲方应结合业务受理、检查或考核等时机定期对乙方网络信息安全情况进行核查，形成/更新辖区所有接入机构的完整、明细台账。当收到医保、网信、公安、政务信息化等部门的网络信息安全情况通报时，甲方有权并应当及时采取有效网络信息安全处置措施，乙方应积极配合调查整改。</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both"/>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center"/>
        <w:textAlignment w:val="baseline"/>
        <w:outlineLvl w:val="0"/>
        <w:rPr>
          <w:rFonts w:ascii="黑体" w:hAnsi="黑体" w:eastAsia="黑体" w:cs="黑体"/>
          <w:snapToGrid w:val="0"/>
          <w:color w:val="auto"/>
          <w:spacing w:val="0"/>
          <w:kern w:val="0"/>
          <w:sz w:val="32"/>
          <w:szCs w:val="32"/>
          <w:highlight w:val="none"/>
          <w:lang w:eastAsia="zh-CN"/>
        </w:rPr>
      </w:pPr>
      <w:r>
        <w:rPr>
          <w:rFonts w:ascii="黑体" w:hAnsi="黑体" w:eastAsia="黑体" w:cs="黑体"/>
          <w:b w:val="0"/>
          <w:bCs w:val="0"/>
          <w:snapToGrid w:val="0"/>
          <w:color w:val="auto"/>
          <w:spacing w:val="0"/>
          <w:kern w:val="0"/>
          <w:sz w:val="32"/>
          <w:szCs w:val="32"/>
          <w:highlight w:val="none"/>
          <w:lang w:eastAsia="zh-CN"/>
        </w:rPr>
        <w:t>第六章</w:t>
      </w:r>
      <w:r>
        <w:rPr>
          <w:rFonts w:hint="default" w:ascii="黑体" w:hAnsi="黑体" w:eastAsia="黑体" w:cs="黑体"/>
          <w:b w:val="0"/>
          <w:bCs w:val="0"/>
          <w:snapToGrid w:val="0"/>
          <w:color w:val="auto"/>
          <w:spacing w:val="0"/>
          <w:kern w:val="0"/>
          <w:sz w:val="32"/>
          <w:szCs w:val="32"/>
          <w:highlight w:val="none"/>
          <w:lang w:val="en-US" w:eastAsia="zh-CN"/>
        </w:rPr>
        <w:t xml:space="preserve"> </w:t>
      </w:r>
      <w:r>
        <w:rPr>
          <w:rFonts w:ascii="黑体" w:hAnsi="黑体" w:eastAsia="黑体" w:cs="黑体"/>
          <w:b w:val="0"/>
          <w:bCs w:val="0"/>
          <w:snapToGrid w:val="0"/>
          <w:color w:val="auto"/>
          <w:spacing w:val="0"/>
          <w:kern w:val="0"/>
          <w:sz w:val="32"/>
          <w:szCs w:val="32"/>
          <w:highlight w:val="none"/>
          <w:lang w:eastAsia="zh-CN"/>
        </w:rPr>
        <w:t>医保绩效考核</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both"/>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七</w:t>
      </w:r>
      <w:r>
        <w:rPr>
          <w:rFonts w:ascii="黑体" w:hAnsi="黑体" w:eastAsia="黑体" w:cs="黑体"/>
          <w:b w:val="0"/>
          <w:bCs w:val="0"/>
          <w:snapToGrid w:val="0"/>
          <w:color w:val="auto"/>
          <w:spacing w:val="0"/>
          <w:kern w:val="0"/>
          <w:sz w:val="32"/>
          <w:szCs w:val="32"/>
          <w:highlight w:val="none"/>
          <w:lang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六</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协议履行核查</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bCs w:val="0"/>
          <w:snapToGrid w:val="0"/>
          <w:color w:val="auto"/>
          <w:spacing w:val="0"/>
          <w:kern w:val="0"/>
          <w:sz w:val="32"/>
          <w:szCs w:val="32"/>
          <w:highlight w:val="none"/>
          <w:lang w:val="en-US" w:eastAsia="zh-CN" w:bidi="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甲方应建立并完善协议履行核查制度。甲方或甲方委托的第三方机构，依法依规以定期、不定期形式对乙方履行</w:t>
      </w:r>
      <w:r>
        <w:rPr>
          <w:rFonts w:hint="eastAsia" w:ascii="仿宋_GB2312" w:hAnsi="仿宋_GB2312" w:eastAsia="仿宋_GB2312" w:cs="仿宋_GB2312"/>
          <w:snapToGrid w:val="0"/>
          <w:color w:val="auto"/>
          <w:spacing w:val="0"/>
          <w:kern w:val="0"/>
          <w:sz w:val="32"/>
          <w:szCs w:val="32"/>
          <w:highlight w:val="none"/>
          <w:lang w:val="en-US" w:eastAsia="en-US"/>
        </w:rPr>
        <w:t>本</w:t>
      </w:r>
      <w:r>
        <w:rPr>
          <w:rFonts w:hint="eastAsia" w:ascii="仿宋_GB2312" w:hAnsi="仿宋_GB2312" w:eastAsia="仿宋_GB2312" w:cs="仿宋_GB2312"/>
          <w:snapToGrid w:val="0"/>
          <w:color w:val="auto"/>
          <w:spacing w:val="0"/>
          <w:kern w:val="0"/>
          <w:sz w:val="32"/>
          <w:szCs w:val="32"/>
          <w:highlight w:val="none"/>
          <w:lang w:eastAsia="en-US"/>
        </w:rPr>
        <w:t>协议情况进行核查。核查范围和对象可延伸至乙方的内部科室和医务人员。核查工作不得妨碍乙方正常工作秩序。</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乙方应当积极配合核查，按要求提供相关资料(含电子数据),确保提供的资料真实、准确、完整，不得拒绝、阻碍核查或者谎报、瞒报。核查完毕后，甲方应及时将核查结果以书面形式反馈乙方。乙方在保留申诉权利的前提下，须对核查结果当场签字确认并加盖公章。拒绝签字或盖章的，核查人员应在核查结果上注明。</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en-US"/>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七</w:t>
      </w:r>
      <w:r>
        <w:rPr>
          <w:rFonts w:ascii="黑体" w:hAnsi="黑体" w:eastAsia="黑体" w:cs="黑体"/>
          <w:b w:val="0"/>
          <w:bCs w:val="0"/>
          <w:snapToGrid w:val="0"/>
          <w:color w:val="auto"/>
          <w:spacing w:val="0"/>
          <w:kern w:val="0"/>
          <w:sz w:val="32"/>
          <w:szCs w:val="32"/>
          <w:highlight w:val="none"/>
          <w:lang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七</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绩效考核结果运用</w:t>
      </w:r>
      <w:r>
        <w:rPr>
          <w:rFonts w:hint="default" w:ascii="黑体" w:hAnsi="黑体" w:eastAsia="黑体" w:cs="黑体"/>
          <w:b w:val="0"/>
          <w:snapToGrid w:val="0"/>
          <w:color w:val="auto"/>
          <w:spacing w:val="0"/>
          <w:kern w:val="0"/>
          <w:sz w:val="32"/>
          <w:szCs w:val="32"/>
          <w:highlight w:val="none"/>
          <w:lang w:eastAsia="zh-CN" w:bidi="zh-CN"/>
        </w:rPr>
        <w:t>】</w:t>
      </w:r>
      <w:r>
        <w:rPr>
          <w:rFonts w:ascii="黑体" w:hAnsi="黑体" w:eastAsia="黑体" w:cs="黑体"/>
          <w:snapToGrid w:val="0"/>
          <w:color w:val="auto"/>
          <w:spacing w:val="0"/>
          <w:kern w:val="0"/>
          <w:sz w:val="32"/>
          <w:szCs w:val="32"/>
          <w:highlight w:val="none"/>
          <w:lang w:eastAsia="zh-CN" w:bidi="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甲方或其委托的符合规定的第三方机构按照医保绩效考核办法，对乙方开展医保绩效考核，</w:t>
      </w:r>
      <w:r>
        <w:rPr>
          <w:rFonts w:hint="eastAsia" w:ascii="仿宋_GB2312" w:hAnsi="仿宋_GB2312" w:eastAsia="仿宋_GB2312" w:cs="仿宋_GB2312"/>
          <w:snapToGrid w:val="0"/>
          <w:color w:val="auto"/>
          <w:spacing w:val="0"/>
          <w:kern w:val="0"/>
          <w:sz w:val="32"/>
          <w:szCs w:val="32"/>
          <w:highlight w:val="none"/>
          <w:lang w:val="en-US" w:eastAsia="en-US"/>
        </w:rPr>
        <w:t>甲方</w:t>
      </w:r>
      <w:r>
        <w:rPr>
          <w:rFonts w:hint="eastAsia" w:ascii="仿宋_GB2312" w:hAnsi="仿宋_GB2312" w:eastAsia="仿宋_GB2312" w:cs="仿宋_GB2312"/>
          <w:snapToGrid w:val="0"/>
          <w:color w:val="auto"/>
          <w:spacing w:val="0"/>
          <w:kern w:val="0"/>
          <w:sz w:val="32"/>
          <w:szCs w:val="32"/>
          <w:highlight w:val="none"/>
          <w:lang w:eastAsia="en-US"/>
        </w:rPr>
        <w:t>以适当形式</w:t>
      </w:r>
      <w:r>
        <w:rPr>
          <w:rFonts w:hint="eastAsia" w:ascii="仿宋_GB2312" w:hAnsi="仿宋_GB2312" w:eastAsia="仿宋_GB2312" w:cs="仿宋_GB2312"/>
          <w:snapToGrid w:val="0"/>
          <w:color w:val="auto"/>
          <w:spacing w:val="0"/>
          <w:kern w:val="0"/>
          <w:sz w:val="32"/>
          <w:szCs w:val="32"/>
          <w:highlight w:val="none"/>
          <w:lang w:val="en-US" w:eastAsia="en-US"/>
        </w:rPr>
        <w:t>向乙方</w:t>
      </w:r>
      <w:r>
        <w:rPr>
          <w:rFonts w:hint="eastAsia" w:ascii="仿宋_GB2312" w:hAnsi="仿宋_GB2312" w:eastAsia="仿宋_GB2312" w:cs="仿宋_GB2312"/>
          <w:snapToGrid w:val="0"/>
          <w:color w:val="auto"/>
          <w:spacing w:val="0"/>
          <w:kern w:val="0"/>
          <w:sz w:val="32"/>
          <w:szCs w:val="32"/>
          <w:highlight w:val="none"/>
          <w:lang w:eastAsia="en-US"/>
        </w:rPr>
        <w:t>反馈医保绩效考核结果，医保绩效考核结果与年终清算、质量保证金退还、协议续签、预付额度等挂钩。</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en-US" w:bidi="zh-CN"/>
        </w:rPr>
        <w:t>第</w:t>
      </w:r>
      <w:r>
        <w:rPr>
          <w:rFonts w:hint="eastAsia" w:ascii="黑体" w:hAnsi="黑体" w:eastAsia="黑体" w:cs="黑体"/>
          <w:b w:val="0"/>
          <w:bCs w:val="0"/>
          <w:snapToGrid w:val="0"/>
          <w:color w:val="auto"/>
          <w:spacing w:val="0"/>
          <w:kern w:val="0"/>
          <w:sz w:val="32"/>
          <w:szCs w:val="32"/>
          <w:highlight w:val="none"/>
          <w:lang w:val="en-US" w:eastAsia="en-US" w:bidi="zh-CN"/>
        </w:rPr>
        <w:t>七</w:t>
      </w:r>
      <w:r>
        <w:rPr>
          <w:rFonts w:hint="eastAsia" w:ascii="黑体" w:hAnsi="黑体" w:eastAsia="黑体" w:cs="黑体"/>
          <w:b w:val="0"/>
          <w:bCs w:val="0"/>
          <w:snapToGrid w:val="0"/>
          <w:color w:val="auto"/>
          <w:spacing w:val="0"/>
          <w:kern w:val="0"/>
          <w:sz w:val="32"/>
          <w:szCs w:val="32"/>
          <w:highlight w:val="none"/>
          <w:lang w:eastAsia="en-US" w:bidi="zh-CN"/>
        </w:rPr>
        <w:t>十</w:t>
      </w:r>
      <w:r>
        <w:rPr>
          <w:rFonts w:hint="eastAsia" w:ascii="黑体" w:hAnsi="黑体" w:eastAsia="黑体" w:cs="黑体"/>
          <w:b w:val="0"/>
          <w:bCs w:val="0"/>
          <w:snapToGrid w:val="0"/>
          <w:color w:val="auto"/>
          <w:spacing w:val="0"/>
          <w:kern w:val="0"/>
          <w:sz w:val="32"/>
          <w:szCs w:val="32"/>
          <w:highlight w:val="none"/>
          <w:lang w:val="en-US" w:eastAsia="en-US" w:bidi="zh-CN"/>
        </w:rPr>
        <w:t>八</w:t>
      </w:r>
      <w:r>
        <w:rPr>
          <w:rFonts w:hint="eastAsia" w:ascii="黑体" w:hAnsi="黑体" w:eastAsia="黑体" w:cs="黑体"/>
          <w:b w:val="0"/>
          <w:bCs w:val="0"/>
          <w:snapToGrid w:val="0"/>
          <w:color w:val="auto"/>
          <w:spacing w:val="0"/>
          <w:kern w:val="0"/>
          <w:sz w:val="32"/>
          <w:szCs w:val="32"/>
          <w:highlight w:val="none"/>
          <w:lang w:eastAsia="en-US" w:bidi="zh-CN"/>
        </w:rPr>
        <w:t>条</w:t>
      </w:r>
      <w:r>
        <w:rPr>
          <w:rFonts w:hint="eastAsia" w:ascii="黑体" w:hAnsi="黑体" w:eastAsia="黑体" w:cs="黑体"/>
          <w:b w:val="0"/>
          <w:snapToGrid w:val="0"/>
          <w:color w:val="auto"/>
          <w:spacing w:val="0"/>
          <w:kern w:val="0"/>
          <w:sz w:val="32"/>
          <w:szCs w:val="32"/>
          <w:highlight w:val="none"/>
          <w:lang w:eastAsia="en-US" w:bidi="zh-CN"/>
        </w:rPr>
        <w:t>【</w:t>
      </w:r>
      <w:r>
        <w:rPr>
          <w:rFonts w:hint="eastAsia" w:ascii="黑体" w:hAnsi="黑体" w:eastAsia="黑体" w:cs="黑体"/>
          <w:b w:val="0"/>
          <w:snapToGrid w:val="0"/>
          <w:color w:val="auto"/>
          <w:spacing w:val="0"/>
          <w:kern w:val="0"/>
          <w:sz w:val="32"/>
          <w:szCs w:val="32"/>
          <w:highlight w:val="none"/>
          <w:lang w:val="en-US" w:eastAsia="en-US" w:bidi="zh-CN"/>
        </w:rPr>
        <w:t>结果公示</w:t>
      </w:r>
      <w:r>
        <w:rPr>
          <w:rFonts w:hint="eastAsia" w:ascii="黑体" w:hAnsi="黑体" w:eastAsia="黑体" w:cs="黑体"/>
          <w:b w:val="0"/>
          <w:snapToGrid w:val="0"/>
          <w:color w:val="auto"/>
          <w:spacing w:val="0"/>
          <w:kern w:val="0"/>
          <w:sz w:val="32"/>
          <w:szCs w:val="32"/>
          <w:highlight w:val="none"/>
          <w:lang w:eastAsia="en-US" w:bidi="zh-CN"/>
        </w:rPr>
        <w:t>】</w:t>
      </w:r>
      <w:r>
        <w:rPr>
          <w:rFonts w:hint="eastAsia" w:ascii="黑体" w:hAnsi="黑体" w:eastAsia="黑体" w:cs="黑体"/>
          <w:snapToGrid w:val="0"/>
          <w:color w:val="auto"/>
          <w:spacing w:val="0"/>
          <w:kern w:val="0"/>
          <w:sz w:val="32"/>
          <w:szCs w:val="32"/>
          <w:highlight w:val="none"/>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甲方可视情况通过公开途径将医保绩效考核、医保支付资格管理记分向社会予以公示，有权要求乙方将相关结果在乙方服务场所予以公告。</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七</w:t>
      </w:r>
      <w:r>
        <w:rPr>
          <w:rFonts w:ascii="黑体" w:hAnsi="黑体" w:eastAsia="黑体" w:cs="黑体"/>
          <w:b w:val="0"/>
          <w:bCs w:val="0"/>
          <w:snapToGrid w:val="0"/>
          <w:color w:val="auto"/>
          <w:spacing w:val="0"/>
          <w:kern w:val="0"/>
          <w:sz w:val="32"/>
          <w:szCs w:val="32"/>
          <w:highlight w:val="none"/>
          <w:lang w:eastAsia="zh-CN" w:bidi="zh-CN"/>
        </w:rPr>
        <w:t>十</w:t>
      </w:r>
      <w:r>
        <w:rPr>
          <w:rFonts w:hint="eastAsia" w:ascii="黑体" w:hAnsi="黑体" w:eastAsia="黑体" w:cs="黑体"/>
          <w:b w:val="0"/>
          <w:bCs w:val="0"/>
          <w:snapToGrid w:val="0"/>
          <w:color w:val="auto"/>
          <w:spacing w:val="0"/>
          <w:kern w:val="0"/>
          <w:sz w:val="32"/>
          <w:szCs w:val="32"/>
          <w:highlight w:val="none"/>
          <w:lang w:val="en-US" w:eastAsia="zh-CN" w:bidi="zh-CN"/>
        </w:rPr>
        <w:t>九</w:t>
      </w:r>
      <w:r>
        <w:rPr>
          <w:rFonts w:ascii="黑体" w:hAnsi="黑体" w:eastAsia="黑体" w:cs="黑体"/>
          <w:b w:val="0"/>
          <w:bCs w:val="0"/>
          <w:snapToGrid w:val="0"/>
          <w:color w:val="auto"/>
          <w:spacing w:val="0"/>
          <w:kern w:val="0"/>
          <w:sz w:val="32"/>
          <w:szCs w:val="32"/>
          <w:highlight w:val="none"/>
          <w:lang w:eastAsia="zh-CN" w:bidi="zh-CN"/>
        </w:rPr>
        <w:t>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清算质量保证金</w:t>
      </w:r>
      <w:r>
        <w:rPr>
          <w:rFonts w:hint="default" w:ascii="黑体" w:hAnsi="黑体" w:eastAsia="黑体" w:cs="黑体"/>
          <w:b w:val="0"/>
          <w:snapToGrid w:val="0"/>
          <w:color w:val="auto"/>
          <w:spacing w:val="0"/>
          <w:kern w:val="0"/>
          <w:sz w:val="32"/>
          <w:szCs w:val="32"/>
          <w:highlight w:val="none"/>
          <w:lang w:eastAsia="zh-CN" w:bidi="zh-CN"/>
        </w:rPr>
        <w:t>】</w:t>
      </w:r>
      <w:r>
        <w:rPr>
          <w:rFonts w:ascii="黑体" w:hAnsi="黑体" w:eastAsia="黑体" w:cs="黑体"/>
          <w:snapToGrid w:val="0"/>
          <w:color w:val="auto"/>
          <w:spacing w:val="0"/>
          <w:kern w:val="0"/>
          <w:sz w:val="32"/>
          <w:szCs w:val="32"/>
          <w:highlight w:val="none"/>
          <w:lang w:eastAsia="zh-CN" w:bidi="zh-CN"/>
        </w:rPr>
        <w:t xml:space="preserve"> </w:t>
      </w:r>
      <w:r>
        <w:rPr>
          <w:rFonts w:hint="eastAsia" w:ascii="仿宋_GB2312" w:hAnsi="仿宋_GB2312" w:eastAsia="仿宋_GB2312" w:cs="仿宋_GB2312"/>
          <w:snapToGrid w:val="0"/>
          <w:color w:val="auto"/>
          <w:spacing w:val="0"/>
          <w:kern w:val="0"/>
          <w:sz w:val="32"/>
          <w:szCs w:val="32"/>
          <w:highlight w:val="none"/>
          <w:lang w:eastAsia="en-US"/>
        </w:rPr>
        <w:t>甲方根据乙方履行</w:t>
      </w:r>
      <w:r>
        <w:rPr>
          <w:rFonts w:hint="eastAsia" w:ascii="仿宋_GB2312" w:hAnsi="仿宋_GB2312" w:eastAsia="仿宋_GB2312" w:cs="仿宋_GB2312"/>
          <w:snapToGrid w:val="0"/>
          <w:color w:val="auto"/>
          <w:spacing w:val="0"/>
          <w:kern w:val="0"/>
          <w:sz w:val="32"/>
          <w:szCs w:val="32"/>
          <w:highlight w:val="none"/>
          <w:lang w:val="en-US" w:eastAsia="en-US"/>
        </w:rPr>
        <w:t>本</w:t>
      </w:r>
      <w:r>
        <w:rPr>
          <w:rFonts w:hint="eastAsia" w:ascii="仿宋_GB2312" w:hAnsi="仿宋_GB2312" w:eastAsia="仿宋_GB2312" w:cs="仿宋_GB2312"/>
          <w:snapToGrid w:val="0"/>
          <w:color w:val="auto"/>
          <w:spacing w:val="0"/>
          <w:kern w:val="0"/>
          <w:sz w:val="32"/>
          <w:szCs w:val="32"/>
          <w:highlight w:val="none"/>
          <w:lang w:eastAsia="en-US"/>
        </w:rPr>
        <w:t>协议情况、医保绩效考核结果等，与乙方清算质量保证金。</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trike w:val="0"/>
          <w:snapToGrid w:val="0"/>
          <w:color w:val="auto"/>
          <w:kern w:val="0"/>
          <w:sz w:val="32"/>
          <w:szCs w:val="32"/>
          <w:highlight w:val="none"/>
          <w:lang w:eastAsia="en-US"/>
        </w:rPr>
      </w:pPr>
      <w:r>
        <w:rPr>
          <w:rFonts w:hint="eastAsia" w:ascii="仿宋_GB2312" w:hAnsi="仿宋_GB2312" w:eastAsia="仿宋_GB2312" w:cs="仿宋_GB2312"/>
          <w:strike w:val="0"/>
          <w:snapToGrid w:val="0"/>
          <w:color w:val="auto"/>
          <w:spacing w:val="0"/>
          <w:kern w:val="0"/>
          <w:sz w:val="32"/>
          <w:szCs w:val="32"/>
          <w:highlight w:val="none"/>
          <w:lang w:eastAsia="en-US"/>
        </w:rPr>
        <w:t>甲方通过智能审核、人工审核等方式发现乙方违规行为较多的，可适当增加预留的质量保证金比例；乙方协议履行核查、医保绩效考核结果优秀的，甲方可适当降低预留的质量保证金比例。</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en-US"/>
        </w:rPr>
      </w:pPr>
      <w:r>
        <w:rPr>
          <w:rFonts w:hint="eastAsia" w:ascii="仿宋_GB2312" w:hAnsi="仿宋_GB2312" w:eastAsia="仿宋_GB2312" w:cs="仿宋_GB2312"/>
          <w:snapToGrid w:val="0"/>
          <w:color w:val="auto"/>
          <w:spacing w:val="0"/>
          <w:kern w:val="0"/>
          <w:sz w:val="32"/>
          <w:szCs w:val="32"/>
          <w:highlight w:val="none"/>
          <w:lang w:eastAsia="en-US"/>
        </w:rPr>
        <w:t>乙方因违反本协议约定应当向甲方支付违约金的，可以从乙方质量保证金抵扣；不足抵扣的，由乙方补足。</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b w:val="0"/>
          <w:bCs w:val="0"/>
          <w:snapToGrid w:val="0"/>
          <w:color w:val="auto"/>
          <w:spacing w:val="0"/>
          <w:kern w:val="0"/>
          <w:sz w:val="32"/>
          <w:szCs w:val="32"/>
          <w:highlight w:val="none"/>
          <w:lang w:eastAsia="zh-CN" w:bidi="zh-CN"/>
        </w:rPr>
        <w:t>第</w:t>
      </w:r>
      <w:r>
        <w:rPr>
          <w:rFonts w:hint="eastAsia" w:ascii="黑体" w:hAnsi="黑体" w:eastAsia="黑体" w:cs="黑体"/>
          <w:b w:val="0"/>
          <w:bCs w:val="0"/>
          <w:snapToGrid w:val="0"/>
          <w:color w:val="auto"/>
          <w:spacing w:val="0"/>
          <w:kern w:val="0"/>
          <w:sz w:val="32"/>
          <w:szCs w:val="32"/>
          <w:highlight w:val="none"/>
          <w:lang w:val="en-US" w:eastAsia="zh-CN" w:bidi="zh-CN"/>
        </w:rPr>
        <w:t>八</w:t>
      </w:r>
      <w:r>
        <w:rPr>
          <w:rFonts w:ascii="黑体" w:hAnsi="黑体" w:eastAsia="黑体" w:cs="黑体"/>
          <w:b w:val="0"/>
          <w:bCs w:val="0"/>
          <w:snapToGrid w:val="0"/>
          <w:color w:val="auto"/>
          <w:spacing w:val="0"/>
          <w:kern w:val="0"/>
          <w:sz w:val="32"/>
          <w:szCs w:val="32"/>
          <w:highlight w:val="none"/>
          <w:lang w:eastAsia="zh-CN" w:bidi="zh-CN"/>
        </w:rPr>
        <w:t>十条</w:t>
      </w:r>
      <w:r>
        <w:rPr>
          <w:rFonts w:hint="default" w:ascii="黑体" w:hAnsi="黑体" w:eastAsia="黑体" w:cs="黑体"/>
          <w:b w:val="0"/>
          <w:snapToGrid w:val="0"/>
          <w:color w:val="auto"/>
          <w:spacing w:val="0"/>
          <w:kern w:val="0"/>
          <w:sz w:val="32"/>
          <w:szCs w:val="32"/>
          <w:highlight w:val="none"/>
          <w:lang w:eastAsia="zh-CN" w:bidi="zh-CN"/>
        </w:rPr>
        <w:t>【</w:t>
      </w:r>
      <w:r>
        <w:rPr>
          <w:rFonts w:hint="default" w:ascii="黑体" w:hAnsi="黑体" w:eastAsia="黑体" w:cs="黑体"/>
          <w:b w:val="0"/>
          <w:snapToGrid w:val="0"/>
          <w:color w:val="auto"/>
          <w:spacing w:val="0"/>
          <w:kern w:val="0"/>
          <w:sz w:val="32"/>
          <w:szCs w:val="32"/>
          <w:highlight w:val="none"/>
          <w:lang w:val="en-US" w:eastAsia="zh-CN" w:bidi="zh-CN"/>
        </w:rPr>
        <w:t>失信惩戒</w:t>
      </w:r>
      <w:r>
        <w:rPr>
          <w:rFonts w:hint="default" w:ascii="黑体" w:hAnsi="黑体" w:eastAsia="黑体" w:cs="黑体"/>
          <w:b w:val="0"/>
          <w:snapToGrid w:val="0"/>
          <w:color w:val="auto"/>
          <w:spacing w:val="0"/>
          <w:kern w:val="0"/>
          <w:sz w:val="32"/>
          <w:szCs w:val="32"/>
          <w:highlight w:val="none"/>
          <w:lang w:eastAsia="zh-CN" w:bidi="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经查实，乙方及其工作人员存在骗取医保、工伤保险基金等违法违规行为的，甲方可提请医疗保障、工伤保险行政部门将乙方及相关人员纳入医保领域失信名单，开展信用管理，并按相关规定进行公开和惩戒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center"/>
        <w:textAlignment w:val="baseline"/>
        <w:outlineLvl w:val="0"/>
        <w:rPr>
          <w:rFonts w:ascii="黑体" w:hAnsi="黑体" w:eastAsia="黑体" w:cs="黑体"/>
          <w:snapToGrid w:val="0"/>
          <w:color w:val="auto"/>
          <w:spacing w:val="1"/>
          <w:kern w:val="0"/>
          <w:sz w:val="32"/>
          <w:szCs w:val="32"/>
          <w:highlight w:val="none"/>
          <w:lang w:eastAsia="zh-CN"/>
        </w:rPr>
      </w:pPr>
      <w:r>
        <w:rPr>
          <w:rFonts w:ascii="黑体" w:hAnsi="黑体" w:eastAsia="黑体" w:cs="黑体"/>
          <w:b w:val="0"/>
          <w:bCs w:val="0"/>
          <w:snapToGrid w:val="0"/>
          <w:color w:val="auto"/>
          <w:spacing w:val="1"/>
          <w:kern w:val="0"/>
          <w:sz w:val="32"/>
          <w:szCs w:val="32"/>
          <w:highlight w:val="none"/>
          <w:lang w:eastAsia="zh-CN"/>
        </w:rPr>
        <w:t>第七章</w:t>
      </w:r>
      <w:r>
        <w:rPr>
          <w:rFonts w:hint="default" w:ascii="黑体" w:hAnsi="黑体" w:eastAsia="黑体" w:cs="黑体"/>
          <w:b w:val="0"/>
          <w:bCs w:val="0"/>
          <w:snapToGrid w:val="0"/>
          <w:color w:val="auto"/>
          <w:spacing w:val="1"/>
          <w:kern w:val="0"/>
          <w:sz w:val="32"/>
          <w:szCs w:val="32"/>
          <w:highlight w:val="none"/>
          <w:lang w:val="en-US" w:eastAsia="zh-CN"/>
        </w:rPr>
        <w:t xml:space="preserve"> </w:t>
      </w:r>
      <w:r>
        <w:rPr>
          <w:rFonts w:ascii="黑体" w:hAnsi="黑体" w:eastAsia="黑体" w:cs="黑体"/>
          <w:b w:val="0"/>
          <w:bCs w:val="0"/>
          <w:snapToGrid w:val="0"/>
          <w:color w:val="auto"/>
          <w:spacing w:val="1"/>
          <w:kern w:val="0"/>
          <w:sz w:val="32"/>
          <w:szCs w:val="32"/>
          <w:highlight w:val="none"/>
          <w:lang w:eastAsia="zh-CN"/>
        </w:rPr>
        <w:t>违约责任</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ascii="黑体" w:hAnsi="黑体" w:eastAsia="黑体" w:cs="黑体"/>
          <w:snapToGrid w:val="0"/>
          <w:color w:val="auto"/>
          <w:spacing w:val="-6"/>
          <w:kern w:val="0"/>
          <w:sz w:val="32"/>
          <w:szCs w:val="32"/>
          <w:highlight w:val="none"/>
          <w:lang w:val="en-US" w:eastAsia="zh-CN" w:bidi="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16"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b w:val="0"/>
          <w:bCs w:val="0"/>
          <w:snapToGrid w:val="0"/>
          <w:color w:val="auto"/>
          <w:spacing w:val="-6"/>
          <w:kern w:val="0"/>
          <w:sz w:val="32"/>
          <w:szCs w:val="32"/>
          <w:highlight w:val="none"/>
          <w:lang w:eastAsia="zh-CN" w:bidi="zh-CN"/>
        </w:rPr>
        <w:t>第</w:t>
      </w:r>
      <w:r>
        <w:rPr>
          <w:rFonts w:hint="eastAsia" w:ascii="黑体" w:hAnsi="黑体" w:eastAsia="黑体" w:cs="黑体"/>
          <w:b w:val="0"/>
          <w:bCs w:val="0"/>
          <w:snapToGrid w:val="0"/>
          <w:color w:val="auto"/>
          <w:spacing w:val="-6"/>
          <w:kern w:val="0"/>
          <w:sz w:val="32"/>
          <w:szCs w:val="32"/>
          <w:highlight w:val="none"/>
          <w:lang w:val="en-US" w:eastAsia="zh-CN" w:bidi="zh-CN"/>
        </w:rPr>
        <w:t>八</w:t>
      </w:r>
      <w:r>
        <w:rPr>
          <w:rFonts w:ascii="黑体" w:hAnsi="黑体" w:eastAsia="黑体" w:cs="黑体"/>
          <w:b w:val="0"/>
          <w:bCs w:val="0"/>
          <w:snapToGrid w:val="0"/>
          <w:color w:val="auto"/>
          <w:spacing w:val="-6"/>
          <w:kern w:val="0"/>
          <w:sz w:val="32"/>
          <w:szCs w:val="32"/>
          <w:highlight w:val="none"/>
          <w:lang w:eastAsia="zh-CN" w:bidi="zh-CN"/>
        </w:rPr>
        <w:t>十</w:t>
      </w:r>
      <w:r>
        <w:rPr>
          <w:rFonts w:hint="eastAsia" w:ascii="黑体" w:hAnsi="黑体" w:eastAsia="黑体" w:cs="黑体"/>
          <w:b w:val="0"/>
          <w:bCs w:val="0"/>
          <w:snapToGrid w:val="0"/>
          <w:color w:val="auto"/>
          <w:spacing w:val="-6"/>
          <w:kern w:val="0"/>
          <w:sz w:val="32"/>
          <w:szCs w:val="32"/>
          <w:highlight w:val="none"/>
          <w:lang w:val="en-US" w:eastAsia="zh-CN" w:bidi="zh-CN"/>
        </w:rPr>
        <w:t>一</w:t>
      </w:r>
      <w:r>
        <w:rPr>
          <w:rFonts w:ascii="黑体" w:hAnsi="黑体" w:eastAsia="黑体" w:cs="黑体"/>
          <w:b w:val="0"/>
          <w:bCs w:val="0"/>
          <w:snapToGrid w:val="0"/>
          <w:color w:val="auto"/>
          <w:spacing w:val="-6"/>
          <w:kern w:val="0"/>
          <w:sz w:val="32"/>
          <w:szCs w:val="32"/>
          <w:highlight w:val="none"/>
          <w:lang w:eastAsia="zh-CN" w:bidi="zh-CN"/>
        </w:rPr>
        <w:t>条</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snapToGrid w:val="0"/>
          <w:color w:val="auto"/>
          <w:spacing w:val="-6"/>
          <w:kern w:val="0"/>
          <w:sz w:val="32"/>
          <w:szCs w:val="32"/>
          <w:highlight w:val="none"/>
          <w:lang w:val="en-US" w:eastAsia="zh-CN" w:bidi="zh-CN"/>
        </w:rPr>
        <w:t>甲方违约责任</w:t>
      </w:r>
      <w:r>
        <w:rPr>
          <w:rFonts w:hint="default" w:ascii="黑体" w:hAnsi="黑体" w:eastAsia="黑体" w:cs="黑体"/>
          <w:b w:val="0"/>
          <w:snapToGrid w:val="0"/>
          <w:color w:val="auto"/>
          <w:spacing w:val="-6"/>
          <w:kern w:val="0"/>
          <w:sz w:val="32"/>
          <w:szCs w:val="32"/>
          <w:highlight w:val="none"/>
          <w:lang w:eastAsia="zh-CN" w:bidi="zh-CN"/>
        </w:rPr>
        <w:t>】</w:t>
      </w:r>
      <w:r>
        <w:rPr>
          <w:rFonts w:ascii="黑体" w:hAnsi="黑体" w:eastAsia="黑体" w:cs="黑体"/>
          <w:snapToGrid w:val="0"/>
          <w:color w:val="auto"/>
          <w:spacing w:val="-6"/>
          <w:kern w:val="0"/>
          <w:sz w:val="32"/>
          <w:szCs w:val="32"/>
          <w:highlight w:val="none"/>
          <w:lang w:eastAsia="zh-CN" w:bidi="zh-CN"/>
        </w:rPr>
        <w:t xml:space="preserve"> </w:t>
      </w:r>
      <w:r>
        <w:rPr>
          <w:rFonts w:hint="eastAsia" w:ascii="仿宋_GB2312" w:hAnsi="仿宋_GB2312" w:eastAsia="仿宋_GB2312" w:cs="仿宋_GB2312"/>
          <w:snapToGrid w:val="0"/>
          <w:color w:val="auto"/>
          <w:spacing w:val="-4"/>
          <w:kern w:val="0"/>
          <w:sz w:val="32"/>
          <w:szCs w:val="32"/>
          <w:highlight w:val="none"/>
          <w:lang w:eastAsia="en-US"/>
        </w:rPr>
        <w:t>甲方有下列情形，乙方可要求甲方纠正或提请</w:t>
      </w:r>
      <w:r>
        <w:rPr>
          <w:rFonts w:hint="eastAsia" w:ascii="仿宋_GB2312" w:hAnsi="仿宋_GB2312" w:eastAsia="仿宋_GB2312" w:cs="仿宋_GB2312"/>
          <w:snapToGrid w:val="0"/>
          <w:color w:val="auto"/>
          <w:spacing w:val="-10"/>
          <w:kern w:val="0"/>
          <w:sz w:val="32"/>
          <w:szCs w:val="32"/>
          <w:highlight w:val="none"/>
          <w:lang w:eastAsia="en-US"/>
        </w:rPr>
        <w:t>医疗保障行政部门</w:t>
      </w:r>
      <w:r>
        <w:rPr>
          <w:rFonts w:hint="eastAsia" w:ascii="仿宋_GB2312" w:hAnsi="仿宋_GB2312" w:eastAsia="仿宋_GB2312" w:cs="仿宋_GB2312"/>
          <w:snapToGrid w:val="0"/>
          <w:color w:val="auto"/>
          <w:spacing w:val="-3"/>
          <w:kern w:val="0"/>
          <w:sz w:val="32"/>
          <w:szCs w:val="32"/>
          <w:highlight w:val="none"/>
          <w:lang w:eastAsia="en-US"/>
        </w:rPr>
        <w:t>或工伤保险行政部门</w:t>
      </w:r>
      <w:r>
        <w:rPr>
          <w:rFonts w:hint="eastAsia" w:ascii="仿宋_GB2312" w:hAnsi="仿宋_GB2312" w:eastAsia="仿宋_GB2312" w:cs="仿宋_GB2312"/>
          <w:snapToGrid w:val="0"/>
          <w:color w:val="auto"/>
          <w:spacing w:val="-10"/>
          <w:kern w:val="0"/>
          <w:sz w:val="32"/>
          <w:szCs w:val="32"/>
          <w:highlight w:val="none"/>
          <w:lang w:eastAsia="en-US"/>
        </w:rPr>
        <w:t>协调处理、督促整改：</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（一）</w:t>
      </w:r>
      <w:r>
        <w:rPr>
          <w:rFonts w:hint="eastAsia" w:ascii="仿宋_GB2312" w:hAnsi="仿宋_GB2312" w:eastAsia="仿宋_GB2312" w:cs="仿宋_GB2312"/>
          <w:snapToGrid w:val="0"/>
          <w:color w:val="auto"/>
          <w:spacing w:val="-2"/>
          <w:kern w:val="0"/>
          <w:sz w:val="32"/>
          <w:szCs w:val="32"/>
          <w:highlight w:val="none"/>
          <w:lang w:eastAsia="en-US"/>
        </w:rPr>
        <w:t>未按医保协议约定及时足额向乙方拨付医保、工伤</w:t>
      </w:r>
      <w:r>
        <w:rPr>
          <w:rFonts w:hint="eastAsia" w:ascii="仿宋_GB2312" w:hAnsi="仿宋_GB2312" w:eastAsia="仿宋_GB2312" w:cs="仿宋_GB2312"/>
          <w:snapToGrid w:val="0"/>
          <w:color w:val="auto"/>
          <w:spacing w:val="-2"/>
          <w:kern w:val="0"/>
          <w:sz w:val="32"/>
          <w:szCs w:val="32"/>
          <w:highlight w:val="none"/>
          <w:lang w:eastAsia="zh-CN"/>
        </w:rPr>
        <w:t>保险</w:t>
      </w:r>
      <w:r>
        <w:rPr>
          <w:rFonts w:hint="eastAsia" w:ascii="仿宋_GB2312" w:hAnsi="仿宋_GB2312" w:eastAsia="仿宋_GB2312" w:cs="仿宋_GB2312"/>
          <w:snapToGrid w:val="0"/>
          <w:color w:val="auto"/>
          <w:spacing w:val="-2"/>
          <w:kern w:val="0"/>
          <w:sz w:val="32"/>
          <w:szCs w:val="32"/>
          <w:highlight w:val="none"/>
          <w:lang w:eastAsia="en-US"/>
        </w:rPr>
        <w:t>医疗费用的；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（二）</w:t>
      </w:r>
      <w:r>
        <w:rPr>
          <w:rFonts w:hint="eastAsia" w:ascii="仿宋_GB2312" w:hAnsi="仿宋_GB2312" w:eastAsia="仿宋_GB2312" w:cs="仿宋_GB2312"/>
          <w:snapToGrid w:val="0"/>
          <w:color w:val="auto"/>
          <w:spacing w:val="10"/>
          <w:kern w:val="0"/>
          <w:sz w:val="32"/>
          <w:szCs w:val="32"/>
          <w:highlight w:val="none"/>
          <w:lang w:eastAsia="en-US"/>
        </w:rPr>
        <w:t>未向乙方提供医保信息平台数据集和接口标准的；向</w:t>
      </w:r>
      <w:r>
        <w:rPr>
          <w:rFonts w:hint="eastAsia" w:ascii="仿宋_GB2312" w:hAnsi="仿宋_GB2312" w:eastAsia="仿宋_GB2312" w:cs="仿宋_GB2312"/>
          <w:snapToGrid w:val="0"/>
          <w:color w:val="auto"/>
          <w:spacing w:val="-4"/>
          <w:kern w:val="0"/>
          <w:sz w:val="32"/>
          <w:szCs w:val="32"/>
          <w:highlight w:val="none"/>
          <w:lang w:eastAsia="en-US"/>
        </w:rPr>
        <w:t>乙方指定与医保对接的有关信息系统的运行和维护供应商的，或</w:t>
      </w:r>
      <w:r>
        <w:rPr>
          <w:rFonts w:hint="eastAsia" w:ascii="仿宋_GB2312" w:hAnsi="仿宋_GB2312" w:eastAsia="仿宋_GB2312" w:cs="仿宋_GB2312"/>
          <w:snapToGrid w:val="0"/>
          <w:color w:val="auto"/>
          <w:spacing w:val="-11"/>
          <w:kern w:val="0"/>
          <w:sz w:val="32"/>
          <w:szCs w:val="32"/>
          <w:highlight w:val="none"/>
          <w:lang w:eastAsia="en-US"/>
        </w:rPr>
        <w:t>向乙方收取任何费用的；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（三）</w:t>
      </w:r>
      <w:r>
        <w:rPr>
          <w:rFonts w:hint="eastAsia" w:ascii="仿宋_GB2312" w:hAnsi="仿宋_GB2312" w:eastAsia="仿宋_GB2312" w:cs="仿宋_GB2312"/>
          <w:snapToGrid w:val="0"/>
          <w:color w:val="auto"/>
          <w:spacing w:val="3"/>
          <w:kern w:val="0"/>
          <w:sz w:val="32"/>
          <w:szCs w:val="32"/>
          <w:highlight w:val="none"/>
          <w:lang w:eastAsia="en-US"/>
        </w:rPr>
        <w:t>未对乙方提供必要的医保及工伤保险政策、管理制度、支付政策、</w:t>
      </w:r>
      <w:r>
        <w:rPr>
          <w:rFonts w:hint="eastAsia" w:ascii="仿宋_GB2312" w:hAnsi="仿宋_GB2312" w:eastAsia="仿宋_GB2312" w:cs="仿宋_GB2312"/>
          <w:snapToGrid w:val="0"/>
          <w:color w:val="auto"/>
          <w:spacing w:val="-7"/>
          <w:kern w:val="0"/>
          <w:sz w:val="32"/>
          <w:szCs w:val="32"/>
          <w:highlight w:val="none"/>
          <w:lang w:eastAsia="en-US"/>
        </w:rPr>
        <w:t>操作流程的宣传培训，以及医疗保障咨询、查询服务的；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（四）</w:t>
      </w:r>
      <w:r>
        <w:rPr>
          <w:rFonts w:hint="eastAsia" w:ascii="仿宋_GB2312" w:hAnsi="仿宋_GB2312" w:eastAsia="仿宋_GB2312" w:cs="仿宋_GB2312"/>
          <w:snapToGrid w:val="0"/>
          <w:color w:val="auto"/>
          <w:spacing w:val="-2"/>
          <w:kern w:val="0"/>
          <w:sz w:val="32"/>
          <w:szCs w:val="32"/>
          <w:highlight w:val="none"/>
          <w:lang w:eastAsia="en-US"/>
        </w:rPr>
        <w:t>未对乙方的意见建议及时接收、解答、解释说明的；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（五）</w:t>
      </w:r>
      <w:r>
        <w:rPr>
          <w:rFonts w:hint="eastAsia" w:ascii="仿宋_GB2312" w:hAnsi="仿宋_GB2312" w:eastAsia="仿宋_GB2312" w:cs="仿宋_GB2312"/>
          <w:snapToGrid w:val="0"/>
          <w:color w:val="auto"/>
          <w:spacing w:val="-2"/>
          <w:kern w:val="0"/>
          <w:sz w:val="32"/>
          <w:szCs w:val="32"/>
          <w:highlight w:val="none"/>
          <w:lang w:eastAsia="en-US"/>
        </w:rPr>
        <w:t>未对作出的违约处理结果向乙方进行解释说明的；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（六）</w:t>
      </w:r>
      <w:r>
        <w:rPr>
          <w:rFonts w:hint="eastAsia" w:ascii="仿宋_GB2312" w:hAnsi="仿宋_GB2312" w:eastAsia="仿宋_GB2312" w:cs="仿宋_GB2312"/>
          <w:snapToGrid w:val="0"/>
          <w:color w:val="auto"/>
          <w:spacing w:val="9"/>
          <w:kern w:val="0"/>
          <w:sz w:val="32"/>
          <w:szCs w:val="32"/>
          <w:highlight w:val="none"/>
          <w:lang w:eastAsia="en-US"/>
        </w:rPr>
        <w:t>未遵守个人信息保护和数据安全有关制度，未保护乙</w:t>
      </w:r>
      <w:r>
        <w:rPr>
          <w:rFonts w:hint="eastAsia" w:ascii="仿宋_GB2312" w:hAnsi="仿宋_GB2312" w:eastAsia="仿宋_GB2312" w:cs="仿宋_GB2312"/>
          <w:snapToGrid w:val="0"/>
          <w:color w:val="auto"/>
          <w:spacing w:val="-7"/>
          <w:kern w:val="0"/>
          <w:sz w:val="32"/>
          <w:szCs w:val="32"/>
          <w:highlight w:val="none"/>
          <w:lang w:eastAsia="en-US"/>
        </w:rPr>
        <w:t>方商业秘密及涉及乙方诊疗相关的数据信息，</w:t>
      </w:r>
      <w:r>
        <w:rPr>
          <w:rFonts w:hint="eastAsia" w:ascii="仿宋_GB2312" w:hAnsi="仿宋_GB2312" w:eastAsia="仿宋_GB2312" w:cs="仿宋_GB2312"/>
          <w:snapToGrid w:val="0"/>
          <w:color w:val="auto"/>
          <w:spacing w:val="-8"/>
          <w:kern w:val="0"/>
          <w:sz w:val="32"/>
          <w:szCs w:val="32"/>
          <w:highlight w:val="none"/>
          <w:lang w:eastAsia="en-US"/>
        </w:rPr>
        <w:t>导致信息泄露的；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（七）</w:t>
      </w:r>
      <w:r>
        <w:rPr>
          <w:rFonts w:hint="eastAsia" w:ascii="仿宋_GB2312" w:hAnsi="仿宋_GB2312" w:eastAsia="仿宋_GB2312" w:cs="仿宋_GB2312"/>
          <w:snapToGrid w:val="0"/>
          <w:color w:val="auto"/>
          <w:spacing w:val="-2"/>
          <w:kern w:val="0"/>
          <w:sz w:val="32"/>
          <w:szCs w:val="32"/>
          <w:highlight w:val="none"/>
          <w:lang w:eastAsia="en-US"/>
        </w:rPr>
        <w:t>工作人员违反工作纪律规定，对乙方造成影响的；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（八）</w:t>
      </w:r>
      <w:r>
        <w:rPr>
          <w:rFonts w:hint="eastAsia" w:ascii="仿宋_GB2312" w:hAnsi="仿宋_GB2312" w:eastAsia="仿宋_GB2312" w:cs="仿宋_GB2312"/>
          <w:snapToGrid w:val="0"/>
          <w:color w:val="auto"/>
          <w:spacing w:val="-2"/>
          <w:kern w:val="0"/>
          <w:sz w:val="32"/>
          <w:szCs w:val="32"/>
          <w:highlight w:val="none"/>
          <w:lang w:eastAsia="en-US"/>
        </w:rPr>
        <w:t>其他违反法律法规和规章及</w:t>
      </w:r>
      <w:r>
        <w:rPr>
          <w:rFonts w:hint="eastAsia" w:ascii="仿宋_GB2312" w:hAnsi="仿宋_GB2312" w:eastAsia="仿宋_GB2312" w:cs="仿宋_GB2312"/>
          <w:snapToGrid w:val="0"/>
          <w:color w:val="auto"/>
          <w:spacing w:val="-2"/>
          <w:kern w:val="0"/>
          <w:sz w:val="32"/>
          <w:szCs w:val="32"/>
          <w:highlight w:val="none"/>
          <w:lang w:val="en-US" w:eastAsia="zh-CN"/>
        </w:rPr>
        <w:t>本</w:t>
      </w:r>
      <w:r>
        <w:rPr>
          <w:rFonts w:hint="eastAsia" w:ascii="仿宋_GB2312" w:hAnsi="仿宋_GB2312" w:eastAsia="仿宋_GB2312" w:cs="仿宋_GB2312"/>
          <w:snapToGrid w:val="0"/>
          <w:color w:val="auto"/>
          <w:spacing w:val="-2"/>
          <w:kern w:val="0"/>
          <w:sz w:val="32"/>
          <w:szCs w:val="32"/>
          <w:highlight w:val="none"/>
          <w:lang w:eastAsia="en-US"/>
        </w:rPr>
        <w:t>协议约定的行为。</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16"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b w:val="0"/>
          <w:bCs w:val="0"/>
          <w:snapToGrid w:val="0"/>
          <w:color w:val="auto"/>
          <w:spacing w:val="-6"/>
          <w:kern w:val="0"/>
          <w:sz w:val="32"/>
          <w:szCs w:val="32"/>
          <w:highlight w:val="none"/>
          <w:lang w:eastAsia="zh-CN" w:bidi="zh-CN"/>
        </w:rPr>
        <w:t>第</w:t>
      </w:r>
      <w:r>
        <w:rPr>
          <w:rFonts w:hint="eastAsia" w:ascii="黑体" w:hAnsi="黑体" w:eastAsia="黑体" w:cs="黑体"/>
          <w:snapToGrid w:val="0"/>
          <w:color w:val="auto"/>
          <w:spacing w:val="-6"/>
          <w:kern w:val="0"/>
          <w:sz w:val="32"/>
          <w:szCs w:val="32"/>
          <w:highlight w:val="none"/>
          <w:lang w:val="en-US" w:eastAsia="zh-CN" w:bidi="zh-CN"/>
        </w:rPr>
        <w:t>八</w:t>
      </w:r>
      <w:r>
        <w:rPr>
          <w:rFonts w:ascii="黑体" w:hAnsi="黑体" w:eastAsia="黑体" w:cs="黑体"/>
          <w:snapToGrid w:val="0"/>
          <w:color w:val="auto"/>
          <w:spacing w:val="-6"/>
          <w:kern w:val="0"/>
          <w:sz w:val="32"/>
          <w:szCs w:val="32"/>
          <w:highlight w:val="none"/>
          <w:lang w:eastAsia="zh-CN" w:bidi="zh-CN"/>
        </w:rPr>
        <w:t>十</w:t>
      </w:r>
      <w:r>
        <w:rPr>
          <w:rFonts w:hint="eastAsia" w:ascii="黑体" w:hAnsi="黑体" w:eastAsia="黑体" w:cs="黑体"/>
          <w:snapToGrid w:val="0"/>
          <w:color w:val="auto"/>
          <w:spacing w:val="-6"/>
          <w:kern w:val="0"/>
          <w:sz w:val="32"/>
          <w:szCs w:val="32"/>
          <w:highlight w:val="none"/>
          <w:lang w:val="en-US" w:eastAsia="zh-CN" w:bidi="zh-CN"/>
        </w:rPr>
        <w:t>二</w:t>
      </w:r>
      <w:r>
        <w:rPr>
          <w:rFonts w:ascii="黑体" w:hAnsi="黑体" w:eastAsia="黑体" w:cs="黑体"/>
          <w:b w:val="0"/>
          <w:bCs w:val="0"/>
          <w:snapToGrid w:val="0"/>
          <w:color w:val="auto"/>
          <w:spacing w:val="-6"/>
          <w:kern w:val="0"/>
          <w:sz w:val="32"/>
          <w:szCs w:val="32"/>
          <w:highlight w:val="none"/>
          <w:lang w:eastAsia="zh-CN" w:bidi="zh-CN"/>
        </w:rPr>
        <w:t>条</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snapToGrid w:val="0"/>
          <w:color w:val="auto"/>
          <w:spacing w:val="-6"/>
          <w:kern w:val="0"/>
          <w:sz w:val="32"/>
          <w:szCs w:val="32"/>
          <w:highlight w:val="none"/>
          <w:lang w:val="en-US" w:eastAsia="zh-CN" w:bidi="zh-CN"/>
        </w:rPr>
        <w:t>约谈整改</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bCs w:val="0"/>
          <w:snapToGrid w:val="0"/>
          <w:color w:val="auto"/>
          <w:spacing w:val="-6"/>
          <w:kern w:val="0"/>
          <w:sz w:val="32"/>
          <w:szCs w:val="32"/>
          <w:highlight w:val="none"/>
          <w:lang w:val="en-US" w:eastAsia="zh-CN" w:bidi="zh-CN"/>
        </w:rPr>
        <w:t xml:space="preserve"> </w:t>
      </w:r>
      <w:r>
        <w:rPr>
          <w:rFonts w:ascii="仿宋" w:hAnsi="仿宋" w:eastAsia="仿宋" w:cs="仿宋"/>
          <w:snapToGrid w:val="0"/>
          <w:color w:val="auto"/>
          <w:spacing w:val="-2"/>
          <w:kern w:val="0"/>
          <w:sz w:val="32"/>
          <w:szCs w:val="32"/>
          <w:highlight w:val="none"/>
          <w:lang w:eastAsia="en-US"/>
        </w:rPr>
        <w:t>经查实，乙方有下列情形之一</w:t>
      </w:r>
      <w:r>
        <w:rPr>
          <w:rFonts w:hint="eastAsia" w:ascii="仿宋_GB2312" w:hAnsi="仿宋_GB2312" w:eastAsia="仿宋_GB2312" w:cs="仿宋_GB2312"/>
          <w:snapToGrid w:val="0"/>
          <w:color w:val="auto"/>
          <w:spacing w:val="-2"/>
          <w:kern w:val="0"/>
          <w:sz w:val="32"/>
          <w:szCs w:val="32"/>
          <w:highlight w:val="none"/>
          <w:lang w:eastAsia="en-US"/>
        </w:rPr>
        <w:t>的，甲方约</w:t>
      </w:r>
      <w:r>
        <w:rPr>
          <w:rFonts w:hint="eastAsia" w:ascii="仿宋_GB2312" w:hAnsi="仿宋_GB2312" w:eastAsia="仿宋_GB2312" w:cs="仿宋_GB2312"/>
          <w:snapToGrid w:val="0"/>
          <w:color w:val="auto"/>
          <w:spacing w:val="-3"/>
          <w:kern w:val="0"/>
          <w:sz w:val="32"/>
          <w:szCs w:val="32"/>
          <w:highlight w:val="none"/>
          <w:lang w:eastAsia="en-US"/>
        </w:rPr>
        <w:t>谈乙</w:t>
      </w:r>
      <w:r>
        <w:rPr>
          <w:rFonts w:hint="eastAsia" w:ascii="仿宋_GB2312" w:hAnsi="仿宋_GB2312" w:eastAsia="仿宋_GB2312" w:cs="仿宋_GB2312"/>
          <w:snapToGrid w:val="0"/>
          <w:color w:val="auto"/>
          <w:spacing w:val="-8"/>
          <w:kern w:val="0"/>
          <w:sz w:val="32"/>
          <w:szCs w:val="32"/>
          <w:highlight w:val="none"/>
          <w:lang w:eastAsia="en-US"/>
        </w:rPr>
        <w:t>方法定代表人、主要负责人或实际控制人，督促其限期整改：</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（一）</w:t>
      </w:r>
      <w:r>
        <w:rPr>
          <w:rFonts w:hint="eastAsia" w:ascii="仿宋_GB2312" w:hAnsi="仿宋_GB2312" w:eastAsia="仿宋_GB2312" w:cs="仿宋_GB2312"/>
          <w:snapToGrid w:val="0"/>
          <w:color w:val="auto"/>
          <w:spacing w:val="9"/>
          <w:kern w:val="0"/>
          <w:sz w:val="32"/>
          <w:szCs w:val="32"/>
          <w:highlight w:val="none"/>
          <w:lang w:eastAsia="en-US"/>
        </w:rPr>
        <w:t>乙方或乙方工作人员发表关于医保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9"/>
          <w:kern w:val="0"/>
          <w:sz w:val="32"/>
          <w:szCs w:val="32"/>
          <w:highlight w:val="none"/>
          <w:lang w:eastAsia="en-US"/>
        </w:rPr>
        <w:t>支付、管理政策相</w:t>
      </w:r>
      <w:r>
        <w:rPr>
          <w:rFonts w:hint="eastAsia" w:ascii="仿宋_GB2312" w:hAnsi="仿宋_GB2312" w:eastAsia="仿宋_GB2312" w:cs="仿宋_GB2312"/>
          <w:snapToGrid w:val="0"/>
          <w:color w:val="auto"/>
          <w:spacing w:val="-10"/>
          <w:kern w:val="0"/>
          <w:sz w:val="32"/>
          <w:szCs w:val="32"/>
          <w:highlight w:val="none"/>
          <w:lang w:eastAsia="en-US"/>
        </w:rPr>
        <w:t>关的不当言论，造成恶劣影响的；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（二）</w:t>
      </w:r>
      <w:r>
        <w:rPr>
          <w:rFonts w:hint="eastAsia" w:ascii="仿宋_GB2312" w:hAnsi="仿宋_GB2312" w:eastAsia="仿宋_GB2312" w:cs="仿宋_GB2312"/>
          <w:snapToGrid w:val="0"/>
          <w:color w:val="auto"/>
          <w:spacing w:val="23"/>
          <w:kern w:val="0"/>
          <w:sz w:val="32"/>
          <w:szCs w:val="32"/>
          <w:highlight w:val="none"/>
          <w:lang w:eastAsia="en-US"/>
        </w:rPr>
        <w:t>未按要求向医保信息系统传送全部就</w:t>
      </w:r>
      <w:r>
        <w:rPr>
          <w:rFonts w:hint="eastAsia" w:ascii="仿宋_GB2312" w:hAnsi="仿宋_GB2312" w:eastAsia="仿宋_GB2312" w:cs="仿宋_GB2312"/>
          <w:snapToGrid w:val="0"/>
          <w:color w:val="auto"/>
          <w:spacing w:val="22"/>
          <w:kern w:val="0"/>
          <w:sz w:val="32"/>
          <w:szCs w:val="32"/>
          <w:highlight w:val="none"/>
          <w:lang w:eastAsia="en-US"/>
        </w:rPr>
        <w:t>诊人员相关信</w:t>
      </w:r>
      <w:r>
        <w:rPr>
          <w:rFonts w:hint="eastAsia" w:ascii="仿宋_GB2312" w:hAnsi="仿宋_GB2312" w:eastAsia="仿宋_GB2312" w:cs="仿宋_GB2312"/>
          <w:snapToGrid w:val="0"/>
          <w:color w:val="auto"/>
          <w:spacing w:val="-16"/>
          <w:kern w:val="0"/>
          <w:sz w:val="32"/>
          <w:szCs w:val="32"/>
          <w:highlight w:val="none"/>
          <w:lang w:eastAsia="en-US"/>
        </w:rPr>
        <w:t>息的；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（三）</w:t>
      </w:r>
      <w:r>
        <w:rPr>
          <w:rFonts w:hint="eastAsia" w:ascii="仿宋_GB2312" w:hAnsi="仿宋_GB2312" w:eastAsia="仿宋_GB2312" w:cs="仿宋_GB2312"/>
          <w:snapToGrid w:val="0"/>
          <w:color w:val="auto"/>
          <w:spacing w:val="9"/>
          <w:kern w:val="0"/>
          <w:sz w:val="32"/>
          <w:szCs w:val="32"/>
          <w:highlight w:val="none"/>
          <w:lang w:eastAsia="en-US"/>
        </w:rPr>
        <w:t>以医保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9"/>
          <w:kern w:val="0"/>
          <w:sz w:val="32"/>
          <w:szCs w:val="32"/>
          <w:highlight w:val="none"/>
          <w:lang w:eastAsia="en-US"/>
        </w:rPr>
        <w:t>支付、管理政策为由推诿拒收参保患者的，或</w:t>
      </w:r>
      <w:r>
        <w:rPr>
          <w:rFonts w:hint="eastAsia" w:ascii="仿宋_GB2312" w:hAnsi="仿宋_GB2312" w:eastAsia="仿宋_GB2312" w:cs="仿宋_GB2312"/>
          <w:snapToGrid w:val="0"/>
          <w:color w:val="auto"/>
          <w:spacing w:val="-8"/>
          <w:kern w:val="0"/>
          <w:sz w:val="32"/>
          <w:szCs w:val="32"/>
          <w:highlight w:val="none"/>
          <w:lang w:eastAsia="en-US"/>
        </w:rPr>
        <w:t>要求未达到出院标准的参保人员提前出院或自费住</w:t>
      </w:r>
      <w:r>
        <w:rPr>
          <w:rFonts w:hint="eastAsia" w:ascii="仿宋_GB2312" w:hAnsi="仿宋_GB2312" w:eastAsia="仿宋_GB2312" w:cs="仿宋_GB2312"/>
          <w:snapToGrid w:val="0"/>
          <w:color w:val="auto"/>
          <w:spacing w:val="-9"/>
          <w:kern w:val="0"/>
          <w:sz w:val="32"/>
          <w:szCs w:val="32"/>
          <w:highlight w:val="none"/>
          <w:lang w:eastAsia="en-US"/>
        </w:rPr>
        <w:t>院的；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（四）</w:t>
      </w:r>
      <w:r>
        <w:rPr>
          <w:rFonts w:hint="eastAsia" w:ascii="仿宋_GB2312" w:hAnsi="仿宋_GB2312" w:eastAsia="仿宋_GB2312" w:cs="仿宋_GB2312"/>
          <w:snapToGrid w:val="0"/>
          <w:color w:val="auto"/>
          <w:spacing w:val="9"/>
          <w:kern w:val="0"/>
          <w:sz w:val="32"/>
          <w:szCs w:val="32"/>
          <w:highlight w:val="none"/>
          <w:lang w:eastAsia="en-US"/>
        </w:rPr>
        <w:t>以转嫁住院费用为目的，诱导参保人员在住院期间到</w:t>
      </w:r>
      <w:r>
        <w:rPr>
          <w:rFonts w:hint="eastAsia" w:ascii="仿宋_GB2312" w:hAnsi="仿宋_GB2312" w:eastAsia="仿宋_GB2312" w:cs="仿宋_GB2312"/>
          <w:snapToGrid w:val="0"/>
          <w:color w:val="auto"/>
          <w:spacing w:val="-4"/>
          <w:kern w:val="0"/>
          <w:sz w:val="32"/>
          <w:szCs w:val="32"/>
          <w:highlight w:val="none"/>
          <w:lang w:eastAsia="en-US"/>
        </w:rPr>
        <w:t>门诊就医、药店购药或另设账号交费的；将</w:t>
      </w:r>
      <w:r>
        <w:rPr>
          <w:rFonts w:hint="eastAsia" w:ascii="仿宋_GB2312" w:hAnsi="仿宋_GB2312" w:eastAsia="仿宋_GB2312" w:cs="仿宋_GB2312"/>
          <w:snapToGrid w:val="0"/>
          <w:color w:val="auto"/>
          <w:spacing w:val="-5"/>
          <w:kern w:val="0"/>
          <w:sz w:val="32"/>
          <w:szCs w:val="32"/>
          <w:highlight w:val="none"/>
          <w:lang w:eastAsia="en-US"/>
        </w:rPr>
        <w:t>应当由医保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5"/>
          <w:kern w:val="0"/>
          <w:sz w:val="32"/>
          <w:szCs w:val="32"/>
          <w:highlight w:val="none"/>
          <w:lang w:eastAsia="en-US"/>
        </w:rPr>
        <w:t>基金支付</w:t>
      </w:r>
      <w:r>
        <w:rPr>
          <w:rFonts w:hint="eastAsia" w:ascii="仿宋_GB2312" w:hAnsi="仿宋_GB2312" w:eastAsia="仿宋_GB2312" w:cs="仿宋_GB2312"/>
          <w:snapToGrid w:val="0"/>
          <w:color w:val="auto"/>
          <w:spacing w:val="-10"/>
          <w:kern w:val="0"/>
          <w:sz w:val="32"/>
          <w:szCs w:val="32"/>
          <w:highlight w:val="none"/>
          <w:lang w:eastAsia="en-US"/>
        </w:rPr>
        <w:t>的医疗费用转嫁参保人员自费结算的；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（五）</w:t>
      </w:r>
      <w:r>
        <w:rPr>
          <w:rFonts w:hint="eastAsia" w:ascii="仿宋_GB2312" w:hAnsi="仿宋_GB2312" w:eastAsia="仿宋_GB2312" w:cs="仿宋_GB2312"/>
          <w:snapToGrid w:val="0"/>
          <w:color w:val="auto"/>
          <w:spacing w:val="2"/>
          <w:kern w:val="0"/>
          <w:sz w:val="32"/>
          <w:szCs w:val="32"/>
          <w:highlight w:val="none"/>
          <w:lang w:eastAsia="en-US"/>
        </w:rPr>
        <w:t>未按规定向参保人员如实出具费用单据和</w:t>
      </w:r>
      <w:r>
        <w:rPr>
          <w:rFonts w:hint="eastAsia" w:ascii="仿宋_GB2312" w:hAnsi="仿宋_GB2312" w:eastAsia="仿宋_GB2312" w:cs="仿宋_GB2312"/>
          <w:snapToGrid w:val="0"/>
          <w:color w:val="auto"/>
          <w:spacing w:val="1"/>
          <w:kern w:val="0"/>
          <w:sz w:val="32"/>
          <w:szCs w:val="32"/>
          <w:highlight w:val="none"/>
          <w:lang w:eastAsia="en-US"/>
        </w:rPr>
        <w:t>相关资料的，</w:t>
      </w:r>
      <w:r>
        <w:rPr>
          <w:rFonts w:hint="eastAsia" w:ascii="仿宋_GB2312" w:hAnsi="仿宋_GB2312" w:eastAsia="仿宋_GB2312" w:cs="仿宋_GB2312"/>
          <w:snapToGrid w:val="0"/>
          <w:color w:val="auto"/>
          <w:spacing w:val="-10"/>
          <w:kern w:val="0"/>
          <w:sz w:val="32"/>
          <w:szCs w:val="32"/>
          <w:highlight w:val="none"/>
          <w:lang w:eastAsia="en-US"/>
        </w:rPr>
        <w:t>未履行知情同意手续的；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（六）</w:t>
      </w:r>
      <w:r>
        <w:rPr>
          <w:rFonts w:hint="eastAsia" w:ascii="仿宋_GB2312" w:hAnsi="仿宋_GB2312" w:eastAsia="仿宋_GB2312" w:cs="仿宋_GB2312"/>
          <w:snapToGrid w:val="0"/>
          <w:color w:val="auto"/>
          <w:spacing w:val="9"/>
          <w:kern w:val="0"/>
          <w:sz w:val="32"/>
          <w:szCs w:val="32"/>
          <w:highlight w:val="none"/>
          <w:lang w:eastAsia="en-US"/>
        </w:rPr>
        <w:t>未执行处方外配相关规定，拒绝为门诊就诊参保人员</w:t>
      </w:r>
      <w:r>
        <w:rPr>
          <w:rFonts w:hint="eastAsia" w:ascii="仿宋_GB2312" w:hAnsi="仿宋_GB2312" w:eastAsia="仿宋_GB2312" w:cs="仿宋_GB2312"/>
          <w:snapToGrid w:val="0"/>
          <w:color w:val="auto"/>
          <w:spacing w:val="-9"/>
          <w:kern w:val="0"/>
          <w:sz w:val="32"/>
          <w:szCs w:val="32"/>
          <w:highlight w:val="none"/>
          <w:lang w:eastAsia="en-US"/>
        </w:rPr>
        <w:t>开具处方到定点零售药店购药的；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（七）</w:t>
      </w:r>
      <w:r>
        <w:rPr>
          <w:rFonts w:hint="eastAsia" w:ascii="仿宋_GB2312" w:hAnsi="仿宋_GB2312" w:eastAsia="仿宋_GB2312" w:cs="仿宋_GB2312"/>
          <w:snapToGrid w:val="0"/>
          <w:color w:val="auto"/>
          <w:spacing w:val="9"/>
          <w:kern w:val="0"/>
          <w:sz w:val="32"/>
          <w:szCs w:val="32"/>
          <w:highlight w:val="none"/>
          <w:lang w:eastAsia="en-US"/>
        </w:rPr>
        <w:t>无正当理由拒绝为符合条件的参保人员直接结算医保</w:t>
      </w:r>
      <w:r>
        <w:rPr>
          <w:rFonts w:hint="eastAsia" w:ascii="仿宋_GB2312" w:hAnsi="仿宋_GB2312" w:eastAsia="仿宋_GB2312" w:cs="仿宋_GB2312"/>
          <w:snapToGrid w:val="0"/>
          <w:color w:val="auto"/>
          <w:spacing w:val="-14"/>
          <w:kern w:val="0"/>
          <w:sz w:val="32"/>
          <w:szCs w:val="32"/>
          <w:highlight w:val="none"/>
          <w:lang w:eastAsia="en-US"/>
        </w:rPr>
        <w:t>费用的；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（八）</w:t>
      </w:r>
      <w:r>
        <w:rPr>
          <w:rFonts w:hint="eastAsia" w:ascii="仿宋_GB2312" w:hAnsi="仿宋_GB2312" w:eastAsia="仿宋_GB2312" w:cs="仿宋_GB2312"/>
          <w:snapToGrid w:val="0"/>
          <w:color w:val="auto"/>
          <w:spacing w:val="18"/>
          <w:kern w:val="0"/>
          <w:sz w:val="32"/>
          <w:szCs w:val="32"/>
          <w:highlight w:val="none"/>
          <w:lang w:eastAsia="en-US"/>
        </w:rPr>
        <w:t>未开展药品、医用耗材进销存管理的，以及未留存进</w:t>
      </w:r>
      <w:r>
        <w:rPr>
          <w:rFonts w:hint="eastAsia" w:ascii="仿宋_GB2312" w:hAnsi="仿宋_GB2312" w:eastAsia="仿宋_GB2312" w:cs="仿宋_GB2312"/>
          <w:snapToGrid w:val="0"/>
          <w:color w:val="auto"/>
          <w:spacing w:val="-2"/>
          <w:kern w:val="0"/>
          <w:sz w:val="32"/>
          <w:szCs w:val="32"/>
          <w:highlight w:val="none"/>
          <w:lang w:eastAsia="en-US"/>
        </w:rPr>
        <w:t>销存相关凭证和票据的；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lang w:eastAsia="zh-CN"/>
        </w:rPr>
        <w:t>（九）</w:t>
      </w:r>
      <w:r>
        <w:rPr>
          <w:rFonts w:hint="eastAsia" w:ascii="仿宋_GB2312" w:hAnsi="仿宋_GB2312" w:eastAsia="仿宋_GB2312" w:cs="仿宋_GB2312"/>
          <w:snapToGrid w:val="0"/>
          <w:color w:val="auto"/>
          <w:spacing w:val="18"/>
          <w:kern w:val="0"/>
          <w:sz w:val="32"/>
          <w:szCs w:val="32"/>
          <w:highlight w:val="none"/>
          <w:lang w:eastAsia="en-US"/>
        </w:rPr>
        <w:t>未如实报送药品、医用耗材的采购价格和数量的；未</w:t>
      </w:r>
      <w:r>
        <w:rPr>
          <w:rFonts w:hint="eastAsia" w:ascii="仿宋_GB2312" w:hAnsi="仿宋_GB2312" w:eastAsia="仿宋_GB2312" w:cs="仿宋_GB2312"/>
          <w:snapToGrid w:val="0"/>
          <w:color w:val="auto"/>
          <w:spacing w:val="7"/>
          <w:kern w:val="0"/>
          <w:sz w:val="32"/>
          <w:szCs w:val="32"/>
          <w:highlight w:val="none"/>
          <w:lang w:eastAsia="en-US"/>
        </w:rPr>
        <w:t>公示医药价格与收费标准的；违反集中带量采购和</w:t>
      </w:r>
      <w:r>
        <w:rPr>
          <w:rFonts w:hint="eastAsia" w:ascii="仿宋_GB2312" w:hAnsi="仿宋_GB2312" w:eastAsia="仿宋_GB2312" w:cs="仿宋_GB2312"/>
          <w:snapToGrid w:val="0"/>
          <w:color w:val="auto"/>
          <w:spacing w:val="6"/>
          <w:kern w:val="0"/>
          <w:sz w:val="32"/>
          <w:szCs w:val="32"/>
          <w:highlight w:val="none"/>
          <w:lang w:eastAsia="en-US"/>
        </w:rPr>
        <w:t>使用相关规定</w:t>
      </w:r>
      <w:r>
        <w:rPr>
          <w:rFonts w:hint="eastAsia" w:ascii="仿宋_GB2312" w:hAnsi="仿宋_GB2312" w:eastAsia="仿宋_GB2312" w:cs="仿宋_GB2312"/>
          <w:snapToGrid w:val="0"/>
          <w:color w:val="auto"/>
          <w:spacing w:val="1"/>
          <w:kern w:val="0"/>
          <w:sz w:val="32"/>
          <w:szCs w:val="32"/>
          <w:highlight w:val="none"/>
          <w:lang w:eastAsia="en-US"/>
        </w:rPr>
        <w:t>的；未向社会公开医药费用、费用结构等信息的；</w:t>
      </w:r>
      <w:r>
        <w:rPr>
          <w:rFonts w:hint="eastAsia" w:ascii="仿宋_GB2312" w:hAnsi="仿宋_GB2312" w:eastAsia="仿宋_GB2312" w:cs="仿宋_GB2312"/>
          <w:snapToGrid w:val="0"/>
          <w:color w:val="auto"/>
          <w:spacing w:val="1"/>
          <w:kern w:val="0"/>
          <w:sz w:val="32"/>
          <w:szCs w:val="32"/>
          <w:highlight w:val="none"/>
          <w:lang w:val="en-US" w:eastAsia="zh-CN"/>
        </w:rPr>
        <w:t>应报量而未报量就采购药品、医用耗材的；报量后不采购的；未按时序采购的；无正当理由采购非中选产品的；未及时回款等违反集中带量采购和使用相关规定的；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（十）</w:t>
      </w:r>
      <w:r>
        <w:rPr>
          <w:rFonts w:hint="eastAsia" w:ascii="仿宋_GB2312" w:hAnsi="仿宋_GB2312" w:eastAsia="仿宋_GB2312" w:cs="仿宋_GB2312"/>
          <w:snapToGrid w:val="0"/>
          <w:color w:val="auto"/>
          <w:spacing w:val="18"/>
          <w:kern w:val="0"/>
          <w:sz w:val="32"/>
          <w:szCs w:val="32"/>
          <w:highlight w:val="none"/>
          <w:lang w:eastAsia="en-US"/>
        </w:rPr>
        <w:t>将甲方不予支付的费用、乙方按</w:t>
      </w:r>
      <w:r>
        <w:rPr>
          <w:rFonts w:hint="eastAsia" w:ascii="仿宋_GB2312" w:hAnsi="仿宋_GB2312" w:eastAsia="仿宋_GB2312" w:cs="仿宋_GB2312"/>
          <w:snapToGrid w:val="0"/>
          <w:color w:val="auto"/>
          <w:spacing w:val="18"/>
          <w:kern w:val="0"/>
          <w:sz w:val="32"/>
          <w:szCs w:val="32"/>
          <w:highlight w:val="none"/>
          <w:lang w:val="en-US" w:eastAsia="zh-CN"/>
        </w:rPr>
        <w:t>本</w:t>
      </w:r>
      <w:r>
        <w:rPr>
          <w:rFonts w:hint="eastAsia" w:ascii="仿宋_GB2312" w:hAnsi="仿宋_GB2312" w:eastAsia="仿宋_GB2312" w:cs="仿宋_GB2312"/>
          <w:snapToGrid w:val="0"/>
          <w:color w:val="auto"/>
          <w:spacing w:val="18"/>
          <w:kern w:val="0"/>
          <w:sz w:val="32"/>
          <w:szCs w:val="32"/>
          <w:highlight w:val="none"/>
          <w:lang w:eastAsia="en-US"/>
        </w:rPr>
        <w:t>协议约定被扣除</w:t>
      </w:r>
      <w:r>
        <w:rPr>
          <w:rFonts w:hint="eastAsia" w:ascii="仿宋_GB2312" w:hAnsi="仿宋_GB2312" w:eastAsia="仿宋_GB2312" w:cs="仿宋_GB2312"/>
          <w:snapToGrid w:val="0"/>
          <w:color w:val="auto"/>
          <w:spacing w:val="1"/>
          <w:kern w:val="0"/>
          <w:sz w:val="32"/>
          <w:szCs w:val="32"/>
          <w:highlight w:val="none"/>
          <w:lang w:eastAsia="en-US"/>
        </w:rPr>
        <w:t>的质量保证金及其支付的违约金等，作为医保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1"/>
          <w:kern w:val="0"/>
          <w:sz w:val="32"/>
          <w:szCs w:val="32"/>
          <w:highlight w:val="none"/>
          <w:lang w:eastAsia="en-US"/>
        </w:rPr>
        <w:t>欠费处理的；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（十一）</w:t>
      </w:r>
      <w:r>
        <w:rPr>
          <w:rFonts w:hint="eastAsia" w:ascii="仿宋_GB2312" w:hAnsi="仿宋_GB2312" w:eastAsia="仿宋_GB2312" w:cs="仿宋_GB2312"/>
          <w:snapToGrid w:val="0"/>
          <w:color w:val="auto"/>
          <w:spacing w:val="19"/>
          <w:kern w:val="0"/>
          <w:sz w:val="32"/>
          <w:szCs w:val="32"/>
          <w:highlight w:val="none"/>
          <w:lang w:eastAsia="en-US"/>
        </w:rPr>
        <w:t>未公布医保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19"/>
          <w:kern w:val="0"/>
          <w:sz w:val="32"/>
          <w:szCs w:val="32"/>
          <w:highlight w:val="none"/>
          <w:lang w:eastAsia="en-US"/>
        </w:rPr>
        <w:t>投诉举报渠道，或未及</w:t>
      </w:r>
      <w:r>
        <w:rPr>
          <w:rFonts w:hint="eastAsia" w:ascii="仿宋_GB2312" w:hAnsi="仿宋_GB2312" w:eastAsia="仿宋_GB2312" w:cs="仿宋_GB2312"/>
          <w:snapToGrid w:val="0"/>
          <w:color w:val="auto"/>
          <w:spacing w:val="18"/>
          <w:kern w:val="0"/>
          <w:sz w:val="32"/>
          <w:szCs w:val="32"/>
          <w:highlight w:val="none"/>
          <w:lang w:eastAsia="en-US"/>
        </w:rPr>
        <w:t>时处理投诉举报</w:t>
      </w:r>
      <w:r>
        <w:rPr>
          <w:rFonts w:hint="eastAsia" w:ascii="仿宋_GB2312" w:hAnsi="仿宋_GB2312" w:eastAsia="仿宋_GB2312" w:cs="仿宋_GB2312"/>
          <w:snapToGrid w:val="0"/>
          <w:color w:val="auto"/>
          <w:spacing w:val="-2"/>
          <w:kern w:val="0"/>
          <w:sz w:val="32"/>
          <w:szCs w:val="32"/>
          <w:highlight w:val="none"/>
          <w:lang w:eastAsia="en-US"/>
        </w:rPr>
        <w:t>或社会监督反映的问题的；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1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（十二）</w:t>
      </w:r>
      <w:r>
        <w:rPr>
          <w:rFonts w:hint="eastAsia" w:ascii="仿宋_GB2312" w:hAnsi="仿宋_GB2312" w:eastAsia="仿宋_GB2312" w:cs="仿宋_GB2312"/>
          <w:snapToGrid w:val="0"/>
          <w:color w:val="auto"/>
          <w:spacing w:val="18"/>
          <w:kern w:val="0"/>
          <w:sz w:val="32"/>
          <w:szCs w:val="32"/>
          <w:highlight w:val="none"/>
          <w:lang w:eastAsia="en-US"/>
        </w:rPr>
        <w:t>其他未按</w:t>
      </w:r>
      <w:r>
        <w:rPr>
          <w:rFonts w:hint="eastAsia" w:ascii="仿宋_GB2312" w:hAnsi="仿宋_GB2312" w:eastAsia="仿宋_GB2312" w:cs="仿宋_GB2312"/>
          <w:snapToGrid w:val="0"/>
          <w:color w:val="auto"/>
          <w:spacing w:val="18"/>
          <w:kern w:val="0"/>
          <w:sz w:val="32"/>
          <w:szCs w:val="32"/>
          <w:highlight w:val="none"/>
          <w:lang w:val="en-US" w:eastAsia="zh-CN"/>
        </w:rPr>
        <w:t>本</w:t>
      </w:r>
      <w:r>
        <w:rPr>
          <w:rFonts w:hint="eastAsia" w:ascii="仿宋_GB2312" w:hAnsi="仿宋_GB2312" w:eastAsia="仿宋_GB2312" w:cs="仿宋_GB2312"/>
          <w:snapToGrid w:val="0"/>
          <w:color w:val="auto"/>
          <w:spacing w:val="18"/>
          <w:kern w:val="0"/>
          <w:sz w:val="32"/>
          <w:szCs w:val="32"/>
          <w:highlight w:val="none"/>
          <w:lang w:eastAsia="en-US"/>
        </w:rPr>
        <w:t>协议约定落实管理措施，但未造成基</w:t>
      </w:r>
      <w:r>
        <w:rPr>
          <w:rFonts w:hint="eastAsia" w:ascii="仿宋_GB2312" w:hAnsi="仿宋_GB2312" w:eastAsia="仿宋_GB2312" w:cs="仿宋_GB2312"/>
          <w:snapToGrid w:val="0"/>
          <w:color w:val="auto"/>
          <w:spacing w:val="-10"/>
          <w:kern w:val="0"/>
          <w:sz w:val="32"/>
          <w:szCs w:val="32"/>
          <w:highlight w:val="none"/>
          <w:lang w:eastAsia="en-US"/>
        </w:rPr>
        <w:t>金损失的</w:t>
      </w:r>
      <w:r>
        <w:rPr>
          <w:rFonts w:hint="eastAsia" w:ascii="仿宋_GB2312" w:hAnsi="仿宋_GB2312" w:eastAsia="仿宋_GB2312" w:cs="仿宋_GB2312"/>
          <w:snapToGrid w:val="0"/>
          <w:color w:val="auto"/>
          <w:spacing w:val="-1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eastAsia" w:ascii="仿宋_GB2312" w:hAnsi="仿宋_GB2312" w:eastAsia="仿宋_GB2312" w:cs="仿宋_GB2312"/>
          <w:snapToGrid w:val="0"/>
          <w:color w:val="auto"/>
          <w:spacing w:val="-6"/>
          <w:kern w:val="0"/>
          <w:sz w:val="32"/>
          <w:szCs w:val="32"/>
          <w:highlight w:val="none"/>
          <w:lang w:val="en-US" w:eastAsia="zh-CN" w:bidi="zh-CN"/>
        </w:rPr>
      </w:pPr>
      <w:r>
        <w:rPr>
          <w:rFonts w:hint="eastAsia" w:ascii="仿宋_GB2312" w:hAnsi="仿宋_GB2312" w:eastAsia="仿宋_GB2312" w:cs="仿宋_GB2312"/>
          <w:snapToGrid w:val="0"/>
          <w:color w:val="auto"/>
          <w:spacing w:val="0"/>
          <w:kern w:val="0"/>
          <w:sz w:val="32"/>
          <w:szCs w:val="32"/>
          <w:highlight w:val="none"/>
          <w:lang w:eastAsia="zh-CN"/>
        </w:rPr>
        <w:t>（十三）</w:t>
      </w:r>
      <w:r>
        <w:rPr>
          <w:rFonts w:hint="eastAsia" w:ascii="仿宋_GB2312" w:hAnsi="仿宋_GB2312" w:eastAsia="仿宋_GB2312" w:cs="仿宋_GB2312"/>
          <w:snapToGrid w:val="0"/>
          <w:color w:val="auto"/>
          <w:spacing w:val="-10"/>
          <w:kern w:val="0"/>
          <w:sz w:val="32"/>
          <w:szCs w:val="32"/>
          <w:highlight w:val="none"/>
          <w:lang w:val="en-US" w:eastAsia="zh-CN" w:bidi="ar-SA"/>
        </w:rPr>
        <w:t>门诊慢性特殊疾病认定流程不规范、认定标准不准确、认定条件放宽的。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16"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ascii="黑体" w:hAnsi="黑体" w:eastAsia="黑体" w:cs="黑体"/>
          <w:snapToGrid w:val="0"/>
          <w:color w:val="auto"/>
          <w:spacing w:val="-6"/>
          <w:kern w:val="0"/>
          <w:sz w:val="32"/>
          <w:szCs w:val="32"/>
          <w:highlight w:val="none"/>
          <w:lang w:eastAsia="zh-CN" w:bidi="zh-CN"/>
        </w:rPr>
        <w:t>第</w:t>
      </w:r>
      <w:r>
        <w:rPr>
          <w:rFonts w:hint="eastAsia" w:ascii="黑体" w:hAnsi="黑体" w:eastAsia="黑体" w:cs="黑体"/>
          <w:snapToGrid w:val="0"/>
          <w:color w:val="auto"/>
          <w:spacing w:val="-6"/>
          <w:kern w:val="0"/>
          <w:sz w:val="32"/>
          <w:szCs w:val="32"/>
          <w:highlight w:val="none"/>
          <w:lang w:val="en-US" w:eastAsia="zh-CN" w:bidi="zh-CN"/>
        </w:rPr>
        <w:t>八</w:t>
      </w:r>
      <w:r>
        <w:rPr>
          <w:rFonts w:ascii="黑体" w:hAnsi="黑体" w:eastAsia="黑体" w:cs="黑体"/>
          <w:snapToGrid w:val="0"/>
          <w:color w:val="auto"/>
          <w:spacing w:val="-6"/>
          <w:kern w:val="0"/>
          <w:sz w:val="32"/>
          <w:szCs w:val="32"/>
          <w:highlight w:val="none"/>
          <w:lang w:eastAsia="zh-CN" w:bidi="zh-CN"/>
        </w:rPr>
        <w:t>十</w:t>
      </w:r>
      <w:r>
        <w:rPr>
          <w:rFonts w:hint="eastAsia" w:ascii="黑体" w:hAnsi="黑体" w:eastAsia="黑体" w:cs="黑体"/>
          <w:snapToGrid w:val="0"/>
          <w:color w:val="auto"/>
          <w:spacing w:val="-6"/>
          <w:kern w:val="0"/>
          <w:sz w:val="32"/>
          <w:szCs w:val="32"/>
          <w:highlight w:val="none"/>
          <w:lang w:val="en-US" w:eastAsia="zh-CN" w:bidi="zh-CN"/>
        </w:rPr>
        <w:t>三</w:t>
      </w:r>
      <w:r>
        <w:rPr>
          <w:rFonts w:ascii="黑体" w:hAnsi="黑体" w:eastAsia="黑体" w:cs="黑体"/>
          <w:snapToGrid w:val="0"/>
          <w:color w:val="auto"/>
          <w:spacing w:val="-6"/>
          <w:kern w:val="0"/>
          <w:sz w:val="32"/>
          <w:szCs w:val="32"/>
          <w:highlight w:val="none"/>
          <w:lang w:eastAsia="zh-CN" w:bidi="zh-CN"/>
        </w:rPr>
        <w:t>条</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snapToGrid w:val="0"/>
          <w:color w:val="auto"/>
          <w:spacing w:val="-6"/>
          <w:kern w:val="0"/>
          <w:sz w:val="32"/>
          <w:szCs w:val="32"/>
          <w:highlight w:val="none"/>
          <w:lang w:val="en-US" w:eastAsia="zh-CN" w:bidi="zh-CN"/>
        </w:rPr>
        <w:t>暂停拨付</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snapToGrid w:val="0"/>
          <w:color w:val="auto"/>
          <w:spacing w:val="-6"/>
          <w:kern w:val="0"/>
          <w:sz w:val="32"/>
          <w:szCs w:val="32"/>
          <w:highlight w:val="none"/>
          <w:lang w:val="en-US" w:eastAsia="zh-CN" w:bidi="zh-CN"/>
        </w:rPr>
        <w:t xml:space="preserve"> </w:t>
      </w:r>
      <w:r>
        <w:rPr>
          <w:rFonts w:hint="eastAsia" w:ascii="仿宋_GB2312" w:hAnsi="仿宋_GB2312" w:eastAsia="仿宋_GB2312" w:cs="仿宋_GB2312"/>
          <w:snapToGrid w:val="0"/>
          <w:color w:val="auto"/>
          <w:spacing w:val="8"/>
          <w:kern w:val="0"/>
          <w:sz w:val="32"/>
          <w:szCs w:val="32"/>
          <w:highlight w:val="none"/>
          <w:lang w:eastAsia="en-US"/>
        </w:rPr>
        <w:t>经查实，乙方有下列情形之一的，或有第</w:t>
      </w:r>
      <w:r>
        <w:rPr>
          <w:rFonts w:hint="eastAsia" w:ascii="仿宋_GB2312" w:hAnsi="仿宋_GB2312" w:eastAsia="仿宋_GB2312" w:cs="仿宋_GB2312"/>
          <w:snapToGrid w:val="0"/>
          <w:color w:val="auto"/>
          <w:spacing w:val="8"/>
          <w:kern w:val="0"/>
          <w:sz w:val="32"/>
          <w:szCs w:val="32"/>
          <w:highlight w:val="none"/>
          <w:lang w:val="en-US" w:eastAsia="zh-CN"/>
        </w:rPr>
        <w:t>八</w:t>
      </w:r>
      <w:r>
        <w:rPr>
          <w:rFonts w:hint="eastAsia" w:ascii="仿宋_GB2312" w:hAnsi="仿宋_GB2312" w:eastAsia="仿宋_GB2312" w:cs="仿宋_GB2312"/>
          <w:snapToGrid w:val="0"/>
          <w:color w:val="auto"/>
          <w:spacing w:val="8"/>
          <w:kern w:val="0"/>
          <w:sz w:val="32"/>
          <w:szCs w:val="32"/>
          <w:highlight w:val="none"/>
          <w:lang w:eastAsia="en-US"/>
        </w:rPr>
        <w:t>十</w:t>
      </w:r>
      <w:r>
        <w:rPr>
          <w:rFonts w:hint="eastAsia" w:ascii="仿宋_GB2312" w:hAnsi="仿宋_GB2312" w:eastAsia="仿宋_GB2312" w:cs="仿宋_GB2312"/>
          <w:snapToGrid w:val="0"/>
          <w:color w:val="auto"/>
          <w:spacing w:val="6"/>
          <w:kern w:val="0"/>
          <w:sz w:val="32"/>
          <w:szCs w:val="32"/>
          <w:highlight w:val="none"/>
          <w:lang w:val="en-US" w:eastAsia="zh-CN"/>
        </w:rPr>
        <w:t>二</w:t>
      </w:r>
      <w:r>
        <w:rPr>
          <w:rFonts w:hint="eastAsia" w:ascii="仿宋_GB2312" w:hAnsi="仿宋_GB2312" w:eastAsia="仿宋_GB2312" w:cs="仿宋_GB2312"/>
          <w:snapToGrid w:val="0"/>
          <w:color w:val="auto"/>
          <w:spacing w:val="6"/>
          <w:kern w:val="0"/>
          <w:sz w:val="32"/>
          <w:szCs w:val="32"/>
          <w:highlight w:val="none"/>
          <w:lang w:eastAsia="en-US"/>
        </w:rPr>
        <w:t>条情形造成社会影响较大的，甲方暂停拨付医保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6"/>
          <w:kern w:val="0"/>
          <w:sz w:val="32"/>
          <w:szCs w:val="32"/>
          <w:highlight w:val="none"/>
          <w:lang w:eastAsia="en-US"/>
        </w:rPr>
        <w:t>费用，督促其限期整改，整改到位的，暂停拨付期间乙方发生的符合规定的医</w:t>
      </w:r>
      <w:r>
        <w:rPr>
          <w:rFonts w:hint="eastAsia" w:ascii="仿宋_GB2312" w:hAnsi="仿宋_GB2312" w:eastAsia="仿宋_GB2312" w:cs="仿宋_GB2312"/>
          <w:snapToGrid w:val="0"/>
          <w:color w:val="auto"/>
          <w:spacing w:val="-3"/>
          <w:kern w:val="0"/>
          <w:sz w:val="32"/>
          <w:szCs w:val="32"/>
          <w:highlight w:val="none"/>
          <w:lang w:eastAsia="en-US"/>
        </w:rPr>
        <w:t>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3"/>
          <w:kern w:val="0"/>
          <w:sz w:val="32"/>
          <w:szCs w:val="32"/>
          <w:highlight w:val="none"/>
          <w:lang w:eastAsia="en-US"/>
        </w:rPr>
        <w:t>费用甲方予以支付：</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3"/>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eastAsia="zh-CN"/>
        </w:rPr>
        <w:t>（一）</w:t>
      </w:r>
      <w:r>
        <w:rPr>
          <w:rFonts w:hint="eastAsia" w:ascii="仿宋_GB2312" w:hAnsi="仿宋_GB2312" w:eastAsia="仿宋_GB2312" w:cs="仿宋_GB2312"/>
          <w:snapToGrid w:val="0"/>
          <w:color w:val="auto"/>
          <w:spacing w:val="18"/>
          <w:kern w:val="0"/>
          <w:sz w:val="32"/>
          <w:szCs w:val="32"/>
          <w:highlight w:val="none"/>
          <w:lang w:val="en-US" w:eastAsia="en-US" w:bidi="ar-SA"/>
        </w:rPr>
        <w:t>未按照甲方提供的医保信息平台接口标准进行系统开</w:t>
      </w:r>
      <w:r>
        <w:rPr>
          <w:rFonts w:hint="eastAsia" w:ascii="仿宋_GB2312" w:hAnsi="仿宋_GB2312" w:eastAsia="仿宋_GB2312" w:cs="仿宋_GB2312"/>
          <w:snapToGrid w:val="0"/>
          <w:color w:val="auto"/>
          <w:spacing w:val="7"/>
          <w:kern w:val="0"/>
          <w:sz w:val="32"/>
          <w:szCs w:val="32"/>
          <w:highlight w:val="none"/>
          <w:lang w:val="en-US" w:eastAsia="en-US" w:bidi="ar-SA"/>
        </w:rPr>
        <w:t>发和改造的；未按规定使用国家统一的医保信息</w:t>
      </w:r>
      <w:r>
        <w:rPr>
          <w:rFonts w:hint="eastAsia" w:ascii="仿宋_GB2312" w:hAnsi="仿宋_GB2312" w:eastAsia="仿宋_GB2312" w:cs="仿宋_GB2312"/>
          <w:snapToGrid w:val="0"/>
          <w:color w:val="auto"/>
          <w:spacing w:val="6"/>
          <w:kern w:val="0"/>
          <w:sz w:val="32"/>
          <w:szCs w:val="32"/>
          <w:highlight w:val="none"/>
          <w:lang w:val="en-US" w:eastAsia="en-US" w:bidi="ar-SA"/>
        </w:rPr>
        <w:t>业务编码的；未</w:t>
      </w:r>
      <w:r>
        <w:rPr>
          <w:rFonts w:hint="eastAsia" w:ascii="仿宋_GB2312" w:hAnsi="仿宋_GB2312" w:eastAsia="仿宋_GB2312" w:cs="仿宋_GB2312"/>
          <w:snapToGrid w:val="0"/>
          <w:color w:val="auto"/>
          <w:spacing w:val="19"/>
          <w:kern w:val="0"/>
          <w:sz w:val="32"/>
          <w:szCs w:val="32"/>
          <w:highlight w:val="none"/>
          <w:lang w:val="en-US" w:eastAsia="en-US" w:bidi="ar-SA"/>
        </w:rPr>
        <w:t>做好国家医保信息业务编码标准数据库的应</w:t>
      </w:r>
      <w:r>
        <w:rPr>
          <w:rFonts w:hint="eastAsia" w:ascii="仿宋_GB2312" w:hAnsi="仿宋_GB2312" w:eastAsia="仿宋_GB2312" w:cs="仿宋_GB2312"/>
          <w:snapToGrid w:val="0"/>
          <w:color w:val="auto"/>
          <w:spacing w:val="18"/>
          <w:kern w:val="0"/>
          <w:sz w:val="32"/>
          <w:szCs w:val="32"/>
          <w:highlight w:val="none"/>
          <w:lang w:val="en-US" w:eastAsia="en-US" w:bidi="ar-SA"/>
        </w:rPr>
        <w:t>用和动态维护工作</w:t>
      </w:r>
      <w:r>
        <w:rPr>
          <w:rFonts w:hint="eastAsia" w:ascii="仿宋_GB2312" w:hAnsi="仿宋_GB2312" w:eastAsia="仿宋_GB2312" w:cs="仿宋_GB2312"/>
          <w:snapToGrid w:val="0"/>
          <w:color w:val="auto"/>
          <w:spacing w:val="6"/>
          <w:kern w:val="0"/>
          <w:sz w:val="32"/>
          <w:szCs w:val="32"/>
          <w:highlight w:val="none"/>
          <w:lang w:val="en-US" w:eastAsia="en-US" w:bidi="ar-SA"/>
        </w:rPr>
        <w:t>的；因医保信息业务编码维护不及时、对应不正确，影响参保人</w:t>
      </w:r>
      <w:r>
        <w:rPr>
          <w:rFonts w:hint="eastAsia" w:ascii="仿宋_GB2312" w:hAnsi="仿宋_GB2312" w:eastAsia="仿宋_GB2312" w:cs="仿宋_GB2312"/>
          <w:snapToGrid w:val="0"/>
          <w:color w:val="auto"/>
          <w:spacing w:val="-3"/>
          <w:kern w:val="0"/>
          <w:sz w:val="32"/>
          <w:szCs w:val="32"/>
          <w:highlight w:val="none"/>
          <w:lang w:val="en-US" w:eastAsia="en-US" w:bidi="ar-SA"/>
        </w:rPr>
        <w:t>员正常结算或造成结算错误的；</w:t>
      </w:r>
      <w:r>
        <w:rPr>
          <w:rFonts w:hint="eastAsia" w:ascii="仿宋_GB2312" w:hAnsi="仿宋_GB2312" w:eastAsia="仿宋_GB2312" w:cs="仿宋_GB2312"/>
          <w:snapToGrid w:val="0"/>
          <w:color w:val="auto"/>
          <w:spacing w:val="-3"/>
          <w:kern w:val="0"/>
          <w:sz w:val="32"/>
          <w:szCs w:val="32"/>
          <w:highlight w:val="none"/>
          <w:lang w:val="en-US" w:eastAsia="zh-CN" w:bidi="ar-SA"/>
        </w:rPr>
        <w:t>未按规定及时准确上传医保基金监管所需信息或数据（包括但不限于</w:t>
      </w:r>
      <w:r>
        <w:rPr>
          <w:rFonts w:hint="eastAsia" w:ascii="仿宋_GB2312" w:hAnsi="仿宋_GB2312" w:eastAsia="仿宋_GB2312" w:cs="仿宋_GB2312"/>
          <w:strike w:val="0"/>
          <w:snapToGrid w:val="0"/>
          <w:color w:val="auto"/>
          <w:spacing w:val="-3"/>
          <w:kern w:val="0"/>
          <w:sz w:val="32"/>
          <w:szCs w:val="32"/>
          <w:highlight w:val="none"/>
          <w:lang w:val="en-US" w:eastAsia="zh-CN" w:bidi="ar-SA"/>
        </w:rPr>
        <w:t>进销存数据</w:t>
      </w:r>
      <w:r>
        <w:rPr>
          <w:rFonts w:hint="eastAsia" w:ascii="仿宋_GB2312" w:hAnsi="仿宋_GB2312" w:eastAsia="仿宋_GB2312" w:cs="仿宋_GB2312"/>
          <w:snapToGrid w:val="0"/>
          <w:color w:val="auto"/>
          <w:spacing w:val="-3"/>
          <w:kern w:val="0"/>
          <w:sz w:val="32"/>
          <w:szCs w:val="32"/>
          <w:highlight w:val="none"/>
          <w:lang w:val="en-US" w:eastAsia="zh-CN" w:bidi="ar-SA"/>
        </w:rPr>
        <w:t>、追溯码数据、全量数据等）的；未按要求对接并使用医保信息平台相关功能的；未按要求落实电子处方流转的；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（二）</w:t>
      </w:r>
      <w:r>
        <w:rPr>
          <w:rFonts w:hint="eastAsia" w:ascii="仿宋_GB2312" w:hAnsi="仿宋_GB2312" w:eastAsia="仿宋_GB2312" w:cs="仿宋_GB2312"/>
          <w:snapToGrid w:val="0"/>
          <w:color w:val="auto"/>
          <w:spacing w:val="11"/>
          <w:kern w:val="0"/>
          <w:sz w:val="32"/>
          <w:szCs w:val="32"/>
          <w:highlight w:val="none"/>
          <w:lang w:val="en-US" w:eastAsia="zh-CN"/>
        </w:rPr>
        <w:t>未遵守《医疗保障核心业务区网络安全接入规范》要求，</w:t>
      </w:r>
      <w:r>
        <w:rPr>
          <w:rFonts w:hint="eastAsia" w:ascii="仿宋_GB2312" w:hAnsi="仿宋_GB2312" w:eastAsia="仿宋_GB2312" w:cs="仿宋_GB2312"/>
          <w:snapToGrid w:val="0"/>
          <w:color w:val="auto"/>
          <w:spacing w:val="11"/>
          <w:kern w:val="0"/>
          <w:sz w:val="32"/>
          <w:szCs w:val="32"/>
          <w:highlight w:val="none"/>
          <w:lang w:eastAsia="en-US"/>
        </w:rPr>
        <w:t>对接医保信息平台的网络、设备未与互联网物理</w:t>
      </w:r>
      <w:r>
        <w:rPr>
          <w:rFonts w:hint="eastAsia" w:ascii="仿宋_GB2312" w:hAnsi="仿宋_GB2312" w:eastAsia="仿宋_GB2312" w:cs="仿宋_GB2312"/>
          <w:snapToGrid w:val="0"/>
          <w:color w:val="auto"/>
          <w:spacing w:val="10"/>
          <w:kern w:val="0"/>
          <w:sz w:val="32"/>
          <w:szCs w:val="32"/>
          <w:highlight w:val="none"/>
          <w:lang w:eastAsia="en-US"/>
        </w:rPr>
        <w:t>隔离，</w:t>
      </w:r>
      <w:r>
        <w:rPr>
          <w:rFonts w:hint="eastAsia" w:ascii="仿宋_GB2312" w:hAnsi="仿宋_GB2312" w:eastAsia="仿宋_GB2312" w:cs="仿宋_GB2312"/>
          <w:snapToGrid w:val="0"/>
          <w:color w:val="auto"/>
          <w:spacing w:val="6"/>
          <w:kern w:val="0"/>
          <w:sz w:val="32"/>
          <w:szCs w:val="32"/>
          <w:highlight w:val="none"/>
          <w:lang w:eastAsia="en-US"/>
        </w:rPr>
        <w:t>与其它外部网络联网时未采</w:t>
      </w:r>
      <w:r>
        <w:rPr>
          <w:rFonts w:hint="eastAsia" w:ascii="仿宋_GB2312" w:hAnsi="仿宋_GB2312" w:eastAsia="仿宋_GB2312" w:cs="仿宋_GB2312"/>
          <w:snapToGrid w:val="0"/>
          <w:color w:val="auto"/>
          <w:spacing w:val="6"/>
          <w:kern w:val="0"/>
          <w:sz w:val="32"/>
          <w:szCs w:val="32"/>
          <w:highlight w:val="none"/>
          <w:lang w:eastAsia="zh-CN"/>
        </w:rPr>
        <w:t>取</w:t>
      </w:r>
      <w:r>
        <w:rPr>
          <w:rFonts w:hint="eastAsia" w:ascii="仿宋_GB2312" w:hAnsi="仿宋_GB2312" w:eastAsia="仿宋_GB2312" w:cs="仿宋_GB2312"/>
          <w:snapToGrid w:val="0"/>
          <w:color w:val="auto"/>
          <w:spacing w:val="6"/>
          <w:kern w:val="0"/>
          <w:sz w:val="32"/>
          <w:szCs w:val="32"/>
          <w:highlight w:val="none"/>
          <w:lang w:eastAsia="en-US"/>
        </w:rPr>
        <w:t>有效的安全及隔离措施的</w:t>
      </w:r>
      <w:r>
        <w:rPr>
          <w:rFonts w:hint="eastAsia" w:ascii="仿宋_GB2312" w:hAnsi="仿宋_GB2312" w:eastAsia="仿宋_GB2312" w:cs="仿宋_GB2312"/>
          <w:snapToGrid w:val="0"/>
          <w:color w:val="auto"/>
          <w:spacing w:val="6"/>
          <w:kern w:val="0"/>
          <w:sz w:val="32"/>
          <w:szCs w:val="32"/>
          <w:highlight w:val="none"/>
          <w:lang w:eastAsia="zh-CN"/>
        </w:rPr>
        <w:t>，</w:t>
      </w:r>
      <w:r>
        <w:rPr>
          <w:rFonts w:hint="eastAsia" w:ascii="仿宋_GB2312" w:hAnsi="仿宋_GB2312" w:eastAsia="仿宋_GB2312" w:cs="仿宋_GB2312"/>
          <w:snapToGrid w:val="0"/>
          <w:color w:val="auto"/>
          <w:spacing w:val="11"/>
          <w:kern w:val="0"/>
          <w:sz w:val="32"/>
          <w:szCs w:val="32"/>
          <w:highlight w:val="none"/>
          <w:lang w:val="en-US" w:eastAsia="zh-CN"/>
        </w:rPr>
        <w:t>对医保或其他关联政务系统构成网络信息安全威胁的；</w:t>
      </w:r>
      <w:r>
        <w:rPr>
          <w:rFonts w:hint="eastAsia" w:ascii="仿宋_GB2312" w:hAnsi="仿宋_GB2312" w:eastAsia="仿宋_GB2312" w:cs="仿宋_GB2312"/>
          <w:snapToGrid w:val="0"/>
          <w:color w:val="auto"/>
          <w:spacing w:val="11"/>
          <w:kern w:val="0"/>
          <w:sz w:val="32"/>
          <w:szCs w:val="32"/>
          <w:highlight w:val="none"/>
          <w:lang w:eastAsia="zh-CN"/>
        </w:rPr>
        <w:t>一年内发生医保网络信息安全事件</w:t>
      </w:r>
      <w:r>
        <w:rPr>
          <w:rFonts w:hint="eastAsia" w:ascii="仿宋_GB2312" w:hAnsi="仿宋_GB2312" w:eastAsia="仿宋_GB2312" w:cs="仿宋_GB2312"/>
          <w:snapToGrid w:val="0"/>
          <w:color w:val="auto"/>
          <w:spacing w:val="11"/>
          <w:kern w:val="0"/>
          <w:sz w:val="32"/>
          <w:szCs w:val="32"/>
          <w:highlight w:val="none"/>
          <w:lang w:val="en-US" w:eastAsia="zh-CN"/>
        </w:rPr>
        <w:t>或受到医保、网信、公安、政务信息化等部门网络信息安全情况通报的；</w:t>
      </w:r>
      <w:r>
        <w:rPr>
          <w:rFonts w:hint="eastAsia" w:ascii="仿宋_GB2312" w:hAnsi="仿宋_GB2312" w:eastAsia="仿宋_GB2312" w:cs="仿宋_GB2312"/>
          <w:snapToGrid w:val="0"/>
          <w:color w:val="auto"/>
          <w:spacing w:val="6"/>
          <w:kern w:val="0"/>
          <w:sz w:val="32"/>
          <w:szCs w:val="32"/>
          <w:highlight w:val="none"/>
          <w:lang w:eastAsia="en-US"/>
        </w:rPr>
        <w:t>未遵守</w:t>
      </w:r>
      <w:r>
        <w:rPr>
          <w:rFonts w:hint="eastAsia" w:ascii="仿宋_GB2312" w:hAnsi="仿宋_GB2312" w:eastAsia="仿宋_GB2312" w:cs="仿宋_GB2312"/>
          <w:snapToGrid w:val="0"/>
          <w:color w:val="auto"/>
          <w:spacing w:val="7"/>
          <w:kern w:val="0"/>
          <w:sz w:val="32"/>
          <w:szCs w:val="32"/>
          <w:highlight w:val="none"/>
          <w:lang w:eastAsia="en-US"/>
        </w:rPr>
        <w:t>个人信息保护和数据安全有关制度，导致参保人员个人信息或医</w:t>
      </w:r>
      <w:r>
        <w:rPr>
          <w:rFonts w:hint="eastAsia" w:ascii="仿宋_GB2312" w:hAnsi="仿宋_GB2312" w:eastAsia="仿宋_GB2312" w:cs="仿宋_GB2312"/>
          <w:snapToGrid w:val="0"/>
          <w:color w:val="auto"/>
          <w:spacing w:val="-8"/>
          <w:kern w:val="0"/>
          <w:sz w:val="32"/>
          <w:szCs w:val="32"/>
          <w:highlight w:val="none"/>
          <w:lang w:eastAsia="en-US"/>
        </w:rPr>
        <w:t>保数据泄露的；将医保身份识别设备转借或赠与他人的；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（三）</w:t>
      </w:r>
      <w:r>
        <w:rPr>
          <w:rFonts w:hint="eastAsia" w:ascii="仿宋_GB2312" w:hAnsi="仿宋_GB2312" w:eastAsia="仿宋_GB2312" w:cs="仿宋_GB2312"/>
          <w:snapToGrid w:val="0"/>
          <w:color w:val="auto"/>
          <w:spacing w:val="8"/>
          <w:kern w:val="0"/>
          <w:sz w:val="32"/>
          <w:szCs w:val="32"/>
          <w:highlight w:val="none"/>
          <w:lang w:eastAsia="en-US"/>
        </w:rPr>
        <w:t>未按规定及时向医保信息平台传送参保人员医保审核</w:t>
      </w:r>
      <w:r>
        <w:rPr>
          <w:rFonts w:hint="eastAsia" w:ascii="仿宋_GB2312" w:hAnsi="仿宋_GB2312" w:eastAsia="仿宋_GB2312" w:cs="仿宋_GB2312"/>
          <w:snapToGrid w:val="0"/>
          <w:color w:val="auto"/>
          <w:spacing w:val="21"/>
          <w:kern w:val="0"/>
          <w:sz w:val="32"/>
          <w:szCs w:val="32"/>
          <w:highlight w:val="none"/>
          <w:lang w:eastAsia="en-US"/>
        </w:rPr>
        <w:t>结算所需信息、数据的；未按规定报送医疗保障基金结算清</w:t>
      </w:r>
      <w:r>
        <w:rPr>
          <w:rFonts w:hint="eastAsia" w:ascii="仿宋_GB2312" w:hAnsi="仿宋_GB2312" w:eastAsia="仿宋_GB2312" w:cs="仿宋_GB2312"/>
          <w:snapToGrid w:val="0"/>
          <w:color w:val="auto"/>
          <w:spacing w:val="-16"/>
          <w:kern w:val="0"/>
          <w:sz w:val="32"/>
          <w:szCs w:val="32"/>
          <w:highlight w:val="none"/>
          <w:lang w:eastAsia="en-US"/>
        </w:rPr>
        <w:t>单的；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（四）</w:t>
      </w:r>
      <w:r>
        <w:rPr>
          <w:rFonts w:hint="eastAsia" w:ascii="仿宋_GB2312" w:hAnsi="仿宋_GB2312" w:eastAsia="仿宋_GB2312" w:cs="仿宋_GB2312"/>
          <w:snapToGrid w:val="0"/>
          <w:color w:val="auto"/>
          <w:spacing w:val="-1"/>
          <w:kern w:val="0"/>
          <w:sz w:val="32"/>
          <w:szCs w:val="32"/>
          <w:highlight w:val="none"/>
          <w:lang w:val="en-US" w:eastAsia="zh-CN"/>
        </w:rPr>
        <w:t>经甲方评估</w:t>
      </w:r>
      <w:r>
        <w:rPr>
          <w:rFonts w:hint="eastAsia" w:ascii="仿宋_GB2312" w:hAnsi="仿宋_GB2312" w:eastAsia="仿宋_GB2312" w:cs="仿宋_GB2312"/>
          <w:snapToGrid w:val="0"/>
          <w:color w:val="auto"/>
          <w:spacing w:val="-1"/>
          <w:kern w:val="0"/>
          <w:sz w:val="32"/>
          <w:szCs w:val="32"/>
          <w:highlight w:val="none"/>
          <w:lang w:eastAsia="en-US"/>
        </w:rPr>
        <w:t>具备条件但拒不配合医保支付方式改革的；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1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（五）</w:t>
      </w:r>
      <w:r>
        <w:rPr>
          <w:rFonts w:hint="eastAsia" w:ascii="仿宋_GB2312" w:hAnsi="仿宋_GB2312" w:eastAsia="仿宋_GB2312" w:cs="仿宋_GB2312"/>
          <w:snapToGrid w:val="0"/>
          <w:color w:val="auto"/>
          <w:spacing w:val="9"/>
          <w:kern w:val="0"/>
          <w:sz w:val="32"/>
          <w:szCs w:val="32"/>
          <w:highlight w:val="none"/>
          <w:lang w:eastAsia="en-US"/>
        </w:rPr>
        <w:t>未按规定在医疗保障行政部门规定的医药采购平台上</w:t>
      </w:r>
      <w:r>
        <w:rPr>
          <w:rFonts w:hint="eastAsia" w:ascii="仿宋_GB2312" w:hAnsi="仿宋_GB2312" w:eastAsia="仿宋_GB2312" w:cs="仿宋_GB2312"/>
          <w:snapToGrid w:val="0"/>
          <w:color w:val="auto"/>
          <w:spacing w:val="-10"/>
          <w:kern w:val="0"/>
          <w:sz w:val="32"/>
          <w:szCs w:val="32"/>
          <w:highlight w:val="none"/>
          <w:lang w:eastAsia="en-US"/>
        </w:rPr>
        <w:t>采购药品、医用耗材的；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（六）</w:t>
      </w:r>
      <w:r>
        <w:rPr>
          <w:rFonts w:hint="eastAsia" w:ascii="仿宋_GB2312" w:hAnsi="仿宋_GB2312" w:eastAsia="仿宋_GB2312" w:cs="仿宋_GB2312"/>
          <w:snapToGrid w:val="0"/>
          <w:color w:val="auto"/>
          <w:spacing w:val="9"/>
          <w:kern w:val="0"/>
          <w:sz w:val="32"/>
          <w:szCs w:val="32"/>
          <w:highlight w:val="none"/>
          <w:lang w:eastAsia="en-US"/>
        </w:rPr>
        <w:t>对医保</w:t>
      </w:r>
      <w:r>
        <w:rPr>
          <w:rFonts w:hint="eastAsia" w:ascii="仿宋_GB2312" w:hAnsi="仿宋_GB2312" w:eastAsia="仿宋_GB2312" w:cs="仿宋_GB2312"/>
          <w:snapToGrid w:val="0"/>
          <w:color w:val="auto"/>
          <w:spacing w:val="9"/>
          <w:kern w:val="0"/>
          <w:sz w:val="32"/>
          <w:szCs w:val="32"/>
          <w:highlight w:val="none"/>
          <w:lang w:eastAsia="zh-CN"/>
        </w:rPr>
        <w:t>、工伤</w:t>
      </w:r>
      <w:r>
        <w:rPr>
          <w:rFonts w:hint="eastAsia" w:ascii="仿宋_GB2312" w:hAnsi="仿宋_GB2312" w:eastAsia="仿宋_GB2312" w:cs="仿宋_GB2312"/>
          <w:snapToGrid w:val="0"/>
          <w:color w:val="auto"/>
          <w:spacing w:val="9"/>
          <w:kern w:val="0"/>
          <w:sz w:val="32"/>
          <w:szCs w:val="32"/>
          <w:highlight w:val="none"/>
          <w:lang w:eastAsia="en-US"/>
        </w:rPr>
        <w:t>患者实行不公平、歧视性高价或其他违反价格</w:t>
      </w:r>
      <w:r>
        <w:rPr>
          <w:rFonts w:hint="eastAsia" w:ascii="仿宋_GB2312" w:hAnsi="仿宋_GB2312" w:eastAsia="仿宋_GB2312" w:cs="仿宋_GB2312"/>
          <w:snapToGrid w:val="0"/>
          <w:color w:val="auto"/>
          <w:spacing w:val="-8"/>
          <w:kern w:val="0"/>
          <w:sz w:val="32"/>
          <w:szCs w:val="32"/>
          <w:highlight w:val="none"/>
          <w:lang w:eastAsia="en-US"/>
        </w:rPr>
        <w:t>法、价格政策的；未履行本协议约定的其他价格相关事项的；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（七）</w:t>
      </w:r>
      <w:r>
        <w:rPr>
          <w:rFonts w:hint="eastAsia" w:ascii="仿宋_GB2312" w:hAnsi="仿宋_GB2312" w:eastAsia="仿宋_GB2312" w:cs="仿宋_GB2312"/>
          <w:snapToGrid w:val="0"/>
          <w:color w:val="auto"/>
          <w:spacing w:val="22"/>
          <w:kern w:val="0"/>
          <w:sz w:val="32"/>
          <w:szCs w:val="32"/>
          <w:highlight w:val="none"/>
          <w:lang w:eastAsia="en-US"/>
        </w:rPr>
        <w:t>其他对医保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22"/>
          <w:kern w:val="0"/>
          <w:sz w:val="32"/>
          <w:szCs w:val="32"/>
          <w:highlight w:val="none"/>
          <w:lang w:eastAsia="en-US"/>
        </w:rPr>
        <w:t>基金拨付造成影响，乙方应予以整改的</w:t>
      </w:r>
      <w:r>
        <w:rPr>
          <w:rFonts w:hint="eastAsia" w:ascii="仿宋_GB2312" w:hAnsi="仿宋_GB2312" w:eastAsia="仿宋_GB2312" w:cs="仿宋_GB2312"/>
          <w:snapToGrid w:val="0"/>
          <w:color w:val="auto"/>
          <w:spacing w:val="-12"/>
          <w:kern w:val="0"/>
          <w:sz w:val="32"/>
          <w:szCs w:val="32"/>
          <w:highlight w:val="none"/>
          <w:lang w:eastAsia="en-US"/>
        </w:rPr>
        <w:t>情形。</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16"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ascii="黑体" w:hAnsi="黑体" w:eastAsia="黑体" w:cs="黑体"/>
          <w:snapToGrid w:val="0"/>
          <w:color w:val="auto"/>
          <w:spacing w:val="-6"/>
          <w:kern w:val="0"/>
          <w:sz w:val="32"/>
          <w:szCs w:val="32"/>
          <w:highlight w:val="none"/>
          <w:lang w:eastAsia="zh-CN" w:bidi="zh-CN"/>
        </w:rPr>
        <w:t>第</w:t>
      </w:r>
      <w:r>
        <w:rPr>
          <w:rFonts w:hint="eastAsia" w:ascii="黑体" w:hAnsi="黑体" w:eastAsia="黑体" w:cs="黑体"/>
          <w:b w:val="0"/>
          <w:bCs w:val="0"/>
          <w:snapToGrid w:val="0"/>
          <w:color w:val="auto"/>
          <w:spacing w:val="-6"/>
          <w:kern w:val="0"/>
          <w:sz w:val="32"/>
          <w:szCs w:val="32"/>
          <w:highlight w:val="none"/>
          <w:lang w:val="en-US" w:eastAsia="zh-CN" w:bidi="zh-CN"/>
        </w:rPr>
        <w:t>八</w:t>
      </w:r>
      <w:r>
        <w:rPr>
          <w:rFonts w:ascii="黑体" w:hAnsi="黑体" w:eastAsia="黑体" w:cs="黑体"/>
          <w:b w:val="0"/>
          <w:bCs w:val="0"/>
          <w:snapToGrid w:val="0"/>
          <w:color w:val="auto"/>
          <w:spacing w:val="-6"/>
          <w:kern w:val="0"/>
          <w:sz w:val="32"/>
          <w:szCs w:val="32"/>
          <w:highlight w:val="none"/>
          <w:lang w:eastAsia="zh-CN" w:bidi="zh-CN"/>
        </w:rPr>
        <w:t>十</w:t>
      </w:r>
      <w:r>
        <w:rPr>
          <w:rFonts w:hint="eastAsia" w:ascii="黑体" w:hAnsi="黑体" w:eastAsia="黑体" w:cs="黑体"/>
          <w:b w:val="0"/>
          <w:bCs w:val="0"/>
          <w:snapToGrid w:val="0"/>
          <w:color w:val="auto"/>
          <w:spacing w:val="-6"/>
          <w:kern w:val="0"/>
          <w:sz w:val="32"/>
          <w:szCs w:val="32"/>
          <w:highlight w:val="none"/>
          <w:lang w:val="en-US" w:eastAsia="zh-CN" w:bidi="zh-CN"/>
        </w:rPr>
        <w:t>四</w:t>
      </w:r>
      <w:r>
        <w:rPr>
          <w:rFonts w:ascii="黑体" w:hAnsi="黑体" w:eastAsia="黑体" w:cs="黑体"/>
          <w:snapToGrid w:val="0"/>
          <w:color w:val="auto"/>
          <w:spacing w:val="-6"/>
          <w:kern w:val="0"/>
          <w:sz w:val="32"/>
          <w:szCs w:val="32"/>
          <w:highlight w:val="none"/>
          <w:lang w:eastAsia="zh-CN" w:bidi="zh-CN"/>
        </w:rPr>
        <w:t>条</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snapToGrid w:val="0"/>
          <w:color w:val="auto"/>
          <w:spacing w:val="-6"/>
          <w:kern w:val="0"/>
          <w:sz w:val="32"/>
          <w:szCs w:val="32"/>
          <w:highlight w:val="none"/>
          <w:lang w:val="en-US" w:eastAsia="zh-CN" w:bidi="zh-CN"/>
        </w:rPr>
        <w:t>不予支付或追回已支付</w:t>
      </w:r>
      <w:r>
        <w:rPr>
          <w:rFonts w:hint="default" w:ascii="黑体" w:hAnsi="黑体" w:eastAsia="黑体" w:cs="黑体"/>
          <w:b w:val="0"/>
          <w:snapToGrid w:val="0"/>
          <w:color w:val="auto"/>
          <w:spacing w:val="-6"/>
          <w:kern w:val="0"/>
          <w:sz w:val="32"/>
          <w:szCs w:val="32"/>
          <w:highlight w:val="none"/>
          <w:lang w:eastAsia="zh-CN" w:bidi="zh-CN"/>
        </w:rPr>
        <w:t>】</w:t>
      </w:r>
      <w:r>
        <w:rPr>
          <w:rFonts w:hint="eastAsia" w:ascii="黑体" w:hAnsi="黑体" w:eastAsia="黑体" w:cs="黑体"/>
          <w:snapToGrid w:val="0"/>
          <w:color w:val="auto"/>
          <w:spacing w:val="-1"/>
          <w:kern w:val="0"/>
          <w:sz w:val="32"/>
          <w:szCs w:val="32"/>
          <w:highlight w:val="none"/>
          <w:lang w:val="en-US" w:eastAsia="zh-CN"/>
        </w:rPr>
        <w:t xml:space="preserve"> </w:t>
      </w:r>
      <w:r>
        <w:rPr>
          <w:rFonts w:hint="eastAsia" w:ascii="仿宋_GB2312" w:hAnsi="仿宋_GB2312" w:eastAsia="仿宋_GB2312" w:cs="仿宋_GB2312"/>
          <w:snapToGrid w:val="0"/>
          <w:color w:val="auto"/>
          <w:spacing w:val="-1"/>
          <w:kern w:val="0"/>
          <w:sz w:val="32"/>
          <w:szCs w:val="32"/>
          <w:highlight w:val="none"/>
          <w:lang w:eastAsia="en-US"/>
        </w:rPr>
        <w:t>经查实，乙方有下列情形之一的，或有第</w:t>
      </w:r>
      <w:r>
        <w:rPr>
          <w:rFonts w:hint="eastAsia" w:ascii="仿宋_GB2312" w:hAnsi="仿宋_GB2312" w:eastAsia="仿宋_GB2312" w:cs="仿宋_GB2312"/>
          <w:snapToGrid w:val="0"/>
          <w:color w:val="auto"/>
          <w:spacing w:val="-1"/>
          <w:kern w:val="0"/>
          <w:sz w:val="32"/>
          <w:szCs w:val="32"/>
          <w:highlight w:val="none"/>
          <w:lang w:val="en-US" w:eastAsia="zh-CN"/>
        </w:rPr>
        <w:t>八</w:t>
      </w:r>
      <w:r>
        <w:rPr>
          <w:rFonts w:hint="eastAsia" w:ascii="仿宋_GB2312" w:hAnsi="仿宋_GB2312" w:eastAsia="仿宋_GB2312" w:cs="仿宋_GB2312"/>
          <w:snapToGrid w:val="0"/>
          <w:color w:val="auto"/>
          <w:spacing w:val="-1"/>
          <w:kern w:val="0"/>
          <w:sz w:val="32"/>
          <w:szCs w:val="32"/>
          <w:highlight w:val="none"/>
          <w:lang w:eastAsia="en-US"/>
        </w:rPr>
        <w:t>十</w:t>
      </w:r>
      <w:r>
        <w:rPr>
          <w:rFonts w:hint="eastAsia" w:ascii="仿宋_GB2312" w:hAnsi="仿宋_GB2312" w:eastAsia="仿宋_GB2312" w:cs="仿宋_GB2312"/>
          <w:snapToGrid w:val="0"/>
          <w:color w:val="auto"/>
          <w:spacing w:val="-4"/>
          <w:kern w:val="0"/>
          <w:sz w:val="32"/>
          <w:szCs w:val="32"/>
          <w:highlight w:val="none"/>
          <w:lang w:val="en-US" w:eastAsia="zh-CN"/>
        </w:rPr>
        <w:t>二</w:t>
      </w:r>
      <w:r>
        <w:rPr>
          <w:rFonts w:hint="eastAsia" w:ascii="仿宋_GB2312" w:hAnsi="仿宋_GB2312" w:eastAsia="仿宋_GB2312" w:cs="仿宋_GB2312"/>
          <w:snapToGrid w:val="0"/>
          <w:color w:val="auto"/>
          <w:spacing w:val="-4"/>
          <w:kern w:val="0"/>
          <w:sz w:val="32"/>
          <w:szCs w:val="32"/>
          <w:highlight w:val="none"/>
          <w:lang w:eastAsia="en-US"/>
        </w:rPr>
        <w:t>条、第</w:t>
      </w:r>
      <w:r>
        <w:rPr>
          <w:rFonts w:hint="eastAsia" w:ascii="仿宋_GB2312" w:hAnsi="仿宋_GB2312" w:eastAsia="仿宋_GB2312" w:cs="仿宋_GB2312"/>
          <w:snapToGrid w:val="0"/>
          <w:color w:val="auto"/>
          <w:spacing w:val="-4"/>
          <w:kern w:val="0"/>
          <w:sz w:val="32"/>
          <w:szCs w:val="32"/>
          <w:highlight w:val="none"/>
          <w:lang w:val="en-US" w:eastAsia="zh-CN"/>
        </w:rPr>
        <w:t>八</w:t>
      </w:r>
      <w:r>
        <w:rPr>
          <w:rFonts w:hint="eastAsia" w:ascii="仿宋_GB2312" w:hAnsi="仿宋_GB2312" w:eastAsia="仿宋_GB2312" w:cs="仿宋_GB2312"/>
          <w:snapToGrid w:val="0"/>
          <w:color w:val="auto"/>
          <w:spacing w:val="-4"/>
          <w:kern w:val="0"/>
          <w:sz w:val="32"/>
          <w:szCs w:val="32"/>
          <w:highlight w:val="none"/>
          <w:lang w:eastAsia="en-US"/>
        </w:rPr>
        <w:t>十</w:t>
      </w:r>
      <w:r>
        <w:rPr>
          <w:rFonts w:hint="eastAsia" w:ascii="仿宋_GB2312" w:hAnsi="仿宋_GB2312" w:eastAsia="仿宋_GB2312" w:cs="仿宋_GB2312"/>
          <w:snapToGrid w:val="0"/>
          <w:color w:val="auto"/>
          <w:spacing w:val="-4"/>
          <w:kern w:val="0"/>
          <w:sz w:val="32"/>
          <w:szCs w:val="32"/>
          <w:highlight w:val="none"/>
          <w:lang w:val="en-US" w:eastAsia="zh-CN"/>
        </w:rPr>
        <w:t>三</w:t>
      </w:r>
      <w:r>
        <w:rPr>
          <w:rFonts w:hint="eastAsia" w:ascii="仿宋_GB2312" w:hAnsi="仿宋_GB2312" w:eastAsia="仿宋_GB2312" w:cs="仿宋_GB2312"/>
          <w:snapToGrid w:val="0"/>
          <w:color w:val="auto"/>
          <w:spacing w:val="-4"/>
          <w:kern w:val="0"/>
          <w:sz w:val="32"/>
          <w:szCs w:val="32"/>
          <w:highlight w:val="none"/>
          <w:lang w:eastAsia="en-US"/>
        </w:rPr>
        <w:t>条情形且造成医保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4"/>
          <w:kern w:val="0"/>
          <w:sz w:val="32"/>
          <w:szCs w:val="32"/>
          <w:highlight w:val="none"/>
          <w:lang w:eastAsia="en-US"/>
        </w:rPr>
        <w:t>基金较大损失</w:t>
      </w:r>
      <w:r>
        <w:rPr>
          <w:rFonts w:hint="eastAsia" w:ascii="仿宋_GB2312" w:hAnsi="仿宋_GB2312" w:eastAsia="仿宋_GB2312" w:cs="仿宋_GB2312"/>
          <w:snapToGrid w:val="0"/>
          <w:color w:val="auto"/>
          <w:spacing w:val="-5"/>
          <w:kern w:val="0"/>
          <w:sz w:val="32"/>
          <w:szCs w:val="32"/>
          <w:highlight w:val="none"/>
          <w:lang w:eastAsia="en-US"/>
        </w:rPr>
        <w:t>，或社会影响较</w:t>
      </w:r>
      <w:r>
        <w:rPr>
          <w:rFonts w:hint="eastAsia" w:ascii="仿宋_GB2312" w:hAnsi="仿宋_GB2312" w:eastAsia="仿宋_GB2312" w:cs="仿宋_GB2312"/>
          <w:snapToGrid w:val="0"/>
          <w:color w:val="auto"/>
          <w:spacing w:val="-3"/>
          <w:kern w:val="0"/>
          <w:sz w:val="32"/>
          <w:szCs w:val="32"/>
          <w:highlight w:val="none"/>
          <w:lang w:eastAsia="en-US"/>
        </w:rPr>
        <w:t>大的，甲方不予支付或追回已支付的医保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3"/>
          <w:kern w:val="0"/>
          <w:sz w:val="32"/>
          <w:szCs w:val="32"/>
          <w:highlight w:val="none"/>
          <w:lang w:eastAsia="en-US"/>
        </w:rPr>
        <w:t>费用，</w:t>
      </w:r>
      <w:r>
        <w:rPr>
          <w:rFonts w:hint="eastAsia" w:ascii="仿宋_GB2312" w:hAnsi="仿宋_GB2312" w:eastAsia="仿宋_GB2312" w:cs="仿宋_GB2312"/>
          <w:snapToGrid w:val="0"/>
          <w:color w:val="auto"/>
          <w:spacing w:val="-4"/>
          <w:kern w:val="0"/>
          <w:sz w:val="32"/>
          <w:szCs w:val="32"/>
          <w:highlight w:val="none"/>
          <w:lang w:eastAsia="en-US"/>
        </w:rPr>
        <w:t>可要求乙方支付</w:t>
      </w:r>
      <w:r>
        <w:rPr>
          <w:rFonts w:hint="eastAsia" w:ascii="仿宋_GB2312" w:hAnsi="仿宋_GB2312" w:eastAsia="仿宋_GB2312" w:cs="仿宋_GB2312"/>
          <w:snapToGrid w:val="0"/>
          <w:color w:val="auto"/>
          <w:spacing w:val="5"/>
          <w:kern w:val="0"/>
          <w:sz w:val="32"/>
          <w:szCs w:val="32"/>
          <w:highlight w:val="none"/>
          <w:lang w:eastAsia="en-US"/>
        </w:rPr>
        <w:t>违约金，违约金</w:t>
      </w:r>
      <w:r>
        <w:rPr>
          <w:rFonts w:hint="eastAsia" w:ascii="仿宋_GB2312" w:hAnsi="仿宋_GB2312" w:eastAsia="仿宋_GB2312" w:cs="仿宋_GB2312"/>
          <w:snapToGrid w:val="0"/>
          <w:color w:val="auto"/>
          <w:spacing w:val="5"/>
          <w:kern w:val="0"/>
          <w:sz w:val="32"/>
          <w:szCs w:val="32"/>
          <w:highlight w:val="none"/>
          <w:lang w:eastAsia="zh-CN"/>
        </w:rPr>
        <w:t>为</w:t>
      </w:r>
      <w:r>
        <w:rPr>
          <w:rFonts w:hint="eastAsia" w:ascii="仿宋_GB2312" w:hAnsi="仿宋_GB2312" w:eastAsia="仿宋_GB2312" w:cs="仿宋_GB2312"/>
          <w:snapToGrid w:val="0"/>
          <w:color w:val="auto"/>
          <w:spacing w:val="5"/>
          <w:kern w:val="0"/>
          <w:sz w:val="32"/>
          <w:szCs w:val="32"/>
          <w:highlight w:val="none"/>
          <w:lang w:eastAsia="en-US"/>
        </w:rPr>
        <w:t>乙方违规费用的</w:t>
      </w:r>
      <w:r>
        <w:rPr>
          <w:rFonts w:hint="eastAsia" w:ascii="仿宋_GB2312" w:hAnsi="仿宋_GB2312" w:eastAsia="仿宋_GB2312" w:cs="仿宋_GB2312"/>
          <w:snapToGrid w:val="0"/>
          <w:color w:val="auto"/>
          <w:spacing w:val="5"/>
          <w:kern w:val="0"/>
          <w:sz w:val="32"/>
          <w:szCs w:val="32"/>
          <w:highlight w:val="none"/>
          <w:lang w:val="en-US" w:eastAsia="zh-CN"/>
        </w:rPr>
        <w:t>1</w:t>
      </w:r>
      <w:r>
        <w:rPr>
          <w:rFonts w:hint="eastAsia" w:ascii="仿宋_GB2312" w:hAnsi="仿宋_GB2312" w:eastAsia="仿宋_GB2312" w:cs="仿宋_GB2312"/>
          <w:snapToGrid w:val="0"/>
          <w:color w:val="auto"/>
          <w:spacing w:val="5"/>
          <w:kern w:val="0"/>
          <w:sz w:val="32"/>
          <w:szCs w:val="32"/>
          <w:highlight w:val="none"/>
          <w:lang w:eastAsia="en-US"/>
        </w:rPr>
        <w:t>0%</w:t>
      </w:r>
      <w:r>
        <w:rPr>
          <w:rFonts w:hint="eastAsia" w:ascii="仿宋_GB2312" w:hAnsi="仿宋_GB2312" w:eastAsia="仿宋_GB2312" w:cs="仿宋_GB2312"/>
          <w:snapToGrid w:val="0"/>
          <w:color w:val="auto"/>
          <w:spacing w:val="5"/>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（一）</w:t>
      </w:r>
      <w:r>
        <w:rPr>
          <w:rFonts w:hint="eastAsia" w:ascii="仿宋_GB2312" w:hAnsi="仿宋_GB2312" w:eastAsia="仿宋_GB2312" w:cs="仿宋_GB2312"/>
          <w:snapToGrid w:val="0"/>
          <w:color w:val="auto"/>
          <w:spacing w:val="-2"/>
          <w:kern w:val="0"/>
          <w:sz w:val="32"/>
          <w:szCs w:val="32"/>
          <w:highlight w:val="none"/>
          <w:lang w:eastAsia="en-US"/>
        </w:rPr>
        <w:t>未核验参保人员医疗保障</w:t>
      </w:r>
      <w:r>
        <w:rPr>
          <w:rFonts w:hint="eastAsia" w:ascii="仿宋_GB2312" w:hAnsi="仿宋_GB2312" w:eastAsia="仿宋_GB2312" w:cs="仿宋_GB2312"/>
          <w:snapToGrid w:val="0"/>
          <w:color w:val="auto"/>
          <w:spacing w:val="-2"/>
          <w:kern w:val="0"/>
          <w:sz w:val="32"/>
          <w:szCs w:val="32"/>
          <w:highlight w:val="none"/>
          <w:lang w:eastAsia="zh-CN"/>
        </w:rPr>
        <w:t>或工伤保险</w:t>
      </w:r>
      <w:r>
        <w:rPr>
          <w:rFonts w:hint="eastAsia" w:ascii="仿宋_GB2312" w:hAnsi="仿宋_GB2312" w:eastAsia="仿宋_GB2312" w:cs="仿宋_GB2312"/>
          <w:snapToGrid w:val="0"/>
          <w:color w:val="auto"/>
          <w:spacing w:val="-2"/>
          <w:kern w:val="0"/>
          <w:sz w:val="32"/>
          <w:szCs w:val="32"/>
          <w:highlight w:val="none"/>
          <w:lang w:eastAsia="en-US"/>
        </w:rPr>
        <w:t>凭证，造成冒名就医的；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en-US" w:bidi="ar-SA"/>
        </w:rPr>
      </w:pPr>
      <w:r>
        <w:rPr>
          <w:rFonts w:hint="eastAsia" w:ascii="仿宋_GB2312" w:hAnsi="仿宋_GB2312" w:eastAsia="仿宋_GB2312" w:cs="仿宋_GB2312"/>
          <w:snapToGrid w:val="0"/>
          <w:color w:val="auto"/>
          <w:spacing w:val="0"/>
          <w:kern w:val="0"/>
          <w:sz w:val="32"/>
          <w:szCs w:val="32"/>
          <w:highlight w:val="none"/>
          <w:lang w:eastAsia="zh-CN"/>
        </w:rPr>
        <w:t>（二）</w:t>
      </w:r>
      <w:r>
        <w:rPr>
          <w:rFonts w:hint="eastAsia" w:ascii="仿宋_GB2312" w:hAnsi="仿宋_GB2312" w:eastAsia="仿宋_GB2312" w:cs="仿宋_GB2312"/>
          <w:snapToGrid w:val="0"/>
          <w:color w:val="auto"/>
          <w:spacing w:val="9"/>
          <w:kern w:val="0"/>
          <w:sz w:val="32"/>
          <w:szCs w:val="32"/>
          <w:highlight w:val="none"/>
          <w:lang w:val="en-US" w:eastAsia="zh-CN" w:bidi="ar-SA"/>
        </w:rPr>
        <w:t>借优惠活动、体检、义诊等名义或通过错误、虚假宣传等不正当竞争方式</w:t>
      </w:r>
      <w:r>
        <w:rPr>
          <w:rFonts w:hint="eastAsia" w:ascii="仿宋_GB2312" w:hAnsi="仿宋_GB2312" w:eastAsia="仿宋_GB2312" w:cs="仿宋_GB2312"/>
          <w:snapToGrid w:val="0"/>
          <w:color w:val="auto"/>
          <w:spacing w:val="9"/>
          <w:kern w:val="0"/>
          <w:sz w:val="32"/>
          <w:szCs w:val="32"/>
          <w:highlight w:val="none"/>
          <w:lang w:val="en-US" w:eastAsia="en-US" w:bidi="ar-SA"/>
        </w:rPr>
        <w:t>诱导入院、低标准入院等，未严格掌握出入院指征和</w:t>
      </w:r>
      <w:r>
        <w:rPr>
          <w:rFonts w:hint="eastAsia" w:ascii="仿宋_GB2312" w:hAnsi="仿宋_GB2312" w:eastAsia="仿宋_GB2312" w:cs="仿宋_GB2312"/>
          <w:snapToGrid w:val="0"/>
          <w:color w:val="auto"/>
          <w:spacing w:val="-9"/>
          <w:kern w:val="0"/>
          <w:sz w:val="32"/>
          <w:szCs w:val="32"/>
          <w:highlight w:val="none"/>
          <w:lang w:val="en-US" w:eastAsia="en-US" w:bidi="ar-SA"/>
        </w:rPr>
        <w:t>重症监护病房收治标准，造成医保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9"/>
          <w:kern w:val="0"/>
          <w:sz w:val="32"/>
          <w:szCs w:val="32"/>
          <w:highlight w:val="none"/>
          <w:lang w:val="en-US" w:eastAsia="en-US" w:bidi="ar-SA"/>
        </w:rPr>
        <w:t>基金不合理支出的；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（三）</w:t>
      </w:r>
      <w:r>
        <w:rPr>
          <w:rFonts w:hint="eastAsia" w:ascii="仿宋_GB2312" w:hAnsi="仿宋_GB2312" w:eastAsia="仿宋_GB2312" w:cs="仿宋_GB2312"/>
          <w:snapToGrid w:val="0"/>
          <w:color w:val="auto"/>
          <w:spacing w:val="8"/>
          <w:kern w:val="0"/>
          <w:sz w:val="32"/>
          <w:szCs w:val="32"/>
          <w:highlight w:val="none"/>
          <w:lang w:eastAsia="en-US"/>
        </w:rPr>
        <w:t>未按规范填报医疗保障基金结算清单，高套分组等造</w:t>
      </w:r>
      <w:r>
        <w:rPr>
          <w:rFonts w:hint="eastAsia" w:ascii="仿宋_GB2312" w:hAnsi="仿宋_GB2312" w:eastAsia="仿宋_GB2312" w:cs="仿宋_GB2312"/>
          <w:snapToGrid w:val="0"/>
          <w:color w:val="auto"/>
          <w:spacing w:val="-12"/>
          <w:kern w:val="0"/>
          <w:sz w:val="32"/>
          <w:szCs w:val="32"/>
          <w:highlight w:val="none"/>
          <w:lang w:eastAsia="en-US"/>
        </w:rPr>
        <w:t>成基金损失的；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（四）</w:t>
      </w:r>
      <w:r>
        <w:rPr>
          <w:rFonts w:hint="eastAsia" w:ascii="仿宋_GB2312" w:hAnsi="仿宋_GB2312" w:eastAsia="仿宋_GB2312" w:cs="仿宋_GB2312"/>
          <w:snapToGrid w:val="0"/>
          <w:color w:val="auto"/>
          <w:spacing w:val="8"/>
          <w:kern w:val="0"/>
          <w:sz w:val="32"/>
          <w:szCs w:val="32"/>
          <w:highlight w:val="none"/>
          <w:lang w:eastAsia="en-US"/>
        </w:rPr>
        <w:t>将不属于医疗保障</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8"/>
          <w:kern w:val="0"/>
          <w:sz w:val="32"/>
          <w:szCs w:val="32"/>
          <w:highlight w:val="none"/>
          <w:lang w:eastAsia="en-US"/>
        </w:rPr>
        <w:t>基金支付范围的医药费用纳入医疗</w:t>
      </w:r>
      <w:r>
        <w:rPr>
          <w:rFonts w:hint="eastAsia" w:ascii="仿宋_GB2312" w:hAnsi="仿宋_GB2312" w:eastAsia="仿宋_GB2312" w:cs="仿宋_GB2312"/>
          <w:snapToGrid w:val="0"/>
          <w:color w:val="auto"/>
          <w:spacing w:val="-3"/>
          <w:kern w:val="0"/>
          <w:sz w:val="32"/>
          <w:szCs w:val="32"/>
          <w:highlight w:val="none"/>
          <w:lang w:eastAsia="en-US"/>
        </w:rPr>
        <w:t>保障</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3"/>
          <w:kern w:val="0"/>
          <w:sz w:val="32"/>
          <w:szCs w:val="32"/>
          <w:highlight w:val="none"/>
          <w:lang w:eastAsia="en-US"/>
        </w:rPr>
        <w:t>基金结算的；超出医保目录范围、药品法定适应症并纳入医</w:t>
      </w:r>
      <w:r>
        <w:rPr>
          <w:rFonts w:hint="eastAsia" w:ascii="仿宋_GB2312" w:hAnsi="仿宋_GB2312" w:eastAsia="仿宋_GB2312" w:cs="仿宋_GB2312"/>
          <w:snapToGrid w:val="0"/>
          <w:color w:val="auto"/>
          <w:spacing w:val="-10"/>
          <w:kern w:val="0"/>
          <w:sz w:val="32"/>
          <w:szCs w:val="32"/>
          <w:highlight w:val="none"/>
          <w:lang w:eastAsia="en-US"/>
        </w:rPr>
        <w:t>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10"/>
          <w:kern w:val="0"/>
          <w:sz w:val="32"/>
          <w:szCs w:val="32"/>
          <w:highlight w:val="none"/>
          <w:lang w:eastAsia="en-US"/>
        </w:rPr>
        <w:t>统筹基金结算范围的；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（五）</w:t>
      </w:r>
      <w:r>
        <w:rPr>
          <w:rFonts w:hint="eastAsia" w:ascii="仿宋_GB2312" w:hAnsi="仿宋_GB2312" w:eastAsia="仿宋_GB2312" w:cs="仿宋_GB2312"/>
          <w:snapToGrid w:val="0"/>
          <w:color w:val="auto"/>
          <w:spacing w:val="10"/>
          <w:kern w:val="0"/>
          <w:sz w:val="32"/>
          <w:szCs w:val="32"/>
          <w:highlight w:val="none"/>
          <w:lang w:eastAsia="en-US"/>
        </w:rPr>
        <w:t>未如实记录参保患者意外伤害原因或记录不明确，将</w:t>
      </w:r>
      <w:r>
        <w:rPr>
          <w:rFonts w:hint="eastAsia" w:ascii="仿宋_GB2312" w:hAnsi="仿宋_GB2312" w:eastAsia="仿宋_GB2312" w:cs="仿宋_GB2312"/>
          <w:snapToGrid w:val="0"/>
          <w:color w:val="auto"/>
          <w:spacing w:val="-8"/>
          <w:kern w:val="0"/>
          <w:sz w:val="32"/>
          <w:szCs w:val="32"/>
          <w:highlight w:val="none"/>
          <w:lang w:eastAsia="en-US"/>
        </w:rPr>
        <w:t>应由第三方承担的医疗费用纳入医疗保障</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8"/>
          <w:kern w:val="0"/>
          <w:sz w:val="32"/>
          <w:szCs w:val="32"/>
          <w:highlight w:val="none"/>
          <w:lang w:eastAsia="en-US"/>
        </w:rPr>
        <w:t>基金结算的；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（六）</w:t>
      </w:r>
      <w:r>
        <w:rPr>
          <w:rFonts w:hint="eastAsia" w:ascii="仿宋_GB2312" w:hAnsi="仿宋_GB2312" w:eastAsia="仿宋_GB2312" w:cs="仿宋_GB2312"/>
          <w:snapToGrid w:val="0"/>
          <w:color w:val="auto"/>
          <w:spacing w:val="10"/>
          <w:kern w:val="0"/>
          <w:sz w:val="32"/>
          <w:szCs w:val="32"/>
          <w:highlight w:val="none"/>
          <w:lang w:eastAsia="en-US"/>
        </w:rPr>
        <w:t>分解住院、挂床住院的；违反诊疗规范过度诊疗、过</w:t>
      </w:r>
      <w:r>
        <w:rPr>
          <w:rFonts w:hint="eastAsia" w:ascii="仿宋_GB2312" w:hAnsi="仿宋_GB2312" w:eastAsia="仿宋_GB2312" w:cs="仿宋_GB2312"/>
          <w:snapToGrid w:val="0"/>
          <w:color w:val="auto"/>
          <w:spacing w:val="-2"/>
          <w:kern w:val="0"/>
          <w:sz w:val="32"/>
          <w:szCs w:val="32"/>
          <w:highlight w:val="none"/>
          <w:lang w:eastAsia="en-US"/>
        </w:rPr>
        <w:t>度检查、分解处方、超量开药、重复开药或者提供其他不必要的</w:t>
      </w:r>
      <w:r>
        <w:rPr>
          <w:rFonts w:hint="eastAsia" w:ascii="仿宋_GB2312" w:hAnsi="仿宋_GB2312" w:eastAsia="仿宋_GB2312" w:cs="仿宋_GB2312"/>
          <w:snapToGrid w:val="0"/>
          <w:color w:val="auto"/>
          <w:spacing w:val="-3"/>
          <w:kern w:val="0"/>
          <w:sz w:val="32"/>
          <w:szCs w:val="32"/>
          <w:highlight w:val="none"/>
          <w:lang w:eastAsia="en-US"/>
        </w:rPr>
        <w:t>医药服务的；重复收费、超标准收费、分解项目收费的；串换药</w:t>
      </w:r>
      <w:r>
        <w:rPr>
          <w:rFonts w:hint="eastAsia" w:ascii="仿宋_GB2312" w:hAnsi="仿宋_GB2312" w:eastAsia="仿宋_GB2312" w:cs="仿宋_GB2312"/>
          <w:snapToGrid w:val="0"/>
          <w:color w:val="auto"/>
          <w:spacing w:val="-9"/>
          <w:kern w:val="0"/>
          <w:sz w:val="32"/>
          <w:szCs w:val="32"/>
          <w:highlight w:val="none"/>
          <w:lang w:eastAsia="en-US"/>
        </w:rPr>
        <w:t>品、医用耗材、诊疗项目和服务设施的；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（七）</w:t>
      </w:r>
      <w:r>
        <w:rPr>
          <w:rFonts w:hint="eastAsia" w:ascii="仿宋_GB2312" w:hAnsi="仿宋_GB2312" w:eastAsia="仿宋_GB2312" w:cs="仿宋_GB2312"/>
          <w:snapToGrid w:val="0"/>
          <w:color w:val="auto"/>
          <w:spacing w:val="3"/>
          <w:kern w:val="0"/>
          <w:sz w:val="32"/>
          <w:szCs w:val="32"/>
          <w:highlight w:val="none"/>
          <w:lang w:eastAsia="en-US"/>
        </w:rPr>
        <w:t>为参保人员利用其享受医疗保障</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3"/>
          <w:kern w:val="0"/>
          <w:sz w:val="32"/>
          <w:szCs w:val="32"/>
          <w:highlight w:val="none"/>
          <w:lang w:eastAsia="en-US"/>
        </w:rPr>
        <w:t>待遇的机会转卖药品，</w:t>
      </w:r>
      <w:r>
        <w:rPr>
          <w:rFonts w:hint="eastAsia" w:ascii="仿宋_GB2312" w:hAnsi="仿宋_GB2312" w:eastAsia="仿宋_GB2312" w:cs="仿宋_GB2312"/>
          <w:snapToGrid w:val="0"/>
          <w:color w:val="auto"/>
          <w:spacing w:val="-7"/>
          <w:kern w:val="0"/>
          <w:sz w:val="32"/>
          <w:szCs w:val="32"/>
          <w:highlight w:val="none"/>
          <w:lang w:eastAsia="en-US"/>
        </w:rPr>
        <w:t>接受返还现金、实物或者获得其他非法利益提供便利的；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（八）</w:t>
      </w:r>
      <w:r>
        <w:rPr>
          <w:rFonts w:hint="eastAsia" w:ascii="仿宋_GB2312" w:hAnsi="仿宋_GB2312" w:eastAsia="仿宋_GB2312" w:cs="仿宋_GB2312"/>
          <w:snapToGrid w:val="0"/>
          <w:color w:val="auto"/>
          <w:spacing w:val="10"/>
          <w:kern w:val="0"/>
          <w:sz w:val="32"/>
          <w:szCs w:val="32"/>
          <w:highlight w:val="none"/>
          <w:lang w:eastAsia="en-US"/>
        </w:rPr>
        <w:t>未按照医疗保障部门规定的门诊慢特病病种认定标准</w:t>
      </w:r>
      <w:r>
        <w:rPr>
          <w:rFonts w:hint="eastAsia" w:ascii="仿宋_GB2312" w:hAnsi="仿宋_GB2312" w:eastAsia="仿宋_GB2312" w:cs="仿宋_GB2312"/>
          <w:snapToGrid w:val="0"/>
          <w:color w:val="auto"/>
          <w:spacing w:val="3"/>
          <w:kern w:val="0"/>
          <w:sz w:val="32"/>
          <w:szCs w:val="32"/>
          <w:highlight w:val="none"/>
          <w:lang w:eastAsia="en-US"/>
        </w:rPr>
        <w:t>进行认定，或未执行</w:t>
      </w:r>
      <w:r>
        <w:rPr>
          <w:rFonts w:hint="eastAsia" w:ascii="仿宋_GB2312" w:hAnsi="仿宋_GB2312" w:eastAsia="仿宋_GB2312" w:cs="仿宋_GB2312"/>
          <w:snapToGrid w:val="0"/>
          <w:color w:val="auto"/>
          <w:spacing w:val="3"/>
          <w:kern w:val="0"/>
          <w:sz w:val="32"/>
          <w:szCs w:val="32"/>
          <w:highlight w:val="none"/>
          <w:lang w:val="en-US" w:eastAsia="zh-CN"/>
        </w:rPr>
        <w:t>我省</w:t>
      </w:r>
      <w:r>
        <w:rPr>
          <w:rFonts w:hint="eastAsia" w:ascii="仿宋_GB2312" w:hAnsi="仿宋_GB2312" w:eastAsia="仿宋_GB2312" w:cs="仿宋_GB2312"/>
          <w:snapToGrid w:val="0"/>
          <w:color w:val="auto"/>
          <w:spacing w:val="3"/>
          <w:kern w:val="0"/>
          <w:sz w:val="32"/>
          <w:szCs w:val="32"/>
          <w:highlight w:val="none"/>
          <w:lang w:eastAsia="en-US"/>
        </w:rPr>
        <w:t>门诊慢特病</w:t>
      </w:r>
      <w:r>
        <w:rPr>
          <w:rFonts w:hint="eastAsia" w:ascii="仿宋_GB2312" w:hAnsi="仿宋_GB2312" w:eastAsia="仿宋_GB2312" w:cs="仿宋_GB2312"/>
          <w:snapToGrid w:val="0"/>
          <w:color w:val="auto"/>
          <w:spacing w:val="3"/>
          <w:kern w:val="0"/>
          <w:sz w:val="32"/>
          <w:szCs w:val="32"/>
          <w:highlight w:val="none"/>
          <w:lang w:eastAsia="zh-CN"/>
        </w:rPr>
        <w:t>、“</w:t>
      </w:r>
      <w:r>
        <w:rPr>
          <w:rFonts w:hint="eastAsia" w:ascii="仿宋_GB2312" w:hAnsi="仿宋_GB2312" w:eastAsia="仿宋_GB2312" w:cs="仿宋_GB2312"/>
          <w:snapToGrid w:val="0"/>
          <w:color w:val="auto"/>
          <w:spacing w:val="3"/>
          <w:kern w:val="0"/>
          <w:sz w:val="32"/>
          <w:szCs w:val="32"/>
          <w:highlight w:val="none"/>
          <w:lang w:val="en-US" w:eastAsia="zh-CN"/>
        </w:rPr>
        <w:t>两病</w:t>
      </w:r>
      <w:r>
        <w:rPr>
          <w:rFonts w:hint="eastAsia" w:ascii="仿宋_GB2312" w:hAnsi="仿宋_GB2312" w:eastAsia="仿宋_GB2312" w:cs="仿宋_GB2312"/>
          <w:snapToGrid w:val="0"/>
          <w:color w:val="auto"/>
          <w:spacing w:val="3"/>
          <w:kern w:val="0"/>
          <w:sz w:val="32"/>
          <w:szCs w:val="32"/>
          <w:highlight w:val="none"/>
          <w:lang w:eastAsia="zh-CN"/>
        </w:rPr>
        <w:t>”</w:t>
      </w:r>
      <w:r>
        <w:rPr>
          <w:rFonts w:hint="eastAsia" w:ascii="仿宋_GB2312" w:hAnsi="仿宋_GB2312" w:eastAsia="仿宋_GB2312" w:cs="仿宋_GB2312"/>
          <w:snapToGrid w:val="0"/>
          <w:color w:val="auto"/>
          <w:spacing w:val="3"/>
          <w:kern w:val="0"/>
          <w:sz w:val="32"/>
          <w:szCs w:val="32"/>
          <w:highlight w:val="none"/>
          <w:lang w:val="en-US" w:eastAsia="zh-CN"/>
        </w:rPr>
        <w:t>等</w:t>
      </w:r>
      <w:r>
        <w:rPr>
          <w:rFonts w:hint="eastAsia" w:ascii="仿宋_GB2312" w:hAnsi="仿宋_GB2312" w:eastAsia="仿宋_GB2312" w:cs="仿宋_GB2312"/>
          <w:snapToGrid w:val="0"/>
          <w:color w:val="auto"/>
          <w:spacing w:val="3"/>
          <w:kern w:val="0"/>
          <w:sz w:val="32"/>
          <w:szCs w:val="32"/>
          <w:highlight w:val="none"/>
          <w:lang w:eastAsia="en-US"/>
        </w:rPr>
        <w:t>医疗保障</w:t>
      </w:r>
      <w:r>
        <w:rPr>
          <w:rFonts w:hint="eastAsia" w:ascii="仿宋_GB2312" w:hAnsi="仿宋_GB2312" w:eastAsia="仿宋_GB2312" w:cs="仿宋_GB2312"/>
          <w:snapToGrid w:val="0"/>
          <w:color w:val="auto"/>
          <w:spacing w:val="2"/>
          <w:kern w:val="0"/>
          <w:sz w:val="32"/>
          <w:szCs w:val="32"/>
          <w:highlight w:val="none"/>
          <w:lang w:eastAsia="en-US"/>
        </w:rPr>
        <w:t>相关规定，</w:t>
      </w:r>
      <w:r>
        <w:rPr>
          <w:rFonts w:hint="eastAsia" w:ascii="仿宋_GB2312" w:hAnsi="仿宋_GB2312" w:eastAsia="仿宋_GB2312" w:cs="仿宋_GB2312"/>
          <w:snapToGrid w:val="0"/>
          <w:color w:val="auto"/>
          <w:spacing w:val="-7"/>
          <w:kern w:val="0"/>
          <w:sz w:val="32"/>
          <w:szCs w:val="32"/>
          <w:highlight w:val="none"/>
          <w:lang w:eastAsia="en-US"/>
        </w:rPr>
        <w:t>造成医疗保障基金损失的；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9"/>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（九）</w:t>
      </w:r>
      <w:r>
        <w:rPr>
          <w:rFonts w:hint="eastAsia" w:ascii="仿宋_GB2312" w:hAnsi="仿宋_GB2312" w:eastAsia="仿宋_GB2312" w:cs="仿宋_GB2312"/>
          <w:snapToGrid w:val="0"/>
          <w:color w:val="auto"/>
          <w:spacing w:val="8"/>
          <w:kern w:val="0"/>
          <w:sz w:val="32"/>
          <w:szCs w:val="32"/>
          <w:highlight w:val="none"/>
          <w:lang w:eastAsia="en-US"/>
        </w:rPr>
        <w:t>提供的医保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8"/>
          <w:kern w:val="0"/>
          <w:sz w:val="32"/>
          <w:szCs w:val="32"/>
          <w:highlight w:val="none"/>
          <w:lang w:eastAsia="en-US"/>
        </w:rPr>
        <w:t>结算数据与实际情况不一致的；未按照规</w:t>
      </w:r>
      <w:r>
        <w:rPr>
          <w:rFonts w:hint="eastAsia" w:ascii="仿宋_GB2312" w:hAnsi="仿宋_GB2312" w:eastAsia="仿宋_GB2312" w:cs="仿宋_GB2312"/>
          <w:snapToGrid w:val="0"/>
          <w:color w:val="auto"/>
          <w:spacing w:val="-3"/>
          <w:kern w:val="0"/>
          <w:sz w:val="32"/>
          <w:szCs w:val="32"/>
          <w:highlight w:val="none"/>
          <w:lang w:eastAsia="en-US"/>
        </w:rPr>
        <w:t>定保管财务账目、会计凭证、处方、病历、检验检查报告、治疗</w:t>
      </w:r>
      <w:r>
        <w:rPr>
          <w:rFonts w:hint="eastAsia" w:ascii="仿宋_GB2312" w:hAnsi="仿宋_GB2312" w:eastAsia="仿宋_GB2312" w:cs="仿宋_GB2312"/>
          <w:snapToGrid w:val="0"/>
          <w:color w:val="auto"/>
          <w:spacing w:val="-2"/>
          <w:kern w:val="0"/>
          <w:sz w:val="32"/>
          <w:szCs w:val="32"/>
          <w:highlight w:val="none"/>
          <w:lang w:eastAsia="en-US"/>
        </w:rPr>
        <w:t>记录、费用明细、药品和医用耗材出入库记录等资料</w:t>
      </w:r>
      <w:r>
        <w:rPr>
          <w:rFonts w:hint="eastAsia" w:ascii="仿宋_GB2312" w:hAnsi="仿宋_GB2312" w:eastAsia="仿宋_GB2312" w:cs="仿宋_GB2312"/>
          <w:snapToGrid w:val="0"/>
          <w:color w:val="auto"/>
          <w:spacing w:val="-3"/>
          <w:kern w:val="0"/>
          <w:sz w:val="32"/>
          <w:szCs w:val="32"/>
          <w:highlight w:val="none"/>
          <w:lang w:eastAsia="en-US"/>
        </w:rPr>
        <w:t>，</w:t>
      </w:r>
      <w:r>
        <w:rPr>
          <w:rFonts w:hint="eastAsia" w:ascii="仿宋_GB2312" w:hAnsi="仿宋_GB2312" w:eastAsia="仿宋_GB2312" w:cs="仿宋_GB2312"/>
          <w:snapToGrid w:val="0"/>
          <w:color w:val="auto"/>
          <w:spacing w:val="-3"/>
          <w:kern w:val="0"/>
          <w:sz w:val="32"/>
          <w:szCs w:val="32"/>
          <w:highlight w:val="none"/>
          <w:lang w:val="en-US" w:eastAsia="zh-CN"/>
        </w:rPr>
        <w:t>或提供的资料与医院管理系统数据及上传医保系统的数据不一致，</w:t>
      </w:r>
      <w:r>
        <w:rPr>
          <w:rFonts w:hint="eastAsia" w:ascii="仿宋_GB2312" w:hAnsi="仿宋_GB2312" w:eastAsia="仿宋_GB2312" w:cs="仿宋_GB2312"/>
          <w:snapToGrid w:val="0"/>
          <w:color w:val="auto"/>
          <w:spacing w:val="-3"/>
          <w:kern w:val="0"/>
          <w:sz w:val="32"/>
          <w:szCs w:val="32"/>
          <w:highlight w:val="none"/>
          <w:lang w:eastAsia="en-US"/>
        </w:rPr>
        <w:t>造成无法</w:t>
      </w:r>
      <w:r>
        <w:rPr>
          <w:rFonts w:hint="eastAsia" w:ascii="仿宋_GB2312" w:hAnsi="仿宋_GB2312" w:eastAsia="仿宋_GB2312" w:cs="仿宋_GB2312"/>
          <w:snapToGrid w:val="0"/>
          <w:color w:val="auto"/>
          <w:spacing w:val="-9"/>
          <w:kern w:val="0"/>
          <w:sz w:val="32"/>
          <w:szCs w:val="32"/>
          <w:highlight w:val="none"/>
          <w:lang w:eastAsia="en-US"/>
        </w:rPr>
        <w:t>核实费用发生及结算真实情况的；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（十）</w:t>
      </w:r>
      <w:r>
        <w:rPr>
          <w:rFonts w:hint="eastAsia" w:ascii="仿宋_GB2312" w:hAnsi="仿宋_GB2312" w:eastAsia="仿宋_GB2312" w:cs="仿宋_GB2312"/>
          <w:snapToGrid w:val="0"/>
          <w:color w:val="auto"/>
          <w:kern w:val="0"/>
          <w:sz w:val="32"/>
          <w:szCs w:val="32"/>
          <w:highlight w:val="none"/>
          <w:lang w:eastAsia="en-US"/>
        </w:rPr>
        <w:t>其他造成医疗保障</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kern w:val="0"/>
          <w:sz w:val="32"/>
          <w:szCs w:val="32"/>
          <w:highlight w:val="none"/>
          <w:lang w:eastAsia="en-US"/>
        </w:rPr>
        <w:t>基金损失的情形。</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16"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ascii="黑体" w:hAnsi="黑体" w:eastAsia="黑体" w:cs="黑体"/>
          <w:b w:val="0"/>
          <w:bCs w:val="0"/>
          <w:snapToGrid w:val="0"/>
          <w:color w:val="auto"/>
          <w:spacing w:val="-6"/>
          <w:kern w:val="0"/>
          <w:sz w:val="32"/>
          <w:szCs w:val="32"/>
          <w:highlight w:val="none"/>
          <w:lang w:eastAsia="zh-CN" w:bidi="zh-CN"/>
        </w:rPr>
        <w:t>第</w:t>
      </w:r>
      <w:r>
        <w:rPr>
          <w:rFonts w:hint="eastAsia" w:ascii="黑体" w:hAnsi="黑体" w:eastAsia="黑体" w:cs="黑体"/>
          <w:b w:val="0"/>
          <w:bCs w:val="0"/>
          <w:snapToGrid w:val="0"/>
          <w:color w:val="auto"/>
          <w:spacing w:val="-6"/>
          <w:kern w:val="0"/>
          <w:sz w:val="32"/>
          <w:szCs w:val="32"/>
          <w:highlight w:val="none"/>
          <w:lang w:val="en-US" w:eastAsia="zh-CN" w:bidi="zh-CN"/>
        </w:rPr>
        <w:t>八</w:t>
      </w:r>
      <w:r>
        <w:rPr>
          <w:rFonts w:ascii="黑体" w:hAnsi="黑体" w:eastAsia="黑体" w:cs="黑体"/>
          <w:b w:val="0"/>
          <w:bCs w:val="0"/>
          <w:snapToGrid w:val="0"/>
          <w:color w:val="auto"/>
          <w:spacing w:val="-6"/>
          <w:kern w:val="0"/>
          <w:sz w:val="32"/>
          <w:szCs w:val="32"/>
          <w:highlight w:val="none"/>
          <w:lang w:eastAsia="zh-CN" w:bidi="zh-CN"/>
        </w:rPr>
        <w:t>十</w:t>
      </w:r>
      <w:r>
        <w:rPr>
          <w:rFonts w:hint="eastAsia" w:ascii="黑体" w:hAnsi="黑体" w:eastAsia="黑体" w:cs="黑体"/>
          <w:b w:val="0"/>
          <w:bCs w:val="0"/>
          <w:snapToGrid w:val="0"/>
          <w:color w:val="auto"/>
          <w:spacing w:val="-6"/>
          <w:kern w:val="0"/>
          <w:sz w:val="32"/>
          <w:szCs w:val="32"/>
          <w:highlight w:val="none"/>
          <w:lang w:val="en-US" w:eastAsia="zh-CN" w:bidi="zh-CN"/>
        </w:rPr>
        <w:t>五</w:t>
      </w:r>
      <w:r>
        <w:rPr>
          <w:rFonts w:ascii="黑体" w:hAnsi="黑体" w:eastAsia="黑体" w:cs="黑体"/>
          <w:b w:val="0"/>
          <w:bCs w:val="0"/>
          <w:snapToGrid w:val="0"/>
          <w:color w:val="auto"/>
          <w:spacing w:val="-6"/>
          <w:kern w:val="0"/>
          <w:sz w:val="32"/>
          <w:szCs w:val="32"/>
          <w:highlight w:val="none"/>
          <w:lang w:eastAsia="zh-CN" w:bidi="zh-CN"/>
        </w:rPr>
        <w:t>条</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snapToGrid w:val="0"/>
          <w:color w:val="auto"/>
          <w:spacing w:val="-6"/>
          <w:kern w:val="0"/>
          <w:sz w:val="32"/>
          <w:szCs w:val="32"/>
          <w:highlight w:val="none"/>
          <w:lang w:val="en-US" w:eastAsia="zh-CN" w:bidi="zh-CN"/>
        </w:rPr>
        <w:t>中止协议</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bCs w:val="0"/>
          <w:snapToGrid w:val="0"/>
          <w:color w:val="auto"/>
          <w:spacing w:val="-6"/>
          <w:kern w:val="0"/>
          <w:sz w:val="32"/>
          <w:szCs w:val="32"/>
          <w:highlight w:val="none"/>
          <w:lang w:val="en-US" w:eastAsia="zh-CN" w:bidi="zh-CN"/>
        </w:rPr>
        <w:t xml:space="preserve"> </w:t>
      </w:r>
      <w:r>
        <w:rPr>
          <w:rFonts w:hint="eastAsia" w:ascii="仿宋_GB2312" w:hAnsi="仿宋_GB2312" w:eastAsia="仿宋_GB2312" w:cs="仿宋_GB2312"/>
          <w:snapToGrid w:val="0"/>
          <w:color w:val="auto"/>
          <w:spacing w:val="-1"/>
          <w:kern w:val="0"/>
          <w:sz w:val="32"/>
          <w:szCs w:val="32"/>
          <w:highlight w:val="none"/>
          <w:lang w:eastAsia="en-US"/>
        </w:rPr>
        <w:t>经查实，乙方有下列情形之一的，或有第</w:t>
      </w:r>
      <w:r>
        <w:rPr>
          <w:rFonts w:hint="eastAsia" w:ascii="仿宋_GB2312" w:hAnsi="仿宋_GB2312" w:eastAsia="仿宋_GB2312" w:cs="仿宋_GB2312"/>
          <w:snapToGrid w:val="0"/>
          <w:color w:val="auto"/>
          <w:spacing w:val="-1"/>
          <w:kern w:val="0"/>
          <w:sz w:val="32"/>
          <w:szCs w:val="32"/>
          <w:highlight w:val="none"/>
          <w:lang w:val="en-US" w:eastAsia="en-US"/>
        </w:rPr>
        <w:t>八</w:t>
      </w:r>
      <w:r>
        <w:rPr>
          <w:rFonts w:hint="eastAsia" w:ascii="仿宋_GB2312" w:hAnsi="仿宋_GB2312" w:eastAsia="仿宋_GB2312" w:cs="仿宋_GB2312"/>
          <w:snapToGrid w:val="0"/>
          <w:color w:val="auto"/>
          <w:spacing w:val="-1"/>
          <w:kern w:val="0"/>
          <w:sz w:val="32"/>
          <w:szCs w:val="32"/>
          <w:highlight w:val="none"/>
          <w:lang w:eastAsia="en-US"/>
        </w:rPr>
        <w:t>十</w:t>
      </w:r>
      <w:r>
        <w:rPr>
          <w:rFonts w:hint="eastAsia" w:ascii="仿宋_GB2312" w:hAnsi="仿宋_GB2312" w:eastAsia="仿宋_GB2312" w:cs="仿宋_GB2312"/>
          <w:snapToGrid w:val="0"/>
          <w:color w:val="auto"/>
          <w:spacing w:val="-1"/>
          <w:kern w:val="0"/>
          <w:sz w:val="32"/>
          <w:szCs w:val="32"/>
          <w:highlight w:val="none"/>
          <w:lang w:val="en-US" w:eastAsia="en-US"/>
        </w:rPr>
        <w:t>四</w:t>
      </w:r>
      <w:r>
        <w:rPr>
          <w:rFonts w:hint="eastAsia" w:ascii="仿宋_GB2312" w:hAnsi="仿宋_GB2312" w:eastAsia="仿宋_GB2312" w:cs="仿宋_GB2312"/>
          <w:snapToGrid w:val="0"/>
          <w:color w:val="auto"/>
          <w:spacing w:val="-1"/>
          <w:kern w:val="0"/>
          <w:sz w:val="32"/>
          <w:szCs w:val="32"/>
          <w:highlight w:val="none"/>
          <w:lang w:eastAsia="en-US"/>
        </w:rPr>
        <w:t>条情形且造成医保、工伤保险基金较大损失，或社会影响较大的，或有第</w:t>
      </w:r>
      <w:r>
        <w:rPr>
          <w:rFonts w:hint="eastAsia" w:ascii="仿宋_GB2312" w:hAnsi="仿宋_GB2312" w:eastAsia="仿宋_GB2312" w:cs="仿宋_GB2312"/>
          <w:snapToGrid w:val="0"/>
          <w:color w:val="auto"/>
          <w:spacing w:val="-1"/>
          <w:kern w:val="0"/>
          <w:sz w:val="32"/>
          <w:szCs w:val="32"/>
          <w:highlight w:val="none"/>
          <w:lang w:val="en-US" w:eastAsia="en-US"/>
        </w:rPr>
        <w:t>八</w:t>
      </w:r>
      <w:r>
        <w:rPr>
          <w:rFonts w:hint="eastAsia" w:ascii="仿宋_GB2312" w:hAnsi="仿宋_GB2312" w:eastAsia="仿宋_GB2312" w:cs="仿宋_GB2312"/>
          <w:snapToGrid w:val="0"/>
          <w:color w:val="auto"/>
          <w:spacing w:val="-1"/>
          <w:kern w:val="0"/>
          <w:sz w:val="32"/>
          <w:szCs w:val="32"/>
          <w:highlight w:val="none"/>
          <w:lang w:eastAsia="en-US"/>
        </w:rPr>
        <w:t>十</w:t>
      </w:r>
      <w:r>
        <w:rPr>
          <w:rFonts w:hint="eastAsia" w:ascii="仿宋_GB2312" w:hAnsi="仿宋_GB2312" w:eastAsia="仿宋_GB2312" w:cs="仿宋_GB2312"/>
          <w:snapToGrid w:val="0"/>
          <w:color w:val="auto"/>
          <w:spacing w:val="-1"/>
          <w:kern w:val="0"/>
          <w:sz w:val="32"/>
          <w:szCs w:val="32"/>
          <w:highlight w:val="none"/>
          <w:lang w:val="en-US" w:eastAsia="en-US"/>
        </w:rPr>
        <w:t>四</w:t>
      </w:r>
      <w:r>
        <w:rPr>
          <w:rFonts w:hint="eastAsia" w:ascii="仿宋_GB2312" w:hAnsi="仿宋_GB2312" w:eastAsia="仿宋_GB2312" w:cs="仿宋_GB2312"/>
          <w:snapToGrid w:val="0"/>
          <w:color w:val="auto"/>
          <w:spacing w:val="-1"/>
          <w:kern w:val="0"/>
          <w:sz w:val="32"/>
          <w:szCs w:val="32"/>
          <w:highlight w:val="none"/>
          <w:lang w:eastAsia="en-US"/>
        </w:rPr>
        <w:t>条情形以骗取医疗保障、工伤保险基金支出为目的，甲方不予支付或追回已支付的医保、工伤保险费用，给予乙方中止协议处理，中止期间发生的医保、工伤保险费用不予结算(可视情况执行到相关责任人员或者所在部门涉及医疗保障、工伤保险基金使用的医疗服务)，并向社会公布中止协议情况，可要求乙方支付违约金，违约金为乙方违规费用的</w:t>
      </w:r>
      <w:r>
        <w:rPr>
          <w:rFonts w:hint="eastAsia" w:ascii="仿宋_GB2312" w:hAnsi="仿宋_GB2312" w:eastAsia="仿宋_GB2312" w:cs="仿宋_GB2312"/>
          <w:snapToGrid w:val="0"/>
          <w:color w:val="auto"/>
          <w:spacing w:val="-1"/>
          <w:kern w:val="0"/>
          <w:sz w:val="32"/>
          <w:szCs w:val="32"/>
          <w:highlight w:val="none"/>
          <w:lang w:val="en-US" w:eastAsia="en-US"/>
        </w:rPr>
        <w:t>2</w:t>
      </w:r>
      <w:r>
        <w:rPr>
          <w:rFonts w:hint="eastAsia" w:ascii="仿宋_GB2312" w:hAnsi="仿宋_GB2312" w:eastAsia="仿宋_GB2312" w:cs="仿宋_GB2312"/>
          <w:snapToGrid w:val="0"/>
          <w:color w:val="auto"/>
          <w:spacing w:val="-1"/>
          <w:kern w:val="0"/>
          <w:sz w:val="32"/>
          <w:szCs w:val="32"/>
          <w:highlight w:val="none"/>
          <w:lang w:eastAsia="en-US"/>
        </w:rPr>
        <w:t>0%：</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（一）</w:t>
      </w:r>
      <w:r>
        <w:rPr>
          <w:rFonts w:hint="eastAsia" w:ascii="仿宋_GB2312" w:hAnsi="仿宋_GB2312" w:eastAsia="仿宋_GB2312" w:cs="仿宋_GB2312"/>
          <w:snapToGrid w:val="0"/>
          <w:color w:val="auto"/>
          <w:spacing w:val="-1"/>
          <w:kern w:val="0"/>
          <w:sz w:val="32"/>
          <w:szCs w:val="32"/>
          <w:highlight w:val="none"/>
          <w:lang w:eastAsia="en-US"/>
        </w:rPr>
        <w:t>根据协议履行核查和医保、工伤保险绩效考核，发现对医疗保障、工伤保险基金安全和参保人员权益可能造成重大风险的；</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val="en-US" w:eastAsia="en-US" w:bidi="ar-SA"/>
        </w:rPr>
      </w:pPr>
      <w:r>
        <w:rPr>
          <w:rFonts w:hint="eastAsia" w:ascii="仿宋_GB2312" w:hAnsi="仿宋_GB2312" w:eastAsia="仿宋_GB2312" w:cs="仿宋_GB2312"/>
          <w:snapToGrid w:val="0"/>
          <w:color w:val="auto"/>
          <w:spacing w:val="0"/>
          <w:kern w:val="0"/>
          <w:sz w:val="32"/>
          <w:szCs w:val="32"/>
          <w:highlight w:val="none"/>
          <w:lang w:eastAsia="zh-CN"/>
        </w:rPr>
        <w:t>（二）</w:t>
      </w:r>
      <w:r>
        <w:rPr>
          <w:rFonts w:hint="eastAsia" w:ascii="仿宋_GB2312" w:hAnsi="仿宋_GB2312" w:eastAsia="仿宋_GB2312" w:cs="仿宋_GB2312"/>
          <w:snapToGrid w:val="0"/>
          <w:color w:val="auto"/>
          <w:spacing w:val="-1"/>
          <w:kern w:val="0"/>
          <w:sz w:val="32"/>
          <w:szCs w:val="32"/>
          <w:highlight w:val="none"/>
          <w:lang w:val="en-US" w:eastAsia="en-US" w:bidi="ar-SA"/>
        </w:rPr>
        <w:t>向甲方及医疗保障</w:t>
      </w:r>
      <w:r>
        <w:rPr>
          <w:rFonts w:hint="eastAsia" w:ascii="仿宋_GB2312" w:hAnsi="仿宋_GB2312" w:eastAsia="仿宋_GB2312" w:cs="仿宋_GB2312"/>
          <w:snapToGrid w:val="0"/>
          <w:color w:val="auto"/>
          <w:spacing w:val="-1"/>
          <w:kern w:val="0"/>
          <w:sz w:val="32"/>
          <w:szCs w:val="32"/>
          <w:highlight w:val="none"/>
          <w:lang w:eastAsia="en-US"/>
        </w:rPr>
        <w:t>、工伤保险</w:t>
      </w:r>
      <w:r>
        <w:rPr>
          <w:rFonts w:hint="eastAsia" w:ascii="仿宋_GB2312" w:hAnsi="仿宋_GB2312" w:eastAsia="仿宋_GB2312" w:cs="仿宋_GB2312"/>
          <w:snapToGrid w:val="0"/>
          <w:color w:val="auto"/>
          <w:spacing w:val="-1"/>
          <w:kern w:val="0"/>
          <w:sz w:val="32"/>
          <w:szCs w:val="32"/>
          <w:highlight w:val="none"/>
          <w:lang w:val="en-US" w:eastAsia="en-US" w:bidi="ar-SA"/>
        </w:rPr>
        <w:t>行政部门提供的有关数据不真实的；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（三）</w:t>
      </w:r>
      <w:r>
        <w:rPr>
          <w:rFonts w:hint="eastAsia" w:ascii="仿宋_GB2312" w:hAnsi="仿宋_GB2312" w:eastAsia="仿宋_GB2312" w:cs="仿宋_GB2312"/>
          <w:snapToGrid w:val="0"/>
          <w:color w:val="auto"/>
          <w:spacing w:val="-1"/>
          <w:kern w:val="0"/>
          <w:sz w:val="32"/>
          <w:szCs w:val="32"/>
          <w:highlight w:val="none"/>
          <w:lang w:eastAsia="en-US"/>
        </w:rPr>
        <w:t>诱导、协助他人冒名或者虚假就医、购药，提供虚假证明材料，或者串通他人虚开费用单据的；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（四）</w:t>
      </w:r>
      <w:r>
        <w:rPr>
          <w:rFonts w:hint="eastAsia" w:ascii="仿宋_GB2312" w:hAnsi="仿宋_GB2312" w:eastAsia="仿宋_GB2312" w:cs="仿宋_GB2312"/>
          <w:snapToGrid w:val="0"/>
          <w:color w:val="auto"/>
          <w:spacing w:val="-1"/>
          <w:kern w:val="0"/>
          <w:sz w:val="32"/>
          <w:szCs w:val="32"/>
          <w:highlight w:val="none"/>
          <w:lang w:eastAsia="en-US"/>
        </w:rPr>
        <w:t>通过伪造、变造、隐匿、涂改、销毁医学文书、医学证明、会计凭证、电子信息等有关资料，或者虚构医药服务项目等方式，骗取医疗保障、工伤保险基金支出的；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（五）</w:t>
      </w:r>
      <w:r>
        <w:rPr>
          <w:rFonts w:hint="eastAsia" w:ascii="仿宋_GB2312" w:hAnsi="仿宋_GB2312" w:eastAsia="仿宋_GB2312" w:cs="仿宋_GB2312"/>
          <w:snapToGrid w:val="0"/>
          <w:color w:val="auto"/>
          <w:spacing w:val="-1"/>
          <w:kern w:val="0"/>
          <w:sz w:val="32"/>
          <w:szCs w:val="32"/>
          <w:highlight w:val="none"/>
          <w:lang w:eastAsia="en-US"/>
        </w:rPr>
        <w:t>门诊慢性特殊疾病病种、“</w:t>
      </w:r>
      <w:r>
        <w:rPr>
          <w:rFonts w:hint="eastAsia" w:ascii="仿宋_GB2312" w:hAnsi="仿宋_GB2312" w:eastAsia="仿宋_GB2312" w:cs="仿宋_GB2312"/>
          <w:snapToGrid w:val="0"/>
          <w:color w:val="auto"/>
          <w:spacing w:val="-1"/>
          <w:kern w:val="0"/>
          <w:sz w:val="32"/>
          <w:szCs w:val="32"/>
          <w:highlight w:val="none"/>
          <w:lang w:val="en-US" w:eastAsia="en-US"/>
        </w:rPr>
        <w:t>两病</w:t>
      </w:r>
      <w:r>
        <w:rPr>
          <w:rFonts w:hint="eastAsia" w:ascii="仿宋_GB2312" w:hAnsi="仿宋_GB2312" w:eastAsia="仿宋_GB2312" w:cs="仿宋_GB2312"/>
          <w:snapToGrid w:val="0"/>
          <w:color w:val="auto"/>
          <w:spacing w:val="-1"/>
          <w:kern w:val="0"/>
          <w:sz w:val="32"/>
          <w:szCs w:val="32"/>
          <w:highlight w:val="none"/>
          <w:lang w:eastAsia="en-US"/>
        </w:rPr>
        <w:t>”认定出具虚假认定资料的，或认定条件把关不严、工作不规范、多次整改不到位或存在严重违规认定情节的；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（六）</w:t>
      </w:r>
      <w:r>
        <w:rPr>
          <w:rFonts w:hint="eastAsia" w:ascii="仿宋_GB2312" w:hAnsi="仿宋_GB2312" w:eastAsia="仿宋_GB2312" w:cs="仿宋_GB2312"/>
          <w:snapToGrid w:val="0"/>
          <w:color w:val="auto"/>
          <w:spacing w:val="-1"/>
          <w:kern w:val="0"/>
          <w:sz w:val="32"/>
          <w:szCs w:val="32"/>
          <w:highlight w:val="none"/>
          <w:lang w:eastAsia="en-US"/>
        </w:rPr>
        <w:t>为参保人员套取个人账户资金的；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（七）</w:t>
      </w:r>
      <w:r>
        <w:rPr>
          <w:rFonts w:hint="eastAsia" w:ascii="仿宋_GB2312" w:hAnsi="仿宋_GB2312" w:eastAsia="仿宋_GB2312" w:cs="仿宋_GB2312"/>
          <w:snapToGrid w:val="0"/>
          <w:color w:val="auto"/>
          <w:spacing w:val="-1"/>
          <w:kern w:val="0"/>
          <w:sz w:val="32"/>
          <w:szCs w:val="32"/>
          <w:highlight w:val="none"/>
          <w:lang w:eastAsia="en-US"/>
        </w:rPr>
        <w:t>超出《医疗机构执业许可证》诊疗科目或执业地址开展医疗服务并纳入医保、工伤保险基金支付的；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（八）</w:t>
      </w:r>
      <w:r>
        <w:rPr>
          <w:rFonts w:hint="eastAsia" w:ascii="仿宋_GB2312" w:hAnsi="仿宋_GB2312" w:eastAsia="仿宋_GB2312" w:cs="仿宋_GB2312"/>
          <w:snapToGrid w:val="0"/>
          <w:color w:val="auto"/>
          <w:spacing w:val="-1"/>
          <w:kern w:val="0"/>
          <w:sz w:val="32"/>
          <w:szCs w:val="32"/>
          <w:highlight w:val="none"/>
          <w:lang w:eastAsia="en-US"/>
        </w:rPr>
        <w:t>通过出租、出借执业资质等方式，超出《医师执业证书》规定的执业范围和执业地点开展医疗服务并纳入医保、工伤保险基金支付的；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（九）</w:t>
      </w:r>
      <w:r>
        <w:rPr>
          <w:rFonts w:hint="eastAsia" w:ascii="仿宋_GB2312" w:hAnsi="仿宋_GB2312" w:eastAsia="仿宋_GB2312" w:cs="仿宋_GB2312"/>
          <w:snapToGrid w:val="0"/>
          <w:color w:val="auto"/>
          <w:spacing w:val="-1"/>
          <w:kern w:val="0"/>
          <w:sz w:val="32"/>
          <w:szCs w:val="32"/>
          <w:highlight w:val="none"/>
          <w:lang w:eastAsia="en-US"/>
        </w:rPr>
        <w:t>在医学文书、医学证明等资料中伪造、变造医师签名骗取医保、工伤保险基金的；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（十）</w:t>
      </w:r>
      <w:r>
        <w:rPr>
          <w:rFonts w:hint="eastAsia" w:ascii="仿宋_GB2312" w:hAnsi="仿宋_GB2312" w:eastAsia="仿宋_GB2312" w:cs="仿宋_GB2312"/>
          <w:snapToGrid w:val="0"/>
          <w:color w:val="auto"/>
          <w:spacing w:val="-1"/>
          <w:kern w:val="0"/>
          <w:sz w:val="32"/>
          <w:szCs w:val="32"/>
          <w:highlight w:val="none"/>
          <w:lang w:eastAsia="en-US"/>
        </w:rPr>
        <w:t>将科室承包、出租给个人或其他机构的；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val="en-US" w:eastAsia="en-US"/>
        </w:rPr>
      </w:pPr>
      <w:r>
        <w:rPr>
          <w:rFonts w:hint="eastAsia" w:ascii="仿宋_GB2312" w:hAnsi="仿宋_GB2312" w:eastAsia="仿宋_GB2312" w:cs="仿宋_GB2312"/>
          <w:snapToGrid w:val="0"/>
          <w:color w:val="auto"/>
          <w:spacing w:val="0"/>
          <w:kern w:val="0"/>
          <w:sz w:val="32"/>
          <w:szCs w:val="32"/>
          <w:highlight w:val="none"/>
          <w:lang w:eastAsia="zh-CN"/>
        </w:rPr>
        <w:t>（十一）</w:t>
      </w:r>
      <w:r>
        <w:rPr>
          <w:rFonts w:hint="eastAsia" w:ascii="仿宋_GB2312" w:hAnsi="仿宋_GB2312" w:eastAsia="仿宋_GB2312" w:cs="仿宋_GB2312"/>
          <w:snapToGrid w:val="0"/>
          <w:color w:val="auto"/>
          <w:spacing w:val="-1"/>
          <w:kern w:val="0"/>
          <w:sz w:val="32"/>
          <w:szCs w:val="32"/>
          <w:highlight w:val="none"/>
          <w:lang w:eastAsia="en-US"/>
        </w:rPr>
        <w:t>法律法规和规章规定的应当中止医保、工伤协议的其他情形。</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16"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ascii="黑体" w:hAnsi="黑体" w:eastAsia="黑体" w:cs="黑体"/>
          <w:b w:val="0"/>
          <w:bCs w:val="0"/>
          <w:snapToGrid w:val="0"/>
          <w:color w:val="auto"/>
          <w:spacing w:val="-6"/>
          <w:kern w:val="0"/>
          <w:sz w:val="32"/>
          <w:szCs w:val="32"/>
          <w:highlight w:val="none"/>
          <w:lang w:eastAsia="zh-CN" w:bidi="zh-CN"/>
        </w:rPr>
        <w:t>第</w:t>
      </w:r>
      <w:r>
        <w:rPr>
          <w:rFonts w:hint="eastAsia" w:ascii="黑体" w:hAnsi="黑体" w:eastAsia="黑体" w:cs="黑体"/>
          <w:b w:val="0"/>
          <w:bCs w:val="0"/>
          <w:snapToGrid w:val="0"/>
          <w:color w:val="auto"/>
          <w:spacing w:val="-6"/>
          <w:kern w:val="0"/>
          <w:sz w:val="32"/>
          <w:szCs w:val="32"/>
          <w:highlight w:val="none"/>
          <w:lang w:val="en-US" w:eastAsia="zh-CN" w:bidi="zh-CN"/>
        </w:rPr>
        <w:t>八十六</w:t>
      </w:r>
      <w:r>
        <w:rPr>
          <w:rFonts w:ascii="黑体" w:hAnsi="黑体" w:eastAsia="黑体" w:cs="黑体"/>
          <w:b w:val="0"/>
          <w:bCs w:val="0"/>
          <w:snapToGrid w:val="0"/>
          <w:color w:val="auto"/>
          <w:spacing w:val="-6"/>
          <w:kern w:val="0"/>
          <w:sz w:val="32"/>
          <w:szCs w:val="32"/>
          <w:highlight w:val="none"/>
          <w:lang w:eastAsia="zh-CN" w:bidi="zh-CN"/>
        </w:rPr>
        <w:t>条</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snapToGrid w:val="0"/>
          <w:color w:val="auto"/>
          <w:spacing w:val="-6"/>
          <w:kern w:val="0"/>
          <w:sz w:val="32"/>
          <w:szCs w:val="32"/>
          <w:highlight w:val="none"/>
          <w:lang w:val="en-US" w:eastAsia="zh-CN" w:bidi="zh-CN"/>
        </w:rPr>
        <w:t>解除协议</w:t>
      </w:r>
      <w:r>
        <w:rPr>
          <w:rFonts w:hint="default" w:ascii="黑体" w:hAnsi="黑体" w:eastAsia="黑体" w:cs="黑体"/>
          <w:b w:val="0"/>
          <w:snapToGrid w:val="0"/>
          <w:color w:val="auto"/>
          <w:spacing w:val="-6"/>
          <w:kern w:val="0"/>
          <w:sz w:val="32"/>
          <w:szCs w:val="32"/>
          <w:highlight w:val="none"/>
          <w:lang w:eastAsia="zh-CN" w:bidi="zh-CN"/>
        </w:rPr>
        <w:t>】</w:t>
      </w:r>
      <w:r>
        <w:rPr>
          <w:rFonts w:hint="eastAsia" w:ascii="仿宋_GB2312" w:hAnsi="仿宋_GB2312" w:eastAsia="仿宋_GB2312" w:cs="仿宋_GB2312"/>
          <w:b w:val="0"/>
          <w:bCs w:val="0"/>
          <w:snapToGrid w:val="0"/>
          <w:color w:val="auto"/>
          <w:spacing w:val="-6"/>
          <w:kern w:val="0"/>
          <w:sz w:val="32"/>
          <w:szCs w:val="32"/>
          <w:highlight w:val="none"/>
          <w:lang w:val="en-US" w:eastAsia="zh-CN" w:bidi="zh-CN"/>
        </w:rPr>
        <w:t xml:space="preserve"> </w:t>
      </w:r>
      <w:r>
        <w:rPr>
          <w:rFonts w:hint="eastAsia" w:ascii="仿宋_GB2312" w:hAnsi="仿宋_GB2312" w:eastAsia="仿宋_GB2312" w:cs="仿宋_GB2312"/>
          <w:snapToGrid w:val="0"/>
          <w:color w:val="auto"/>
          <w:spacing w:val="-2"/>
          <w:kern w:val="0"/>
          <w:sz w:val="32"/>
          <w:szCs w:val="32"/>
          <w:highlight w:val="none"/>
          <w:lang w:eastAsia="en-US"/>
        </w:rPr>
        <w:t>经查实，乙方有下列情形之一的，或有第</w:t>
      </w:r>
      <w:r>
        <w:rPr>
          <w:rFonts w:hint="eastAsia" w:ascii="仿宋_GB2312" w:hAnsi="仿宋_GB2312" w:eastAsia="仿宋_GB2312" w:cs="仿宋_GB2312"/>
          <w:snapToGrid w:val="0"/>
          <w:color w:val="auto"/>
          <w:spacing w:val="-2"/>
          <w:kern w:val="0"/>
          <w:sz w:val="32"/>
          <w:szCs w:val="32"/>
          <w:highlight w:val="none"/>
          <w:lang w:val="en-US" w:eastAsia="zh-CN"/>
        </w:rPr>
        <w:t>八</w:t>
      </w:r>
      <w:r>
        <w:rPr>
          <w:rFonts w:hint="eastAsia" w:ascii="仿宋_GB2312" w:hAnsi="仿宋_GB2312" w:eastAsia="仿宋_GB2312" w:cs="仿宋_GB2312"/>
          <w:snapToGrid w:val="0"/>
          <w:color w:val="auto"/>
          <w:spacing w:val="-3"/>
          <w:kern w:val="0"/>
          <w:sz w:val="32"/>
          <w:szCs w:val="32"/>
          <w:highlight w:val="none"/>
          <w:lang w:eastAsia="en-US"/>
        </w:rPr>
        <w:t>十</w:t>
      </w:r>
      <w:r>
        <w:rPr>
          <w:rFonts w:hint="eastAsia" w:ascii="仿宋_GB2312" w:hAnsi="仿宋_GB2312" w:eastAsia="仿宋_GB2312" w:cs="仿宋_GB2312"/>
          <w:snapToGrid w:val="0"/>
          <w:color w:val="auto"/>
          <w:spacing w:val="-3"/>
          <w:kern w:val="0"/>
          <w:sz w:val="32"/>
          <w:szCs w:val="32"/>
          <w:highlight w:val="none"/>
          <w:lang w:val="en-US" w:eastAsia="zh-CN"/>
        </w:rPr>
        <w:t>二</w:t>
      </w:r>
      <w:r>
        <w:rPr>
          <w:rFonts w:hint="eastAsia" w:ascii="仿宋_GB2312" w:hAnsi="仿宋_GB2312" w:eastAsia="仿宋_GB2312" w:cs="仿宋_GB2312"/>
          <w:snapToGrid w:val="0"/>
          <w:color w:val="auto"/>
          <w:spacing w:val="9"/>
          <w:kern w:val="0"/>
          <w:sz w:val="32"/>
          <w:szCs w:val="32"/>
          <w:highlight w:val="none"/>
          <w:lang w:eastAsia="en-US"/>
        </w:rPr>
        <w:t>条、第</w:t>
      </w:r>
      <w:r>
        <w:rPr>
          <w:rFonts w:hint="eastAsia" w:ascii="仿宋_GB2312" w:hAnsi="仿宋_GB2312" w:eastAsia="仿宋_GB2312" w:cs="仿宋_GB2312"/>
          <w:snapToGrid w:val="0"/>
          <w:color w:val="auto"/>
          <w:spacing w:val="9"/>
          <w:kern w:val="0"/>
          <w:sz w:val="32"/>
          <w:szCs w:val="32"/>
          <w:highlight w:val="none"/>
          <w:lang w:val="en-US" w:eastAsia="zh-CN"/>
        </w:rPr>
        <w:t>八</w:t>
      </w:r>
      <w:r>
        <w:rPr>
          <w:rFonts w:hint="eastAsia" w:ascii="仿宋_GB2312" w:hAnsi="仿宋_GB2312" w:eastAsia="仿宋_GB2312" w:cs="仿宋_GB2312"/>
          <w:snapToGrid w:val="0"/>
          <w:color w:val="auto"/>
          <w:spacing w:val="9"/>
          <w:kern w:val="0"/>
          <w:sz w:val="32"/>
          <w:szCs w:val="32"/>
          <w:highlight w:val="none"/>
          <w:lang w:eastAsia="en-US"/>
        </w:rPr>
        <w:t>十</w:t>
      </w:r>
      <w:r>
        <w:rPr>
          <w:rFonts w:hint="eastAsia" w:ascii="仿宋_GB2312" w:hAnsi="仿宋_GB2312" w:eastAsia="仿宋_GB2312" w:cs="仿宋_GB2312"/>
          <w:snapToGrid w:val="0"/>
          <w:color w:val="auto"/>
          <w:spacing w:val="9"/>
          <w:kern w:val="0"/>
          <w:sz w:val="32"/>
          <w:szCs w:val="32"/>
          <w:highlight w:val="none"/>
          <w:lang w:val="en-US" w:eastAsia="zh-CN"/>
        </w:rPr>
        <w:t>三</w:t>
      </w:r>
      <w:r>
        <w:rPr>
          <w:rFonts w:hint="eastAsia" w:ascii="仿宋_GB2312" w:hAnsi="仿宋_GB2312" w:eastAsia="仿宋_GB2312" w:cs="仿宋_GB2312"/>
          <w:snapToGrid w:val="0"/>
          <w:color w:val="auto"/>
          <w:spacing w:val="9"/>
          <w:kern w:val="0"/>
          <w:sz w:val="32"/>
          <w:szCs w:val="32"/>
          <w:highlight w:val="none"/>
          <w:lang w:eastAsia="en-US"/>
        </w:rPr>
        <w:t>条、第</w:t>
      </w:r>
      <w:r>
        <w:rPr>
          <w:rFonts w:hint="eastAsia" w:ascii="仿宋_GB2312" w:hAnsi="仿宋_GB2312" w:eastAsia="仿宋_GB2312" w:cs="仿宋_GB2312"/>
          <w:snapToGrid w:val="0"/>
          <w:color w:val="auto"/>
          <w:spacing w:val="9"/>
          <w:kern w:val="0"/>
          <w:sz w:val="32"/>
          <w:szCs w:val="32"/>
          <w:highlight w:val="none"/>
          <w:lang w:val="en-US" w:eastAsia="zh-CN"/>
        </w:rPr>
        <w:t>八</w:t>
      </w:r>
      <w:r>
        <w:rPr>
          <w:rFonts w:hint="eastAsia" w:ascii="仿宋_GB2312" w:hAnsi="仿宋_GB2312" w:eastAsia="仿宋_GB2312" w:cs="仿宋_GB2312"/>
          <w:snapToGrid w:val="0"/>
          <w:color w:val="auto"/>
          <w:spacing w:val="9"/>
          <w:kern w:val="0"/>
          <w:sz w:val="32"/>
          <w:szCs w:val="32"/>
          <w:highlight w:val="none"/>
          <w:lang w:eastAsia="en-US"/>
        </w:rPr>
        <w:t>十</w:t>
      </w:r>
      <w:r>
        <w:rPr>
          <w:rFonts w:hint="eastAsia" w:ascii="仿宋_GB2312" w:hAnsi="仿宋_GB2312" w:eastAsia="仿宋_GB2312" w:cs="仿宋_GB2312"/>
          <w:snapToGrid w:val="0"/>
          <w:color w:val="auto"/>
          <w:spacing w:val="9"/>
          <w:kern w:val="0"/>
          <w:sz w:val="32"/>
          <w:szCs w:val="32"/>
          <w:highlight w:val="none"/>
          <w:lang w:val="en-US" w:eastAsia="zh-CN"/>
        </w:rPr>
        <w:t>四</w:t>
      </w:r>
      <w:r>
        <w:rPr>
          <w:rFonts w:hint="eastAsia" w:ascii="仿宋_GB2312" w:hAnsi="仿宋_GB2312" w:eastAsia="仿宋_GB2312" w:cs="仿宋_GB2312"/>
          <w:snapToGrid w:val="0"/>
          <w:color w:val="auto"/>
          <w:spacing w:val="9"/>
          <w:kern w:val="0"/>
          <w:sz w:val="32"/>
          <w:szCs w:val="32"/>
          <w:highlight w:val="none"/>
          <w:lang w:eastAsia="en-US"/>
        </w:rPr>
        <w:t>条、第</w:t>
      </w:r>
      <w:r>
        <w:rPr>
          <w:rFonts w:hint="eastAsia" w:ascii="仿宋_GB2312" w:hAnsi="仿宋_GB2312" w:eastAsia="仿宋_GB2312" w:cs="仿宋_GB2312"/>
          <w:snapToGrid w:val="0"/>
          <w:color w:val="auto"/>
          <w:spacing w:val="9"/>
          <w:kern w:val="0"/>
          <w:sz w:val="32"/>
          <w:szCs w:val="32"/>
          <w:highlight w:val="none"/>
          <w:lang w:val="en-US" w:eastAsia="zh-CN"/>
        </w:rPr>
        <w:t>八</w:t>
      </w:r>
      <w:r>
        <w:rPr>
          <w:rFonts w:hint="eastAsia" w:ascii="仿宋_GB2312" w:hAnsi="仿宋_GB2312" w:eastAsia="仿宋_GB2312" w:cs="仿宋_GB2312"/>
          <w:snapToGrid w:val="0"/>
          <w:color w:val="auto"/>
          <w:spacing w:val="9"/>
          <w:kern w:val="0"/>
          <w:sz w:val="32"/>
          <w:szCs w:val="32"/>
          <w:highlight w:val="none"/>
          <w:lang w:eastAsia="en-US"/>
        </w:rPr>
        <w:t>十</w:t>
      </w:r>
      <w:r>
        <w:rPr>
          <w:rFonts w:hint="eastAsia" w:ascii="仿宋_GB2312" w:hAnsi="仿宋_GB2312" w:eastAsia="仿宋_GB2312" w:cs="仿宋_GB2312"/>
          <w:snapToGrid w:val="0"/>
          <w:color w:val="auto"/>
          <w:spacing w:val="9"/>
          <w:kern w:val="0"/>
          <w:sz w:val="32"/>
          <w:szCs w:val="32"/>
          <w:highlight w:val="none"/>
          <w:lang w:val="en-US" w:eastAsia="zh-CN"/>
        </w:rPr>
        <w:t>五</w:t>
      </w:r>
      <w:r>
        <w:rPr>
          <w:rFonts w:hint="eastAsia" w:ascii="仿宋_GB2312" w:hAnsi="仿宋_GB2312" w:eastAsia="仿宋_GB2312" w:cs="仿宋_GB2312"/>
          <w:snapToGrid w:val="0"/>
          <w:color w:val="auto"/>
          <w:spacing w:val="9"/>
          <w:kern w:val="0"/>
          <w:sz w:val="32"/>
          <w:szCs w:val="32"/>
          <w:highlight w:val="none"/>
          <w:lang w:eastAsia="en-US"/>
        </w:rPr>
        <w:t>条情形且性质恶劣</w:t>
      </w:r>
      <w:r>
        <w:rPr>
          <w:rFonts w:hint="eastAsia" w:ascii="仿宋_GB2312" w:hAnsi="仿宋_GB2312" w:eastAsia="仿宋_GB2312" w:cs="仿宋_GB2312"/>
          <w:snapToGrid w:val="0"/>
          <w:color w:val="auto"/>
          <w:spacing w:val="-2"/>
          <w:kern w:val="0"/>
          <w:sz w:val="32"/>
          <w:szCs w:val="32"/>
          <w:highlight w:val="none"/>
          <w:lang w:eastAsia="en-US"/>
        </w:rPr>
        <w:t>的，或造成医保</w:t>
      </w:r>
      <w:r>
        <w:rPr>
          <w:rFonts w:hint="eastAsia" w:ascii="仿宋_GB2312" w:hAnsi="仿宋_GB2312" w:eastAsia="仿宋_GB2312" w:cs="仿宋_GB2312"/>
          <w:snapToGrid w:val="0"/>
          <w:color w:val="auto"/>
          <w:spacing w:val="9"/>
          <w:kern w:val="0"/>
          <w:sz w:val="32"/>
          <w:szCs w:val="32"/>
          <w:highlight w:val="none"/>
          <w:lang w:eastAsia="zh-CN"/>
        </w:rPr>
        <w:t>、工伤保险</w:t>
      </w:r>
      <w:r>
        <w:rPr>
          <w:rFonts w:hint="eastAsia" w:ascii="仿宋_GB2312" w:hAnsi="仿宋_GB2312" w:eastAsia="仿宋_GB2312" w:cs="仿宋_GB2312"/>
          <w:snapToGrid w:val="0"/>
          <w:color w:val="auto"/>
          <w:spacing w:val="-2"/>
          <w:kern w:val="0"/>
          <w:sz w:val="32"/>
          <w:szCs w:val="32"/>
          <w:highlight w:val="none"/>
          <w:lang w:eastAsia="en-US"/>
        </w:rPr>
        <w:t>基金重大损失的，或社会影响</w:t>
      </w:r>
      <w:r>
        <w:rPr>
          <w:rFonts w:hint="eastAsia" w:ascii="仿宋_GB2312" w:hAnsi="仿宋_GB2312" w:eastAsia="仿宋_GB2312" w:cs="仿宋_GB2312"/>
          <w:snapToGrid w:val="0"/>
          <w:color w:val="auto"/>
          <w:spacing w:val="-3"/>
          <w:kern w:val="0"/>
          <w:sz w:val="32"/>
          <w:szCs w:val="32"/>
          <w:highlight w:val="none"/>
          <w:lang w:eastAsia="en-US"/>
        </w:rPr>
        <w:t>严重的，甲方不予</w:t>
      </w:r>
      <w:r>
        <w:rPr>
          <w:rFonts w:hint="eastAsia" w:ascii="仿宋_GB2312" w:hAnsi="仿宋_GB2312" w:eastAsia="仿宋_GB2312" w:cs="仿宋_GB2312"/>
          <w:snapToGrid w:val="0"/>
          <w:color w:val="auto"/>
          <w:spacing w:val="4"/>
          <w:kern w:val="0"/>
          <w:sz w:val="32"/>
          <w:szCs w:val="32"/>
          <w:highlight w:val="none"/>
          <w:lang w:eastAsia="en-US"/>
        </w:rPr>
        <w:t>支付或追回已支付的医保</w:t>
      </w:r>
      <w:r>
        <w:rPr>
          <w:rFonts w:hint="eastAsia" w:ascii="仿宋_GB2312" w:hAnsi="仿宋_GB2312" w:eastAsia="仿宋_GB2312" w:cs="仿宋_GB2312"/>
          <w:snapToGrid w:val="0"/>
          <w:color w:val="auto"/>
          <w:spacing w:val="9"/>
          <w:kern w:val="0"/>
          <w:sz w:val="32"/>
          <w:szCs w:val="32"/>
          <w:highlight w:val="none"/>
          <w:lang w:eastAsia="zh-CN"/>
        </w:rPr>
        <w:t>、工伤保险</w:t>
      </w:r>
      <w:r>
        <w:rPr>
          <w:rFonts w:hint="eastAsia" w:ascii="仿宋_GB2312" w:hAnsi="仿宋_GB2312" w:eastAsia="仿宋_GB2312" w:cs="仿宋_GB2312"/>
          <w:snapToGrid w:val="0"/>
          <w:color w:val="auto"/>
          <w:spacing w:val="4"/>
          <w:kern w:val="0"/>
          <w:sz w:val="32"/>
          <w:szCs w:val="32"/>
          <w:highlight w:val="none"/>
          <w:lang w:eastAsia="en-US"/>
        </w:rPr>
        <w:t>费用，给予乙方解除协议处理(可</w:t>
      </w:r>
      <w:r>
        <w:rPr>
          <w:rFonts w:hint="eastAsia" w:ascii="仿宋_GB2312" w:hAnsi="仿宋_GB2312" w:eastAsia="仿宋_GB2312" w:cs="仿宋_GB2312"/>
          <w:snapToGrid w:val="0"/>
          <w:color w:val="auto"/>
          <w:spacing w:val="-2"/>
          <w:kern w:val="0"/>
          <w:sz w:val="32"/>
          <w:szCs w:val="32"/>
          <w:highlight w:val="none"/>
          <w:lang w:eastAsia="en-US"/>
        </w:rPr>
        <w:t>视情况执行到相关责任人员或者所在部门涉及医疗保障</w:t>
      </w:r>
      <w:r>
        <w:rPr>
          <w:rFonts w:hint="eastAsia" w:ascii="仿宋_GB2312" w:hAnsi="仿宋_GB2312" w:eastAsia="仿宋_GB2312" w:cs="仿宋_GB2312"/>
          <w:snapToGrid w:val="0"/>
          <w:color w:val="auto"/>
          <w:spacing w:val="9"/>
          <w:kern w:val="0"/>
          <w:sz w:val="32"/>
          <w:szCs w:val="32"/>
          <w:highlight w:val="none"/>
          <w:lang w:eastAsia="zh-CN"/>
        </w:rPr>
        <w:t>、工伤保险</w:t>
      </w:r>
      <w:r>
        <w:rPr>
          <w:rFonts w:hint="eastAsia" w:ascii="仿宋_GB2312" w:hAnsi="仿宋_GB2312" w:eastAsia="仿宋_GB2312" w:cs="仿宋_GB2312"/>
          <w:snapToGrid w:val="0"/>
          <w:color w:val="auto"/>
          <w:spacing w:val="-2"/>
          <w:kern w:val="0"/>
          <w:sz w:val="32"/>
          <w:szCs w:val="32"/>
          <w:highlight w:val="none"/>
          <w:lang w:eastAsia="en-US"/>
        </w:rPr>
        <w:t>基金使用</w:t>
      </w:r>
      <w:r>
        <w:rPr>
          <w:rFonts w:hint="eastAsia" w:ascii="仿宋_GB2312" w:hAnsi="仿宋_GB2312" w:eastAsia="仿宋_GB2312" w:cs="仿宋_GB2312"/>
          <w:snapToGrid w:val="0"/>
          <w:color w:val="auto"/>
          <w:spacing w:val="8"/>
          <w:kern w:val="0"/>
          <w:sz w:val="32"/>
          <w:szCs w:val="32"/>
          <w:highlight w:val="none"/>
          <w:lang w:eastAsia="en-US"/>
        </w:rPr>
        <w:t>的医疗服务)</w:t>
      </w:r>
      <w:r>
        <w:rPr>
          <w:rFonts w:hint="eastAsia" w:ascii="仿宋_GB2312" w:hAnsi="仿宋_GB2312" w:eastAsia="仿宋_GB2312" w:cs="仿宋_GB2312"/>
          <w:snapToGrid w:val="0"/>
          <w:color w:val="auto"/>
          <w:spacing w:val="8"/>
          <w:kern w:val="0"/>
          <w:sz w:val="32"/>
          <w:szCs w:val="32"/>
          <w:highlight w:val="none"/>
          <w:lang w:eastAsia="zh-CN"/>
        </w:rPr>
        <w:t>，</w:t>
      </w:r>
      <w:r>
        <w:rPr>
          <w:rFonts w:hint="eastAsia" w:ascii="仿宋_GB2312" w:hAnsi="仿宋_GB2312" w:eastAsia="仿宋_GB2312" w:cs="仿宋_GB2312"/>
          <w:snapToGrid w:val="0"/>
          <w:color w:val="auto"/>
          <w:spacing w:val="8"/>
          <w:kern w:val="0"/>
          <w:sz w:val="32"/>
          <w:szCs w:val="32"/>
          <w:highlight w:val="none"/>
          <w:lang w:eastAsia="en-US"/>
        </w:rPr>
        <w:t>并向社会公布解除协议情况，可要求乙</w:t>
      </w:r>
      <w:r>
        <w:rPr>
          <w:rFonts w:hint="eastAsia" w:ascii="仿宋_GB2312" w:hAnsi="仿宋_GB2312" w:eastAsia="仿宋_GB2312" w:cs="仿宋_GB2312"/>
          <w:snapToGrid w:val="0"/>
          <w:color w:val="auto"/>
          <w:spacing w:val="7"/>
          <w:kern w:val="0"/>
          <w:sz w:val="32"/>
          <w:szCs w:val="32"/>
          <w:highlight w:val="none"/>
          <w:lang w:eastAsia="en-US"/>
        </w:rPr>
        <w:t>方支</w:t>
      </w:r>
      <w:r>
        <w:rPr>
          <w:rFonts w:hint="eastAsia" w:ascii="仿宋_GB2312" w:hAnsi="仿宋_GB2312" w:eastAsia="仿宋_GB2312" w:cs="仿宋_GB2312"/>
          <w:snapToGrid w:val="0"/>
          <w:color w:val="auto"/>
          <w:spacing w:val="5"/>
          <w:kern w:val="0"/>
          <w:sz w:val="32"/>
          <w:szCs w:val="32"/>
          <w:highlight w:val="none"/>
          <w:lang w:eastAsia="en-US"/>
        </w:rPr>
        <w:t>付违约金，违约金</w:t>
      </w:r>
      <w:r>
        <w:rPr>
          <w:rFonts w:hint="eastAsia" w:ascii="仿宋_GB2312" w:hAnsi="仿宋_GB2312" w:eastAsia="仿宋_GB2312" w:cs="仿宋_GB2312"/>
          <w:snapToGrid w:val="0"/>
          <w:color w:val="auto"/>
          <w:spacing w:val="5"/>
          <w:kern w:val="0"/>
          <w:sz w:val="32"/>
          <w:szCs w:val="32"/>
          <w:highlight w:val="none"/>
          <w:lang w:eastAsia="zh-CN"/>
        </w:rPr>
        <w:t>为</w:t>
      </w:r>
      <w:r>
        <w:rPr>
          <w:rFonts w:hint="eastAsia" w:ascii="仿宋_GB2312" w:hAnsi="仿宋_GB2312" w:eastAsia="仿宋_GB2312" w:cs="仿宋_GB2312"/>
          <w:snapToGrid w:val="0"/>
          <w:color w:val="auto"/>
          <w:spacing w:val="5"/>
          <w:kern w:val="0"/>
          <w:sz w:val="32"/>
          <w:szCs w:val="32"/>
          <w:highlight w:val="none"/>
          <w:lang w:eastAsia="en-US"/>
        </w:rPr>
        <w:t>乙方违规费用的30%</w:t>
      </w:r>
      <w:r>
        <w:rPr>
          <w:rFonts w:hint="eastAsia" w:ascii="仿宋_GB2312" w:hAnsi="仿宋_GB2312" w:eastAsia="仿宋_GB2312" w:cs="仿宋_GB2312"/>
          <w:snapToGrid w:val="0"/>
          <w:color w:val="auto"/>
          <w:spacing w:val="5"/>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（一）</w:t>
      </w:r>
      <w:r>
        <w:rPr>
          <w:rFonts w:hint="eastAsia" w:ascii="仿宋_GB2312" w:hAnsi="仿宋_GB2312" w:eastAsia="仿宋_GB2312" w:cs="仿宋_GB2312"/>
          <w:snapToGrid w:val="0"/>
          <w:color w:val="auto"/>
          <w:spacing w:val="15"/>
          <w:kern w:val="0"/>
          <w:sz w:val="32"/>
          <w:szCs w:val="32"/>
          <w:highlight w:val="none"/>
          <w:lang w:val="en-US" w:eastAsia="zh-CN"/>
        </w:rPr>
        <w:t>本</w:t>
      </w:r>
      <w:r>
        <w:rPr>
          <w:rFonts w:hint="eastAsia" w:ascii="仿宋_GB2312" w:hAnsi="仿宋_GB2312" w:eastAsia="仿宋_GB2312" w:cs="仿宋_GB2312"/>
          <w:snapToGrid w:val="0"/>
          <w:color w:val="auto"/>
          <w:spacing w:val="15"/>
          <w:kern w:val="0"/>
          <w:sz w:val="32"/>
          <w:szCs w:val="32"/>
          <w:highlight w:val="none"/>
          <w:lang w:eastAsia="en-US"/>
        </w:rPr>
        <w:t>协议有效期内累计2次及以上被中止协议或</w:t>
      </w:r>
      <w:r>
        <w:rPr>
          <w:rFonts w:hint="eastAsia" w:ascii="仿宋_GB2312" w:hAnsi="仿宋_GB2312" w:eastAsia="仿宋_GB2312" w:cs="仿宋_GB2312"/>
          <w:snapToGrid w:val="0"/>
          <w:color w:val="auto"/>
          <w:spacing w:val="-10"/>
          <w:kern w:val="0"/>
          <w:sz w:val="32"/>
          <w:szCs w:val="32"/>
          <w:highlight w:val="none"/>
          <w:lang w:eastAsia="en-US"/>
        </w:rPr>
        <w:t>中止医保协议期间未按要求整改或整改不到位的；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（二）</w:t>
      </w:r>
      <w:r>
        <w:rPr>
          <w:rFonts w:hint="eastAsia" w:ascii="仿宋_GB2312" w:hAnsi="仿宋_GB2312" w:eastAsia="仿宋_GB2312" w:cs="仿宋_GB2312"/>
          <w:snapToGrid w:val="0"/>
          <w:color w:val="auto"/>
          <w:kern w:val="0"/>
          <w:sz w:val="32"/>
          <w:szCs w:val="32"/>
          <w:highlight w:val="none"/>
          <w:lang w:eastAsia="en-US"/>
        </w:rPr>
        <w:t>以弄虚作假等不正当手段申请取得定点的；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（三）</w:t>
      </w:r>
      <w:r>
        <w:rPr>
          <w:rFonts w:hint="eastAsia" w:ascii="仿宋_GB2312" w:hAnsi="仿宋_GB2312" w:eastAsia="仿宋_GB2312" w:cs="仿宋_GB2312"/>
          <w:snapToGrid w:val="0"/>
          <w:color w:val="auto"/>
          <w:spacing w:val="10"/>
          <w:kern w:val="0"/>
          <w:sz w:val="32"/>
          <w:szCs w:val="32"/>
          <w:highlight w:val="none"/>
          <w:lang w:eastAsia="en-US"/>
        </w:rPr>
        <w:t>为非定点医疗机构或处于中止协议期间的医疗机</w:t>
      </w:r>
      <w:r>
        <w:rPr>
          <w:rFonts w:hint="eastAsia" w:ascii="仿宋_GB2312" w:hAnsi="仿宋_GB2312" w:eastAsia="仿宋_GB2312" w:cs="仿宋_GB2312"/>
          <w:snapToGrid w:val="0"/>
          <w:color w:val="auto"/>
          <w:spacing w:val="-8"/>
          <w:kern w:val="0"/>
          <w:sz w:val="32"/>
          <w:szCs w:val="32"/>
          <w:highlight w:val="none"/>
          <w:lang w:eastAsia="en-US"/>
        </w:rPr>
        <w:t>构提供医保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8"/>
          <w:kern w:val="0"/>
          <w:sz w:val="32"/>
          <w:szCs w:val="32"/>
          <w:highlight w:val="none"/>
          <w:lang w:eastAsia="en-US"/>
        </w:rPr>
        <w:t>费用结算的；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（四）</w:t>
      </w:r>
      <w:r>
        <w:rPr>
          <w:rFonts w:hint="eastAsia" w:ascii="仿宋_GB2312" w:hAnsi="仿宋_GB2312" w:eastAsia="仿宋_GB2312" w:cs="仿宋_GB2312"/>
          <w:snapToGrid w:val="0"/>
          <w:color w:val="auto"/>
          <w:spacing w:val="11"/>
          <w:kern w:val="0"/>
          <w:sz w:val="32"/>
          <w:szCs w:val="32"/>
          <w:highlight w:val="none"/>
          <w:lang w:eastAsia="en-US"/>
        </w:rPr>
        <w:t>使用无执业资质人员开展医疗服务并将相关费用纳入</w:t>
      </w:r>
      <w:r>
        <w:rPr>
          <w:rFonts w:hint="eastAsia" w:ascii="仿宋_GB2312" w:hAnsi="仿宋_GB2312" w:eastAsia="仿宋_GB2312" w:cs="仿宋_GB2312"/>
          <w:snapToGrid w:val="0"/>
          <w:color w:val="auto"/>
          <w:spacing w:val="-13"/>
          <w:kern w:val="0"/>
          <w:sz w:val="32"/>
          <w:szCs w:val="32"/>
          <w:highlight w:val="none"/>
          <w:lang w:eastAsia="en-US"/>
        </w:rPr>
        <w:t>医保</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13"/>
          <w:kern w:val="0"/>
          <w:sz w:val="32"/>
          <w:szCs w:val="32"/>
          <w:highlight w:val="none"/>
          <w:lang w:eastAsia="en-US"/>
        </w:rPr>
        <w:t>基金支付的；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（五）</w:t>
      </w:r>
      <w:r>
        <w:rPr>
          <w:rFonts w:hint="eastAsia" w:ascii="仿宋_GB2312" w:hAnsi="仿宋_GB2312" w:eastAsia="仿宋_GB2312" w:cs="仿宋_GB2312"/>
          <w:snapToGrid w:val="0"/>
          <w:color w:val="auto"/>
          <w:spacing w:val="9"/>
          <w:kern w:val="0"/>
          <w:sz w:val="32"/>
          <w:szCs w:val="32"/>
          <w:highlight w:val="none"/>
          <w:lang w:eastAsia="en-US"/>
        </w:rPr>
        <w:t>拒绝、阻挠或不配合</w:t>
      </w:r>
      <w:r>
        <w:rPr>
          <w:rFonts w:hint="eastAsia" w:ascii="仿宋_GB2312" w:hAnsi="仿宋_GB2312" w:eastAsia="仿宋_GB2312" w:cs="仿宋_GB2312"/>
          <w:snapToGrid w:val="0"/>
          <w:color w:val="auto"/>
          <w:spacing w:val="9"/>
          <w:kern w:val="0"/>
          <w:sz w:val="32"/>
          <w:szCs w:val="32"/>
          <w:highlight w:val="none"/>
          <w:lang w:eastAsia="zh-CN"/>
        </w:rPr>
        <w:t>甲方或有关执法人员</w:t>
      </w:r>
      <w:r>
        <w:rPr>
          <w:rFonts w:hint="eastAsia" w:ascii="仿宋_GB2312" w:hAnsi="仿宋_GB2312" w:eastAsia="仿宋_GB2312" w:cs="仿宋_GB2312"/>
          <w:snapToGrid w:val="0"/>
          <w:color w:val="auto"/>
          <w:spacing w:val="9"/>
          <w:kern w:val="0"/>
          <w:sz w:val="32"/>
          <w:szCs w:val="32"/>
          <w:highlight w:val="none"/>
          <w:lang w:eastAsia="en-US"/>
        </w:rPr>
        <w:t>开展智能审</w:t>
      </w:r>
      <w:r>
        <w:rPr>
          <w:rFonts w:hint="eastAsia" w:ascii="仿宋_GB2312" w:hAnsi="仿宋_GB2312" w:eastAsia="仿宋_GB2312" w:cs="仿宋_GB2312"/>
          <w:snapToGrid w:val="0"/>
          <w:color w:val="auto"/>
          <w:spacing w:val="8"/>
          <w:kern w:val="0"/>
          <w:sz w:val="32"/>
          <w:szCs w:val="32"/>
          <w:highlight w:val="none"/>
          <w:lang w:eastAsia="en-US"/>
        </w:rPr>
        <w:t>核、医</w:t>
      </w:r>
      <w:r>
        <w:rPr>
          <w:rFonts w:hint="eastAsia" w:ascii="仿宋_GB2312" w:hAnsi="仿宋_GB2312" w:eastAsia="仿宋_GB2312" w:cs="仿宋_GB2312"/>
          <w:snapToGrid w:val="0"/>
          <w:color w:val="auto"/>
          <w:spacing w:val="-8"/>
          <w:kern w:val="0"/>
          <w:sz w:val="32"/>
          <w:szCs w:val="32"/>
          <w:highlight w:val="none"/>
          <w:lang w:eastAsia="en-US"/>
        </w:rPr>
        <w:t>保绩效考核、</w:t>
      </w:r>
      <w:r>
        <w:rPr>
          <w:rFonts w:hint="eastAsia" w:ascii="仿宋_GB2312" w:hAnsi="仿宋_GB2312" w:eastAsia="仿宋_GB2312" w:cs="仿宋_GB2312"/>
          <w:snapToGrid w:val="0"/>
          <w:color w:val="auto"/>
          <w:spacing w:val="-8"/>
          <w:kern w:val="0"/>
          <w:sz w:val="32"/>
          <w:szCs w:val="32"/>
          <w:highlight w:val="none"/>
          <w:lang w:eastAsia="zh-CN"/>
        </w:rPr>
        <w:t>现场</w:t>
      </w:r>
      <w:r>
        <w:rPr>
          <w:rFonts w:hint="eastAsia" w:ascii="仿宋_GB2312" w:hAnsi="仿宋_GB2312" w:eastAsia="仿宋_GB2312" w:cs="仿宋_GB2312"/>
          <w:snapToGrid w:val="0"/>
          <w:color w:val="auto"/>
          <w:spacing w:val="-8"/>
          <w:kern w:val="0"/>
          <w:sz w:val="32"/>
          <w:szCs w:val="32"/>
          <w:highlight w:val="none"/>
          <w:lang w:eastAsia="en-US"/>
        </w:rPr>
        <w:t>检查</w:t>
      </w:r>
      <w:r>
        <w:rPr>
          <w:rFonts w:hint="eastAsia" w:ascii="仿宋_GB2312" w:hAnsi="仿宋_GB2312" w:eastAsia="仿宋_GB2312" w:cs="仿宋_GB2312"/>
          <w:snapToGrid w:val="0"/>
          <w:color w:val="auto"/>
          <w:spacing w:val="-8"/>
          <w:kern w:val="0"/>
          <w:sz w:val="32"/>
          <w:szCs w:val="32"/>
          <w:highlight w:val="none"/>
          <w:lang w:eastAsia="zh-CN"/>
        </w:rPr>
        <w:t>等，</w:t>
      </w:r>
      <w:r>
        <w:rPr>
          <w:rFonts w:hint="eastAsia" w:ascii="仿宋_GB2312" w:hAnsi="仿宋_GB2312" w:eastAsia="仿宋_GB2312" w:cs="仿宋_GB2312"/>
          <w:snapToGrid w:val="0"/>
          <w:color w:val="auto"/>
          <w:spacing w:val="-8"/>
          <w:kern w:val="0"/>
          <w:sz w:val="32"/>
          <w:szCs w:val="32"/>
          <w:highlight w:val="none"/>
          <w:lang w:eastAsia="en-US"/>
        </w:rPr>
        <w:t>情节恶劣的；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（六）</w:t>
      </w:r>
      <w:r>
        <w:rPr>
          <w:rFonts w:hint="eastAsia" w:ascii="仿宋_GB2312" w:hAnsi="仿宋_GB2312" w:eastAsia="仿宋_GB2312" w:cs="仿宋_GB2312"/>
          <w:snapToGrid w:val="0"/>
          <w:color w:val="auto"/>
          <w:spacing w:val="-1"/>
          <w:kern w:val="0"/>
          <w:sz w:val="32"/>
          <w:szCs w:val="32"/>
          <w:highlight w:val="none"/>
          <w:lang w:eastAsia="en-US"/>
        </w:rPr>
        <w:t>被发现重大信息发生变更但未办理重大信息</w:t>
      </w:r>
      <w:r>
        <w:rPr>
          <w:rFonts w:hint="eastAsia" w:ascii="仿宋_GB2312" w:hAnsi="仿宋_GB2312" w:eastAsia="仿宋_GB2312" w:cs="仿宋_GB2312"/>
          <w:snapToGrid w:val="0"/>
          <w:color w:val="auto"/>
          <w:spacing w:val="-2"/>
          <w:kern w:val="0"/>
          <w:sz w:val="32"/>
          <w:szCs w:val="32"/>
          <w:highlight w:val="none"/>
          <w:lang w:eastAsia="en-US"/>
        </w:rPr>
        <w:t>变更的；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（七）</w:t>
      </w:r>
      <w:r>
        <w:rPr>
          <w:rFonts w:hint="eastAsia" w:ascii="仿宋_GB2312" w:hAnsi="仿宋_GB2312" w:eastAsia="仿宋_GB2312" w:cs="仿宋_GB2312"/>
          <w:snapToGrid w:val="0"/>
          <w:color w:val="auto"/>
          <w:kern w:val="0"/>
          <w:sz w:val="32"/>
          <w:szCs w:val="32"/>
          <w:highlight w:val="none"/>
          <w:lang w:eastAsia="en-US"/>
        </w:rPr>
        <w:t>乙方停业或歇业后未按规定向甲方报告的；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（八）</w:t>
      </w:r>
      <w:r>
        <w:rPr>
          <w:rFonts w:hint="eastAsia" w:ascii="仿宋_GB2312" w:hAnsi="仿宋_GB2312" w:eastAsia="仿宋_GB2312" w:cs="仿宋_GB2312"/>
          <w:snapToGrid w:val="0"/>
          <w:color w:val="auto"/>
          <w:spacing w:val="9"/>
          <w:kern w:val="0"/>
          <w:sz w:val="32"/>
          <w:szCs w:val="32"/>
          <w:highlight w:val="none"/>
          <w:lang w:eastAsia="en-US"/>
        </w:rPr>
        <w:t>医疗保障行政部门或其他有关部门在行政执法中，发</w:t>
      </w:r>
      <w:r>
        <w:rPr>
          <w:rFonts w:hint="eastAsia" w:ascii="仿宋_GB2312" w:hAnsi="仿宋_GB2312" w:eastAsia="仿宋_GB2312" w:cs="仿宋_GB2312"/>
          <w:snapToGrid w:val="0"/>
          <w:color w:val="auto"/>
          <w:spacing w:val="-7"/>
          <w:kern w:val="0"/>
          <w:sz w:val="32"/>
          <w:szCs w:val="32"/>
          <w:highlight w:val="none"/>
          <w:lang w:eastAsia="en-US"/>
        </w:rPr>
        <w:t>现乙方存在重大违法违规行为且造成医疗保障</w:t>
      </w:r>
      <w:r>
        <w:rPr>
          <w:rFonts w:hint="eastAsia" w:ascii="仿宋_GB2312" w:hAnsi="仿宋_GB2312" w:eastAsia="仿宋_GB2312" w:cs="仿宋_GB2312"/>
          <w:snapToGrid w:val="0"/>
          <w:color w:val="auto"/>
          <w:spacing w:val="2"/>
          <w:kern w:val="0"/>
          <w:sz w:val="32"/>
          <w:szCs w:val="32"/>
          <w:highlight w:val="none"/>
          <w:lang w:eastAsia="zh-CN"/>
        </w:rPr>
        <w:t>、工伤保险</w:t>
      </w:r>
      <w:r>
        <w:rPr>
          <w:rFonts w:hint="eastAsia" w:ascii="仿宋_GB2312" w:hAnsi="仿宋_GB2312" w:eastAsia="仿宋_GB2312" w:cs="仿宋_GB2312"/>
          <w:snapToGrid w:val="0"/>
          <w:color w:val="auto"/>
          <w:spacing w:val="-7"/>
          <w:kern w:val="0"/>
          <w:sz w:val="32"/>
          <w:szCs w:val="32"/>
          <w:highlight w:val="none"/>
          <w:lang w:eastAsia="en-US"/>
        </w:rPr>
        <w:t>基金重大损失的；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（九）</w:t>
      </w:r>
      <w:r>
        <w:rPr>
          <w:rFonts w:hint="eastAsia" w:ascii="仿宋_GB2312" w:hAnsi="仿宋_GB2312" w:eastAsia="仿宋_GB2312" w:cs="仿宋_GB2312"/>
          <w:snapToGrid w:val="0"/>
          <w:color w:val="auto"/>
          <w:spacing w:val="9"/>
          <w:kern w:val="0"/>
          <w:sz w:val="32"/>
          <w:szCs w:val="32"/>
          <w:highlight w:val="none"/>
          <w:lang w:eastAsia="en-US"/>
        </w:rPr>
        <w:t>被吊销医疗机构执业许可证、诊所备案证或中医诊所</w:t>
      </w:r>
      <w:r>
        <w:rPr>
          <w:rFonts w:hint="eastAsia" w:ascii="仿宋_GB2312" w:hAnsi="仿宋_GB2312" w:eastAsia="仿宋_GB2312" w:cs="仿宋_GB2312"/>
          <w:snapToGrid w:val="0"/>
          <w:color w:val="auto"/>
          <w:spacing w:val="-16"/>
          <w:kern w:val="0"/>
          <w:sz w:val="32"/>
          <w:szCs w:val="32"/>
          <w:highlight w:val="none"/>
          <w:lang w:eastAsia="en-US"/>
        </w:rPr>
        <w:t>备案证的；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（十）</w:t>
      </w:r>
      <w:r>
        <w:rPr>
          <w:rFonts w:hint="eastAsia" w:ascii="仿宋_GB2312" w:hAnsi="仿宋_GB2312" w:eastAsia="仿宋_GB2312" w:cs="仿宋_GB2312"/>
          <w:snapToGrid w:val="0"/>
          <w:color w:val="auto"/>
          <w:spacing w:val="10"/>
          <w:kern w:val="0"/>
          <w:sz w:val="32"/>
          <w:szCs w:val="32"/>
          <w:highlight w:val="none"/>
          <w:lang w:eastAsia="en-US"/>
        </w:rPr>
        <w:t>法定代表人、主要负责人或实际控制人不能履行</w:t>
      </w:r>
      <w:r>
        <w:rPr>
          <w:rFonts w:hint="eastAsia" w:ascii="仿宋_GB2312" w:hAnsi="仿宋_GB2312" w:eastAsia="仿宋_GB2312" w:cs="仿宋_GB2312"/>
          <w:snapToGrid w:val="0"/>
          <w:color w:val="auto"/>
          <w:spacing w:val="10"/>
          <w:kern w:val="0"/>
          <w:sz w:val="32"/>
          <w:szCs w:val="32"/>
          <w:highlight w:val="none"/>
          <w:lang w:val="en-US" w:eastAsia="zh-CN"/>
        </w:rPr>
        <w:t>本</w:t>
      </w:r>
      <w:r>
        <w:rPr>
          <w:rFonts w:hint="eastAsia" w:ascii="仿宋_GB2312" w:hAnsi="仿宋_GB2312" w:eastAsia="仿宋_GB2312" w:cs="仿宋_GB2312"/>
          <w:snapToGrid w:val="0"/>
          <w:color w:val="auto"/>
          <w:spacing w:val="-6"/>
          <w:kern w:val="0"/>
          <w:sz w:val="32"/>
          <w:szCs w:val="32"/>
          <w:highlight w:val="none"/>
          <w:lang w:eastAsia="en-US"/>
        </w:rPr>
        <w:t>协议约定，或有违法失信行为的；</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22"/>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zh-CN"/>
        </w:rPr>
        <w:t>（十一）</w:t>
      </w:r>
      <w:r>
        <w:rPr>
          <w:rFonts w:hint="eastAsia" w:ascii="仿宋_GB2312" w:hAnsi="仿宋_GB2312" w:eastAsia="仿宋_GB2312" w:cs="仿宋_GB2312"/>
          <w:snapToGrid w:val="0"/>
          <w:color w:val="auto"/>
          <w:spacing w:val="22"/>
          <w:kern w:val="0"/>
          <w:sz w:val="32"/>
          <w:szCs w:val="32"/>
          <w:highlight w:val="none"/>
          <w:lang w:eastAsia="en-US"/>
        </w:rPr>
        <w:t>未依法履行医疗保障</w:t>
      </w:r>
      <w:r>
        <w:rPr>
          <w:rFonts w:hint="eastAsia" w:ascii="仿宋_GB2312" w:hAnsi="仿宋_GB2312" w:eastAsia="仿宋_GB2312" w:cs="仿宋_GB2312"/>
          <w:snapToGrid w:val="0"/>
          <w:color w:val="auto"/>
          <w:spacing w:val="22"/>
          <w:kern w:val="0"/>
          <w:sz w:val="32"/>
          <w:szCs w:val="32"/>
          <w:highlight w:val="none"/>
          <w:lang w:eastAsia="zh-CN"/>
        </w:rPr>
        <w:t>或工伤保险</w:t>
      </w:r>
      <w:r>
        <w:rPr>
          <w:rFonts w:hint="eastAsia" w:ascii="仿宋_GB2312" w:hAnsi="仿宋_GB2312" w:eastAsia="仿宋_GB2312" w:cs="仿宋_GB2312"/>
          <w:snapToGrid w:val="0"/>
          <w:color w:val="auto"/>
          <w:spacing w:val="22"/>
          <w:kern w:val="0"/>
          <w:sz w:val="32"/>
          <w:szCs w:val="32"/>
          <w:highlight w:val="none"/>
          <w:lang w:eastAsia="en-US"/>
        </w:rPr>
        <w:t>行政部门作出的行政处罚决</w:t>
      </w:r>
      <w:r>
        <w:rPr>
          <w:rFonts w:hint="eastAsia" w:ascii="仿宋_GB2312" w:hAnsi="仿宋_GB2312" w:eastAsia="仿宋_GB2312" w:cs="仿宋_GB2312"/>
          <w:snapToGrid w:val="0"/>
          <w:color w:val="auto"/>
          <w:spacing w:val="-16"/>
          <w:kern w:val="0"/>
          <w:sz w:val="32"/>
          <w:szCs w:val="32"/>
          <w:highlight w:val="none"/>
          <w:lang w:eastAsia="en-US"/>
        </w:rPr>
        <w:t>定的；</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（十二）</w:t>
      </w:r>
      <w:r>
        <w:rPr>
          <w:rFonts w:hint="eastAsia" w:ascii="仿宋_GB2312" w:hAnsi="仿宋_GB2312" w:eastAsia="仿宋_GB2312" w:cs="仿宋_GB2312"/>
          <w:snapToGrid w:val="0"/>
          <w:color w:val="auto"/>
          <w:spacing w:val="-1"/>
          <w:kern w:val="0"/>
          <w:sz w:val="32"/>
          <w:szCs w:val="32"/>
          <w:highlight w:val="none"/>
          <w:lang w:eastAsia="en-US"/>
        </w:rPr>
        <w:t>法律法规和规章规定的应当解除的其他情形。</w:t>
      </w:r>
    </w:p>
    <w:p>
      <w:pPr>
        <w:keepNext w:val="0"/>
        <w:keepLines w:val="0"/>
        <w:pageBreakBefore w:val="0"/>
        <w:widowControl w:val="0"/>
        <w:kinsoku/>
        <w:wordWrap/>
        <w:overflowPunct/>
        <w:topLinePunct w:val="0"/>
        <w:autoSpaceDE/>
        <w:autoSpaceDN/>
        <w:bidi w:val="0"/>
        <w:adjustRightInd w:val="0"/>
        <w:snapToGrid w:val="0"/>
        <w:spacing w:line="560" w:lineRule="exact"/>
        <w:ind w:firstLine="584"/>
        <w:jc w:val="both"/>
        <w:textAlignment w:val="baseline"/>
        <w:rPr>
          <w:rFonts w:hint="eastAsia" w:ascii="仿宋_GB2312" w:hAnsi="仿宋_GB2312" w:eastAsia="仿宋_GB2312" w:cs="仿宋_GB2312"/>
          <w:snapToGrid w:val="0"/>
          <w:color w:val="auto"/>
          <w:spacing w:val="-8"/>
          <w:kern w:val="0"/>
          <w:sz w:val="32"/>
          <w:szCs w:val="32"/>
          <w:highlight w:val="none"/>
          <w:lang w:val="en-US" w:eastAsia="en-US" w:bidi="ar-SA"/>
        </w:rPr>
      </w:pPr>
      <w:r>
        <w:rPr>
          <w:rFonts w:ascii="黑体" w:hAnsi="黑体" w:eastAsia="黑体" w:cs="黑体"/>
          <w:b w:val="0"/>
          <w:bCs w:val="0"/>
          <w:snapToGrid w:val="0"/>
          <w:color w:val="auto"/>
          <w:spacing w:val="-6"/>
          <w:kern w:val="0"/>
          <w:sz w:val="32"/>
          <w:szCs w:val="32"/>
          <w:highlight w:val="none"/>
          <w:lang w:val="en-US" w:eastAsia="zh-CN" w:bidi="zh-CN"/>
        </w:rPr>
        <w:t>第</w:t>
      </w:r>
      <w:r>
        <w:rPr>
          <w:rFonts w:hint="eastAsia" w:ascii="黑体" w:hAnsi="黑体" w:eastAsia="黑体" w:cs="黑体"/>
          <w:b w:val="0"/>
          <w:bCs w:val="0"/>
          <w:snapToGrid w:val="0"/>
          <w:color w:val="auto"/>
          <w:spacing w:val="-6"/>
          <w:kern w:val="0"/>
          <w:sz w:val="32"/>
          <w:szCs w:val="32"/>
          <w:highlight w:val="none"/>
          <w:lang w:val="en-US" w:eastAsia="zh-CN" w:bidi="zh-CN"/>
        </w:rPr>
        <w:t>八十七</w:t>
      </w:r>
      <w:r>
        <w:rPr>
          <w:rFonts w:ascii="黑体" w:hAnsi="黑体" w:eastAsia="黑体" w:cs="黑体"/>
          <w:b w:val="0"/>
          <w:bCs w:val="0"/>
          <w:snapToGrid w:val="0"/>
          <w:color w:val="auto"/>
          <w:spacing w:val="-6"/>
          <w:kern w:val="0"/>
          <w:sz w:val="32"/>
          <w:szCs w:val="32"/>
          <w:highlight w:val="none"/>
          <w:lang w:val="en-US" w:eastAsia="zh-CN" w:bidi="zh-CN"/>
        </w:rPr>
        <w:t>条</w:t>
      </w:r>
      <w:r>
        <w:rPr>
          <w:rFonts w:hint="default" w:ascii="黑体" w:hAnsi="黑体" w:eastAsia="黑体" w:cs="黑体"/>
          <w:b w:val="0"/>
          <w:snapToGrid w:val="0"/>
          <w:color w:val="auto"/>
          <w:spacing w:val="-6"/>
          <w:kern w:val="0"/>
          <w:sz w:val="32"/>
          <w:szCs w:val="32"/>
          <w:highlight w:val="none"/>
          <w:lang w:val="en-US" w:eastAsia="zh-CN" w:bidi="zh-CN"/>
        </w:rPr>
        <w:t>【</w:t>
      </w:r>
      <w:r>
        <w:rPr>
          <w:rFonts w:hint="eastAsia" w:ascii="黑体" w:hAnsi="黑体" w:eastAsia="黑体" w:cs="黑体"/>
          <w:b w:val="0"/>
          <w:snapToGrid w:val="0"/>
          <w:color w:val="auto"/>
          <w:spacing w:val="-6"/>
          <w:kern w:val="0"/>
          <w:sz w:val="32"/>
          <w:szCs w:val="32"/>
          <w:highlight w:val="none"/>
          <w:lang w:val="en-US" w:eastAsia="zh-CN" w:bidi="zh-CN"/>
        </w:rPr>
        <w:t>暂停或终止</w:t>
      </w:r>
      <w:r>
        <w:rPr>
          <w:rFonts w:hint="default" w:ascii="黑体" w:hAnsi="黑体" w:eastAsia="黑体" w:cs="黑体"/>
          <w:b w:val="0"/>
          <w:snapToGrid w:val="0"/>
          <w:color w:val="auto"/>
          <w:spacing w:val="-6"/>
          <w:kern w:val="0"/>
          <w:sz w:val="32"/>
          <w:szCs w:val="32"/>
          <w:highlight w:val="none"/>
          <w:lang w:val="en-US" w:eastAsia="zh-CN" w:bidi="zh-CN"/>
        </w:rPr>
        <w:t>支付资格】</w:t>
      </w:r>
      <w:r>
        <w:rPr>
          <w:rFonts w:hint="default" w:ascii="黑体" w:hAnsi="黑体" w:eastAsia="黑体" w:cs="黑体"/>
          <w:b w:val="0"/>
          <w:bCs w:val="0"/>
          <w:snapToGrid w:val="0"/>
          <w:color w:val="auto"/>
          <w:spacing w:val="-6"/>
          <w:kern w:val="0"/>
          <w:sz w:val="32"/>
          <w:szCs w:val="32"/>
          <w:highlight w:val="none"/>
          <w:lang w:val="en-US" w:eastAsia="zh-CN" w:bidi="zh-CN"/>
        </w:rPr>
        <w:t xml:space="preserve"> </w:t>
      </w:r>
      <w:r>
        <w:rPr>
          <w:rFonts w:hint="eastAsia" w:ascii="仿宋_GB2312" w:hAnsi="仿宋_GB2312" w:eastAsia="仿宋_GB2312" w:cs="仿宋_GB2312"/>
          <w:snapToGrid w:val="0"/>
          <w:color w:val="auto"/>
          <w:spacing w:val="-1"/>
          <w:kern w:val="0"/>
          <w:sz w:val="32"/>
          <w:szCs w:val="32"/>
          <w:highlight w:val="none"/>
          <w:lang w:val="en-US" w:eastAsia="en-US" w:bidi="ar-SA"/>
        </w:rPr>
        <w:t>对</w:t>
      </w:r>
      <w:r>
        <w:rPr>
          <w:rFonts w:hint="eastAsia" w:ascii="仿宋_GB2312" w:hAnsi="仿宋_GB2312" w:eastAsia="仿宋_GB2312" w:cs="仿宋_GB2312"/>
          <w:color w:val="auto"/>
          <w:sz w:val="32"/>
          <w:szCs w:val="32"/>
          <w:highlight w:val="none"/>
        </w:rPr>
        <w:t>违法或</w:t>
      </w:r>
      <w:r>
        <w:rPr>
          <w:rFonts w:hint="eastAsia" w:ascii="仿宋_GB2312" w:hAnsi="仿宋_GB2312" w:eastAsia="仿宋_GB2312" w:cs="仿宋_GB2312"/>
          <w:snapToGrid w:val="0"/>
          <w:color w:val="auto"/>
          <w:spacing w:val="-1"/>
          <w:kern w:val="0"/>
          <w:sz w:val="32"/>
          <w:szCs w:val="32"/>
          <w:highlight w:val="none"/>
          <w:lang w:val="en-US" w:eastAsia="en-US" w:bidi="ar-SA"/>
        </w:rPr>
        <w:t>违反</w:t>
      </w:r>
      <w:r>
        <w:rPr>
          <w:rFonts w:hint="eastAsia" w:ascii="仿宋_GB2312" w:hAnsi="仿宋_GB2312" w:eastAsia="仿宋_GB2312" w:cs="仿宋_GB2312"/>
          <w:snapToGrid w:val="0"/>
          <w:color w:val="auto"/>
          <w:spacing w:val="-1"/>
          <w:kern w:val="0"/>
          <w:sz w:val="32"/>
          <w:szCs w:val="32"/>
          <w:highlight w:val="none"/>
          <w:lang w:val="en-US" w:eastAsia="zh-CN" w:bidi="ar-SA"/>
        </w:rPr>
        <w:t>本</w:t>
      </w:r>
      <w:r>
        <w:rPr>
          <w:rFonts w:hint="eastAsia" w:ascii="仿宋_GB2312" w:hAnsi="仿宋_GB2312" w:eastAsia="仿宋_GB2312" w:cs="仿宋_GB2312"/>
          <w:snapToGrid w:val="0"/>
          <w:color w:val="auto"/>
          <w:spacing w:val="-1"/>
          <w:kern w:val="0"/>
          <w:sz w:val="32"/>
          <w:szCs w:val="32"/>
          <w:highlight w:val="none"/>
          <w:lang w:val="en-US" w:eastAsia="en-US" w:bidi="ar-SA"/>
        </w:rPr>
        <w:t>协议的乙方相关责任人员，</w:t>
      </w:r>
      <w:r>
        <w:rPr>
          <w:rFonts w:hint="eastAsia" w:ascii="仿宋_GB2312" w:hAnsi="仿宋_GB2312" w:eastAsia="仿宋_GB2312" w:cs="仿宋_GB2312"/>
          <w:color w:val="auto"/>
          <w:sz w:val="32"/>
          <w:szCs w:val="32"/>
          <w:highlight w:val="none"/>
          <w:lang w:eastAsia="zh-CN"/>
        </w:rPr>
        <w:t>依据《海南省定点医药机构相关人员医保支付资格管理实施细则（试行）》</w:t>
      </w:r>
      <w:r>
        <w:rPr>
          <w:rFonts w:hint="eastAsia" w:ascii="仿宋_GB2312" w:hAnsi="仿宋_GB2312" w:eastAsia="仿宋_GB2312" w:cs="仿宋_GB2312"/>
          <w:color w:val="auto"/>
          <w:sz w:val="32"/>
          <w:szCs w:val="32"/>
          <w:highlight w:val="none"/>
        </w:rPr>
        <w:t>进行记分</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，当记分达到一定分值，</w:t>
      </w:r>
      <w:r>
        <w:rPr>
          <w:rFonts w:hint="eastAsia" w:ascii="仿宋_GB2312" w:hAnsi="仿宋_GB2312" w:eastAsia="仿宋_GB2312" w:cs="仿宋_GB2312"/>
          <w:snapToGrid w:val="0"/>
          <w:color w:val="auto"/>
          <w:spacing w:val="-3"/>
          <w:kern w:val="0"/>
          <w:sz w:val="32"/>
          <w:szCs w:val="32"/>
          <w:highlight w:val="none"/>
          <w:lang w:val="en-US" w:eastAsia="en-US" w:bidi="ar-SA"/>
        </w:rPr>
        <w:t>暂停或终止相关责任人员医保支付资</w:t>
      </w:r>
      <w:r>
        <w:rPr>
          <w:rFonts w:hint="eastAsia" w:ascii="仿宋_GB2312" w:hAnsi="仿宋_GB2312" w:eastAsia="仿宋_GB2312" w:cs="仿宋_GB2312"/>
          <w:snapToGrid w:val="0"/>
          <w:color w:val="auto"/>
          <w:spacing w:val="-8"/>
          <w:kern w:val="0"/>
          <w:sz w:val="32"/>
          <w:szCs w:val="32"/>
          <w:highlight w:val="none"/>
          <w:lang w:val="en-US" w:eastAsia="en-US" w:bidi="ar-SA"/>
        </w:rPr>
        <w:t>格和费用结算。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一个自然年度内</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登记备案状态为暂停</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人次超过</w:t>
      </w:r>
      <w:r>
        <w:rPr>
          <w:rFonts w:hint="eastAsia" w:ascii="仿宋_GB2312" w:hAnsi="仿宋_GB2312" w:eastAsia="仿宋_GB2312" w:cs="仿宋_GB2312"/>
          <w:color w:val="auto"/>
          <w:sz w:val="32"/>
          <w:szCs w:val="32"/>
          <w:highlight w:val="none"/>
          <w:lang w:eastAsia="zh-CN"/>
        </w:rPr>
        <w:t>相关人员总人数</w:t>
      </w:r>
      <w:r>
        <w:rPr>
          <w:rFonts w:hint="eastAsia" w:ascii="仿宋_GB2312" w:hAnsi="仿宋_GB2312" w:eastAsia="仿宋_GB2312" w:cs="仿宋_GB2312"/>
          <w:color w:val="auto"/>
          <w:sz w:val="32"/>
          <w:szCs w:val="32"/>
          <w:highlight w:val="none"/>
        </w:rPr>
        <w:t>50%的，</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可以中止该机构</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协议，中止时间不超过6个月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登记备案状态为</w:t>
      </w:r>
      <w:r>
        <w:rPr>
          <w:rFonts w:hint="eastAsia" w:ascii="仿宋_GB2312" w:hAnsi="仿宋_GB2312" w:eastAsia="仿宋_GB2312" w:cs="仿宋_GB2312"/>
          <w:color w:val="auto"/>
          <w:sz w:val="32"/>
          <w:szCs w:val="32"/>
          <w:highlight w:val="none"/>
          <w:lang w:eastAsia="zh-CN"/>
        </w:rPr>
        <w:t>终止的</w:t>
      </w:r>
      <w:r>
        <w:rPr>
          <w:rFonts w:hint="eastAsia" w:ascii="仿宋_GB2312" w:hAnsi="仿宋_GB2312" w:eastAsia="仿宋_GB2312" w:cs="仿宋_GB2312"/>
          <w:color w:val="auto"/>
          <w:sz w:val="32"/>
          <w:szCs w:val="32"/>
          <w:highlight w:val="none"/>
        </w:rPr>
        <w:t>人次超过</w:t>
      </w:r>
      <w:r>
        <w:rPr>
          <w:rFonts w:hint="eastAsia" w:ascii="仿宋_GB2312" w:hAnsi="仿宋_GB2312" w:eastAsia="仿宋_GB2312" w:cs="仿宋_GB2312"/>
          <w:color w:val="auto"/>
          <w:sz w:val="32"/>
          <w:szCs w:val="32"/>
          <w:highlight w:val="none"/>
          <w:lang w:eastAsia="zh-CN"/>
        </w:rPr>
        <w:t>相关人员总人数</w:t>
      </w:r>
      <w:r>
        <w:rPr>
          <w:rFonts w:hint="eastAsia" w:ascii="仿宋_GB2312" w:hAnsi="仿宋_GB2312" w:eastAsia="仿宋_GB2312" w:cs="仿宋_GB2312"/>
          <w:color w:val="auto"/>
          <w:sz w:val="32"/>
          <w:szCs w:val="32"/>
          <w:highlight w:val="none"/>
        </w:rPr>
        <w:t>50%的，</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可以</w:t>
      </w:r>
      <w:r>
        <w:rPr>
          <w:rFonts w:hint="eastAsia" w:ascii="仿宋_GB2312" w:hAnsi="仿宋_GB2312" w:eastAsia="仿宋_GB2312" w:cs="仿宋_GB2312"/>
          <w:color w:val="auto"/>
          <w:sz w:val="32"/>
          <w:szCs w:val="32"/>
          <w:highlight w:val="none"/>
          <w:lang w:eastAsia="zh-CN"/>
        </w:rPr>
        <w:t>解除</w:t>
      </w:r>
      <w:r>
        <w:rPr>
          <w:rFonts w:hint="eastAsia" w:ascii="仿宋_GB2312" w:hAnsi="仿宋_GB2312" w:eastAsia="仿宋_GB2312" w:cs="仿宋_GB2312"/>
          <w:color w:val="auto"/>
          <w:sz w:val="32"/>
          <w:szCs w:val="32"/>
          <w:highlight w:val="none"/>
        </w:rPr>
        <w:t>该机构</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协议。</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16"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ascii="黑体" w:hAnsi="黑体" w:eastAsia="黑体" w:cs="黑体"/>
          <w:b w:val="0"/>
          <w:bCs w:val="0"/>
          <w:snapToGrid w:val="0"/>
          <w:color w:val="auto"/>
          <w:spacing w:val="-6"/>
          <w:kern w:val="0"/>
          <w:sz w:val="32"/>
          <w:szCs w:val="32"/>
          <w:highlight w:val="none"/>
          <w:lang w:eastAsia="zh-CN" w:bidi="zh-CN"/>
        </w:rPr>
        <w:t>第</w:t>
      </w:r>
      <w:r>
        <w:rPr>
          <w:rFonts w:hint="eastAsia" w:ascii="黑体" w:hAnsi="黑体" w:eastAsia="黑体" w:cs="黑体"/>
          <w:b w:val="0"/>
          <w:bCs w:val="0"/>
          <w:snapToGrid w:val="0"/>
          <w:color w:val="auto"/>
          <w:spacing w:val="-6"/>
          <w:kern w:val="0"/>
          <w:sz w:val="32"/>
          <w:szCs w:val="32"/>
          <w:highlight w:val="none"/>
          <w:lang w:val="en-US" w:eastAsia="zh-CN" w:bidi="zh-CN"/>
        </w:rPr>
        <w:t>八十八</w:t>
      </w:r>
      <w:r>
        <w:rPr>
          <w:rFonts w:ascii="黑体" w:hAnsi="黑体" w:eastAsia="黑体" w:cs="黑体"/>
          <w:b w:val="0"/>
          <w:bCs w:val="0"/>
          <w:snapToGrid w:val="0"/>
          <w:color w:val="auto"/>
          <w:spacing w:val="-6"/>
          <w:kern w:val="0"/>
          <w:sz w:val="32"/>
          <w:szCs w:val="32"/>
          <w:highlight w:val="none"/>
          <w:lang w:eastAsia="zh-CN" w:bidi="zh-CN"/>
        </w:rPr>
        <w:t>条</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snapToGrid w:val="0"/>
          <w:color w:val="auto"/>
          <w:spacing w:val="-6"/>
          <w:kern w:val="0"/>
          <w:sz w:val="32"/>
          <w:szCs w:val="32"/>
          <w:highlight w:val="none"/>
          <w:lang w:val="en-US" w:eastAsia="zh-CN" w:bidi="zh-CN"/>
        </w:rPr>
        <w:t>暂停结算</w:t>
      </w:r>
      <w:r>
        <w:rPr>
          <w:rFonts w:hint="default" w:ascii="黑体" w:hAnsi="黑体" w:eastAsia="黑体" w:cs="黑体"/>
          <w:b w:val="0"/>
          <w:snapToGrid w:val="0"/>
          <w:color w:val="auto"/>
          <w:spacing w:val="-6"/>
          <w:kern w:val="0"/>
          <w:sz w:val="32"/>
          <w:szCs w:val="32"/>
          <w:highlight w:val="none"/>
          <w:lang w:eastAsia="zh-CN" w:bidi="zh-CN"/>
        </w:rPr>
        <w:t>】</w:t>
      </w:r>
      <w:r>
        <w:rPr>
          <w:rFonts w:ascii="黑体" w:hAnsi="黑体" w:eastAsia="黑体" w:cs="黑体"/>
          <w:snapToGrid w:val="0"/>
          <w:color w:val="auto"/>
          <w:spacing w:val="9"/>
          <w:kern w:val="0"/>
          <w:sz w:val="32"/>
          <w:szCs w:val="32"/>
          <w:highlight w:val="none"/>
          <w:lang w:eastAsia="en-US"/>
        </w:rPr>
        <w:t xml:space="preserve"> </w:t>
      </w:r>
      <w:r>
        <w:rPr>
          <w:rFonts w:hint="eastAsia" w:ascii="仿宋_GB2312" w:hAnsi="仿宋_GB2312" w:eastAsia="仿宋_GB2312" w:cs="仿宋_GB2312"/>
          <w:snapToGrid w:val="0"/>
          <w:color w:val="auto"/>
          <w:spacing w:val="-1"/>
          <w:kern w:val="0"/>
          <w:sz w:val="32"/>
          <w:szCs w:val="32"/>
          <w:highlight w:val="none"/>
          <w:lang w:eastAsia="en-US"/>
        </w:rPr>
        <w:t>审计、公安、检察院、法院、纪检、卫生健康、中医药、市场监管等部门发现乙方涉嫌存在重大违法违规行为、影响医保、工伤保险基金安全等情形，向甲方通报后，甲方可对乙方采取暂停医保、工伤保险费用结算等措施。待有关部门调查完结后，查实乙方存在违反协议约定情形的，甲方依据</w:t>
      </w:r>
      <w:r>
        <w:rPr>
          <w:rFonts w:hint="eastAsia" w:ascii="仿宋_GB2312" w:hAnsi="仿宋_GB2312" w:eastAsia="仿宋_GB2312" w:cs="仿宋_GB2312"/>
          <w:snapToGrid w:val="0"/>
          <w:color w:val="auto"/>
          <w:spacing w:val="-1"/>
          <w:kern w:val="0"/>
          <w:sz w:val="32"/>
          <w:szCs w:val="32"/>
          <w:highlight w:val="none"/>
          <w:lang w:val="en-US" w:eastAsia="en-US"/>
        </w:rPr>
        <w:t>本</w:t>
      </w:r>
      <w:r>
        <w:rPr>
          <w:rFonts w:hint="eastAsia" w:ascii="仿宋_GB2312" w:hAnsi="仿宋_GB2312" w:eastAsia="仿宋_GB2312" w:cs="仿宋_GB2312"/>
          <w:snapToGrid w:val="0"/>
          <w:color w:val="auto"/>
          <w:spacing w:val="-1"/>
          <w:kern w:val="0"/>
          <w:sz w:val="32"/>
          <w:szCs w:val="32"/>
          <w:highlight w:val="none"/>
          <w:lang w:eastAsia="en-US"/>
        </w:rPr>
        <w:t>协议做出协议处理。</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16"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ascii="黑体" w:hAnsi="黑体" w:eastAsia="黑体" w:cs="黑体"/>
          <w:b w:val="0"/>
          <w:bCs w:val="0"/>
          <w:snapToGrid w:val="0"/>
          <w:color w:val="auto"/>
          <w:spacing w:val="-6"/>
          <w:kern w:val="0"/>
          <w:sz w:val="32"/>
          <w:szCs w:val="32"/>
          <w:highlight w:val="none"/>
          <w:lang w:eastAsia="zh-CN" w:bidi="zh-CN"/>
        </w:rPr>
        <w:t>第</w:t>
      </w:r>
      <w:r>
        <w:rPr>
          <w:rFonts w:hint="eastAsia" w:ascii="黑体" w:hAnsi="黑体" w:eastAsia="黑体" w:cs="黑体"/>
          <w:b w:val="0"/>
          <w:bCs w:val="0"/>
          <w:snapToGrid w:val="0"/>
          <w:color w:val="auto"/>
          <w:spacing w:val="-6"/>
          <w:kern w:val="0"/>
          <w:sz w:val="32"/>
          <w:szCs w:val="32"/>
          <w:highlight w:val="none"/>
          <w:lang w:val="en-US" w:eastAsia="zh-CN" w:bidi="zh-CN"/>
        </w:rPr>
        <w:t>八十九</w:t>
      </w:r>
      <w:r>
        <w:rPr>
          <w:rFonts w:ascii="黑体" w:hAnsi="黑体" w:eastAsia="黑体" w:cs="黑体"/>
          <w:b w:val="0"/>
          <w:bCs w:val="0"/>
          <w:snapToGrid w:val="0"/>
          <w:color w:val="auto"/>
          <w:spacing w:val="-6"/>
          <w:kern w:val="0"/>
          <w:sz w:val="32"/>
          <w:szCs w:val="32"/>
          <w:highlight w:val="none"/>
          <w:lang w:eastAsia="zh-CN" w:bidi="zh-CN"/>
        </w:rPr>
        <w:t>条</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snapToGrid w:val="0"/>
          <w:color w:val="auto"/>
          <w:spacing w:val="-6"/>
          <w:kern w:val="0"/>
          <w:sz w:val="32"/>
          <w:szCs w:val="32"/>
          <w:highlight w:val="none"/>
          <w:lang w:val="en-US" w:eastAsia="zh-CN" w:bidi="zh-CN"/>
        </w:rPr>
        <w:t>责任承担</w:t>
      </w:r>
      <w:r>
        <w:rPr>
          <w:rFonts w:hint="default" w:ascii="黑体" w:hAnsi="黑体" w:eastAsia="黑体" w:cs="黑体"/>
          <w:b w:val="0"/>
          <w:snapToGrid w:val="0"/>
          <w:color w:val="auto"/>
          <w:spacing w:val="-6"/>
          <w:kern w:val="0"/>
          <w:sz w:val="32"/>
          <w:szCs w:val="32"/>
          <w:highlight w:val="none"/>
          <w:lang w:eastAsia="zh-CN" w:bidi="zh-CN"/>
        </w:rPr>
        <w:t>】</w:t>
      </w:r>
      <w:r>
        <w:rPr>
          <w:rFonts w:hint="eastAsia" w:ascii="黑体" w:hAnsi="黑体" w:eastAsia="黑体" w:cs="黑体"/>
          <w:b/>
          <w:bCs/>
          <w:snapToGrid w:val="0"/>
          <w:color w:val="auto"/>
          <w:spacing w:val="-2"/>
          <w:kern w:val="0"/>
          <w:sz w:val="32"/>
          <w:szCs w:val="32"/>
          <w:highlight w:val="none"/>
          <w:lang w:val="en-US" w:eastAsia="zh-CN"/>
        </w:rPr>
        <w:t xml:space="preserve"> </w:t>
      </w:r>
      <w:r>
        <w:rPr>
          <w:rFonts w:hint="eastAsia" w:ascii="仿宋_GB2312" w:hAnsi="仿宋_GB2312" w:eastAsia="仿宋_GB2312" w:cs="仿宋_GB2312"/>
          <w:snapToGrid w:val="0"/>
          <w:color w:val="auto"/>
          <w:spacing w:val="-1"/>
          <w:kern w:val="0"/>
          <w:sz w:val="32"/>
          <w:szCs w:val="32"/>
          <w:highlight w:val="none"/>
          <w:lang w:eastAsia="en-US"/>
        </w:rPr>
        <w:t>乙方违反《中华人民共和国社会保险法》《医疗保障基金使用监督管理条例》《</w:t>
      </w:r>
      <w:r>
        <w:rPr>
          <w:rFonts w:hint="eastAsia" w:ascii="仿宋_GB2312" w:hAnsi="仿宋_GB2312" w:eastAsia="仿宋_GB2312" w:cs="仿宋_GB2312"/>
          <w:snapToGrid w:val="0"/>
          <w:color w:val="auto"/>
          <w:spacing w:val="-1"/>
          <w:kern w:val="0"/>
          <w:sz w:val="32"/>
          <w:szCs w:val="32"/>
          <w:highlight w:val="none"/>
          <w:lang w:val="en-US" w:eastAsia="en-US"/>
        </w:rPr>
        <w:t>中华人民共和国网络安全法</w:t>
      </w:r>
      <w:r>
        <w:rPr>
          <w:rFonts w:hint="eastAsia" w:ascii="仿宋_GB2312" w:hAnsi="仿宋_GB2312" w:eastAsia="仿宋_GB2312" w:cs="仿宋_GB2312"/>
          <w:snapToGrid w:val="0"/>
          <w:color w:val="auto"/>
          <w:spacing w:val="-1"/>
          <w:kern w:val="0"/>
          <w:sz w:val="32"/>
          <w:szCs w:val="32"/>
          <w:highlight w:val="none"/>
          <w:lang w:eastAsia="en-US"/>
        </w:rPr>
        <w:t>》《</w:t>
      </w:r>
      <w:r>
        <w:rPr>
          <w:rFonts w:hint="eastAsia" w:ascii="仿宋_GB2312" w:hAnsi="仿宋_GB2312" w:eastAsia="仿宋_GB2312" w:cs="仿宋_GB2312"/>
          <w:snapToGrid w:val="0"/>
          <w:color w:val="auto"/>
          <w:spacing w:val="-1"/>
          <w:kern w:val="0"/>
          <w:sz w:val="32"/>
          <w:szCs w:val="32"/>
          <w:highlight w:val="none"/>
          <w:lang w:val="en-US" w:eastAsia="en-US"/>
        </w:rPr>
        <w:t>中华人民共和国数据安全法</w:t>
      </w:r>
      <w:r>
        <w:rPr>
          <w:rFonts w:hint="eastAsia" w:ascii="仿宋_GB2312" w:hAnsi="仿宋_GB2312" w:eastAsia="仿宋_GB2312" w:cs="仿宋_GB2312"/>
          <w:snapToGrid w:val="0"/>
          <w:color w:val="auto"/>
          <w:spacing w:val="-1"/>
          <w:kern w:val="0"/>
          <w:sz w:val="32"/>
          <w:szCs w:val="32"/>
          <w:highlight w:val="none"/>
          <w:lang w:eastAsia="en-US"/>
        </w:rPr>
        <w:t>》《</w:t>
      </w:r>
      <w:r>
        <w:rPr>
          <w:rFonts w:hint="eastAsia" w:ascii="仿宋_GB2312" w:hAnsi="仿宋_GB2312" w:eastAsia="仿宋_GB2312" w:cs="仿宋_GB2312"/>
          <w:snapToGrid w:val="0"/>
          <w:color w:val="auto"/>
          <w:spacing w:val="-1"/>
          <w:kern w:val="0"/>
          <w:sz w:val="32"/>
          <w:szCs w:val="32"/>
          <w:highlight w:val="none"/>
          <w:lang w:val="en-US" w:eastAsia="en-US"/>
        </w:rPr>
        <w:t>中华人民共和国个人信息保护法</w:t>
      </w:r>
      <w:r>
        <w:rPr>
          <w:rFonts w:hint="eastAsia" w:ascii="仿宋_GB2312" w:hAnsi="仿宋_GB2312" w:eastAsia="仿宋_GB2312" w:cs="仿宋_GB2312"/>
          <w:snapToGrid w:val="0"/>
          <w:color w:val="auto"/>
          <w:spacing w:val="-1"/>
          <w:kern w:val="0"/>
          <w:sz w:val="32"/>
          <w:szCs w:val="32"/>
          <w:highlight w:val="none"/>
          <w:lang w:eastAsia="en-US"/>
        </w:rPr>
        <w:t>》《工伤保险条例》等相关法律法规或违反本协议约定，依法应当给予行政处罚的，甲方应移交同级医疗保障或工伤保险行政部门处理。乙方被追究行政、刑事责任的，不影响乙方按照本协议约定承担违约责任。</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16"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ascii="黑体" w:hAnsi="黑体" w:eastAsia="黑体" w:cs="黑体"/>
          <w:b w:val="0"/>
          <w:bCs w:val="0"/>
          <w:snapToGrid w:val="0"/>
          <w:color w:val="auto"/>
          <w:spacing w:val="-6"/>
          <w:kern w:val="0"/>
          <w:sz w:val="32"/>
          <w:szCs w:val="32"/>
          <w:highlight w:val="none"/>
          <w:lang w:eastAsia="zh-CN" w:bidi="zh-CN"/>
        </w:rPr>
        <w:t>第</w:t>
      </w:r>
      <w:r>
        <w:rPr>
          <w:rFonts w:hint="eastAsia" w:ascii="黑体" w:hAnsi="黑体" w:eastAsia="黑体" w:cs="黑体"/>
          <w:b w:val="0"/>
          <w:bCs w:val="0"/>
          <w:snapToGrid w:val="0"/>
          <w:color w:val="auto"/>
          <w:spacing w:val="-6"/>
          <w:kern w:val="0"/>
          <w:sz w:val="32"/>
          <w:szCs w:val="32"/>
          <w:highlight w:val="none"/>
          <w:lang w:val="en-US" w:eastAsia="zh-CN" w:bidi="zh-CN"/>
        </w:rPr>
        <w:t>九十</w:t>
      </w:r>
      <w:r>
        <w:rPr>
          <w:rFonts w:ascii="黑体" w:hAnsi="黑体" w:eastAsia="黑体" w:cs="黑体"/>
          <w:b w:val="0"/>
          <w:bCs w:val="0"/>
          <w:snapToGrid w:val="0"/>
          <w:color w:val="auto"/>
          <w:spacing w:val="-6"/>
          <w:kern w:val="0"/>
          <w:sz w:val="32"/>
          <w:szCs w:val="32"/>
          <w:highlight w:val="none"/>
          <w:lang w:eastAsia="zh-CN" w:bidi="zh-CN"/>
        </w:rPr>
        <w:t>条</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snapToGrid w:val="0"/>
          <w:color w:val="auto"/>
          <w:spacing w:val="-6"/>
          <w:kern w:val="0"/>
          <w:sz w:val="32"/>
          <w:szCs w:val="32"/>
          <w:highlight w:val="none"/>
          <w:lang w:val="en-US" w:eastAsia="zh-CN" w:bidi="zh-CN"/>
        </w:rPr>
        <w:t>异地协议处理</w:t>
      </w:r>
      <w:r>
        <w:rPr>
          <w:rFonts w:hint="default" w:ascii="黑体" w:hAnsi="黑体" w:eastAsia="黑体" w:cs="黑体"/>
          <w:b w:val="0"/>
          <w:snapToGrid w:val="0"/>
          <w:color w:val="auto"/>
          <w:spacing w:val="-6"/>
          <w:kern w:val="0"/>
          <w:sz w:val="32"/>
          <w:szCs w:val="32"/>
          <w:highlight w:val="none"/>
          <w:lang w:eastAsia="zh-CN" w:bidi="zh-CN"/>
        </w:rPr>
        <w:t>】</w:t>
      </w:r>
      <w:r>
        <w:rPr>
          <w:rFonts w:ascii="黑体" w:hAnsi="黑体" w:eastAsia="黑体" w:cs="黑体"/>
          <w:snapToGrid w:val="0"/>
          <w:color w:val="auto"/>
          <w:spacing w:val="-2"/>
          <w:kern w:val="0"/>
          <w:sz w:val="32"/>
          <w:szCs w:val="32"/>
          <w:highlight w:val="none"/>
          <w:lang w:eastAsia="en-US"/>
        </w:rPr>
        <w:t xml:space="preserve"> </w:t>
      </w:r>
      <w:r>
        <w:rPr>
          <w:rFonts w:hint="eastAsia" w:ascii="仿宋_GB2312" w:hAnsi="仿宋_GB2312" w:eastAsia="仿宋_GB2312" w:cs="仿宋_GB2312"/>
          <w:snapToGrid w:val="0"/>
          <w:color w:val="auto"/>
          <w:spacing w:val="-1"/>
          <w:kern w:val="0"/>
          <w:sz w:val="32"/>
          <w:szCs w:val="32"/>
          <w:highlight w:val="none"/>
          <w:lang w:eastAsia="en-US"/>
        </w:rPr>
        <w:t>乙方所在地的</w:t>
      </w:r>
      <w:r>
        <w:rPr>
          <w:rFonts w:hint="eastAsia" w:ascii="仿宋_GB2312" w:hAnsi="仿宋_GB2312" w:eastAsia="仿宋_GB2312" w:cs="仿宋_GB2312"/>
          <w:snapToGrid w:val="0"/>
          <w:color w:val="auto"/>
          <w:spacing w:val="-1"/>
          <w:kern w:val="0"/>
          <w:sz w:val="32"/>
          <w:szCs w:val="32"/>
          <w:highlight w:val="none"/>
          <w:lang w:val="en-US" w:eastAsia="en-US"/>
        </w:rPr>
        <w:t>市县</w:t>
      </w:r>
      <w:r>
        <w:rPr>
          <w:rFonts w:hint="eastAsia" w:ascii="仿宋_GB2312" w:hAnsi="仿宋_GB2312" w:eastAsia="仿宋_GB2312" w:cs="仿宋_GB2312"/>
          <w:snapToGrid w:val="0"/>
          <w:color w:val="auto"/>
          <w:spacing w:val="-1"/>
          <w:kern w:val="0"/>
          <w:sz w:val="32"/>
          <w:szCs w:val="32"/>
          <w:highlight w:val="none"/>
          <w:lang w:eastAsia="en-US"/>
        </w:rPr>
        <w:t>及以上经办机构与乙方中止或解除</w:t>
      </w:r>
      <w:r>
        <w:rPr>
          <w:rFonts w:hint="eastAsia" w:ascii="仿宋_GB2312" w:hAnsi="仿宋_GB2312" w:eastAsia="仿宋_GB2312" w:cs="仿宋_GB2312"/>
          <w:snapToGrid w:val="0"/>
          <w:color w:val="auto"/>
          <w:spacing w:val="-1"/>
          <w:kern w:val="0"/>
          <w:sz w:val="32"/>
          <w:szCs w:val="32"/>
          <w:highlight w:val="none"/>
          <w:lang w:val="en-US" w:eastAsia="en-US"/>
        </w:rPr>
        <w:t>本</w:t>
      </w:r>
      <w:r>
        <w:rPr>
          <w:rFonts w:hint="eastAsia" w:ascii="仿宋_GB2312" w:hAnsi="仿宋_GB2312" w:eastAsia="仿宋_GB2312" w:cs="仿宋_GB2312"/>
          <w:snapToGrid w:val="0"/>
          <w:color w:val="auto"/>
          <w:spacing w:val="-1"/>
          <w:kern w:val="0"/>
          <w:sz w:val="32"/>
          <w:szCs w:val="32"/>
          <w:highlight w:val="none"/>
          <w:lang w:eastAsia="en-US"/>
        </w:rPr>
        <w:t>协议，乙方在其他</w:t>
      </w:r>
      <w:r>
        <w:rPr>
          <w:rFonts w:hint="eastAsia" w:ascii="仿宋_GB2312" w:hAnsi="仿宋_GB2312" w:eastAsia="仿宋_GB2312" w:cs="仿宋_GB2312"/>
          <w:snapToGrid w:val="0"/>
          <w:color w:val="auto"/>
          <w:spacing w:val="-1"/>
          <w:kern w:val="0"/>
          <w:sz w:val="32"/>
          <w:szCs w:val="32"/>
          <w:highlight w:val="none"/>
          <w:lang w:val="en-US" w:eastAsia="en-US"/>
        </w:rPr>
        <w:t>市县</w:t>
      </w:r>
      <w:r>
        <w:rPr>
          <w:rFonts w:hint="eastAsia" w:ascii="仿宋_GB2312" w:hAnsi="仿宋_GB2312" w:eastAsia="仿宋_GB2312" w:cs="仿宋_GB2312"/>
          <w:snapToGrid w:val="0"/>
          <w:color w:val="auto"/>
          <w:spacing w:val="-1"/>
          <w:kern w:val="0"/>
          <w:sz w:val="32"/>
          <w:szCs w:val="32"/>
          <w:highlight w:val="none"/>
          <w:lang w:eastAsia="en-US"/>
        </w:rPr>
        <w:t>的协议也同时中止或解除。</w:t>
      </w:r>
    </w:p>
    <w:p>
      <w:pPr>
        <w:keepNext w:val="0"/>
        <w:keepLines w:val="0"/>
        <w:pageBreakBefore w:val="0"/>
        <w:widowControl w:val="0"/>
        <w:kinsoku/>
        <w:wordWrap/>
        <w:overflowPunct/>
        <w:topLinePunct w:val="0"/>
        <w:autoSpaceDE/>
        <w:autoSpaceDN/>
        <w:bidi w:val="0"/>
        <w:adjustRightInd w:val="0"/>
        <w:snapToGrid w:val="0"/>
        <w:spacing w:line="550" w:lineRule="exact"/>
        <w:ind w:firstLine="616" w:firstLineChars="200"/>
        <w:jc w:val="both"/>
        <w:textAlignment w:val="baseline"/>
        <w:rPr>
          <w:rFonts w:hint="eastAsia" w:ascii="仿宋_GB2312" w:hAnsi="仿宋_GB2312" w:eastAsia="仿宋_GB2312" w:cs="仿宋_GB2312"/>
          <w:b w:val="0"/>
          <w:snapToGrid w:val="0"/>
          <w:color w:val="auto"/>
          <w:spacing w:val="-1"/>
          <w:kern w:val="0"/>
          <w:sz w:val="32"/>
          <w:szCs w:val="32"/>
          <w:highlight w:val="none"/>
          <w:lang w:val="en-US" w:eastAsia="en-US" w:bidi="ar-SA"/>
        </w:rPr>
      </w:pPr>
      <w:r>
        <w:rPr>
          <w:rFonts w:ascii="黑体" w:hAnsi="黑体" w:eastAsia="黑体" w:cs="黑体"/>
          <w:b w:val="0"/>
          <w:bCs w:val="0"/>
          <w:snapToGrid w:val="0"/>
          <w:color w:val="auto"/>
          <w:spacing w:val="-6"/>
          <w:kern w:val="0"/>
          <w:sz w:val="32"/>
          <w:szCs w:val="32"/>
          <w:highlight w:val="none"/>
          <w:lang w:eastAsia="zh-CN" w:bidi="zh-CN"/>
        </w:rPr>
        <w:t>第</w:t>
      </w:r>
      <w:r>
        <w:rPr>
          <w:rFonts w:hint="eastAsia" w:ascii="黑体" w:hAnsi="黑体" w:eastAsia="黑体" w:cs="黑体"/>
          <w:snapToGrid w:val="0"/>
          <w:color w:val="auto"/>
          <w:spacing w:val="-6"/>
          <w:kern w:val="0"/>
          <w:sz w:val="32"/>
          <w:szCs w:val="32"/>
          <w:highlight w:val="none"/>
          <w:lang w:val="en-US" w:eastAsia="zh-CN" w:bidi="zh-CN"/>
        </w:rPr>
        <w:t>九十一</w:t>
      </w:r>
      <w:r>
        <w:rPr>
          <w:rFonts w:ascii="黑体" w:hAnsi="黑体" w:eastAsia="黑体" w:cs="黑体"/>
          <w:b w:val="0"/>
          <w:bCs w:val="0"/>
          <w:snapToGrid w:val="0"/>
          <w:color w:val="auto"/>
          <w:spacing w:val="-6"/>
          <w:kern w:val="0"/>
          <w:sz w:val="32"/>
          <w:szCs w:val="32"/>
          <w:highlight w:val="none"/>
          <w:lang w:eastAsia="zh-CN" w:bidi="zh-CN"/>
        </w:rPr>
        <w:t>条</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snapToGrid w:val="0"/>
          <w:color w:val="auto"/>
          <w:spacing w:val="-6"/>
          <w:kern w:val="0"/>
          <w:sz w:val="32"/>
          <w:szCs w:val="32"/>
          <w:highlight w:val="none"/>
          <w:lang w:val="en-US" w:eastAsia="zh-CN" w:bidi="zh-CN"/>
        </w:rPr>
        <w:t>信息安全</w:t>
      </w:r>
      <w:r>
        <w:rPr>
          <w:rFonts w:hint="default" w:ascii="黑体" w:hAnsi="黑体" w:eastAsia="黑体" w:cs="黑体"/>
          <w:b w:val="0"/>
          <w:snapToGrid w:val="0"/>
          <w:color w:val="auto"/>
          <w:spacing w:val="-6"/>
          <w:kern w:val="0"/>
          <w:sz w:val="32"/>
          <w:szCs w:val="32"/>
          <w:highlight w:val="none"/>
          <w:lang w:eastAsia="zh-CN" w:bidi="zh-CN"/>
        </w:rPr>
        <w:t>】</w:t>
      </w:r>
      <w:r>
        <w:rPr>
          <w:rFonts w:ascii="黑体" w:hAnsi="黑体" w:eastAsia="黑体" w:cs="黑体"/>
          <w:snapToGrid w:val="0"/>
          <w:color w:val="auto"/>
          <w:spacing w:val="-6"/>
          <w:kern w:val="0"/>
          <w:sz w:val="32"/>
          <w:szCs w:val="32"/>
          <w:highlight w:val="none"/>
          <w:lang w:eastAsia="zh-CN" w:bidi="zh-CN"/>
        </w:rPr>
        <w:t xml:space="preserve"> </w:t>
      </w:r>
      <w:r>
        <w:rPr>
          <w:rFonts w:hint="eastAsia" w:ascii="仿宋_GB2312" w:hAnsi="仿宋_GB2312" w:eastAsia="仿宋_GB2312" w:cs="仿宋_GB2312"/>
          <w:snapToGrid w:val="0"/>
          <w:color w:val="auto"/>
          <w:spacing w:val="-1"/>
          <w:kern w:val="0"/>
          <w:sz w:val="32"/>
          <w:szCs w:val="32"/>
          <w:highlight w:val="none"/>
          <w:lang w:eastAsia="en-US"/>
        </w:rPr>
        <w:t>甲方或乙方及其工作人员违法泄露参保人员个人信息的，或甲方泄露乙方商业秘密的，按有关法律法规处理。</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16" w:firstLineChars="200"/>
        <w:jc w:val="both"/>
        <w:textAlignment w:val="baseline"/>
        <w:rPr>
          <w:rFonts w:hint="eastAsia" w:ascii="仿宋_GB2312" w:hAnsi="仿宋_GB2312" w:eastAsia="仿宋_GB2312" w:cs="仿宋_GB2312"/>
          <w:snapToGrid w:val="0"/>
          <w:color w:val="auto"/>
          <w:spacing w:val="-1"/>
          <w:kern w:val="0"/>
          <w:sz w:val="32"/>
          <w:szCs w:val="32"/>
          <w:highlight w:val="none"/>
          <w:lang w:eastAsia="en-US"/>
        </w:rPr>
      </w:pPr>
      <w:r>
        <w:rPr>
          <w:rFonts w:ascii="黑体" w:hAnsi="黑体" w:eastAsia="黑体" w:cs="黑体"/>
          <w:b w:val="0"/>
          <w:bCs w:val="0"/>
          <w:snapToGrid w:val="0"/>
          <w:color w:val="auto"/>
          <w:spacing w:val="-6"/>
          <w:kern w:val="0"/>
          <w:sz w:val="32"/>
          <w:szCs w:val="32"/>
          <w:highlight w:val="none"/>
          <w:lang w:eastAsia="zh-CN" w:bidi="zh-CN"/>
        </w:rPr>
        <w:t>第</w:t>
      </w:r>
      <w:r>
        <w:rPr>
          <w:rFonts w:hint="eastAsia" w:ascii="黑体" w:hAnsi="黑体" w:eastAsia="黑体" w:cs="黑体"/>
          <w:b w:val="0"/>
          <w:bCs w:val="0"/>
          <w:snapToGrid w:val="0"/>
          <w:color w:val="auto"/>
          <w:spacing w:val="-6"/>
          <w:kern w:val="0"/>
          <w:sz w:val="32"/>
          <w:szCs w:val="32"/>
          <w:highlight w:val="none"/>
          <w:lang w:val="en-US" w:eastAsia="zh-CN" w:bidi="zh-CN"/>
        </w:rPr>
        <w:t>九十</w:t>
      </w:r>
      <w:r>
        <w:rPr>
          <w:rFonts w:hint="eastAsia" w:ascii="黑体" w:hAnsi="黑体" w:eastAsia="黑体" w:cs="黑体"/>
          <w:b w:val="0"/>
          <w:bCs w:val="0"/>
          <w:snapToGrid w:val="0"/>
          <w:color w:val="auto"/>
          <w:spacing w:val="-2"/>
          <w:kern w:val="0"/>
          <w:sz w:val="32"/>
          <w:szCs w:val="32"/>
          <w:highlight w:val="none"/>
          <w:lang w:val="en-US" w:eastAsia="zh-CN"/>
        </w:rPr>
        <w:t>二</w:t>
      </w:r>
      <w:r>
        <w:rPr>
          <w:rFonts w:ascii="黑体" w:hAnsi="黑体" w:eastAsia="黑体" w:cs="黑体"/>
          <w:b w:val="0"/>
          <w:bCs w:val="0"/>
          <w:snapToGrid w:val="0"/>
          <w:color w:val="auto"/>
          <w:spacing w:val="-6"/>
          <w:kern w:val="0"/>
          <w:sz w:val="32"/>
          <w:szCs w:val="32"/>
          <w:highlight w:val="none"/>
          <w:lang w:eastAsia="zh-CN" w:bidi="zh-CN"/>
        </w:rPr>
        <w:t>条</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snapToGrid w:val="0"/>
          <w:color w:val="auto"/>
          <w:spacing w:val="-6"/>
          <w:kern w:val="0"/>
          <w:sz w:val="32"/>
          <w:szCs w:val="32"/>
          <w:highlight w:val="none"/>
          <w:lang w:val="en-US" w:eastAsia="zh-CN" w:bidi="zh-CN"/>
        </w:rPr>
        <w:t>沟通协商</w:t>
      </w:r>
      <w:r>
        <w:rPr>
          <w:rFonts w:hint="default" w:ascii="黑体" w:hAnsi="黑体" w:eastAsia="黑体" w:cs="黑体"/>
          <w:b w:val="0"/>
          <w:snapToGrid w:val="0"/>
          <w:color w:val="auto"/>
          <w:spacing w:val="-6"/>
          <w:kern w:val="0"/>
          <w:sz w:val="32"/>
          <w:szCs w:val="32"/>
          <w:highlight w:val="none"/>
          <w:lang w:eastAsia="zh-CN" w:bidi="zh-CN"/>
        </w:rPr>
        <w:t>】</w:t>
      </w:r>
      <w:r>
        <w:rPr>
          <w:rFonts w:hint="default" w:ascii="黑体" w:hAnsi="黑体" w:eastAsia="黑体" w:cs="黑体"/>
          <w:b w:val="0"/>
          <w:bCs w:val="0"/>
          <w:snapToGrid w:val="0"/>
          <w:color w:val="auto"/>
          <w:spacing w:val="-6"/>
          <w:kern w:val="0"/>
          <w:sz w:val="32"/>
          <w:szCs w:val="32"/>
          <w:highlight w:val="none"/>
          <w:lang w:val="en-US" w:eastAsia="zh-CN" w:bidi="zh-CN"/>
        </w:rPr>
        <w:t xml:space="preserve"> </w:t>
      </w:r>
      <w:r>
        <w:rPr>
          <w:rFonts w:hint="eastAsia" w:ascii="仿宋_GB2312" w:hAnsi="仿宋_GB2312" w:eastAsia="仿宋_GB2312" w:cs="仿宋_GB2312"/>
          <w:snapToGrid w:val="0"/>
          <w:color w:val="auto"/>
          <w:spacing w:val="-1"/>
          <w:kern w:val="0"/>
          <w:sz w:val="32"/>
          <w:szCs w:val="32"/>
          <w:highlight w:val="none"/>
          <w:lang w:eastAsia="en-US"/>
        </w:rPr>
        <w:t>乙方在中止、终止、解除协议期间，应在其营业场所显著位置进行公告，并向参保人员解释说明。乙方未公告或解释说明，导致参保人员医疗费用不能纳入医保、工伤保险基金支付范围的，相关责任和后果由乙方承担。</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0" w:firstLineChars="0"/>
        <w:jc w:val="left"/>
        <w:textAlignment w:val="baseline"/>
        <w:rPr>
          <w:rFonts w:hint="eastAsia" w:ascii="仿宋_GB2312" w:hAnsi="仿宋_GB2312" w:eastAsia="仿宋_GB2312" w:cs="仿宋_GB2312"/>
          <w:snapToGrid w:val="0"/>
          <w:color w:val="auto"/>
          <w:kern w:val="0"/>
          <w:sz w:val="32"/>
          <w:szCs w:val="32"/>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0" w:firstLineChars="0"/>
        <w:jc w:val="center"/>
        <w:textAlignment w:val="baseline"/>
        <w:outlineLvl w:val="0"/>
        <w:rPr>
          <w:rFonts w:ascii="黑体" w:hAnsi="黑体" w:eastAsia="黑体" w:cs="黑体"/>
          <w:i w:val="0"/>
          <w:iCs w:val="0"/>
          <w:snapToGrid w:val="0"/>
          <w:color w:val="auto"/>
          <w:spacing w:val="0"/>
          <w:kern w:val="0"/>
          <w:sz w:val="32"/>
          <w:szCs w:val="32"/>
          <w:highlight w:val="none"/>
          <w:lang w:eastAsia="zh-CN"/>
        </w:rPr>
      </w:pPr>
      <w:r>
        <w:rPr>
          <w:rFonts w:ascii="黑体" w:hAnsi="黑体" w:eastAsia="黑体" w:cs="黑体"/>
          <w:b w:val="0"/>
          <w:bCs w:val="0"/>
          <w:i w:val="0"/>
          <w:iCs w:val="0"/>
          <w:snapToGrid w:val="0"/>
          <w:color w:val="auto"/>
          <w:spacing w:val="0"/>
          <w:kern w:val="0"/>
          <w:sz w:val="32"/>
          <w:szCs w:val="32"/>
          <w:highlight w:val="none"/>
          <w:lang w:eastAsia="zh-CN"/>
        </w:rPr>
        <w:t>第八章</w:t>
      </w:r>
      <w:r>
        <w:rPr>
          <w:rFonts w:ascii="黑体" w:hAnsi="黑体" w:eastAsia="黑体" w:cs="黑体"/>
          <w:i w:val="0"/>
          <w:iCs w:val="0"/>
          <w:snapToGrid w:val="0"/>
          <w:color w:val="auto"/>
          <w:spacing w:val="0"/>
          <w:kern w:val="0"/>
          <w:sz w:val="32"/>
          <w:szCs w:val="32"/>
          <w:highlight w:val="none"/>
          <w:lang w:eastAsia="zh-CN"/>
        </w:rPr>
        <w:t xml:space="preserve"> </w:t>
      </w:r>
      <w:r>
        <w:rPr>
          <w:rFonts w:ascii="黑体" w:hAnsi="黑体" w:eastAsia="黑体" w:cs="黑体"/>
          <w:b w:val="0"/>
          <w:bCs w:val="0"/>
          <w:i w:val="0"/>
          <w:iCs w:val="0"/>
          <w:snapToGrid w:val="0"/>
          <w:color w:val="auto"/>
          <w:spacing w:val="0"/>
          <w:kern w:val="0"/>
          <w:sz w:val="32"/>
          <w:szCs w:val="32"/>
          <w:highlight w:val="none"/>
          <w:lang w:eastAsia="zh-CN"/>
        </w:rPr>
        <w:t>附</w:t>
      </w:r>
      <w:r>
        <w:rPr>
          <w:rFonts w:hint="eastAsia" w:ascii="黑体" w:hAnsi="黑体" w:eastAsia="黑体" w:cs="黑体"/>
          <w:b w:val="0"/>
          <w:bCs w:val="0"/>
          <w:i w:val="0"/>
          <w:iCs w:val="0"/>
          <w:snapToGrid w:val="0"/>
          <w:color w:val="auto"/>
          <w:spacing w:val="0"/>
          <w:kern w:val="0"/>
          <w:sz w:val="32"/>
          <w:szCs w:val="32"/>
          <w:highlight w:val="none"/>
          <w:lang w:val="en-US" w:eastAsia="zh-CN"/>
        </w:rPr>
        <w:t xml:space="preserve"> </w:t>
      </w:r>
      <w:r>
        <w:rPr>
          <w:rFonts w:ascii="黑体" w:hAnsi="黑体" w:eastAsia="黑体" w:cs="黑体"/>
          <w:b w:val="0"/>
          <w:bCs w:val="0"/>
          <w:i w:val="0"/>
          <w:iCs w:val="0"/>
          <w:snapToGrid w:val="0"/>
          <w:color w:val="auto"/>
          <w:spacing w:val="0"/>
          <w:kern w:val="0"/>
          <w:sz w:val="32"/>
          <w:szCs w:val="32"/>
          <w:highlight w:val="none"/>
          <w:lang w:eastAsia="zh-CN"/>
        </w:rPr>
        <w:t>则</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rPr>
      </w:pPr>
      <w:r>
        <w:rPr>
          <w:rFonts w:hint="eastAsia"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bidi="zh-CN"/>
        </w:rPr>
        <w:t>九十</w:t>
      </w:r>
      <w:r>
        <w:rPr>
          <w:rFonts w:hint="eastAsia" w:ascii="黑体" w:hAnsi="黑体" w:eastAsia="黑体" w:cs="黑体"/>
          <w:b w:val="0"/>
          <w:bCs w:val="0"/>
          <w:snapToGrid w:val="0"/>
          <w:color w:val="auto"/>
          <w:spacing w:val="0"/>
          <w:kern w:val="0"/>
          <w:sz w:val="32"/>
          <w:szCs w:val="32"/>
          <w:highlight w:val="none"/>
          <w:lang w:val="en-US" w:eastAsia="zh-CN"/>
        </w:rPr>
        <w:t>三</w:t>
      </w:r>
      <w:r>
        <w:rPr>
          <w:rFonts w:hint="eastAsia" w:ascii="黑体" w:hAnsi="黑体" w:eastAsia="黑体" w:cs="黑体"/>
          <w:b w:val="0"/>
          <w:bCs w:val="0"/>
          <w:snapToGrid w:val="0"/>
          <w:color w:val="auto"/>
          <w:spacing w:val="0"/>
          <w:kern w:val="0"/>
          <w:sz w:val="32"/>
          <w:szCs w:val="32"/>
          <w:highlight w:val="none"/>
          <w:lang w:eastAsia="zh-CN"/>
        </w:rPr>
        <w:t>条【</w:t>
      </w:r>
      <w:r>
        <w:rPr>
          <w:rFonts w:hint="eastAsia" w:ascii="黑体" w:hAnsi="黑体" w:eastAsia="黑体" w:cs="黑体"/>
          <w:b w:val="0"/>
          <w:bCs w:val="0"/>
          <w:snapToGrid w:val="0"/>
          <w:color w:val="auto"/>
          <w:spacing w:val="0"/>
          <w:kern w:val="0"/>
          <w:sz w:val="32"/>
          <w:szCs w:val="32"/>
          <w:highlight w:val="none"/>
          <w:lang w:val="en-US" w:eastAsia="zh-CN"/>
        </w:rPr>
        <w:t>协议签订主体</w:t>
      </w:r>
      <w:r>
        <w:rPr>
          <w:rFonts w:hint="eastAsia" w:ascii="黑体" w:hAnsi="黑体" w:eastAsia="黑体" w:cs="黑体"/>
          <w:b w:val="0"/>
          <w:bCs w:val="0"/>
          <w:snapToGrid w:val="0"/>
          <w:color w:val="auto"/>
          <w:spacing w:val="0"/>
          <w:kern w:val="0"/>
          <w:sz w:val="32"/>
          <w:szCs w:val="32"/>
          <w:highlight w:val="none"/>
          <w:lang w:eastAsia="zh-CN"/>
        </w:rPr>
        <w:t>】</w:t>
      </w:r>
      <w:r>
        <w:rPr>
          <w:rFonts w:hint="eastAsia" w:ascii="黑体" w:hAnsi="黑体" w:eastAsia="黑体" w:cs="黑体"/>
          <w:b/>
          <w:bCs/>
          <w:snapToGrid w:val="0"/>
          <w:color w:val="auto"/>
          <w:spacing w:val="0"/>
          <w:kern w:val="0"/>
          <w:sz w:val="32"/>
          <w:szCs w:val="32"/>
          <w:highlight w:val="none"/>
          <w:lang w:eastAsia="zh-CN"/>
        </w:rPr>
        <w:t xml:space="preserve"> </w:t>
      </w:r>
      <w:r>
        <w:rPr>
          <w:rFonts w:hint="eastAsia" w:ascii="仿宋_GB2312" w:hAnsi="仿宋_GB2312" w:eastAsia="仿宋_GB2312" w:cs="仿宋_GB2312"/>
          <w:snapToGrid w:val="0"/>
          <w:color w:val="auto"/>
          <w:spacing w:val="0"/>
          <w:kern w:val="0"/>
          <w:sz w:val="32"/>
          <w:szCs w:val="32"/>
          <w:highlight w:val="none"/>
          <w:lang w:val="en-US" w:eastAsia="zh-CN"/>
        </w:rPr>
        <w:t>纳入省级定点管理的医疗机构与海南省医疗保险服务中心签订本协议；其他医疗机构按属地原则</w:t>
      </w:r>
      <w:r>
        <w:rPr>
          <w:rFonts w:hint="eastAsia" w:ascii="仿宋_GB2312" w:hAnsi="仿宋_GB2312" w:eastAsia="仿宋_GB2312" w:cs="仿宋_GB2312"/>
          <w:snapToGrid w:val="0"/>
          <w:color w:val="auto"/>
          <w:spacing w:val="0"/>
          <w:kern w:val="0"/>
          <w:sz w:val="32"/>
          <w:szCs w:val="32"/>
          <w:highlight w:val="none"/>
          <w:lang w:eastAsia="en-US"/>
        </w:rPr>
        <w:t>由</w:t>
      </w:r>
      <w:r>
        <w:rPr>
          <w:rFonts w:hint="eastAsia" w:ascii="仿宋_GB2312" w:hAnsi="仿宋_GB2312" w:eastAsia="仿宋_GB2312" w:cs="仿宋_GB2312"/>
          <w:snapToGrid w:val="0"/>
          <w:color w:val="auto"/>
          <w:spacing w:val="0"/>
          <w:kern w:val="0"/>
          <w:sz w:val="32"/>
          <w:szCs w:val="32"/>
          <w:highlight w:val="none"/>
          <w:lang w:val="en-US" w:eastAsia="zh-CN"/>
        </w:rPr>
        <w:t>各市县医疗保障</w:t>
      </w:r>
      <w:r>
        <w:rPr>
          <w:rFonts w:hint="eastAsia" w:ascii="仿宋_GB2312" w:hAnsi="仿宋_GB2312" w:eastAsia="仿宋_GB2312" w:cs="仿宋_GB2312"/>
          <w:snapToGrid w:val="0"/>
          <w:color w:val="auto"/>
          <w:spacing w:val="0"/>
          <w:kern w:val="0"/>
          <w:sz w:val="32"/>
          <w:szCs w:val="32"/>
          <w:highlight w:val="none"/>
          <w:lang w:eastAsia="en-US"/>
        </w:rPr>
        <w:t>经办机构签订</w:t>
      </w:r>
      <w:r>
        <w:rPr>
          <w:rFonts w:hint="eastAsia" w:ascii="仿宋_GB2312" w:hAnsi="仿宋_GB2312" w:eastAsia="仿宋_GB2312" w:cs="仿宋_GB2312"/>
          <w:snapToGrid w:val="0"/>
          <w:color w:val="auto"/>
          <w:spacing w:val="0"/>
          <w:kern w:val="0"/>
          <w:sz w:val="32"/>
          <w:szCs w:val="32"/>
          <w:highlight w:val="none"/>
          <w:lang w:val="en-US" w:eastAsia="zh-CN"/>
        </w:rPr>
        <w:t>本</w:t>
      </w:r>
      <w:r>
        <w:rPr>
          <w:rFonts w:hint="eastAsia" w:ascii="仿宋_GB2312" w:hAnsi="仿宋_GB2312" w:eastAsia="仿宋_GB2312" w:cs="仿宋_GB2312"/>
          <w:snapToGrid w:val="0"/>
          <w:color w:val="auto"/>
          <w:spacing w:val="0"/>
          <w:kern w:val="0"/>
          <w:sz w:val="32"/>
          <w:szCs w:val="32"/>
          <w:highlight w:val="none"/>
          <w:lang w:eastAsia="en-US"/>
        </w:rPr>
        <w:t>协议</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纳入定点管理的村卫生室，市县医疗保障经办机构仅与其一体化管理对应的医院/乡镇卫生院签订协议，每年签订本协议时，一体化管理对应的医院/乡镇卫生院将其所辖的村卫生室名单作为协议附件报医保经办机构备案</w:t>
      </w:r>
      <w:r>
        <w:rPr>
          <w:rFonts w:hint="eastAsia" w:ascii="仿宋_GB2312" w:hAnsi="仿宋_GB2312" w:eastAsia="仿宋_GB2312" w:cs="仿宋_GB2312"/>
          <w:snapToGrid w:val="0"/>
          <w:color w:val="auto"/>
          <w:spacing w:val="0"/>
          <w:kern w:val="0"/>
          <w:sz w:val="32"/>
          <w:szCs w:val="32"/>
          <w:highlight w:val="none"/>
          <w:lang w:eastAsia="en-US"/>
        </w:rPr>
        <w:t>。</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bidi="zh-CN"/>
        </w:rPr>
        <w:t>九十</w:t>
      </w:r>
      <w:r>
        <w:rPr>
          <w:rFonts w:hint="eastAsia" w:ascii="黑体" w:hAnsi="黑体" w:eastAsia="黑体" w:cs="黑体"/>
          <w:b w:val="0"/>
          <w:bCs w:val="0"/>
          <w:snapToGrid w:val="0"/>
          <w:color w:val="auto"/>
          <w:spacing w:val="0"/>
          <w:kern w:val="0"/>
          <w:sz w:val="32"/>
          <w:szCs w:val="32"/>
          <w:highlight w:val="none"/>
          <w:lang w:val="en-US" w:eastAsia="zh-CN"/>
        </w:rPr>
        <w:t>四</w:t>
      </w:r>
      <w:r>
        <w:rPr>
          <w:rFonts w:hint="eastAsia" w:ascii="黑体" w:hAnsi="黑体" w:eastAsia="黑体" w:cs="黑体"/>
          <w:b w:val="0"/>
          <w:bCs w:val="0"/>
          <w:snapToGrid w:val="0"/>
          <w:color w:val="auto"/>
          <w:spacing w:val="0"/>
          <w:kern w:val="0"/>
          <w:sz w:val="32"/>
          <w:szCs w:val="32"/>
          <w:highlight w:val="none"/>
          <w:lang w:eastAsia="zh-CN"/>
        </w:rPr>
        <w:t>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信息变更</w:t>
      </w:r>
      <w:r>
        <w:rPr>
          <w:rFonts w:hint="eastAsia" w:ascii="黑体" w:hAnsi="黑体" w:eastAsia="黑体" w:cs="黑体"/>
          <w:b w:val="0"/>
          <w:snapToGrid w:val="0"/>
          <w:color w:val="auto"/>
          <w:spacing w:val="0"/>
          <w:kern w:val="0"/>
          <w:sz w:val="32"/>
          <w:szCs w:val="32"/>
          <w:highlight w:val="none"/>
          <w:lang w:eastAsia="zh-CN"/>
        </w:rPr>
        <w:t>】</w:t>
      </w:r>
      <w:r>
        <w:rPr>
          <w:rFonts w:ascii="黑体" w:hAnsi="黑体" w:eastAsia="黑体" w:cs="黑体"/>
          <w:snapToGrid w:val="0"/>
          <w:color w:val="auto"/>
          <w:spacing w:val="0"/>
          <w:kern w:val="0"/>
          <w:sz w:val="32"/>
          <w:szCs w:val="32"/>
          <w:highlight w:val="none"/>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乙方的名称、床位数、医护人员数、等级、机构性质、经营性质等基础信息应及时在国家医保信息业务编码标准数据库填报并维护。</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val="en-US" w:eastAsia="zh-CN"/>
        </w:rPr>
        <w:t>本</w:t>
      </w:r>
      <w:r>
        <w:rPr>
          <w:rFonts w:hint="eastAsia" w:ascii="仿宋_GB2312" w:hAnsi="仿宋_GB2312" w:eastAsia="仿宋_GB2312" w:cs="仿宋_GB2312"/>
          <w:snapToGrid w:val="0"/>
          <w:color w:val="auto"/>
          <w:spacing w:val="0"/>
          <w:kern w:val="0"/>
          <w:sz w:val="32"/>
          <w:szCs w:val="32"/>
          <w:highlight w:val="none"/>
          <w:lang w:eastAsia="en-US"/>
        </w:rPr>
        <w:t>协议履行期间，乙方的名称、法定代表人、主要负责人或实际控制人、注册地址、银行账户、诊疗科目、机构规模、机构性质、等级和类别等重大信息变更时，应自有关部门批准之日起30个工作日内向甲方提出变更申请</w:t>
      </w:r>
      <w:r>
        <w:rPr>
          <w:rFonts w:hint="eastAsia" w:ascii="仿宋_GB2312" w:hAnsi="仿宋_GB2312" w:eastAsia="仿宋_GB2312" w:cs="仿宋_GB2312"/>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val="en-US" w:eastAsia="zh-CN"/>
        </w:rPr>
        <w:t>其中医疗机构等级发生变化的，提出报备，并经经办机构核准</w:t>
      </w:r>
      <w:r>
        <w:rPr>
          <w:rFonts w:hint="eastAsia" w:ascii="仿宋_GB2312" w:hAnsi="仿宋_GB2312" w:eastAsia="仿宋_GB2312" w:cs="仿宋_GB2312"/>
          <w:snapToGrid w:val="0"/>
          <w:color w:val="auto"/>
          <w:spacing w:val="0"/>
          <w:kern w:val="0"/>
          <w:sz w:val="32"/>
          <w:szCs w:val="32"/>
          <w:highlight w:val="none"/>
          <w:lang w:eastAsia="en-US"/>
        </w:rPr>
        <w:t>。其他一般信息变更应及时书面告知。同时乙方应在国家医保信息业务编码标准数据库同步变更信息。</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left"/>
        <w:textAlignment w:val="baseline"/>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val="en-US" w:eastAsia="zh-CN" w:bidi="ar-SA"/>
        </w:rPr>
        <w:t>乙方的统一社会信用代码发生变更的，变更后的新机构将继续承担原机构发生的医保</w:t>
      </w:r>
      <w:r>
        <w:rPr>
          <w:rFonts w:hint="eastAsia" w:ascii="仿宋_GB2312" w:hAnsi="仿宋_GB2312" w:eastAsia="仿宋_GB2312" w:cs="仿宋_GB2312"/>
          <w:snapToGrid w:val="0"/>
          <w:color w:val="auto"/>
          <w:spacing w:val="0"/>
          <w:kern w:val="0"/>
          <w:sz w:val="32"/>
          <w:szCs w:val="32"/>
          <w:highlight w:val="none"/>
          <w:lang w:eastAsia="zh-CN"/>
        </w:rPr>
        <w:t>、工伤保险</w:t>
      </w:r>
      <w:r>
        <w:rPr>
          <w:rFonts w:hint="eastAsia" w:ascii="仿宋_GB2312" w:hAnsi="仿宋_GB2312" w:eastAsia="仿宋_GB2312" w:cs="仿宋_GB2312"/>
          <w:snapToGrid w:val="0"/>
          <w:color w:val="auto"/>
          <w:spacing w:val="0"/>
          <w:kern w:val="0"/>
          <w:sz w:val="32"/>
          <w:szCs w:val="32"/>
          <w:highlight w:val="none"/>
          <w:lang w:val="en-US" w:eastAsia="zh-CN" w:bidi="ar-SA"/>
        </w:rPr>
        <w:t>行为责任及一切法律责任（包括但不限于民事、行政等责任）。</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i w:val="0"/>
          <w:iCs w:val="0"/>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bidi="zh-CN"/>
        </w:rPr>
        <w:t>九十</w:t>
      </w:r>
      <w:r>
        <w:rPr>
          <w:rFonts w:hint="eastAsia" w:ascii="黑体" w:hAnsi="黑体" w:eastAsia="黑体" w:cs="黑体"/>
          <w:b w:val="0"/>
          <w:bCs w:val="0"/>
          <w:snapToGrid w:val="0"/>
          <w:color w:val="auto"/>
          <w:spacing w:val="0"/>
          <w:kern w:val="0"/>
          <w:sz w:val="32"/>
          <w:szCs w:val="32"/>
          <w:highlight w:val="none"/>
          <w:lang w:val="en-US" w:eastAsia="zh-CN"/>
        </w:rPr>
        <w:t>五</w:t>
      </w:r>
      <w:r>
        <w:rPr>
          <w:rFonts w:hint="eastAsia" w:ascii="黑体" w:hAnsi="黑体" w:eastAsia="黑体" w:cs="黑体"/>
          <w:b w:val="0"/>
          <w:bCs w:val="0"/>
          <w:snapToGrid w:val="0"/>
          <w:color w:val="auto"/>
          <w:spacing w:val="0"/>
          <w:kern w:val="0"/>
          <w:sz w:val="32"/>
          <w:szCs w:val="32"/>
          <w:highlight w:val="none"/>
          <w:lang w:eastAsia="zh-CN"/>
        </w:rPr>
        <w:t>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修订补充</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b w:val="0"/>
          <w:bCs w:val="0"/>
          <w:i w:val="0"/>
          <w:iCs w:val="0"/>
          <w:snapToGrid w:val="0"/>
          <w:color w:val="auto"/>
          <w:spacing w:val="0"/>
          <w:kern w:val="0"/>
          <w:sz w:val="32"/>
          <w:szCs w:val="32"/>
          <w:highlight w:val="none"/>
          <w:lang w:val="en-US" w:eastAsia="en-US"/>
        </w:rPr>
        <w:t>本</w:t>
      </w:r>
      <w:r>
        <w:rPr>
          <w:rFonts w:hint="eastAsia" w:ascii="仿宋_GB2312" w:hAnsi="仿宋_GB2312" w:eastAsia="仿宋_GB2312" w:cs="仿宋_GB2312"/>
          <w:i w:val="0"/>
          <w:iCs w:val="0"/>
          <w:snapToGrid w:val="0"/>
          <w:color w:val="auto"/>
          <w:spacing w:val="0"/>
          <w:kern w:val="0"/>
          <w:sz w:val="32"/>
          <w:szCs w:val="32"/>
          <w:highlight w:val="none"/>
          <w:lang w:eastAsia="en-US"/>
        </w:rPr>
        <w:t>协议履行期间，国家法律法规规章和政策</w:t>
      </w:r>
      <w:r>
        <w:rPr>
          <w:rFonts w:hint="eastAsia" w:ascii="仿宋_GB2312" w:hAnsi="仿宋_GB2312" w:eastAsia="仿宋_GB2312" w:cs="仿宋_GB2312"/>
          <w:i w:val="0"/>
          <w:iCs w:val="0"/>
          <w:snapToGrid w:val="0"/>
          <w:color w:val="auto"/>
          <w:spacing w:val="0"/>
          <w:kern w:val="0"/>
          <w:sz w:val="32"/>
          <w:szCs w:val="32"/>
          <w:highlight w:val="none"/>
          <w:lang w:val="en-US" w:eastAsia="zh-CN"/>
        </w:rPr>
        <w:t>及我省相关政策发生调整的，</w:t>
      </w:r>
      <w:r>
        <w:rPr>
          <w:rFonts w:hint="eastAsia" w:ascii="仿宋_GB2312" w:hAnsi="仿宋_GB2312" w:eastAsia="仿宋_GB2312" w:cs="仿宋_GB2312"/>
          <w:i w:val="0"/>
          <w:iCs w:val="0"/>
          <w:snapToGrid w:val="0"/>
          <w:color w:val="auto"/>
          <w:spacing w:val="0"/>
          <w:kern w:val="0"/>
          <w:sz w:val="32"/>
          <w:szCs w:val="32"/>
          <w:highlight w:val="none"/>
          <w:lang w:eastAsia="en-US"/>
        </w:rPr>
        <w:t>从其规定。</w:t>
      </w:r>
      <w:r>
        <w:rPr>
          <w:rFonts w:hint="eastAsia" w:ascii="仿宋_GB2312" w:hAnsi="仿宋_GB2312" w:eastAsia="仿宋_GB2312" w:cs="仿宋_GB2312"/>
          <w:bCs w:val="0"/>
          <w:i w:val="0"/>
          <w:iCs w:val="0"/>
          <w:snapToGrid w:val="0"/>
          <w:color w:val="auto"/>
          <w:spacing w:val="0"/>
          <w:kern w:val="0"/>
          <w:sz w:val="32"/>
          <w:szCs w:val="32"/>
          <w:highlight w:val="none"/>
          <w:lang w:eastAsia="zh-CN"/>
        </w:rPr>
        <w:t>若新规定与本协议不一致时或需协商补充的其他事项，应报医疗保障</w:t>
      </w:r>
      <w:r>
        <w:rPr>
          <w:rFonts w:hint="eastAsia" w:ascii="仿宋_GB2312" w:hAnsi="仿宋_GB2312" w:eastAsia="仿宋_GB2312" w:cs="仿宋_GB2312"/>
          <w:i w:val="0"/>
          <w:iCs w:val="0"/>
          <w:snapToGrid w:val="0"/>
          <w:color w:val="auto"/>
          <w:spacing w:val="0"/>
          <w:kern w:val="0"/>
          <w:sz w:val="32"/>
          <w:szCs w:val="32"/>
          <w:highlight w:val="none"/>
          <w:lang w:eastAsia="zh-CN"/>
        </w:rPr>
        <w:t>及工伤保险</w:t>
      </w:r>
      <w:r>
        <w:rPr>
          <w:rFonts w:hint="eastAsia" w:ascii="仿宋_GB2312" w:hAnsi="仿宋_GB2312" w:eastAsia="仿宋_GB2312" w:cs="仿宋_GB2312"/>
          <w:bCs w:val="0"/>
          <w:i w:val="0"/>
          <w:iCs w:val="0"/>
          <w:snapToGrid w:val="0"/>
          <w:color w:val="auto"/>
          <w:spacing w:val="0"/>
          <w:kern w:val="0"/>
          <w:sz w:val="32"/>
          <w:szCs w:val="32"/>
          <w:highlight w:val="none"/>
          <w:lang w:eastAsia="zh-CN"/>
        </w:rPr>
        <w:t>行政部门批准后，</w:t>
      </w:r>
      <w:r>
        <w:rPr>
          <w:rFonts w:hint="eastAsia" w:ascii="仿宋_GB2312" w:hAnsi="仿宋_GB2312" w:eastAsia="仿宋_GB2312" w:cs="仿宋_GB2312"/>
          <w:i w:val="0"/>
          <w:iCs w:val="0"/>
          <w:snapToGrid w:val="0"/>
          <w:color w:val="auto"/>
          <w:spacing w:val="0"/>
          <w:kern w:val="0"/>
          <w:sz w:val="32"/>
          <w:szCs w:val="32"/>
          <w:highlight w:val="none"/>
          <w:lang w:val="en-US" w:eastAsia="zh-CN"/>
        </w:rPr>
        <w:t>经</w:t>
      </w:r>
      <w:r>
        <w:rPr>
          <w:rFonts w:hint="eastAsia" w:ascii="仿宋_GB2312" w:hAnsi="仿宋_GB2312" w:eastAsia="仿宋_GB2312" w:cs="仿宋_GB2312"/>
          <w:i w:val="0"/>
          <w:iCs w:val="0"/>
          <w:snapToGrid w:val="0"/>
          <w:color w:val="auto"/>
          <w:spacing w:val="0"/>
          <w:kern w:val="0"/>
          <w:sz w:val="32"/>
          <w:szCs w:val="32"/>
          <w:highlight w:val="none"/>
          <w:lang w:eastAsia="en-US"/>
        </w:rPr>
        <w:t>甲乙双方</w:t>
      </w:r>
      <w:r>
        <w:rPr>
          <w:rFonts w:hint="eastAsia" w:ascii="仿宋_GB2312" w:hAnsi="仿宋_GB2312" w:eastAsia="仿宋_GB2312" w:cs="仿宋_GB2312"/>
          <w:i w:val="0"/>
          <w:iCs w:val="0"/>
          <w:snapToGrid w:val="0"/>
          <w:color w:val="auto"/>
          <w:spacing w:val="0"/>
          <w:kern w:val="0"/>
          <w:sz w:val="32"/>
          <w:szCs w:val="32"/>
          <w:highlight w:val="none"/>
          <w:lang w:val="en-US" w:eastAsia="zh-CN"/>
        </w:rPr>
        <w:t>协商，</w:t>
      </w:r>
      <w:r>
        <w:rPr>
          <w:rFonts w:hint="eastAsia" w:ascii="仿宋_GB2312" w:hAnsi="仿宋_GB2312" w:eastAsia="仿宋_GB2312" w:cs="仿宋_GB2312"/>
          <w:i w:val="0"/>
          <w:iCs w:val="0"/>
          <w:snapToGrid w:val="0"/>
          <w:color w:val="auto"/>
          <w:spacing w:val="0"/>
          <w:kern w:val="0"/>
          <w:sz w:val="32"/>
          <w:szCs w:val="32"/>
          <w:highlight w:val="none"/>
          <w:lang w:eastAsia="en-US"/>
        </w:rPr>
        <w:t>应当按照新规定对本协议进行修订和补充，其效力与本协议等同。</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九十六</w:t>
      </w:r>
      <w:r>
        <w:rPr>
          <w:rFonts w:hint="eastAsia" w:ascii="黑体" w:hAnsi="黑体" w:eastAsia="黑体" w:cs="黑体"/>
          <w:b w:val="0"/>
          <w:bCs w:val="0"/>
          <w:snapToGrid w:val="0"/>
          <w:color w:val="auto"/>
          <w:spacing w:val="0"/>
          <w:kern w:val="0"/>
          <w:sz w:val="32"/>
          <w:szCs w:val="32"/>
          <w:highlight w:val="none"/>
          <w:lang w:eastAsia="zh-CN"/>
        </w:rPr>
        <w:t>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重新签订协议</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val="en-US" w:eastAsia="zh-CN"/>
        </w:rPr>
        <w:t>重新签订本协议</w:t>
      </w:r>
      <w:r>
        <w:rPr>
          <w:rFonts w:hint="eastAsia" w:ascii="仿宋_GB2312" w:hAnsi="仿宋_GB2312" w:eastAsia="仿宋_GB2312" w:cs="仿宋_GB2312"/>
          <w:snapToGrid w:val="0"/>
          <w:color w:val="auto"/>
          <w:spacing w:val="0"/>
          <w:kern w:val="0"/>
          <w:sz w:val="32"/>
          <w:szCs w:val="32"/>
          <w:highlight w:val="none"/>
          <w:lang w:eastAsia="en-US"/>
        </w:rPr>
        <w:t>应由乙方于协议期满前3个月向甲方提出申请或由甲方统一组织。</w:t>
      </w:r>
      <w:r>
        <w:rPr>
          <w:rFonts w:hint="eastAsia" w:ascii="仿宋_GB2312" w:hAnsi="仿宋_GB2312" w:eastAsia="仿宋_GB2312" w:cs="仿宋_GB2312"/>
          <w:snapToGrid w:val="0"/>
          <w:color w:val="auto"/>
          <w:spacing w:val="0"/>
          <w:kern w:val="0"/>
          <w:sz w:val="32"/>
          <w:szCs w:val="32"/>
          <w:highlight w:val="none"/>
          <w:lang w:val="en-US" w:eastAsia="zh-CN"/>
        </w:rPr>
        <w:t>重新签订前，乙方应向甲方书面报告协议履行情况，</w:t>
      </w:r>
      <w:r>
        <w:rPr>
          <w:rFonts w:hint="eastAsia" w:ascii="仿宋_GB2312" w:hAnsi="仿宋_GB2312" w:eastAsia="仿宋_GB2312" w:cs="仿宋_GB2312"/>
          <w:snapToGrid w:val="0"/>
          <w:color w:val="auto"/>
          <w:spacing w:val="0"/>
          <w:kern w:val="0"/>
          <w:sz w:val="32"/>
          <w:szCs w:val="32"/>
          <w:highlight w:val="none"/>
          <w:lang w:eastAsia="en-US"/>
        </w:rPr>
        <w:t>甲方与乙方就协议</w:t>
      </w:r>
      <w:r>
        <w:rPr>
          <w:rFonts w:hint="eastAsia" w:ascii="仿宋_GB2312" w:hAnsi="仿宋_GB2312" w:eastAsia="仿宋_GB2312" w:cs="仿宋_GB2312"/>
          <w:snapToGrid w:val="0"/>
          <w:color w:val="auto"/>
          <w:spacing w:val="0"/>
          <w:kern w:val="0"/>
          <w:sz w:val="32"/>
          <w:szCs w:val="32"/>
          <w:highlight w:val="none"/>
          <w:lang w:val="en-US" w:eastAsia="zh-CN"/>
        </w:rPr>
        <w:t>重新签订</w:t>
      </w:r>
      <w:r>
        <w:rPr>
          <w:rFonts w:hint="eastAsia" w:ascii="仿宋_GB2312" w:hAnsi="仿宋_GB2312" w:eastAsia="仿宋_GB2312" w:cs="仿宋_GB2312"/>
          <w:snapToGrid w:val="0"/>
          <w:color w:val="auto"/>
          <w:spacing w:val="0"/>
          <w:kern w:val="0"/>
          <w:sz w:val="32"/>
          <w:szCs w:val="32"/>
          <w:highlight w:val="none"/>
          <w:lang w:eastAsia="en-US"/>
        </w:rPr>
        <w:t>事宜进行协商谈判，双方根据医保协议履行情况和医保绩效考核情况等决定是否</w:t>
      </w:r>
      <w:r>
        <w:rPr>
          <w:rFonts w:hint="eastAsia" w:ascii="仿宋_GB2312" w:hAnsi="仿宋_GB2312" w:eastAsia="仿宋_GB2312" w:cs="仿宋_GB2312"/>
          <w:snapToGrid w:val="0"/>
          <w:color w:val="auto"/>
          <w:spacing w:val="0"/>
          <w:kern w:val="0"/>
          <w:sz w:val="32"/>
          <w:szCs w:val="32"/>
          <w:highlight w:val="none"/>
          <w:lang w:val="en-US" w:eastAsia="zh-CN"/>
        </w:rPr>
        <w:t>重新签订</w:t>
      </w:r>
      <w:r>
        <w:rPr>
          <w:rFonts w:hint="eastAsia" w:ascii="仿宋_GB2312" w:hAnsi="仿宋_GB2312" w:eastAsia="仿宋_GB2312" w:cs="仿宋_GB2312"/>
          <w:snapToGrid w:val="0"/>
          <w:color w:val="auto"/>
          <w:spacing w:val="0"/>
          <w:kern w:val="0"/>
          <w:sz w:val="32"/>
          <w:szCs w:val="32"/>
          <w:highlight w:val="none"/>
          <w:lang w:eastAsia="en-US"/>
        </w:rPr>
        <w:t>。协商一致的，可</w:t>
      </w:r>
      <w:r>
        <w:rPr>
          <w:rFonts w:hint="eastAsia" w:ascii="仿宋_GB2312" w:hAnsi="仿宋_GB2312" w:eastAsia="仿宋_GB2312" w:cs="仿宋_GB2312"/>
          <w:snapToGrid w:val="0"/>
          <w:color w:val="auto"/>
          <w:spacing w:val="0"/>
          <w:kern w:val="0"/>
          <w:sz w:val="32"/>
          <w:szCs w:val="32"/>
          <w:highlight w:val="none"/>
          <w:lang w:val="en-US" w:eastAsia="zh-CN"/>
        </w:rPr>
        <w:t>重新签订本</w:t>
      </w:r>
      <w:r>
        <w:rPr>
          <w:rFonts w:hint="eastAsia" w:ascii="仿宋_GB2312" w:hAnsi="仿宋_GB2312" w:eastAsia="仿宋_GB2312" w:cs="仿宋_GB2312"/>
          <w:snapToGrid w:val="0"/>
          <w:color w:val="auto"/>
          <w:spacing w:val="0"/>
          <w:kern w:val="0"/>
          <w:sz w:val="32"/>
          <w:szCs w:val="32"/>
          <w:highlight w:val="none"/>
          <w:lang w:eastAsia="en-US"/>
        </w:rPr>
        <w:t>协议；未达成一致的，</w:t>
      </w:r>
      <w:r>
        <w:rPr>
          <w:rFonts w:hint="eastAsia" w:ascii="仿宋_GB2312" w:hAnsi="仿宋_GB2312" w:eastAsia="仿宋_GB2312" w:cs="仿宋_GB2312"/>
          <w:snapToGrid w:val="0"/>
          <w:color w:val="auto"/>
          <w:spacing w:val="0"/>
          <w:kern w:val="0"/>
          <w:sz w:val="32"/>
          <w:szCs w:val="32"/>
          <w:highlight w:val="none"/>
          <w:lang w:eastAsia="zh-CN"/>
        </w:rPr>
        <w:t>本</w:t>
      </w:r>
      <w:r>
        <w:rPr>
          <w:rFonts w:hint="eastAsia" w:ascii="仿宋_GB2312" w:hAnsi="仿宋_GB2312" w:eastAsia="仿宋_GB2312" w:cs="仿宋_GB2312"/>
          <w:snapToGrid w:val="0"/>
          <w:color w:val="auto"/>
          <w:spacing w:val="0"/>
          <w:kern w:val="0"/>
          <w:sz w:val="32"/>
          <w:szCs w:val="32"/>
          <w:highlight w:val="none"/>
          <w:lang w:eastAsia="en-US"/>
        </w:rPr>
        <w:t>协议到期后自动终止。</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九十七</w:t>
      </w:r>
      <w:r>
        <w:rPr>
          <w:rFonts w:hint="eastAsia" w:ascii="黑体" w:hAnsi="黑体" w:eastAsia="黑体" w:cs="黑体"/>
          <w:b w:val="0"/>
          <w:bCs w:val="0"/>
          <w:snapToGrid w:val="0"/>
          <w:color w:val="auto"/>
          <w:spacing w:val="0"/>
          <w:kern w:val="0"/>
          <w:sz w:val="32"/>
          <w:szCs w:val="32"/>
          <w:highlight w:val="none"/>
          <w:lang w:eastAsia="zh-CN"/>
        </w:rPr>
        <w:t>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协议申请中止及恢复</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医保、工伤</w:t>
      </w:r>
      <w:r>
        <w:rPr>
          <w:rFonts w:hint="eastAsia" w:ascii="仿宋_GB2312" w:hAnsi="仿宋_GB2312" w:eastAsia="仿宋_GB2312" w:cs="仿宋_GB2312"/>
          <w:snapToGrid w:val="0"/>
          <w:color w:val="auto"/>
          <w:spacing w:val="0"/>
          <w:kern w:val="0"/>
          <w:sz w:val="32"/>
          <w:szCs w:val="32"/>
          <w:highlight w:val="none"/>
          <w:lang w:eastAsia="zh-CN"/>
        </w:rPr>
        <w:t>保险</w:t>
      </w:r>
      <w:r>
        <w:rPr>
          <w:rFonts w:hint="eastAsia" w:ascii="仿宋_GB2312" w:hAnsi="仿宋_GB2312" w:eastAsia="仿宋_GB2312" w:cs="仿宋_GB2312"/>
          <w:snapToGrid w:val="0"/>
          <w:color w:val="auto"/>
          <w:spacing w:val="0"/>
          <w:kern w:val="0"/>
          <w:sz w:val="32"/>
          <w:szCs w:val="32"/>
          <w:highlight w:val="none"/>
          <w:lang w:eastAsia="en-US"/>
        </w:rPr>
        <w:t>协议履行期内，乙方因停业或歇业等原因</w:t>
      </w:r>
      <w:r>
        <w:rPr>
          <w:rFonts w:hint="eastAsia" w:ascii="仿宋_GB2312" w:hAnsi="仿宋_GB2312" w:eastAsia="仿宋_GB2312" w:cs="仿宋_GB2312"/>
          <w:snapToGrid w:val="0"/>
          <w:color w:val="auto"/>
          <w:spacing w:val="0"/>
          <w:kern w:val="0"/>
          <w:sz w:val="32"/>
          <w:szCs w:val="32"/>
          <w:highlight w:val="none"/>
          <w:lang w:val="en-US" w:eastAsia="zh-CN"/>
        </w:rPr>
        <w:t>可在30个工作日内</w:t>
      </w:r>
      <w:r>
        <w:rPr>
          <w:rFonts w:hint="eastAsia" w:ascii="仿宋_GB2312" w:hAnsi="仿宋_GB2312" w:eastAsia="仿宋_GB2312" w:cs="仿宋_GB2312"/>
          <w:snapToGrid w:val="0"/>
          <w:color w:val="auto"/>
          <w:spacing w:val="0"/>
          <w:kern w:val="0"/>
          <w:sz w:val="32"/>
          <w:szCs w:val="32"/>
          <w:highlight w:val="none"/>
          <w:lang w:eastAsia="en-US"/>
        </w:rPr>
        <w:t>向甲方提出中止</w:t>
      </w:r>
      <w:r>
        <w:rPr>
          <w:rFonts w:hint="eastAsia" w:ascii="仿宋_GB2312" w:hAnsi="仿宋_GB2312" w:eastAsia="仿宋_GB2312" w:cs="仿宋_GB2312"/>
          <w:snapToGrid w:val="0"/>
          <w:color w:val="auto"/>
          <w:spacing w:val="0"/>
          <w:kern w:val="0"/>
          <w:sz w:val="32"/>
          <w:szCs w:val="32"/>
          <w:highlight w:val="none"/>
          <w:lang w:val="en-US" w:eastAsia="zh-CN"/>
        </w:rPr>
        <w:t>本</w:t>
      </w:r>
      <w:r>
        <w:rPr>
          <w:rFonts w:hint="eastAsia" w:ascii="仿宋_GB2312" w:hAnsi="仿宋_GB2312" w:eastAsia="仿宋_GB2312" w:cs="仿宋_GB2312"/>
          <w:snapToGrid w:val="0"/>
          <w:color w:val="auto"/>
          <w:spacing w:val="0"/>
          <w:kern w:val="0"/>
          <w:sz w:val="32"/>
          <w:szCs w:val="32"/>
          <w:highlight w:val="none"/>
          <w:lang w:eastAsia="en-US"/>
        </w:rPr>
        <w:t>协议申请，经甲方同意，可以依申请中止</w:t>
      </w:r>
      <w:r>
        <w:rPr>
          <w:rFonts w:hint="eastAsia" w:ascii="仿宋_GB2312" w:hAnsi="仿宋_GB2312" w:eastAsia="仿宋_GB2312" w:cs="仿宋_GB2312"/>
          <w:snapToGrid w:val="0"/>
          <w:color w:val="auto"/>
          <w:spacing w:val="0"/>
          <w:kern w:val="0"/>
          <w:sz w:val="32"/>
          <w:szCs w:val="32"/>
          <w:highlight w:val="none"/>
          <w:lang w:val="en-US" w:eastAsia="zh-CN"/>
        </w:rPr>
        <w:t>本</w:t>
      </w:r>
      <w:r>
        <w:rPr>
          <w:rFonts w:hint="eastAsia" w:ascii="仿宋_GB2312" w:hAnsi="仿宋_GB2312" w:eastAsia="仿宋_GB2312" w:cs="仿宋_GB2312"/>
          <w:snapToGrid w:val="0"/>
          <w:color w:val="auto"/>
          <w:spacing w:val="0"/>
          <w:kern w:val="0"/>
          <w:sz w:val="32"/>
          <w:szCs w:val="32"/>
          <w:highlight w:val="none"/>
          <w:lang w:eastAsia="en-US"/>
        </w:rPr>
        <w:t>协议但中止时间原则上不得超过180日，乙方在协议中止超过180日仍未提出继续履行协议申请的，原则上本协议自动终止。</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zh-CN"/>
        </w:rPr>
      </w:pPr>
      <w:r>
        <w:rPr>
          <w:rFonts w:hint="eastAsia" w:ascii="仿宋_GB2312" w:hAnsi="仿宋_GB2312" w:eastAsia="仿宋_GB2312" w:cs="仿宋_GB2312"/>
          <w:snapToGrid w:val="0"/>
          <w:color w:val="auto"/>
          <w:spacing w:val="0"/>
          <w:kern w:val="0"/>
          <w:sz w:val="32"/>
          <w:szCs w:val="32"/>
          <w:highlight w:val="none"/>
          <w:lang w:eastAsia="zh-CN"/>
        </w:rPr>
        <w:t>中止期结束，未超过本协议有效期的，中止协议期满后甲方对其进行验收，验收合格的，本协议继续履行，验收不合格的，解除协议。超过协议有效期的，中止协议期满后甲方对其进行验收，验收合格的，可按规定续签协议，验收不合格的，解除协议。中止期间发生的医保</w:t>
      </w:r>
      <w:r>
        <w:rPr>
          <w:rFonts w:hint="eastAsia" w:ascii="仿宋_GB2312" w:hAnsi="仿宋_GB2312" w:eastAsia="仿宋_GB2312" w:cs="仿宋_GB2312"/>
          <w:bCs w:val="0"/>
          <w:snapToGrid w:val="0"/>
          <w:color w:val="auto"/>
          <w:spacing w:val="0"/>
          <w:kern w:val="0"/>
          <w:sz w:val="32"/>
          <w:szCs w:val="32"/>
          <w:highlight w:val="none"/>
          <w:lang w:eastAsia="zh-CN"/>
        </w:rPr>
        <w:t>、</w:t>
      </w:r>
      <w:r>
        <w:rPr>
          <w:rFonts w:hint="eastAsia" w:ascii="仿宋_GB2312" w:hAnsi="仿宋_GB2312" w:eastAsia="仿宋_GB2312" w:cs="仿宋_GB2312"/>
          <w:snapToGrid w:val="0"/>
          <w:color w:val="auto"/>
          <w:spacing w:val="0"/>
          <w:kern w:val="0"/>
          <w:sz w:val="32"/>
          <w:szCs w:val="32"/>
          <w:highlight w:val="none"/>
          <w:lang w:eastAsia="zh-CN"/>
        </w:rPr>
        <w:t>工伤保险费用不予结算。</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snapToGrid w:val="0"/>
          <w:color w:val="auto"/>
          <w:spacing w:val="0"/>
          <w:kern w:val="0"/>
          <w:sz w:val="32"/>
          <w:szCs w:val="32"/>
          <w:highlight w:val="none"/>
          <w:lang w:val="en-US" w:eastAsia="zh-CN"/>
        </w:rPr>
        <w:t>九十八</w:t>
      </w:r>
      <w:r>
        <w:rPr>
          <w:rFonts w:hint="eastAsia" w:ascii="黑体" w:hAnsi="黑体" w:eastAsia="黑体" w:cs="黑体"/>
          <w:b w:val="0"/>
          <w:bCs w:val="0"/>
          <w:snapToGrid w:val="0"/>
          <w:color w:val="auto"/>
          <w:spacing w:val="0"/>
          <w:kern w:val="0"/>
          <w:sz w:val="32"/>
          <w:szCs w:val="32"/>
          <w:highlight w:val="none"/>
          <w:lang w:eastAsia="zh-CN"/>
        </w:rPr>
        <w:t>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终止协议</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有下列情形之一的，终止</w:t>
      </w:r>
      <w:r>
        <w:rPr>
          <w:rFonts w:hint="eastAsia" w:ascii="仿宋_GB2312" w:hAnsi="仿宋_GB2312" w:eastAsia="仿宋_GB2312" w:cs="仿宋_GB2312"/>
          <w:snapToGrid w:val="0"/>
          <w:color w:val="auto"/>
          <w:spacing w:val="0"/>
          <w:kern w:val="0"/>
          <w:sz w:val="32"/>
          <w:szCs w:val="32"/>
          <w:highlight w:val="none"/>
          <w:lang w:val="en-US" w:eastAsia="zh-CN"/>
        </w:rPr>
        <w:t>本</w:t>
      </w:r>
      <w:r>
        <w:rPr>
          <w:rFonts w:hint="eastAsia" w:ascii="仿宋_GB2312" w:hAnsi="仿宋_GB2312" w:eastAsia="仿宋_GB2312" w:cs="仿宋_GB2312"/>
          <w:snapToGrid w:val="0"/>
          <w:color w:val="auto"/>
          <w:spacing w:val="0"/>
          <w:kern w:val="0"/>
          <w:sz w:val="32"/>
          <w:szCs w:val="32"/>
          <w:highlight w:val="none"/>
          <w:lang w:eastAsia="en-US"/>
        </w:rPr>
        <w:t>协议：</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（一）</w:t>
      </w:r>
      <w:r>
        <w:rPr>
          <w:rFonts w:hint="eastAsia" w:ascii="仿宋_GB2312" w:hAnsi="仿宋_GB2312" w:eastAsia="仿宋_GB2312" w:cs="仿宋_GB2312"/>
          <w:snapToGrid w:val="0"/>
          <w:color w:val="auto"/>
          <w:spacing w:val="0"/>
          <w:kern w:val="0"/>
          <w:sz w:val="32"/>
          <w:szCs w:val="32"/>
          <w:highlight w:val="none"/>
          <w:lang w:eastAsia="en-US"/>
        </w:rPr>
        <w:t>本协议履行期间，乙方不再符合</w:t>
      </w:r>
      <w:r>
        <w:rPr>
          <w:rFonts w:hint="eastAsia" w:ascii="仿宋_GB2312" w:hAnsi="仿宋_GB2312" w:eastAsia="仿宋_GB2312" w:cs="仿宋_GB2312"/>
          <w:snapToGrid w:val="0"/>
          <w:color w:val="auto"/>
          <w:spacing w:val="0"/>
          <w:kern w:val="0"/>
          <w:sz w:val="32"/>
          <w:szCs w:val="32"/>
          <w:highlight w:val="none"/>
          <w:lang w:val="en-US" w:eastAsia="zh-CN"/>
        </w:rPr>
        <w:t>国家及海南省</w:t>
      </w:r>
      <w:r>
        <w:rPr>
          <w:rFonts w:hint="eastAsia" w:ascii="仿宋_GB2312" w:hAnsi="仿宋_GB2312" w:eastAsia="仿宋_GB2312" w:cs="仿宋_GB2312"/>
          <w:snapToGrid w:val="0"/>
          <w:color w:val="auto"/>
          <w:spacing w:val="0"/>
          <w:kern w:val="0"/>
          <w:sz w:val="32"/>
          <w:szCs w:val="32"/>
          <w:highlight w:val="none"/>
          <w:lang w:eastAsia="en-US"/>
        </w:rPr>
        <w:t>定点医疗机构确定的基本条件和评估要求的；</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（二）</w:t>
      </w:r>
      <w:r>
        <w:rPr>
          <w:rFonts w:hint="eastAsia" w:ascii="仿宋_GB2312" w:hAnsi="仿宋_GB2312" w:eastAsia="仿宋_GB2312" w:cs="仿宋_GB2312"/>
          <w:snapToGrid w:val="0"/>
          <w:color w:val="auto"/>
          <w:spacing w:val="0"/>
          <w:kern w:val="0"/>
          <w:sz w:val="32"/>
          <w:szCs w:val="32"/>
          <w:highlight w:val="none"/>
          <w:lang w:eastAsia="en-US"/>
        </w:rPr>
        <w:t>注销医疗机构执业许可证、诊所备案证或中医诊所备案证的；</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（三）</w:t>
      </w:r>
      <w:r>
        <w:rPr>
          <w:rFonts w:hint="eastAsia" w:ascii="仿宋_GB2312" w:hAnsi="仿宋_GB2312" w:eastAsia="仿宋_GB2312" w:cs="仿宋_GB2312"/>
          <w:snapToGrid w:val="0"/>
          <w:color w:val="auto"/>
          <w:spacing w:val="0"/>
          <w:kern w:val="0"/>
          <w:sz w:val="32"/>
          <w:szCs w:val="32"/>
          <w:highlight w:val="none"/>
          <w:lang w:eastAsia="en-US"/>
        </w:rPr>
        <w:t>乙方主动提出解除</w:t>
      </w:r>
      <w:r>
        <w:rPr>
          <w:rFonts w:hint="eastAsia" w:ascii="仿宋_GB2312" w:hAnsi="仿宋_GB2312" w:eastAsia="仿宋_GB2312" w:cs="仿宋_GB2312"/>
          <w:snapToGrid w:val="0"/>
          <w:color w:val="auto"/>
          <w:spacing w:val="0"/>
          <w:kern w:val="0"/>
          <w:sz w:val="32"/>
          <w:szCs w:val="32"/>
          <w:highlight w:val="none"/>
          <w:lang w:val="en-US" w:eastAsia="zh-CN"/>
        </w:rPr>
        <w:t>本</w:t>
      </w:r>
      <w:r>
        <w:rPr>
          <w:rFonts w:hint="eastAsia" w:ascii="仿宋_GB2312" w:hAnsi="仿宋_GB2312" w:eastAsia="仿宋_GB2312" w:cs="仿宋_GB2312"/>
          <w:snapToGrid w:val="0"/>
          <w:color w:val="auto"/>
          <w:spacing w:val="0"/>
          <w:kern w:val="0"/>
          <w:sz w:val="32"/>
          <w:szCs w:val="32"/>
          <w:highlight w:val="none"/>
          <w:lang w:eastAsia="en-US"/>
        </w:rPr>
        <w:t>协议且甲方同意的；</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（四）</w:t>
      </w:r>
      <w:r>
        <w:rPr>
          <w:rFonts w:hint="eastAsia" w:ascii="仿宋_GB2312" w:hAnsi="仿宋_GB2312" w:eastAsia="仿宋_GB2312" w:cs="仿宋_GB2312"/>
          <w:snapToGrid w:val="0"/>
          <w:color w:val="auto"/>
          <w:spacing w:val="0"/>
          <w:kern w:val="0"/>
          <w:sz w:val="32"/>
          <w:szCs w:val="32"/>
          <w:highlight w:val="none"/>
          <w:lang w:eastAsia="en-US"/>
        </w:rPr>
        <w:t>超过本协议有效期，甲乙双方就</w:t>
      </w:r>
      <w:r>
        <w:rPr>
          <w:rFonts w:hint="eastAsia" w:ascii="仿宋_GB2312" w:hAnsi="仿宋_GB2312" w:eastAsia="仿宋_GB2312" w:cs="仿宋_GB2312"/>
          <w:snapToGrid w:val="0"/>
          <w:color w:val="auto"/>
          <w:spacing w:val="0"/>
          <w:kern w:val="0"/>
          <w:sz w:val="32"/>
          <w:szCs w:val="32"/>
          <w:highlight w:val="none"/>
          <w:lang w:val="en-US" w:eastAsia="zh-CN"/>
        </w:rPr>
        <w:t>重新签订</w:t>
      </w:r>
      <w:r>
        <w:rPr>
          <w:rFonts w:hint="eastAsia" w:ascii="仿宋_GB2312" w:hAnsi="仿宋_GB2312" w:eastAsia="仿宋_GB2312" w:cs="仿宋_GB2312"/>
          <w:snapToGrid w:val="0"/>
          <w:color w:val="auto"/>
          <w:spacing w:val="0"/>
          <w:kern w:val="0"/>
          <w:sz w:val="32"/>
          <w:szCs w:val="32"/>
          <w:highlight w:val="none"/>
          <w:lang w:eastAsia="en-US"/>
        </w:rPr>
        <w:t>协议未达成一致的，或乙方未按甲方要求</w:t>
      </w:r>
      <w:r>
        <w:rPr>
          <w:rFonts w:hint="eastAsia" w:ascii="仿宋_GB2312" w:hAnsi="仿宋_GB2312" w:eastAsia="仿宋_GB2312" w:cs="仿宋_GB2312"/>
          <w:snapToGrid w:val="0"/>
          <w:color w:val="auto"/>
          <w:spacing w:val="0"/>
          <w:kern w:val="0"/>
          <w:sz w:val="32"/>
          <w:szCs w:val="32"/>
          <w:highlight w:val="none"/>
          <w:lang w:val="en-US" w:eastAsia="zh-CN"/>
        </w:rPr>
        <w:t>重新签订本</w:t>
      </w:r>
      <w:r>
        <w:rPr>
          <w:rFonts w:hint="eastAsia" w:ascii="仿宋_GB2312" w:hAnsi="仿宋_GB2312" w:eastAsia="仿宋_GB2312" w:cs="仿宋_GB2312"/>
          <w:snapToGrid w:val="0"/>
          <w:color w:val="auto"/>
          <w:spacing w:val="0"/>
          <w:kern w:val="0"/>
          <w:sz w:val="32"/>
          <w:szCs w:val="32"/>
          <w:highlight w:val="none"/>
          <w:lang w:eastAsia="en-US"/>
        </w:rPr>
        <w:t>协议的，</w:t>
      </w:r>
      <w:r>
        <w:rPr>
          <w:rFonts w:hint="eastAsia" w:ascii="仿宋_GB2312" w:hAnsi="仿宋_GB2312" w:eastAsia="仿宋_GB2312" w:cs="仿宋_GB2312"/>
          <w:snapToGrid w:val="0"/>
          <w:color w:val="auto"/>
          <w:spacing w:val="0"/>
          <w:kern w:val="0"/>
          <w:sz w:val="32"/>
          <w:szCs w:val="32"/>
          <w:highlight w:val="none"/>
          <w:lang w:eastAsia="zh-CN"/>
        </w:rPr>
        <w:t>本</w:t>
      </w:r>
      <w:r>
        <w:rPr>
          <w:rFonts w:hint="eastAsia" w:ascii="仿宋_GB2312" w:hAnsi="仿宋_GB2312" w:eastAsia="仿宋_GB2312" w:cs="仿宋_GB2312"/>
          <w:snapToGrid w:val="0"/>
          <w:color w:val="auto"/>
          <w:spacing w:val="0"/>
          <w:kern w:val="0"/>
          <w:sz w:val="32"/>
          <w:szCs w:val="32"/>
          <w:highlight w:val="none"/>
          <w:lang w:eastAsia="en-US"/>
        </w:rPr>
        <w:t>协议到期后自动终止；</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（五）</w:t>
      </w:r>
      <w:r>
        <w:rPr>
          <w:rFonts w:hint="eastAsia" w:ascii="仿宋_GB2312" w:hAnsi="仿宋_GB2312" w:eastAsia="仿宋_GB2312" w:cs="仿宋_GB2312"/>
          <w:snapToGrid w:val="0"/>
          <w:color w:val="auto"/>
          <w:spacing w:val="0"/>
          <w:kern w:val="0"/>
          <w:sz w:val="32"/>
          <w:szCs w:val="32"/>
          <w:highlight w:val="none"/>
          <w:lang w:eastAsia="en-US"/>
        </w:rPr>
        <w:t>因不可抗力致使医保协议不能履行的；</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zh-CN"/>
        </w:rPr>
        <w:t>（六）</w:t>
      </w:r>
      <w:r>
        <w:rPr>
          <w:rFonts w:hint="eastAsia" w:ascii="仿宋_GB2312" w:hAnsi="仿宋_GB2312" w:eastAsia="仿宋_GB2312" w:cs="仿宋_GB2312"/>
          <w:snapToGrid w:val="0"/>
          <w:color w:val="auto"/>
          <w:spacing w:val="0"/>
          <w:kern w:val="0"/>
          <w:sz w:val="32"/>
          <w:szCs w:val="32"/>
          <w:highlight w:val="none"/>
          <w:lang w:eastAsia="en-US"/>
        </w:rPr>
        <w:t>法律法规和规章规定的其他情形。</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九十九</w:t>
      </w:r>
      <w:r>
        <w:rPr>
          <w:rFonts w:hint="eastAsia" w:ascii="黑体" w:hAnsi="黑体" w:eastAsia="黑体" w:cs="黑体"/>
          <w:snapToGrid w:val="0"/>
          <w:color w:val="auto"/>
          <w:spacing w:val="0"/>
          <w:kern w:val="0"/>
          <w:sz w:val="32"/>
          <w:szCs w:val="32"/>
          <w:highlight w:val="none"/>
          <w:lang w:eastAsia="zh-CN"/>
        </w:rPr>
        <w:t>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争议处理</w:t>
      </w:r>
      <w:r>
        <w:rPr>
          <w:rFonts w:hint="eastAsia" w:ascii="黑体" w:hAnsi="黑体" w:eastAsia="黑体" w:cs="黑体"/>
          <w:b w:val="0"/>
          <w:snapToGrid w:val="0"/>
          <w:color w:val="auto"/>
          <w:spacing w:val="0"/>
          <w:kern w:val="0"/>
          <w:sz w:val="32"/>
          <w:szCs w:val="32"/>
          <w:highlight w:val="none"/>
          <w:lang w:eastAsia="zh-CN"/>
        </w:rPr>
        <w:t>】</w:t>
      </w:r>
      <w:r>
        <w:rPr>
          <w:rFonts w:ascii="黑体" w:hAnsi="黑体" w:eastAsia="黑体" w:cs="黑体"/>
          <w:snapToGrid w:val="0"/>
          <w:color w:val="auto"/>
          <w:kern w:val="0"/>
          <w:sz w:val="32"/>
          <w:szCs w:val="32"/>
          <w:highlight w:val="none"/>
          <w:lang w:eastAsia="en-US"/>
        </w:rPr>
        <w:t xml:space="preserve"> </w:t>
      </w:r>
      <w:r>
        <w:rPr>
          <w:rFonts w:hint="eastAsia" w:ascii="仿宋_GB2312" w:hAnsi="仿宋_GB2312" w:eastAsia="仿宋_GB2312" w:cs="仿宋_GB2312"/>
          <w:snapToGrid w:val="0"/>
          <w:color w:val="auto"/>
          <w:kern w:val="0"/>
          <w:sz w:val="32"/>
          <w:szCs w:val="32"/>
          <w:highlight w:val="none"/>
          <w:lang w:eastAsia="en-US"/>
        </w:rPr>
        <w:t>甲乙双方均应履行</w:t>
      </w:r>
      <w:r>
        <w:rPr>
          <w:rFonts w:hint="eastAsia" w:ascii="仿宋_GB2312" w:hAnsi="仿宋_GB2312" w:eastAsia="仿宋_GB2312" w:cs="仿宋_GB2312"/>
          <w:snapToGrid w:val="0"/>
          <w:color w:val="auto"/>
          <w:kern w:val="0"/>
          <w:sz w:val="32"/>
          <w:szCs w:val="32"/>
          <w:highlight w:val="none"/>
          <w:lang w:val="en-US" w:eastAsia="zh-CN"/>
        </w:rPr>
        <w:t>本</w:t>
      </w:r>
      <w:r>
        <w:rPr>
          <w:rFonts w:hint="eastAsia" w:ascii="仿宋_GB2312" w:hAnsi="仿宋_GB2312" w:eastAsia="仿宋_GB2312" w:cs="仿宋_GB2312"/>
          <w:snapToGrid w:val="0"/>
          <w:color w:val="auto"/>
          <w:kern w:val="0"/>
          <w:sz w:val="32"/>
          <w:szCs w:val="32"/>
          <w:highlight w:val="none"/>
          <w:lang w:eastAsia="en-US"/>
        </w:rPr>
        <w:t>协议约定，监督对方执行</w:t>
      </w:r>
      <w:r>
        <w:rPr>
          <w:rFonts w:hint="eastAsia" w:ascii="仿宋_GB2312" w:hAnsi="仿宋_GB2312" w:eastAsia="仿宋_GB2312" w:cs="仿宋_GB2312"/>
          <w:snapToGrid w:val="0"/>
          <w:color w:val="auto"/>
          <w:spacing w:val="0"/>
          <w:kern w:val="0"/>
          <w:sz w:val="32"/>
          <w:szCs w:val="32"/>
          <w:highlight w:val="none"/>
          <w:lang w:eastAsia="en-US"/>
        </w:rPr>
        <w:t>有关法律法规规章及协议履行情况。甲乙双方就</w:t>
      </w:r>
      <w:r>
        <w:rPr>
          <w:rFonts w:hint="eastAsia" w:ascii="仿宋_GB2312" w:hAnsi="仿宋_GB2312" w:eastAsia="仿宋_GB2312" w:cs="仿宋_GB2312"/>
          <w:snapToGrid w:val="0"/>
          <w:color w:val="auto"/>
          <w:spacing w:val="0"/>
          <w:kern w:val="0"/>
          <w:sz w:val="32"/>
          <w:szCs w:val="32"/>
          <w:highlight w:val="none"/>
          <w:lang w:val="en-US" w:eastAsia="zh-CN"/>
        </w:rPr>
        <w:t>本</w:t>
      </w:r>
      <w:r>
        <w:rPr>
          <w:rFonts w:hint="eastAsia" w:ascii="仿宋_GB2312" w:hAnsi="仿宋_GB2312" w:eastAsia="仿宋_GB2312" w:cs="仿宋_GB2312"/>
          <w:snapToGrid w:val="0"/>
          <w:color w:val="auto"/>
          <w:spacing w:val="0"/>
          <w:kern w:val="0"/>
          <w:sz w:val="32"/>
          <w:szCs w:val="32"/>
          <w:highlight w:val="none"/>
          <w:lang w:eastAsia="en-US"/>
        </w:rPr>
        <w:t>协议签订、履行、变更和解除发生争议的，可以自行协商解决或者请求同级医疗保障</w:t>
      </w:r>
      <w:r>
        <w:rPr>
          <w:rFonts w:hint="eastAsia" w:ascii="仿宋_GB2312" w:hAnsi="仿宋_GB2312" w:eastAsia="仿宋_GB2312" w:cs="仿宋_GB2312"/>
          <w:snapToGrid w:val="0"/>
          <w:color w:val="auto"/>
          <w:spacing w:val="0"/>
          <w:kern w:val="0"/>
          <w:sz w:val="32"/>
          <w:szCs w:val="32"/>
          <w:highlight w:val="none"/>
          <w:lang w:eastAsia="zh-CN"/>
        </w:rPr>
        <w:t>及工伤保险</w:t>
      </w:r>
      <w:r>
        <w:rPr>
          <w:rFonts w:hint="eastAsia" w:ascii="仿宋_GB2312" w:hAnsi="仿宋_GB2312" w:eastAsia="仿宋_GB2312" w:cs="仿宋_GB2312"/>
          <w:snapToGrid w:val="0"/>
          <w:color w:val="auto"/>
          <w:spacing w:val="0"/>
          <w:kern w:val="0"/>
          <w:sz w:val="32"/>
          <w:szCs w:val="32"/>
          <w:highlight w:val="none"/>
          <w:lang w:eastAsia="en-US"/>
        </w:rPr>
        <w:t>行政部门协调处理，也可以依法提起行政复议或行政诉讼。</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en-US"/>
        </w:rPr>
      </w:pPr>
      <w:r>
        <w:rPr>
          <w:rFonts w:hint="eastAsia"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一百</w:t>
      </w:r>
      <w:r>
        <w:rPr>
          <w:rFonts w:hint="eastAsia" w:ascii="黑体" w:hAnsi="黑体" w:eastAsia="黑体" w:cs="黑体"/>
          <w:b w:val="0"/>
          <w:bCs w:val="0"/>
          <w:snapToGrid w:val="0"/>
          <w:color w:val="auto"/>
          <w:spacing w:val="0"/>
          <w:kern w:val="0"/>
          <w:sz w:val="32"/>
          <w:szCs w:val="32"/>
          <w:highlight w:val="none"/>
          <w:lang w:eastAsia="zh-CN"/>
        </w:rPr>
        <w:t>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善后工作</w:t>
      </w:r>
      <w:r>
        <w:rPr>
          <w:rFonts w:hint="eastAsia" w:ascii="黑体" w:hAnsi="黑体" w:eastAsia="黑体" w:cs="黑体"/>
          <w:b w:val="0"/>
          <w:snapToGrid w:val="0"/>
          <w:color w:val="auto"/>
          <w:spacing w:val="0"/>
          <w:kern w:val="0"/>
          <w:sz w:val="32"/>
          <w:szCs w:val="32"/>
          <w:highlight w:val="none"/>
          <w:lang w:eastAsia="zh-CN"/>
        </w:rPr>
        <w:t>】</w:t>
      </w:r>
      <w:r>
        <w:rPr>
          <w:rFonts w:ascii="黑体" w:hAnsi="黑体" w:eastAsia="黑体" w:cs="黑体"/>
          <w:snapToGrid w:val="0"/>
          <w:color w:val="auto"/>
          <w:spacing w:val="0"/>
          <w:kern w:val="0"/>
          <w:sz w:val="32"/>
          <w:szCs w:val="32"/>
          <w:highlight w:val="none"/>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甲乙双方中止、终止或解除</w:t>
      </w:r>
      <w:r>
        <w:rPr>
          <w:rFonts w:hint="eastAsia" w:ascii="仿宋_GB2312" w:hAnsi="仿宋_GB2312" w:eastAsia="仿宋_GB2312" w:cs="仿宋_GB2312"/>
          <w:snapToGrid w:val="0"/>
          <w:color w:val="auto"/>
          <w:spacing w:val="0"/>
          <w:kern w:val="0"/>
          <w:sz w:val="32"/>
          <w:szCs w:val="32"/>
          <w:highlight w:val="none"/>
          <w:lang w:val="en-US" w:eastAsia="en-US"/>
        </w:rPr>
        <w:t>本</w:t>
      </w:r>
      <w:r>
        <w:rPr>
          <w:rFonts w:hint="eastAsia" w:ascii="仿宋_GB2312" w:hAnsi="仿宋_GB2312" w:eastAsia="仿宋_GB2312" w:cs="仿宋_GB2312"/>
          <w:snapToGrid w:val="0"/>
          <w:color w:val="auto"/>
          <w:spacing w:val="0"/>
          <w:kern w:val="0"/>
          <w:sz w:val="32"/>
          <w:szCs w:val="32"/>
          <w:highlight w:val="none"/>
          <w:lang w:eastAsia="en-US"/>
        </w:rPr>
        <w:t>协议的，双方应对在院、出院未结算等参保人员共同做好善后工作。乙方终止或解除</w:t>
      </w:r>
      <w:r>
        <w:rPr>
          <w:rFonts w:hint="eastAsia" w:ascii="仿宋_GB2312" w:hAnsi="仿宋_GB2312" w:eastAsia="仿宋_GB2312" w:cs="仿宋_GB2312"/>
          <w:snapToGrid w:val="0"/>
          <w:color w:val="auto"/>
          <w:spacing w:val="0"/>
          <w:kern w:val="0"/>
          <w:sz w:val="32"/>
          <w:szCs w:val="32"/>
          <w:highlight w:val="none"/>
          <w:lang w:val="en-US" w:eastAsia="en-US"/>
        </w:rPr>
        <w:t>本</w:t>
      </w:r>
      <w:r>
        <w:rPr>
          <w:rFonts w:hint="eastAsia" w:ascii="仿宋_GB2312" w:hAnsi="仿宋_GB2312" w:eastAsia="仿宋_GB2312" w:cs="仿宋_GB2312"/>
          <w:snapToGrid w:val="0"/>
          <w:color w:val="auto"/>
          <w:spacing w:val="0"/>
          <w:kern w:val="0"/>
          <w:sz w:val="32"/>
          <w:szCs w:val="32"/>
          <w:highlight w:val="none"/>
          <w:lang w:eastAsia="en-US"/>
        </w:rPr>
        <w:t>协议后，不得再悬挂定点医疗机构及工伤保险协议医疗机构标识，并由甲方负责及时收回定点医疗机构及工伤保险协议医疗机构标识。乙方因存在违法违规或违约行为的，以及解除协议后通过变更名称、地点、法人等信息后重新取得《医疗机构执业许可证》或者《事业单位法人证书》《民办非企业单位登记证书》《营业执照》的，甲方</w:t>
      </w:r>
      <w:r>
        <w:rPr>
          <w:rFonts w:hint="eastAsia" w:ascii="仿宋_GB2312" w:hAnsi="仿宋_GB2312" w:eastAsia="仿宋_GB2312" w:cs="仿宋_GB2312"/>
          <w:snapToGrid w:val="0"/>
          <w:color w:val="auto"/>
          <w:spacing w:val="0"/>
          <w:kern w:val="0"/>
          <w:sz w:val="32"/>
          <w:szCs w:val="32"/>
          <w:highlight w:val="none"/>
          <w:lang w:val="en-US" w:eastAsia="en-US"/>
        </w:rPr>
        <w:t>3年内不受理其医疗保险定点申请，情节特别严重的，永久不受理其医保定点申请。</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en-US"/>
        </w:rPr>
      </w:pPr>
      <w:r>
        <w:rPr>
          <w:rFonts w:hint="eastAsia" w:ascii="仿宋_GB2312" w:hAnsi="仿宋_GB2312" w:eastAsia="仿宋_GB2312" w:cs="仿宋_GB2312"/>
          <w:snapToGrid w:val="0"/>
          <w:color w:val="auto"/>
          <w:spacing w:val="0"/>
          <w:kern w:val="0"/>
          <w:sz w:val="32"/>
          <w:szCs w:val="32"/>
          <w:highlight w:val="none"/>
          <w:lang w:val="en-US" w:eastAsia="en-US"/>
        </w:rPr>
        <w:t>新纳入定点的乙方，在6个月辅导期内违反协议约定或违反医保</w:t>
      </w:r>
      <w:r>
        <w:rPr>
          <w:rFonts w:hint="eastAsia" w:ascii="仿宋_GB2312" w:hAnsi="仿宋_GB2312" w:eastAsia="仿宋_GB2312" w:cs="仿宋_GB2312"/>
          <w:snapToGrid w:val="0"/>
          <w:color w:val="auto"/>
          <w:spacing w:val="0"/>
          <w:kern w:val="0"/>
          <w:sz w:val="32"/>
          <w:szCs w:val="32"/>
          <w:highlight w:val="none"/>
          <w:lang w:eastAsia="en-US"/>
        </w:rPr>
        <w:t>、工伤保险</w:t>
      </w:r>
      <w:r>
        <w:rPr>
          <w:rFonts w:hint="eastAsia" w:ascii="仿宋_GB2312" w:hAnsi="仿宋_GB2312" w:eastAsia="仿宋_GB2312" w:cs="仿宋_GB2312"/>
          <w:snapToGrid w:val="0"/>
          <w:color w:val="auto"/>
          <w:spacing w:val="0"/>
          <w:kern w:val="0"/>
          <w:sz w:val="32"/>
          <w:szCs w:val="32"/>
          <w:highlight w:val="none"/>
          <w:lang w:val="en-US" w:eastAsia="en-US"/>
        </w:rPr>
        <w:t>政策规定的，甲方应及时辅导、纠正，并加大政策辅导频次；违约情节较轻的，政策辅导期延长6个月；违约情节严重或问题整改不到位的，解除定点协议且1年内不得再次申请。</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left"/>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一百零一</w:t>
      </w:r>
      <w:r>
        <w:rPr>
          <w:rFonts w:hint="eastAsia" w:ascii="黑体" w:hAnsi="黑体" w:eastAsia="黑体" w:cs="黑体"/>
          <w:b w:val="0"/>
          <w:bCs w:val="0"/>
          <w:snapToGrid w:val="0"/>
          <w:color w:val="auto"/>
          <w:spacing w:val="0"/>
          <w:kern w:val="0"/>
          <w:sz w:val="32"/>
          <w:szCs w:val="32"/>
          <w:highlight w:val="none"/>
          <w:lang w:eastAsia="zh-CN"/>
        </w:rPr>
        <w:t>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送达方式</w:t>
      </w:r>
      <w:r>
        <w:rPr>
          <w:rFonts w:hint="eastAsia" w:ascii="黑体" w:hAnsi="黑体" w:eastAsia="黑体" w:cs="黑体"/>
          <w:b w:val="0"/>
          <w:snapToGrid w:val="0"/>
          <w:color w:val="auto"/>
          <w:spacing w:val="0"/>
          <w:kern w:val="0"/>
          <w:sz w:val="32"/>
          <w:szCs w:val="32"/>
          <w:highlight w:val="none"/>
          <w:lang w:eastAsia="zh-CN"/>
        </w:rPr>
        <w:t>】</w:t>
      </w:r>
      <w:r>
        <w:rPr>
          <w:rFonts w:ascii="黑体" w:hAnsi="黑体" w:eastAsia="黑体" w:cs="黑体"/>
          <w:snapToGrid w:val="0"/>
          <w:color w:val="auto"/>
          <w:spacing w:val="0"/>
          <w:kern w:val="0"/>
          <w:sz w:val="32"/>
          <w:szCs w:val="32"/>
          <w:highlight w:val="none"/>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甲乙双方一致确认本协议中记载的双方通讯地址和联系方式为双方履行协议、解决协议争议时接收对方文件信函的地址和联系方式。</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一百零二</w:t>
      </w:r>
      <w:r>
        <w:rPr>
          <w:rFonts w:hint="eastAsia" w:ascii="黑体" w:hAnsi="黑体" w:eastAsia="黑体" w:cs="黑体"/>
          <w:b w:val="0"/>
          <w:bCs w:val="0"/>
          <w:snapToGrid w:val="0"/>
          <w:color w:val="auto"/>
          <w:spacing w:val="0"/>
          <w:kern w:val="0"/>
          <w:sz w:val="32"/>
          <w:szCs w:val="32"/>
          <w:highlight w:val="none"/>
          <w:lang w:eastAsia="zh-CN"/>
        </w:rPr>
        <w:t>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可选条款</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bCs/>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第二十六条、第二十七条、第二十八条为本协议可选条款，依托乙方设立的互联网医院，且与甲方建立协议关系的，第二十六条、第二十七条、第二十八条生效，且应在第二十</w:t>
      </w:r>
      <w:r>
        <w:rPr>
          <w:rFonts w:hint="eastAsia" w:ascii="仿宋_GB2312" w:hAnsi="仿宋_GB2312" w:eastAsia="仿宋_GB2312" w:cs="仿宋_GB2312"/>
          <w:snapToGrid w:val="0"/>
          <w:color w:val="auto"/>
          <w:spacing w:val="0"/>
          <w:kern w:val="0"/>
          <w:sz w:val="32"/>
          <w:szCs w:val="32"/>
          <w:highlight w:val="none"/>
          <w:lang w:val="en-US" w:eastAsia="en-US"/>
        </w:rPr>
        <w:t>六</w:t>
      </w:r>
      <w:r>
        <w:rPr>
          <w:rFonts w:hint="eastAsia" w:ascii="仿宋_GB2312" w:hAnsi="仿宋_GB2312" w:eastAsia="仿宋_GB2312" w:cs="仿宋_GB2312"/>
          <w:snapToGrid w:val="0"/>
          <w:color w:val="auto"/>
          <w:spacing w:val="0"/>
          <w:kern w:val="0"/>
          <w:sz w:val="32"/>
          <w:szCs w:val="32"/>
          <w:highlight w:val="none"/>
          <w:lang w:eastAsia="en-US"/>
        </w:rPr>
        <w:t>条明确互联网医院名称。</w:t>
      </w:r>
    </w:p>
    <w:p>
      <w:pPr>
        <w:keepNext w:val="0"/>
        <w:keepLines w:val="0"/>
        <w:pageBreakBefore w:val="0"/>
        <w:widowControl w:val="0"/>
        <w:kinsoku/>
        <w:wordWrap/>
        <w:overflowPunct/>
        <w:topLinePunct w:val="0"/>
        <w:autoSpaceDE/>
        <w:autoSpaceDN/>
        <w:bidi w:val="0"/>
        <w:adjustRightInd w:val="0"/>
        <w:snapToGrid w:val="0"/>
        <w:spacing w:line="550" w:lineRule="exact"/>
        <w:ind w:left="0" w:right="0" w:firstLine="640" w:firstLineChars="200"/>
        <w:jc w:val="left"/>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一百零三</w:t>
      </w:r>
      <w:r>
        <w:rPr>
          <w:rFonts w:hint="eastAsia" w:ascii="黑体" w:hAnsi="黑体" w:eastAsia="黑体" w:cs="黑体"/>
          <w:b w:val="0"/>
          <w:bCs w:val="0"/>
          <w:snapToGrid w:val="0"/>
          <w:color w:val="auto"/>
          <w:spacing w:val="0"/>
          <w:kern w:val="0"/>
          <w:sz w:val="32"/>
          <w:szCs w:val="32"/>
          <w:highlight w:val="none"/>
          <w:lang w:eastAsia="zh-CN"/>
        </w:rPr>
        <w:t>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名词解释</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bCs w:val="0"/>
          <w:snapToGrid w:val="0"/>
          <w:color w:val="auto"/>
          <w:spacing w:val="0"/>
          <w:kern w:val="0"/>
          <w:sz w:val="32"/>
          <w:szCs w:val="32"/>
          <w:highlight w:val="none"/>
          <w:lang w:val="en-US" w:eastAsia="zh-CN"/>
        </w:rPr>
        <w:t xml:space="preserve"> </w:t>
      </w:r>
      <w:r>
        <w:rPr>
          <w:rFonts w:hint="eastAsia" w:ascii="仿宋_GB2312" w:hAnsi="仿宋_GB2312" w:eastAsia="仿宋_GB2312" w:cs="仿宋_GB2312"/>
          <w:snapToGrid w:val="0"/>
          <w:color w:val="auto"/>
          <w:spacing w:val="0"/>
          <w:kern w:val="0"/>
          <w:sz w:val="32"/>
          <w:szCs w:val="32"/>
          <w:highlight w:val="none"/>
          <w:lang w:eastAsia="en-US"/>
        </w:rPr>
        <w:t>本协议相关名词解释参照《医疗保障基金使用监督管理条例》释义。</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Fonts w:hint="eastAsia" w:ascii="仿宋_GB2312" w:hAnsi="仿宋_GB2312" w:eastAsia="仿宋_GB2312" w:cs="仿宋_GB2312"/>
          <w:bCs w:val="0"/>
          <w:snapToGrid w:val="0"/>
          <w:color w:val="auto"/>
          <w:spacing w:val="0"/>
          <w:kern w:val="0"/>
          <w:sz w:val="32"/>
          <w:szCs w:val="32"/>
          <w:highlight w:val="none"/>
          <w:lang w:val="en-US" w:eastAsia="en-US"/>
        </w:rPr>
      </w:pPr>
      <w:r>
        <w:rPr>
          <w:rFonts w:hint="eastAsia" w:ascii="黑体" w:hAnsi="黑体" w:eastAsia="黑体" w:cs="黑体"/>
          <w:b w:val="0"/>
          <w:bCs w:val="0"/>
          <w:snapToGrid w:val="0"/>
          <w:color w:val="auto"/>
          <w:spacing w:val="0"/>
          <w:kern w:val="0"/>
          <w:sz w:val="32"/>
          <w:szCs w:val="32"/>
          <w:highlight w:val="none"/>
          <w:lang w:val="en-US" w:eastAsia="zh-CN"/>
        </w:rPr>
        <w:t>第一百零四条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效力通认</w:t>
      </w:r>
      <w:r>
        <w:rPr>
          <w:rFonts w:hint="eastAsia" w:ascii="黑体" w:hAnsi="黑体" w:eastAsia="黑体" w:cs="黑体"/>
          <w:b w:val="0"/>
          <w:snapToGrid w:val="0"/>
          <w:color w:val="auto"/>
          <w:spacing w:val="0"/>
          <w:kern w:val="0"/>
          <w:sz w:val="32"/>
          <w:szCs w:val="32"/>
          <w:highlight w:val="none"/>
          <w:lang w:eastAsia="zh-CN"/>
        </w:rPr>
        <w:t>】</w:t>
      </w:r>
      <w:r>
        <w:rPr>
          <w:rFonts w:hint="default" w:ascii="仿宋" w:hAnsi="仿宋" w:eastAsia="仿宋" w:cs="仿宋"/>
          <w:snapToGrid w:val="0"/>
          <w:color w:val="auto"/>
          <w:spacing w:val="0"/>
          <w:kern w:val="0"/>
          <w:sz w:val="32"/>
          <w:szCs w:val="32"/>
          <w:highlight w:val="none"/>
          <w:lang w:val="en-US" w:eastAsia="zh-CN"/>
        </w:rPr>
        <w:t xml:space="preserve"> </w:t>
      </w:r>
      <w:r>
        <w:rPr>
          <w:rFonts w:hint="eastAsia" w:ascii="仿宋_GB2312" w:hAnsi="仿宋_GB2312" w:eastAsia="仿宋_GB2312" w:cs="仿宋_GB2312"/>
          <w:b w:val="0"/>
          <w:bCs w:val="0"/>
          <w:snapToGrid w:val="0"/>
          <w:color w:val="auto"/>
          <w:spacing w:val="0"/>
          <w:kern w:val="0"/>
          <w:sz w:val="32"/>
          <w:szCs w:val="32"/>
          <w:highlight w:val="none"/>
          <w:lang w:val="en-US" w:eastAsia="en-US"/>
        </w:rPr>
        <w:t>本协议效力在全省经办机构中实行通认。</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en-US"/>
        </w:rPr>
      </w:pPr>
      <w:r>
        <w:rPr>
          <w:rFonts w:hint="eastAsia" w:ascii="黑体" w:hAnsi="黑体" w:eastAsia="黑体" w:cs="黑体"/>
          <w:b w:val="0"/>
          <w:bCs w:val="0"/>
          <w:snapToGrid w:val="0"/>
          <w:color w:val="auto"/>
          <w:spacing w:val="0"/>
          <w:kern w:val="0"/>
          <w:sz w:val="32"/>
          <w:szCs w:val="32"/>
          <w:highlight w:val="none"/>
          <w:lang w:eastAsia="zh-CN"/>
        </w:rPr>
        <w:t>第</w:t>
      </w:r>
      <w:r>
        <w:rPr>
          <w:rFonts w:hint="eastAsia" w:ascii="黑体" w:hAnsi="黑体" w:eastAsia="黑体" w:cs="黑体"/>
          <w:b w:val="0"/>
          <w:bCs w:val="0"/>
          <w:snapToGrid w:val="0"/>
          <w:color w:val="auto"/>
          <w:spacing w:val="0"/>
          <w:kern w:val="0"/>
          <w:sz w:val="32"/>
          <w:szCs w:val="32"/>
          <w:highlight w:val="none"/>
          <w:lang w:val="en-US" w:eastAsia="zh-CN"/>
        </w:rPr>
        <w:t>一百零五</w:t>
      </w:r>
      <w:r>
        <w:rPr>
          <w:rFonts w:hint="eastAsia" w:ascii="黑体" w:hAnsi="黑体" w:eastAsia="黑体" w:cs="黑体"/>
          <w:b w:val="0"/>
          <w:bCs w:val="0"/>
          <w:snapToGrid w:val="0"/>
          <w:color w:val="auto"/>
          <w:spacing w:val="0"/>
          <w:kern w:val="0"/>
          <w:sz w:val="32"/>
          <w:szCs w:val="32"/>
          <w:highlight w:val="none"/>
          <w:lang w:eastAsia="zh-CN"/>
        </w:rPr>
        <w:t>条</w:t>
      </w:r>
      <w:r>
        <w:rPr>
          <w:rFonts w:hint="eastAsia" w:ascii="黑体" w:hAnsi="黑体" w:eastAsia="黑体" w:cs="黑体"/>
          <w:b w:val="0"/>
          <w:snapToGrid w:val="0"/>
          <w:color w:val="auto"/>
          <w:spacing w:val="0"/>
          <w:kern w:val="0"/>
          <w:sz w:val="32"/>
          <w:szCs w:val="32"/>
          <w:highlight w:val="none"/>
          <w:lang w:eastAsia="zh-CN"/>
        </w:rPr>
        <w:t>【</w:t>
      </w:r>
      <w:r>
        <w:rPr>
          <w:rFonts w:hint="eastAsia" w:ascii="黑体" w:hAnsi="黑体" w:eastAsia="黑体" w:cs="黑体"/>
          <w:b w:val="0"/>
          <w:snapToGrid w:val="0"/>
          <w:color w:val="auto"/>
          <w:spacing w:val="0"/>
          <w:kern w:val="0"/>
          <w:sz w:val="32"/>
          <w:szCs w:val="32"/>
          <w:highlight w:val="none"/>
          <w:lang w:val="en-US" w:eastAsia="zh-CN"/>
        </w:rPr>
        <w:t>协议有效期</w:t>
      </w:r>
      <w:r>
        <w:rPr>
          <w:rFonts w:hint="eastAsia" w:ascii="黑体" w:hAnsi="黑体" w:eastAsia="黑体" w:cs="黑体"/>
          <w:b w:val="0"/>
          <w:snapToGrid w:val="0"/>
          <w:color w:val="auto"/>
          <w:spacing w:val="0"/>
          <w:kern w:val="0"/>
          <w:sz w:val="32"/>
          <w:szCs w:val="32"/>
          <w:highlight w:val="none"/>
          <w:lang w:eastAsia="zh-CN"/>
        </w:rPr>
        <w:t>】</w:t>
      </w:r>
      <w:r>
        <w:rPr>
          <w:rFonts w:ascii="黑体" w:hAnsi="黑体" w:eastAsia="黑体" w:cs="黑体"/>
          <w:b/>
          <w:bCs/>
          <w:snapToGrid w:val="0"/>
          <w:color w:val="auto"/>
          <w:spacing w:val="0"/>
          <w:kern w:val="0"/>
          <w:sz w:val="32"/>
          <w:szCs w:val="32"/>
          <w:highlight w:val="none"/>
          <w:lang w:eastAsia="en-US"/>
        </w:rPr>
        <w:t xml:space="preserve"> </w:t>
      </w:r>
      <w:r>
        <w:rPr>
          <w:rFonts w:hint="eastAsia" w:ascii="仿宋_GB2312" w:hAnsi="仿宋_GB2312" w:eastAsia="仿宋_GB2312" w:cs="仿宋_GB2312"/>
          <w:snapToGrid w:val="0"/>
          <w:color w:val="auto"/>
          <w:spacing w:val="0"/>
          <w:kern w:val="0"/>
          <w:sz w:val="32"/>
          <w:szCs w:val="32"/>
          <w:highlight w:val="none"/>
          <w:lang w:eastAsia="en-US"/>
        </w:rPr>
        <w:t>本协议有效期自   年    月   日起   年    月   日止。协议期满后，因甲方原因未</w:t>
      </w:r>
      <w:r>
        <w:rPr>
          <w:rFonts w:hint="eastAsia" w:ascii="仿宋_GB2312" w:hAnsi="仿宋_GB2312" w:eastAsia="仿宋_GB2312" w:cs="仿宋_GB2312"/>
          <w:snapToGrid w:val="0"/>
          <w:color w:val="auto"/>
          <w:spacing w:val="0"/>
          <w:kern w:val="0"/>
          <w:sz w:val="32"/>
          <w:szCs w:val="32"/>
          <w:highlight w:val="none"/>
          <w:lang w:val="en-US" w:eastAsia="en-US"/>
        </w:rPr>
        <w:t>重新签订</w:t>
      </w:r>
      <w:r>
        <w:rPr>
          <w:rFonts w:hint="eastAsia" w:ascii="仿宋_GB2312" w:hAnsi="仿宋_GB2312" w:eastAsia="仿宋_GB2312" w:cs="仿宋_GB2312"/>
          <w:snapToGrid w:val="0"/>
          <w:color w:val="auto"/>
          <w:spacing w:val="0"/>
          <w:kern w:val="0"/>
          <w:sz w:val="32"/>
          <w:szCs w:val="32"/>
          <w:highlight w:val="none"/>
          <w:lang w:eastAsia="en-US"/>
        </w:rPr>
        <w:t>协议前，原协议继续生效。</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en-US" w:bidi="ar-SA"/>
        </w:rPr>
      </w:pPr>
      <w:r>
        <w:rPr>
          <w:rFonts w:hint="eastAsia" w:ascii="黑体" w:hAnsi="黑体" w:eastAsia="黑体" w:cs="黑体"/>
          <w:b w:val="0"/>
          <w:bCs w:val="0"/>
          <w:snapToGrid w:val="0"/>
          <w:color w:val="auto"/>
          <w:spacing w:val="0"/>
          <w:kern w:val="0"/>
          <w:sz w:val="32"/>
          <w:szCs w:val="32"/>
          <w:highlight w:val="none"/>
          <w:lang w:val="en-US" w:eastAsia="en-US"/>
        </w:rPr>
        <w:t>第一百零六条</w:t>
      </w:r>
      <w:r>
        <w:rPr>
          <w:rFonts w:hint="eastAsia" w:ascii="黑体" w:hAnsi="黑体" w:eastAsia="黑体" w:cs="黑体"/>
          <w:b w:val="0"/>
          <w:snapToGrid w:val="0"/>
          <w:color w:val="auto"/>
          <w:spacing w:val="0"/>
          <w:kern w:val="0"/>
          <w:sz w:val="32"/>
          <w:szCs w:val="32"/>
          <w:highlight w:val="none"/>
          <w:lang w:eastAsia="en-US"/>
        </w:rPr>
        <w:t>【</w:t>
      </w:r>
      <w:r>
        <w:rPr>
          <w:rFonts w:hint="eastAsia" w:ascii="黑体" w:hAnsi="黑体" w:eastAsia="黑体" w:cs="黑体"/>
          <w:b w:val="0"/>
          <w:snapToGrid w:val="0"/>
          <w:color w:val="auto"/>
          <w:spacing w:val="0"/>
          <w:kern w:val="0"/>
          <w:sz w:val="32"/>
          <w:szCs w:val="32"/>
          <w:highlight w:val="none"/>
          <w:lang w:val="en-US" w:eastAsia="en-US"/>
        </w:rPr>
        <w:t>协议份数</w:t>
      </w:r>
      <w:r>
        <w:rPr>
          <w:rFonts w:hint="eastAsia" w:ascii="黑体" w:hAnsi="黑体" w:eastAsia="黑体" w:cs="黑体"/>
          <w:b w:val="0"/>
          <w:snapToGrid w:val="0"/>
          <w:color w:val="auto"/>
          <w:spacing w:val="0"/>
          <w:kern w:val="0"/>
          <w:sz w:val="32"/>
          <w:szCs w:val="32"/>
          <w:highlight w:val="none"/>
          <w:lang w:eastAsia="en-US"/>
        </w:rPr>
        <w:t>】</w:t>
      </w:r>
      <w:r>
        <w:rPr>
          <w:rFonts w:hint="eastAsia" w:ascii="仿宋_GB2312" w:hAnsi="仿宋_GB2312" w:eastAsia="仿宋_GB2312" w:cs="仿宋_GB2312"/>
          <w:snapToGrid w:val="0"/>
          <w:color w:val="auto"/>
          <w:spacing w:val="0"/>
          <w:kern w:val="0"/>
          <w:sz w:val="32"/>
          <w:szCs w:val="32"/>
          <w:highlight w:val="none"/>
          <w:lang w:val="en-US" w:eastAsia="en-US"/>
        </w:rPr>
        <w:t xml:space="preserve"> </w:t>
      </w:r>
      <w:r>
        <w:rPr>
          <w:rFonts w:hint="eastAsia" w:ascii="仿宋_GB2312" w:hAnsi="仿宋_GB2312" w:eastAsia="仿宋_GB2312" w:cs="仿宋_GB2312"/>
          <w:bCs w:val="0"/>
          <w:snapToGrid w:val="0"/>
          <w:color w:val="auto"/>
          <w:spacing w:val="0"/>
          <w:kern w:val="0"/>
          <w:sz w:val="32"/>
          <w:szCs w:val="32"/>
          <w:highlight w:val="none"/>
          <w:lang w:eastAsia="en-US"/>
        </w:rPr>
        <w:t>本协议一式</w:t>
      </w:r>
      <w:r>
        <w:rPr>
          <w:rFonts w:hint="eastAsia" w:ascii="仿宋_GB2312" w:hAnsi="仿宋_GB2312" w:eastAsia="仿宋_GB2312" w:cs="仿宋_GB2312"/>
          <w:bCs w:val="0"/>
          <w:snapToGrid w:val="0"/>
          <w:color w:val="auto"/>
          <w:spacing w:val="0"/>
          <w:kern w:val="0"/>
          <w:sz w:val="32"/>
          <w:szCs w:val="32"/>
          <w:highlight w:val="none"/>
          <w:lang w:val="en-US" w:eastAsia="en-US"/>
        </w:rPr>
        <w:t>贰</w:t>
      </w:r>
      <w:r>
        <w:rPr>
          <w:rFonts w:hint="eastAsia" w:ascii="仿宋_GB2312" w:hAnsi="仿宋_GB2312" w:eastAsia="仿宋_GB2312" w:cs="仿宋_GB2312"/>
          <w:bCs w:val="0"/>
          <w:snapToGrid w:val="0"/>
          <w:color w:val="auto"/>
          <w:spacing w:val="0"/>
          <w:kern w:val="0"/>
          <w:sz w:val="32"/>
          <w:szCs w:val="32"/>
          <w:highlight w:val="none"/>
          <w:lang w:eastAsia="en-US"/>
        </w:rPr>
        <w:t>份，经甲乙双方签字盖章后生效，甲乙双方各执</w:t>
      </w:r>
      <w:r>
        <w:rPr>
          <w:rFonts w:hint="eastAsia" w:ascii="仿宋_GB2312" w:hAnsi="仿宋_GB2312" w:eastAsia="仿宋_GB2312" w:cs="仿宋_GB2312"/>
          <w:bCs w:val="0"/>
          <w:snapToGrid w:val="0"/>
          <w:color w:val="auto"/>
          <w:spacing w:val="0"/>
          <w:kern w:val="0"/>
          <w:sz w:val="32"/>
          <w:szCs w:val="32"/>
          <w:highlight w:val="none"/>
          <w:lang w:val="en-US" w:eastAsia="en-US"/>
        </w:rPr>
        <w:t>壹</w:t>
      </w:r>
      <w:r>
        <w:rPr>
          <w:rFonts w:hint="eastAsia" w:ascii="仿宋_GB2312" w:hAnsi="仿宋_GB2312" w:eastAsia="仿宋_GB2312" w:cs="仿宋_GB2312"/>
          <w:bCs w:val="0"/>
          <w:snapToGrid w:val="0"/>
          <w:color w:val="auto"/>
          <w:spacing w:val="0"/>
          <w:kern w:val="0"/>
          <w:sz w:val="32"/>
          <w:szCs w:val="32"/>
          <w:highlight w:val="none"/>
          <w:lang w:eastAsia="en-US"/>
        </w:rPr>
        <w:t>份，具有同等效力。</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right="0" w:firstLine="0" w:firstLineChars="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right="0" w:firstLine="0" w:firstLineChars="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br w:type="textWrapping"/>
      </w:r>
      <w:r>
        <w:rPr>
          <w:rFonts w:hint="eastAsia" w:ascii="仿宋_GB2312" w:hAnsi="仿宋_GB2312" w:eastAsia="仿宋_GB2312" w:cs="仿宋_GB2312"/>
          <w:snapToGrid w:val="0"/>
          <w:color w:val="auto"/>
          <w:spacing w:val="0"/>
          <w:kern w:val="0"/>
          <w:sz w:val="32"/>
          <w:szCs w:val="32"/>
          <w:highlight w:val="none"/>
          <w:lang w:eastAsia="en-US"/>
        </w:rPr>
        <w:t>甲方(公章):                     乙方(公章):</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法定代表人(签章):            法定代表人(签章):</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eastAsia="en-US"/>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0"/>
          <w:kern w:val="0"/>
          <w:sz w:val="32"/>
          <w:szCs w:val="32"/>
          <w:highlight w:val="none"/>
          <w:lang w:eastAsia="en-US"/>
        </w:rPr>
        <w:t>年   月   日                     年  月   日</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0" w:firstLineChars="0"/>
        <w:jc w:val="left"/>
        <w:textAlignment w:val="baseline"/>
        <w:rPr>
          <w:rFonts w:hint="eastAsia" w:ascii="黑体" w:hAnsi="黑体" w:eastAsia="黑体" w:cs="黑体"/>
          <w:b w:val="0"/>
          <w:bCs w:val="0"/>
          <w:snapToGrid w:val="0"/>
          <w:color w:val="auto"/>
          <w:spacing w:val="-9"/>
          <w:kern w:val="0"/>
          <w:sz w:val="32"/>
          <w:szCs w:val="32"/>
          <w:highlight w:val="none"/>
          <w:lang w:val="en-US" w:eastAsia="zh-CN"/>
        </w:rPr>
      </w:pPr>
      <w:r>
        <w:rPr>
          <w:rFonts w:hint="eastAsia" w:ascii="黑体" w:hAnsi="黑体" w:eastAsia="黑体" w:cs="黑体"/>
          <w:b w:val="0"/>
          <w:bCs w:val="0"/>
          <w:snapToGrid w:val="0"/>
          <w:color w:val="auto"/>
          <w:spacing w:val="-9"/>
          <w:kern w:val="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center"/>
        <w:textAlignment w:val="baseline"/>
        <w:rPr>
          <w:rFonts w:hint="eastAsia" w:ascii="方正小标宋_GBK" w:hAnsi="方正小标宋_GBK" w:eastAsia="方正小标宋_GBK" w:cs="方正小标宋_GBK"/>
          <w:b w:val="0"/>
          <w:bCs w:val="0"/>
          <w:snapToGrid w:val="0"/>
          <w:color w:val="auto"/>
          <w:spacing w:val="-9"/>
          <w:kern w:val="0"/>
          <w:sz w:val="44"/>
          <w:szCs w:val="44"/>
          <w:highlight w:val="none"/>
          <w:lang w:eastAsia="en-US"/>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center"/>
        <w:textAlignment w:val="baseline"/>
        <w:rPr>
          <w:rFonts w:hint="eastAsia" w:ascii="方正小标宋_GBK" w:hAnsi="方正小标宋_GBK" w:eastAsia="方正小标宋_GBK" w:cs="方正小标宋_GBK"/>
          <w:snapToGrid w:val="0"/>
          <w:color w:val="auto"/>
          <w:kern w:val="0"/>
          <w:sz w:val="44"/>
          <w:szCs w:val="44"/>
          <w:highlight w:val="none"/>
          <w:lang w:eastAsia="en-US"/>
        </w:rPr>
      </w:pPr>
      <w:r>
        <w:rPr>
          <w:rFonts w:hint="eastAsia" w:ascii="方正小标宋_GBK" w:hAnsi="方正小标宋_GBK" w:eastAsia="方正小标宋_GBK" w:cs="方正小标宋_GBK"/>
          <w:b w:val="0"/>
          <w:bCs w:val="0"/>
          <w:snapToGrid w:val="0"/>
          <w:color w:val="auto"/>
          <w:spacing w:val="-9"/>
          <w:kern w:val="0"/>
          <w:sz w:val="44"/>
          <w:szCs w:val="44"/>
          <w:highlight w:val="none"/>
          <w:lang w:eastAsia="en-US"/>
        </w:rPr>
        <w:t>承诺书</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left"/>
        <w:textAlignment w:val="baseline"/>
        <w:rPr>
          <w:rFonts w:ascii="Arial" w:hAnsi="Arial" w:eastAsia="Arial" w:cs="Arial"/>
          <w:snapToGrid w:val="0"/>
          <w:color w:val="auto"/>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14"/>
          <w:kern w:val="0"/>
          <w:sz w:val="32"/>
          <w:szCs w:val="32"/>
          <w:highlight w:val="none"/>
          <w:lang w:eastAsia="en-US"/>
        </w:rPr>
        <w:t>本机构声明：</w:t>
      </w:r>
    </w:p>
    <w:p>
      <w:pPr>
        <w:keepNext w:val="0"/>
        <w:keepLines w:val="0"/>
        <w:pageBreakBefore w:val="0"/>
        <w:widowControl w:val="0"/>
        <w:tabs>
          <w:tab w:val="left" w:pos="9000"/>
        </w:tabs>
        <w:kinsoku/>
        <w:wordWrap/>
        <w:overflowPunct/>
        <w:topLinePunct w:val="0"/>
        <w:autoSpaceDE/>
        <w:autoSpaceDN/>
        <w:bidi w:val="0"/>
        <w:adjustRightInd w:val="0"/>
        <w:snapToGrid w:val="0"/>
        <w:spacing w:line="560" w:lineRule="exact"/>
        <w:ind w:left="0" w:right="0" w:firstLine="676" w:firstLineChars="200"/>
        <w:jc w:val="both"/>
        <w:textAlignment w:val="baseline"/>
        <w:rPr>
          <w:rFonts w:hint="eastAsia" w:ascii="仿宋_GB2312" w:hAnsi="仿宋_GB2312" w:eastAsia="仿宋_GB2312" w:cs="仿宋_GB2312"/>
          <w:snapToGrid w:val="0"/>
          <w:color w:val="auto"/>
          <w:spacing w:val="9"/>
          <w:kern w:val="0"/>
          <w:sz w:val="32"/>
          <w:szCs w:val="32"/>
          <w:highlight w:val="none"/>
          <w:lang w:val="en-US" w:eastAsia="zh-CN"/>
        </w:rPr>
      </w:pPr>
      <w:r>
        <w:rPr>
          <w:rFonts w:hint="eastAsia" w:ascii="仿宋_GB2312" w:hAnsi="仿宋_GB2312" w:eastAsia="仿宋_GB2312" w:cs="仿宋_GB2312"/>
          <w:snapToGrid w:val="0"/>
          <w:color w:val="auto"/>
          <w:spacing w:val="9"/>
          <w:kern w:val="0"/>
          <w:sz w:val="32"/>
          <w:szCs w:val="32"/>
          <w:highlight w:val="none"/>
          <w:lang w:eastAsia="en-US"/>
        </w:rPr>
        <w:t>本机构向</w:t>
      </w:r>
      <w:r>
        <w:rPr>
          <w:rFonts w:hint="eastAsia" w:ascii="仿宋_GB2312" w:hAnsi="仿宋_GB2312" w:eastAsia="仿宋_GB2312" w:cs="仿宋_GB2312"/>
          <w:snapToGrid w:val="0"/>
          <w:color w:val="auto"/>
          <w:spacing w:val="9"/>
          <w:kern w:val="0"/>
          <w:sz w:val="32"/>
          <w:szCs w:val="32"/>
          <w:highlight w:val="none"/>
          <w:u w:val="single"/>
          <w:lang w:val="en-US" w:eastAsia="zh-CN"/>
        </w:rPr>
        <w:t xml:space="preserve">             </w:t>
      </w:r>
      <w:r>
        <w:rPr>
          <w:rFonts w:hint="eastAsia" w:ascii="仿宋_GB2312" w:hAnsi="仿宋_GB2312" w:eastAsia="仿宋_GB2312" w:cs="仿宋_GB2312"/>
          <w:snapToGrid w:val="0"/>
          <w:color w:val="auto"/>
          <w:spacing w:val="9"/>
          <w:kern w:val="0"/>
          <w:sz w:val="32"/>
          <w:szCs w:val="32"/>
          <w:highlight w:val="none"/>
          <w:lang w:eastAsia="en-US"/>
        </w:rPr>
        <w:t>(甲方全称)提供的</w:t>
      </w:r>
      <w:r>
        <w:rPr>
          <w:rFonts w:hint="eastAsia" w:ascii="仿宋_GB2312" w:hAnsi="仿宋_GB2312" w:eastAsia="仿宋_GB2312" w:cs="仿宋_GB2312"/>
          <w:snapToGrid w:val="0"/>
          <w:color w:val="auto"/>
          <w:spacing w:val="9"/>
          <w:kern w:val="0"/>
          <w:sz w:val="32"/>
          <w:szCs w:val="32"/>
          <w:highlight w:val="none"/>
          <w:u w:val="single"/>
          <w:lang w:val="en-US" w:eastAsia="zh-CN"/>
        </w:rPr>
        <w:t xml:space="preserve">         </w:t>
      </w:r>
    </w:p>
    <w:p>
      <w:pPr>
        <w:keepNext w:val="0"/>
        <w:keepLines w:val="0"/>
        <w:pageBreakBefore w:val="0"/>
        <w:widowControl w:val="0"/>
        <w:tabs>
          <w:tab w:val="left" w:pos="9000"/>
        </w:tabs>
        <w:kinsoku/>
        <w:wordWrap/>
        <w:overflowPunct/>
        <w:topLinePunct w:val="0"/>
        <w:autoSpaceDE/>
        <w:autoSpaceDN/>
        <w:bidi w:val="0"/>
        <w:adjustRightInd w:val="0"/>
        <w:snapToGrid w:val="0"/>
        <w:spacing w:line="560" w:lineRule="exact"/>
        <w:ind w:right="0"/>
        <w:jc w:val="both"/>
        <w:textAlignment w:val="baseline"/>
        <w:rPr>
          <w:rFonts w:hint="eastAsia" w:ascii="仿宋_GB2312" w:hAnsi="仿宋_GB2312" w:eastAsia="仿宋_GB2312" w:cs="仿宋_GB2312"/>
          <w:snapToGrid w:val="0"/>
          <w:color w:val="auto"/>
          <w:kern w:val="0"/>
          <w:sz w:val="32"/>
          <w:szCs w:val="32"/>
          <w:highlight w:val="none"/>
          <w:lang w:eastAsia="en-US"/>
        </w:rPr>
      </w:pPr>
      <w:r>
        <w:rPr>
          <w:rFonts w:hint="eastAsia" w:ascii="仿宋_GB2312" w:hAnsi="仿宋_GB2312" w:eastAsia="仿宋_GB2312" w:cs="仿宋_GB2312"/>
          <w:snapToGrid w:val="0"/>
          <w:color w:val="auto"/>
          <w:spacing w:val="20"/>
          <w:kern w:val="16"/>
          <w:sz w:val="32"/>
          <w:szCs w:val="32"/>
          <w:highlight w:val="none"/>
          <w:lang w:eastAsia="en-US"/>
        </w:rPr>
        <w:t>(材料名称)均真实、合法、有效。如有不实之处，愿按照与</w:t>
      </w:r>
      <w:r>
        <w:rPr>
          <w:rFonts w:hint="eastAsia" w:ascii="仿宋_GB2312" w:hAnsi="仿宋_GB2312" w:eastAsia="仿宋_GB2312" w:cs="仿宋_GB2312"/>
          <w:snapToGrid w:val="0"/>
          <w:color w:val="auto"/>
          <w:spacing w:val="20"/>
          <w:kern w:val="16"/>
          <w:sz w:val="32"/>
          <w:szCs w:val="32"/>
          <w:highlight w:val="none"/>
          <w:u w:val="single"/>
          <w:lang w:val="en-US" w:eastAsia="zh-CN"/>
        </w:rPr>
        <w:t xml:space="preserve">             </w:t>
      </w:r>
      <w:r>
        <w:rPr>
          <w:rFonts w:hint="eastAsia" w:ascii="仿宋_GB2312" w:hAnsi="仿宋_GB2312" w:eastAsia="仿宋_GB2312" w:cs="仿宋_GB2312"/>
          <w:snapToGrid w:val="0"/>
          <w:color w:val="auto"/>
          <w:spacing w:val="3"/>
          <w:kern w:val="0"/>
          <w:sz w:val="32"/>
          <w:szCs w:val="32"/>
          <w:highlight w:val="none"/>
          <w:lang w:eastAsia="en-US"/>
        </w:rPr>
        <w:t>(甲方全称)签订的《</w:t>
      </w:r>
      <w:r>
        <w:rPr>
          <w:rFonts w:hint="eastAsia" w:ascii="仿宋_GB2312" w:hAnsi="仿宋_GB2312" w:eastAsia="仿宋_GB2312" w:cs="仿宋_GB2312"/>
          <w:snapToGrid w:val="0"/>
          <w:color w:val="auto"/>
          <w:spacing w:val="3"/>
          <w:kern w:val="0"/>
          <w:sz w:val="32"/>
          <w:szCs w:val="32"/>
          <w:highlight w:val="none"/>
          <w:lang w:val="en-US" w:eastAsia="zh-CN"/>
        </w:rPr>
        <w:t>海南省</w:t>
      </w:r>
      <w:r>
        <w:rPr>
          <w:rFonts w:hint="eastAsia" w:ascii="仿宋_GB2312" w:hAnsi="仿宋_GB2312" w:eastAsia="仿宋_GB2312" w:cs="仿宋_GB2312"/>
          <w:snapToGrid w:val="0"/>
          <w:color w:val="auto"/>
          <w:spacing w:val="3"/>
          <w:kern w:val="0"/>
          <w:sz w:val="32"/>
          <w:szCs w:val="32"/>
          <w:highlight w:val="none"/>
          <w:lang w:eastAsia="en-US"/>
        </w:rPr>
        <w:t>定点医疗机构医疗保障</w:t>
      </w:r>
      <w:r>
        <w:rPr>
          <w:rFonts w:hint="eastAsia" w:ascii="仿宋_GB2312" w:hAnsi="仿宋_GB2312" w:eastAsia="仿宋_GB2312" w:cs="仿宋_GB2312"/>
          <w:snapToGrid w:val="0"/>
          <w:color w:val="auto"/>
          <w:spacing w:val="-9"/>
          <w:kern w:val="0"/>
          <w:sz w:val="32"/>
          <w:szCs w:val="32"/>
          <w:highlight w:val="none"/>
          <w:lang w:eastAsia="en-US"/>
        </w:rPr>
        <w:t>服务协议》承担相应的违约责任。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24" w:firstLineChars="200"/>
        <w:jc w:val="both"/>
        <w:textAlignment w:val="baseline"/>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spacing w:val="-4"/>
          <w:kern w:val="0"/>
          <w:sz w:val="32"/>
          <w:szCs w:val="32"/>
          <w:highlight w:val="none"/>
          <w:lang w:eastAsia="en-US"/>
        </w:rPr>
        <w:t>特此声明</w:t>
      </w:r>
      <w:r>
        <w:rPr>
          <w:rFonts w:hint="eastAsia" w:ascii="仿宋_GB2312" w:hAnsi="仿宋_GB2312" w:eastAsia="仿宋_GB2312" w:cs="仿宋_GB2312"/>
          <w:snapToGrid w:val="0"/>
          <w:color w:val="auto"/>
          <w:spacing w:val="-4"/>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both"/>
        <w:textAlignment w:val="baseline"/>
        <w:rPr>
          <w:rFonts w:hint="eastAsia" w:ascii="仿宋_GB2312" w:hAnsi="仿宋_GB2312" w:eastAsia="仿宋_GB2312" w:cs="仿宋_GB2312"/>
          <w:snapToGrid w:val="0"/>
          <w:color w:val="auto"/>
          <w:kern w:val="0"/>
          <w:sz w:val="32"/>
          <w:szCs w:val="32"/>
          <w:highlight w:val="none"/>
          <w:lang w:val="en-US" w:eastAsia="en-US" w:bidi="ar-SA"/>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firstLineChars="0"/>
        <w:jc w:val="left"/>
        <w:textAlignment w:val="baseline"/>
        <w:rPr>
          <w:rFonts w:hint="eastAsia" w:ascii="仿宋_GB2312" w:hAnsi="仿宋_GB2312" w:eastAsia="仿宋_GB2312" w:cs="仿宋_GB2312"/>
          <w:snapToGrid w:val="0"/>
          <w:color w:val="auto"/>
          <w:kern w:val="0"/>
          <w:sz w:val="32"/>
          <w:szCs w:val="32"/>
          <w:highlight w:val="none"/>
          <w:lang w:val="en-US" w:eastAsia="en-US" w:bidi="ar-SA"/>
        </w:rPr>
      </w:pPr>
    </w:p>
    <w:p>
      <w:pPr>
        <w:keepNext w:val="0"/>
        <w:keepLines w:val="0"/>
        <w:pageBreakBefore w:val="0"/>
        <w:widowControl w:val="0"/>
        <w:tabs>
          <w:tab w:val="left" w:pos="9000"/>
        </w:tabs>
        <w:kinsoku/>
        <w:wordWrap/>
        <w:overflowPunct/>
        <w:topLinePunct w:val="0"/>
        <w:autoSpaceDE/>
        <w:autoSpaceDN/>
        <w:bidi w:val="0"/>
        <w:adjustRightInd w:val="0"/>
        <w:snapToGrid w:val="0"/>
        <w:spacing w:line="560" w:lineRule="exact"/>
        <w:ind w:left="0" w:right="0" w:firstLine="5436" w:firstLineChars="1800"/>
        <w:jc w:val="both"/>
        <w:textAlignment w:val="baseline"/>
        <w:rPr>
          <w:rFonts w:hint="eastAsia" w:ascii="仿宋_GB2312" w:hAnsi="仿宋_GB2312" w:eastAsia="仿宋_GB2312" w:cs="仿宋_GB2312"/>
          <w:snapToGrid w:val="0"/>
          <w:color w:val="auto"/>
          <w:spacing w:val="-9"/>
          <w:kern w:val="0"/>
          <w:sz w:val="32"/>
          <w:szCs w:val="32"/>
          <w:highlight w:val="none"/>
          <w:lang w:eastAsia="en-US"/>
        </w:rPr>
      </w:pPr>
      <w:r>
        <w:rPr>
          <w:rFonts w:hint="eastAsia" w:ascii="仿宋_GB2312" w:hAnsi="仿宋_GB2312" w:eastAsia="仿宋_GB2312" w:cs="仿宋_GB2312"/>
          <w:snapToGrid w:val="0"/>
          <w:color w:val="auto"/>
          <w:spacing w:val="-9"/>
          <w:kern w:val="0"/>
          <w:sz w:val="32"/>
          <w:szCs w:val="32"/>
          <w:highlight w:val="none"/>
          <w:lang w:eastAsia="en-US"/>
        </w:rPr>
        <w:t>单位盖章：</w:t>
      </w:r>
    </w:p>
    <w:p>
      <w:pPr>
        <w:keepNext w:val="0"/>
        <w:keepLines w:val="0"/>
        <w:pageBreakBefore w:val="0"/>
        <w:widowControl w:val="0"/>
        <w:tabs>
          <w:tab w:val="left" w:pos="9000"/>
        </w:tabs>
        <w:kinsoku/>
        <w:wordWrap/>
        <w:overflowPunct/>
        <w:topLinePunct w:val="0"/>
        <w:autoSpaceDE/>
        <w:autoSpaceDN/>
        <w:bidi w:val="0"/>
        <w:adjustRightInd w:val="0"/>
        <w:snapToGrid w:val="0"/>
        <w:spacing w:line="560" w:lineRule="exact"/>
        <w:ind w:left="0" w:right="0" w:firstLine="5436" w:firstLineChars="1800"/>
        <w:jc w:val="both"/>
        <w:textAlignment w:val="baseline"/>
        <w:rPr>
          <w:rFonts w:hint="eastAsia" w:ascii="仿宋_GB2312" w:hAnsi="仿宋_GB2312" w:eastAsia="仿宋_GB2312" w:cs="仿宋_GB2312"/>
          <w:snapToGrid w:val="0"/>
          <w:color w:val="auto"/>
          <w:spacing w:val="-9"/>
          <w:kern w:val="0"/>
          <w:sz w:val="32"/>
          <w:szCs w:val="32"/>
          <w:highlight w:val="none"/>
          <w:lang w:eastAsia="en-US"/>
        </w:rPr>
      </w:pPr>
      <w:r>
        <w:rPr>
          <w:rFonts w:hint="eastAsia" w:ascii="仿宋_GB2312" w:hAnsi="仿宋_GB2312" w:eastAsia="仿宋_GB2312" w:cs="仿宋_GB2312"/>
          <w:snapToGrid w:val="0"/>
          <w:color w:val="auto"/>
          <w:spacing w:val="-9"/>
          <w:kern w:val="0"/>
          <w:sz w:val="32"/>
          <w:szCs w:val="32"/>
          <w:highlight w:val="none"/>
          <w:lang w:eastAsia="en-US"/>
        </w:rPr>
        <w:t>日    期：</w:t>
      </w:r>
    </w:p>
    <w:p>
      <w:pPr>
        <w:keepNext w:val="0"/>
        <w:keepLines w:val="0"/>
        <w:pageBreakBefore w:val="0"/>
        <w:widowControl w:val="0"/>
        <w:tabs>
          <w:tab w:val="left" w:pos="9000"/>
        </w:tabs>
        <w:kinsoku/>
        <w:wordWrap/>
        <w:overflowPunct/>
        <w:topLinePunct w:val="0"/>
        <w:autoSpaceDE w:val="0"/>
        <w:autoSpaceDN w:val="0"/>
        <w:bidi w:val="0"/>
        <w:adjustRightInd w:val="0"/>
        <w:snapToGrid w:val="0"/>
        <w:spacing w:line="560" w:lineRule="exact"/>
        <w:ind w:left="0" w:right="0" w:firstLine="604" w:firstLineChars="200"/>
        <w:jc w:val="both"/>
        <w:textAlignment w:val="baseline"/>
        <w:rPr>
          <w:rFonts w:hint="eastAsia" w:ascii="仿宋_GB2312" w:hAnsi="仿宋_GB2312" w:eastAsia="仿宋_GB2312" w:cs="仿宋_GB2312"/>
          <w:snapToGrid w:val="0"/>
          <w:color w:val="auto"/>
          <w:spacing w:val="-9"/>
          <w:kern w:val="0"/>
          <w:sz w:val="32"/>
          <w:szCs w:val="32"/>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420" w:leftChars="200"/>
        <w:jc w:val="left"/>
        <w:textAlignment w:val="baseline"/>
        <w:rPr>
          <w:rFonts w:ascii="仿宋" w:hAnsi="仿宋" w:eastAsia="仿宋" w:cs="仿宋"/>
          <w:snapToGrid w:val="0"/>
          <w:color w:val="auto"/>
          <w:spacing w:val="-9"/>
          <w:kern w:val="0"/>
          <w:sz w:val="32"/>
          <w:szCs w:val="32"/>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baseline"/>
        <w:rPr>
          <w:rFonts w:ascii="仿宋" w:hAnsi="仿宋" w:eastAsia="仿宋" w:cs="仿宋"/>
          <w:snapToGrid w:val="0"/>
          <w:color w:val="auto"/>
          <w:spacing w:val="-9"/>
          <w:kern w:val="0"/>
          <w:sz w:val="32"/>
          <w:szCs w:val="32"/>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420" w:leftChars="200"/>
        <w:jc w:val="left"/>
        <w:textAlignment w:val="baseline"/>
        <w:rPr>
          <w:rFonts w:ascii="仿宋" w:hAnsi="仿宋" w:eastAsia="仿宋" w:cs="仿宋"/>
          <w:snapToGrid w:val="0"/>
          <w:color w:val="auto"/>
          <w:spacing w:val="-9"/>
          <w:kern w:val="0"/>
          <w:sz w:val="32"/>
          <w:szCs w:val="32"/>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baseline"/>
        <w:rPr>
          <w:rFonts w:ascii="仿宋" w:hAnsi="仿宋" w:eastAsia="仿宋" w:cs="仿宋"/>
          <w:snapToGrid w:val="0"/>
          <w:color w:val="auto"/>
          <w:spacing w:val="-9"/>
          <w:kern w:val="0"/>
          <w:sz w:val="32"/>
          <w:szCs w:val="32"/>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420" w:leftChars="200"/>
        <w:jc w:val="left"/>
        <w:textAlignment w:val="baseline"/>
        <w:rPr>
          <w:rFonts w:ascii="仿宋" w:hAnsi="仿宋" w:eastAsia="仿宋" w:cs="仿宋"/>
          <w:snapToGrid w:val="0"/>
          <w:color w:val="auto"/>
          <w:spacing w:val="-9"/>
          <w:kern w:val="0"/>
          <w:sz w:val="32"/>
          <w:szCs w:val="32"/>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baseline"/>
        <w:rPr>
          <w:rFonts w:ascii="仿宋" w:hAnsi="仿宋" w:eastAsia="仿宋" w:cs="仿宋"/>
          <w:snapToGrid w:val="0"/>
          <w:color w:val="auto"/>
          <w:spacing w:val="-9"/>
          <w:kern w:val="0"/>
          <w:sz w:val="32"/>
          <w:szCs w:val="32"/>
          <w:highlight w:val="none"/>
          <w:lang w:eastAsia="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420" w:leftChars="200"/>
        <w:jc w:val="left"/>
        <w:textAlignment w:val="baseline"/>
        <w:rPr>
          <w:rFonts w:ascii="仿宋" w:hAnsi="仿宋" w:eastAsia="仿宋" w:cs="仿宋"/>
          <w:snapToGrid w:val="0"/>
          <w:color w:val="auto"/>
          <w:spacing w:val="-9"/>
          <w:kern w:val="0"/>
          <w:sz w:val="32"/>
          <w:szCs w:val="32"/>
          <w:highlight w:val="none"/>
          <w:lang w:val="en-US" w:eastAsia="en-US"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left"/>
        <w:textAlignment w:val="baseline"/>
        <w:rPr>
          <w:rFonts w:hint="default" w:ascii="Arial" w:hAnsi="Arial" w:eastAsia="宋体" w:cs="Arial"/>
          <w:snapToGrid w:val="0"/>
          <w:color w:val="auto"/>
          <w:kern w:val="0"/>
          <w:sz w:val="21"/>
          <w:szCs w:val="21"/>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default" w:ascii="Arial" w:hAnsi="Arial" w:eastAsia="Arial" w:cs="Arial"/>
          <w:snapToGrid w:val="0"/>
          <w:color w:val="auto"/>
          <w:kern w:val="0"/>
          <w:szCs w:val="21"/>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420" w:leftChars="200"/>
        <w:jc w:val="left"/>
        <w:textAlignment w:val="baseline"/>
        <w:rPr>
          <w:rFonts w:hint="default" w:ascii="Arial" w:hAnsi="Arial" w:eastAsia="Arial" w:cs="Arial"/>
          <w:snapToGrid w:val="0"/>
          <w:color w:val="auto"/>
          <w:kern w:val="0"/>
          <w:sz w:val="21"/>
          <w:szCs w:val="21"/>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default" w:ascii="Arial" w:hAnsi="Arial" w:eastAsia="Arial" w:cs="Arial"/>
          <w:snapToGrid w:val="0"/>
          <w:color w:val="auto"/>
          <w:kern w:val="0"/>
          <w:szCs w:val="21"/>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420" w:leftChars="200"/>
        <w:jc w:val="left"/>
        <w:textAlignment w:val="baseline"/>
        <w:rPr>
          <w:rFonts w:hint="default" w:ascii="Arial" w:hAnsi="Arial" w:eastAsia="Arial" w:cs="Arial"/>
          <w:snapToGrid w:val="0"/>
          <w:color w:val="auto"/>
          <w:kern w:val="0"/>
          <w:sz w:val="21"/>
          <w:szCs w:val="21"/>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baseline"/>
        <w:rPr>
          <w:rFonts w:hint="eastAsia" w:ascii="黑体" w:hAnsi="黑体" w:eastAsia="黑体" w:cs="黑体"/>
          <w:b w:val="0"/>
          <w:bCs w:val="0"/>
          <w:snapToGrid w:val="0"/>
          <w:color w:val="auto"/>
          <w:spacing w:val="-9"/>
          <w:kern w:val="0"/>
          <w:sz w:val="32"/>
          <w:szCs w:val="32"/>
          <w:highlight w:val="none"/>
          <w:lang w:val="en-US" w:eastAsia="zh-CN"/>
        </w:rPr>
      </w:pPr>
      <w:r>
        <w:rPr>
          <w:rFonts w:hint="eastAsia" w:ascii="黑体" w:hAnsi="黑体" w:eastAsia="黑体" w:cs="黑体"/>
          <w:b w:val="0"/>
          <w:bCs w:val="0"/>
          <w:snapToGrid w:val="0"/>
          <w:color w:val="auto"/>
          <w:spacing w:val="-9"/>
          <w:kern w:val="0"/>
          <w:sz w:val="32"/>
          <w:szCs w:val="32"/>
          <w:highlight w:val="none"/>
          <w:lang w:val="en-US" w:eastAsia="zh-CN"/>
        </w:rPr>
        <w:t>附件2</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jc w:val="center"/>
        <w:textAlignment w:val="baseline"/>
        <w:rPr>
          <w:rFonts w:hint="eastAsia" w:ascii="Arial" w:hAnsi="Arial" w:eastAsia="宋体" w:cs="Arial"/>
          <w:snapToGrid w:val="0"/>
          <w:color w:val="auto"/>
          <w:kern w:val="0"/>
          <w:sz w:val="20"/>
          <w:szCs w:val="20"/>
          <w:highlight w:val="none"/>
          <w:lang w:val="en-US" w:eastAsia="zh-CN" w:bidi="ar-SA"/>
        </w:rPr>
      </w:pPr>
      <w:r>
        <w:rPr>
          <w:rFonts w:hint="eastAsia" w:ascii="Arial" w:hAnsi="Arial" w:eastAsia="宋体" w:cs="Arial"/>
          <w:b/>
          <w:bCs/>
          <w:snapToGrid w:val="0"/>
          <w:color w:val="auto"/>
          <w:kern w:val="0"/>
          <w:sz w:val="32"/>
          <w:szCs w:val="32"/>
          <w:highlight w:val="none"/>
          <w:lang w:val="en-US" w:eastAsia="zh-CN" w:bidi="ar-SA"/>
        </w:rPr>
        <w:t>定点医疗机构可开展认定、诊疗的门诊慢性特殊疾病病种</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eastAsia="Arial" w:cs="Arial"/>
          <w:snapToGrid w:val="0"/>
          <w:color w:val="auto"/>
          <w:kern w:val="0"/>
          <w:szCs w:val="21"/>
          <w:highlight w:val="none"/>
          <w:lang w:val="en-US"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8"/>
        <w:gridCol w:w="4770"/>
        <w:gridCol w:w="1365"/>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103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47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病种</w:t>
            </w:r>
          </w:p>
        </w:tc>
        <w:tc>
          <w:tcPr>
            <w:tcW w:w="13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认定资格</w:t>
            </w:r>
          </w:p>
        </w:tc>
        <w:tc>
          <w:tcPr>
            <w:tcW w:w="13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诊治资格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47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各种恶性肿瘤</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47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慢性肾功能衰竭（药物保守治疗、血液透析、血液灌流、腹膜透析）</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w:t>
            </w:r>
          </w:p>
        </w:tc>
        <w:tc>
          <w:tcPr>
            <w:tcW w:w="47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器官移植术后（肝移植、肾移植、骨髓移植、心脏移植、肺移植）</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w:t>
            </w:r>
          </w:p>
        </w:tc>
        <w:tc>
          <w:tcPr>
            <w:tcW w:w="47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脑血管意外后遗症</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w:t>
            </w:r>
          </w:p>
        </w:tc>
        <w:tc>
          <w:tcPr>
            <w:tcW w:w="47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 xml:space="preserve"> </w:t>
            </w:r>
            <w:r>
              <w:rPr>
                <w:rStyle w:val="9"/>
                <w:color w:val="auto"/>
                <w:sz w:val="22"/>
                <w:szCs w:val="22"/>
                <w:highlight w:val="none"/>
                <w:lang w:val="en-US" w:eastAsia="zh-CN" w:bidi="ar"/>
              </w:rPr>
              <w:t>帕金森病（综合征）</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w:t>
            </w:r>
          </w:p>
        </w:tc>
        <w:tc>
          <w:tcPr>
            <w:tcW w:w="47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高血压病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w:t>
            </w:r>
          </w:p>
        </w:tc>
        <w:tc>
          <w:tcPr>
            <w:tcW w:w="47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糖尿病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w:t>
            </w:r>
          </w:p>
        </w:tc>
        <w:tc>
          <w:tcPr>
            <w:tcW w:w="47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慢性再生障碍性贫血</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w:t>
            </w:r>
          </w:p>
        </w:tc>
        <w:tc>
          <w:tcPr>
            <w:tcW w:w="47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精神病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w:t>
            </w:r>
          </w:p>
        </w:tc>
        <w:tc>
          <w:tcPr>
            <w:tcW w:w="47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 xml:space="preserve"> </w:t>
            </w:r>
            <w:r>
              <w:rPr>
                <w:rStyle w:val="9"/>
                <w:color w:val="auto"/>
                <w:sz w:val="22"/>
                <w:szCs w:val="22"/>
                <w:highlight w:val="none"/>
                <w:lang w:val="en-US" w:eastAsia="zh-CN" w:bidi="ar"/>
              </w:rPr>
              <w:t>结核病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w:t>
            </w:r>
          </w:p>
        </w:tc>
        <w:tc>
          <w:tcPr>
            <w:tcW w:w="47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泌尿系统震波碎石治疗</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肝硬化</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系统性红斑狼疮</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心脏病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血管支架植入术后</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心脏瓣膜置换抗凝治疗</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重症肌无力</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强直性脊柱炎</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19</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肾病综合征</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20</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系统性硬化症</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运动神经元病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骨髓增生异常综合征</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1038"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w:t>
            </w:r>
          </w:p>
        </w:tc>
        <w:tc>
          <w:tcPr>
            <w:tcW w:w="477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Style w:val="9"/>
                <w:color w:val="auto"/>
                <w:sz w:val="22"/>
                <w:szCs w:val="22"/>
                <w:highlight w:val="none"/>
                <w:lang w:val="en-US" w:eastAsia="zh-CN" w:bidi="ar"/>
              </w:rPr>
              <w:t>血友病</w:t>
            </w:r>
          </w:p>
        </w:tc>
        <w:tc>
          <w:tcPr>
            <w:tcW w:w="1365" w:type="dxa"/>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103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24</w:t>
            </w:r>
          </w:p>
        </w:tc>
        <w:tc>
          <w:tcPr>
            <w:tcW w:w="477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auto"/>
                <w:kern w:val="0"/>
                <w:sz w:val="22"/>
                <w:szCs w:val="22"/>
                <w:highlight w:val="none"/>
                <w:u w:val="none"/>
                <w:lang w:val="en-US" w:eastAsia="zh-CN" w:bidi="ar"/>
              </w:rPr>
              <w:t>原发性青光眼</w:t>
            </w:r>
          </w:p>
        </w:tc>
        <w:tc>
          <w:tcPr>
            <w:tcW w:w="1365"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癫痫病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慢性阻塞性肺疾病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27</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小儿脑性瘫痪</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28</w:t>
            </w:r>
          </w:p>
        </w:tc>
        <w:tc>
          <w:tcPr>
            <w:tcW w:w="477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性早熟</w:t>
            </w:r>
          </w:p>
        </w:tc>
        <w:tc>
          <w:tcPr>
            <w:tcW w:w="1365" w:type="dxa"/>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29</w:t>
            </w:r>
          </w:p>
        </w:tc>
        <w:tc>
          <w:tcPr>
            <w:tcW w:w="477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小儿智力障碍</w:t>
            </w:r>
          </w:p>
        </w:tc>
        <w:tc>
          <w:tcPr>
            <w:tcW w:w="1365"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30</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广泛性发育障碍</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31</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地中海贫血（中间型、重型）</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32</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类风湿关节炎</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1038"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33</w:t>
            </w:r>
          </w:p>
        </w:tc>
        <w:tc>
          <w:tcPr>
            <w:tcW w:w="477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风湿性关节炎</w:t>
            </w:r>
          </w:p>
        </w:tc>
        <w:tc>
          <w:tcPr>
            <w:tcW w:w="1365" w:type="dxa"/>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103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34</w:t>
            </w:r>
          </w:p>
        </w:tc>
        <w:tc>
          <w:tcPr>
            <w:tcW w:w="477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auto"/>
                <w:kern w:val="0"/>
                <w:sz w:val="22"/>
                <w:szCs w:val="22"/>
                <w:highlight w:val="none"/>
                <w:u w:val="none"/>
                <w:lang w:val="en-US" w:eastAsia="zh-CN" w:bidi="ar"/>
              </w:rPr>
              <w:t>甲状腺功能亢进症</w:t>
            </w:r>
          </w:p>
        </w:tc>
        <w:tc>
          <w:tcPr>
            <w:tcW w:w="1365"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35</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甲状腺功能减退症</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36</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阿尔茨海默病（症）</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37</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慢性乙型病毒性肝炎</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38</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丙型病毒性肝炎变</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038"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39</w:t>
            </w:r>
          </w:p>
        </w:tc>
        <w:tc>
          <w:tcPr>
            <w:tcW w:w="477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sz w:val="22"/>
                <w:szCs w:val="22"/>
                <w:highlight w:val="none"/>
                <w:u w:val="none"/>
                <w:lang w:val="en-US" w:eastAsia="zh-CN"/>
              </w:rPr>
              <w:t>黄斑病变</w:t>
            </w:r>
          </w:p>
        </w:tc>
        <w:tc>
          <w:tcPr>
            <w:tcW w:w="1365" w:type="dxa"/>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auto" w:sz="4"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103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40</w:t>
            </w:r>
          </w:p>
        </w:tc>
        <w:tc>
          <w:tcPr>
            <w:tcW w:w="477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2"/>
                <w:szCs w:val="22"/>
                <w:highlight w:val="none"/>
                <w:u w:val="none"/>
                <w:lang w:val="en-US" w:eastAsia="zh-CN" w:bidi="ar"/>
              </w:rPr>
            </w:pPr>
            <w:r>
              <w:rPr>
                <w:rFonts w:hint="eastAsia" w:ascii="微软雅黑" w:hAnsi="微软雅黑" w:eastAsia="微软雅黑" w:cs="微软雅黑"/>
                <w:i w:val="0"/>
                <w:iCs w:val="0"/>
                <w:color w:val="auto"/>
                <w:kern w:val="0"/>
                <w:sz w:val="22"/>
                <w:szCs w:val="22"/>
                <w:highlight w:val="none"/>
                <w:u w:val="none"/>
                <w:lang w:val="en-US" w:eastAsia="zh-CN" w:bidi="ar"/>
              </w:rPr>
              <w:t>肺动脉高压</w:t>
            </w:r>
          </w:p>
        </w:tc>
        <w:tc>
          <w:tcPr>
            <w:tcW w:w="1365"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single" w:color="auto" w:sz="4"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41</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银屑病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42</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多发性硬化症</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43</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艾滋病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44</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肢端肥大症</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45</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C型尼曼匹克病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46</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中重度特应性皮炎</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47</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克罗恩病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48</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血小板减少症</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49</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特发性肺纤维化</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50</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亨廷顿病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51</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肌萎缩侧索硬化</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52</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过敏性哮喘</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53</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法布雷病</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54</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脊髓性肌萎缩症</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55</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视神经脊髓炎</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56</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X连锁无丙种球蛋白血症</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57</w:t>
            </w:r>
          </w:p>
        </w:tc>
        <w:tc>
          <w:tcPr>
            <w:tcW w:w="4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耐药肺结核</w:t>
            </w:r>
          </w:p>
        </w:tc>
        <w:tc>
          <w:tcPr>
            <w:tcW w:w="1365"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c>
          <w:tcPr>
            <w:tcW w:w="1349" w:type="dxa"/>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b/>
                <w:bCs/>
                <w:i w:val="0"/>
                <w:iCs w:val="0"/>
                <w:color w:val="auto"/>
                <w:sz w:val="24"/>
                <w:szCs w:val="24"/>
                <w:highlight w:val="none"/>
                <w:u w:val="none"/>
              </w:rPr>
            </w:pP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Arial" w:hAnsi="Arial" w:eastAsia="Arial" w:cs="Arial"/>
          <w:snapToGrid w:val="0"/>
          <w:color w:val="auto"/>
          <w:kern w:val="0"/>
          <w:szCs w:val="21"/>
          <w:highlight w:val="none"/>
          <w:lang w:val="en-US" w:eastAsia="zh-CN"/>
        </w:rPr>
      </w:pPr>
    </w:p>
    <w:sectPr>
      <w:headerReference r:id="rId4" w:type="default"/>
      <w:footerReference r:id="rId5" w:type="default"/>
      <w:pgSz w:w="11906" w:h="16838"/>
      <w:pgMar w:top="1440" w:right="1800" w:bottom="1440" w:left="1800" w:header="0" w:footer="0" w:gutter="0"/>
      <w:pgBorders>
        <w:top w:val="none" w:sz="0" w:space="0"/>
        <w:left w:val="none" w:sz="0" w:space="0"/>
        <w:bottom w:val="none" w:sz="0" w:space="0"/>
        <w:right w:val="none" w:sz="0" w:space="0"/>
      </w:pgBorders>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4" w:lineRule="auto"/>
      <w:jc w:val="left"/>
      <w:textAlignment w:val="baseline"/>
      <w:rPr>
        <w:rFonts w:ascii="Arial" w:hAnsi="Arial" w:eastAsia="Arial" w:cs="Arial"/>
        <w:i/>
        <w:iCs/>
        <w:snapToGrid w:val="0"/>
        <w:color w:val="000000"/>
        <w:kern w:val="0"/>
        <w:sz w:val="2"/>
        <w:szCs w:val="21"/>
        <w:lang w:val="en-US" w:eastAsia="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4" w:lineRule="auto"/>
      <w:jc w:val="left"/>
      <w:textAlignment w:val="baseline"/>
      <w:rPr>
        <w:rFonts w:ascii="Arial" w:hAnsi="Arial" w:eastAsia="Arial" w:cs="Arial"/>
        <w:i/>
        <w:iCs/>
        <w:snapToGrid w:val="0"/>
        <w:color w:val="000000"/>
        <w:kern w:val="0"/>
        <w:sz w:val="2"/>
        <w:szCs w:val="21"/>
        <w:lang w:val="en-US" w:eastAsia="en-US" w:bidi="ar-SA"/>
      </w:rPr>
    </w:pPr>
    <w:r>
      <w:rPr>
        <w:sz w:val="18"/>
      </w:rPr>
      <mc:AlternateContent>
        <mc:Choice Requires="wps">
          <w:drawing>
            <wp:anchor distT="0" distB="0" distL="114300" distR="114300" simplePos="0" relativeHeight="251660288" behindDoc="0" locked="0" layoutInCell="1" allowOverlap="1">
              <wp:simplePos x="0" y="0"/>
              <wp:positionH relativeFrom="margin">
                <wp:posOffset>2595245</wp:posOffset>
              </wp:positionH>
              <wp:positionV relativeFrom="paragraph">
                <wp:posOffset>-759460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- 1 -</w:t>
                          </w:r>
                          <w:r>
                            <w:rPr>
                              <w:sz w:val="24"/>
                              <w:szCs w:val="4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04.35pt;margin-top:-59.8pt;height:144pt;width:144pt;mso-position-horizontal-relative:margin;mso-wrap-style:none;z-index:251660288;mso-width-relative:page;mso-height-relative:page;" filled="f" stroked="f" coordsize="21600,21600" o:gfxdata="UEsFBgAAAAAAAAAAAAAAAAAAAAAAAFBLAwQKAAAAAACHTuJAAAAAAAAAAAAAAAAABAAAAGRycy9Q&#10;SwMEFAAAAAgAh07iQOc7ph3ZAAAADAEAAA8AAABkcnMvZG93bnJldi54bWxNj01Pg0AQhu8m/ofN&#10;mHhrF5SslLI0sRGPJhYPHrcwAnU/yO6W4r93PNnjzDx553nL3WI0m9GH0VkJ6ToBhrZ13Wh7CR9N&#10;vcqBhahsp7SzKOEHA+yq25tSFZ272HecD7FnFGJDoSQMMU4F56Ed0KiwdhNaun05b1Sk0fe88+pC&#10;4UbzhyQR3KjR0odBTbgfsP0+nI2Efd00fsbg9Se+1o+nt+cMXxYp7+/SZAss4hL/YfjTJ3WoyOno&#10;zrYLTEvIkvyJUAmrNN0IYISIjaDVkViRZ8Crkl+XqH4BUEsDBBQAAAAIAIdO4kBvA/AhHQIAACsE&#10;AAAOAAAAZHJzL2Uyb0RvYy54bWytU82O0zAQviPxDpbvNGnRrqqq6arsqgipYlcqiLPr2E0k/8l2&#10;m5QHgDfgxIU7z9Xn2M9p0iLghLjYM57x/Hzzzfyu1YochA+1NQUdj3JKhOG2rM2uoB8/rF5NKQmR&#10;mZIpa0RBjyLQu8XLF/PGzcTEVlaVwhMEMWHWuIJWMbpZlgVeCc3CyDphYJTWaxah+l1WetYgulbZ&#10;JM9vs8b60nnLRQh4fTgb6aKLL6Xg8VHKICJRBUVtsTt9d27TmS3mbLbzzFU178tg/1CFZrVB0kuo&#10;BxYZ2fv6j1C65t4GK+OIW51ZKWsuuh7QzTj/rZtNxZzoegE4wV1gCv8vLH9/ePKkLjG7G0oM05jR&#10;6dvX0/efpx9fCN4AUOPCDH4bB8/YvrFtQaPfi8EU8J5ab6XX6UZTBC5A+3hBWLSRcDyOp5PpNIeJ&#10;wzYoSJFdvzsf4lthNUlCQT1G2CHLDusQz66DS8pm7KpWqhujMqQp6O3rm7z7cLEguDLIkfo4F5uk&#10;2G7bvrmtLY/ozdszPYLjqxrJ1yzEJ+bBBxQMjsdHHFJZJLG9REll/ee/vSd/jAlWShrwq6AGC0CJ&#10;emcwvkTFQfCDsB0Es9f3FoQdY3cc70R88FENovRWfwLxlymHZCogMDMc2TCaQbyP0HojFoiL5fKi&#10;752vd9X1M8joWFybjeP9cBO2wS33Efh2sCfMzkD1UIKR3eD67UmU/1XvvK47vng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5zumHdkAAAAMAQAADwAAAAAAAAABACAAAAA4AAAAZHJzL2Rvd25yZXYu&#10;eG1sUEsBAhQAFAAAAAgAh07iQG8D8CEdAgAAKwQAAA4AAAAAAAAAAQAgAAAAPgEAAGRycy9lMm9E&#10;b2MueG1sUEsFBgAAAAAGAAYAWQEAAM0FAAAAAA==&#10;">
              <v:fill on="f" focussize="0,0"/>
              <v:stroke on="f" weight="0.5pt"/>
              <v:imagedata o:title=""/>
              <o:lock v:ext="edit" aspectratio="f"/>
              <v:textbox inset="0mm,0mm,0mm,0mm" style="mso-fit-shape-to-text:t;">
                <w:txbxContent>
                  <w:p>
                    <w:pPr>
                      <w:pStyle w:val="5"/>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- 1 -</w:t>
                    </w:r>
                    <w:r>
                      <w:rPr>
                        <w:sz w:val="24"/>
                        <w:szCs w:val="40"/>
                      </w:rPr>
                      <w:fldChar w:fldCharType="end"/>
                    </w:r>
                  </w:p>
                </w:txbxContent>
              </v:textbox>
            </v:shape>
          </w:pict>
        </mc:Fallback>
      </mc:AlternateContent>
    </w: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87039"/>
    <w:rsid w:val="038B2F58"/>
    <w:rsid w:val="05611305"/>
    <w:rsid w:val="07027CB2"/>
    <w:rsid w:val="0F862C55"/>
    <w:rsid w:val="12257CFB"/>
    <w:rsid w:val="1B171546"/>
    <w:rsid w:val="1F513995"/>
    <w:rsid w:val="1F5700FB"/>
    <w:rsid w:val="22C40AB1"/>
    <w:rsid w:val="29BB45BB"/>
    <w:rsid w:val="2E920650"/>
    <w:rsid w:val="2EE87039"/>
    <w:rsid w:val="2F56ABA0"/>
    <w:rsid w:val="377DBF82"/>
    <w:rsid w:val="38DE1581"/>
    <w:rsid w:val="3D97FDFD"/>
    <w:rsid w:val="3DCF008B"/>
    <w:rsid w:val="3FDFCE46"/>
    <w:rsid w:val="4102767C"/>
    <w:rsid w:val="467FC006"/>
    <w:rsid w:val="4B550379"/>
    <w:rsid w:val="4D1320FD"/>
    <w:rsid w:val="51BB735A"/>
    <w:rsid w:val="5647786E"/>
    <w:rsid w:val="586F47FE"/>
    <w:rsid w:val="5D7EA3E0"/>
    <w:rsid w:val="5DEE8118"/>
    <w:rsid w:val="5FAEFE1D"/>
    <w:rsid w:val="61B825BC"/>
    <w:rsid w:val="645662C5"/>
    <w:rsid w:val="66E70B06"/>
    <w:rsid w:val="68E8306D"/>
    <w:rsid w:val="6A9FEEDA"/>
    <w:rsid w:val="6BF3B6BE"/>
    <w:rsid w:val="6E31A5DD"/>
    <w:rsid w:val="6E592970"/>
    <w:rsid w:val="6F375DA9"/>
    <w:rsid w:val="6F3FED0C"/>
    <w:rsid w:val="6F7F0E64"/>
    <w:rsid w:val="6F7FE5E9"/>
    <w:rsid w:val="6F9ECF04"/>
    <w:rsid w:val="72616816"/>
    <w:rsid w:val="72DE6309"/>
    <w:rsid w:val="733AD32B"/>
    <w:rsid w:val="73EEA07F"/>
    <w:rsid w:val="77D7F6AF"/>
    <w:rsid w:val="7A2D47B5"/>
    <w:rsid w:val="7BAD22E2"/>
    <w:rsid w:val="7BBFAB33"/>
    <w:rsid w:val="7BF23DA1"/>
    <w:rsid w:val="7BF4E2CA"/>
    <w:rsid w:val="7D6E0F2A"/>
    <w:rsid w:val="7DCFB739"/>
    <w:rsid w:val="7E3D73FD"/>
    <w:rsid w:val="7F3F16ED"/>
    <w:rsid w:val="7FBFF3C5"/>
    <w:rsid w:val="7FD0DF16"/>
    <w:rsid w:val="7FDFCA8C"/>
    <w:rsid w:val="7FF71C6F"/>
    <w:rsid w:val="7FFD0CF5"/>
    <w:rsid w:val="8CFD4BF5"/>
    <w:rsid w:val="8DFFF541"/>
    <w:rsid w:val="97F4A097"/>
    <w:rsid w:val="9BF90573"/>
    <w:rsid w:val="A9F60B54"/>
    <w:rsid w:val="ACABD6B3"/>
    <w:rsid w:val="B7F4D501"/>
    <w:rsid w:val="BAFD3A19"/>
    <w:rsid w:val="BB71BDBC"/>
    <w:rsid w:val="BDDFDAE3"/>
    <w:rsid w:val="BEB7E0EB"/>
    <w:rsid w:val="BEEF187B"/>
    <w:rsid w:val="BFAF0677"/>
    <w:rsid w:val="BFB36342"/>
    <w:rsid w:val="C3F7E0A3"/>
    <w:rsid w:val="CBFE3E90"/>
    <w:rsid w:val="CF8DAF40"/>
    <w:rsid w:val="D7FFB100"/>
    <w:rsid w:val="D9BFCE44"/>
    <w:rsid w:val="DCB7ECED"/>
    <w:rsid w:val="DDE34CF0"/>
    <w:rsid w:val="DF3C832F"/>
    <w:rsid w:val="DFCFE7DA"/>
    <w:rsid w:val="E2677752"/>
    <w:rsid w:val="E7E74508"/>
    <w:rsid w:val="EBDAF563"/>
    <w:rsid w:val="EEF6E98E"/>
    <w:rsid w:val="EFCFDB6D"/>
    <w:rsid w:val="EFDEEE05"/>
    <w:rsid w:val="F3E33656"/>
    <w:rsid w:val="F7EF16BF"/>
    <w:rsid w:val="F7FDFA71"/>
    <w:rsid w:val="FBAE172F"/>
    <w:rsid w:val="FBBEC4BD"/>
    <w:rsid w:val="FDCFF81F"/>
    <w:rsid w:val="FDFDC271"/>
    <w:rsid w:val="FE7F431C"/>
    <w:rsid w:val="FEF9DCF6"/>
    <w:rsid w:val="FEFF883E"/>
    <w:rsid w:val="FF3D9692"/>
    <w:rsid w:val="FF5A5D50"/>
    <w:rsid w:val="FF7DCC0A"/>
    <w:rsid w:val="FFC966F4"/>
    <w:rsid w:val="FFDF3F2A"/>
    <w:rsid w:val="FFEBF932"/>
    <w:rsid w:val="FFFB5EEB"/>
    <w:rsid w:val="FFFEF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before="0" w:beforeLines="0" w:after="140" w:afterLines="0" w:line="276" w:lineRule="auto"/>
      <w:jc w:val="both"/>
    </w:pPr>
    <w:rPr>
      <w:rFonts w:ascii="Times New Roman" w:hAnsi="Times New Roman" w:eastAsia="宋体" w:cs="Times New Roman"/>
      <w:kern w:val="2"/>
      <w:sz w:val="21"/>
      <w:szCs w:val="20"/>
      <w:lang w:val="en-US" w:eastAsia="zh-CN" w:bidi="ar-SA"/>
    </w:rPr>
  </w:style>
  <w:style w:type="paragraph" w:styleId="3">
    <w:name w:val="Plain Text"/>
    <w:basedOn w:val="1"/>
    <w:qFormat/>
    <w:uiPriority w:val="0"/>
    <w:rPr>
      <w:rFonts w:ascii="宋体" w:hAnsi="Courier New" w:eastAsia="仿宋_GB2312"/>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微软雅黑" w:hAnsi="微软雅黑" w:eastAsia="微软雅黑" w:cs="微软雅黑"/>
      <w:color w:val="000000"/>
      <w:sz w:val="28"/>
      <w:szCs w:val="28"/>
      <w:u w:val="none"/>
    </w:rPr>
  </w:style>
  <w:style w:type="character" w:customStyle="1" w:styleId="10">
    <w:name w:val="font31"/>
    <w:basedOn w:val="8"/>
    <w:qFormat/>
    <w:uiPriority w:val="0"/>
    <w:rPr>
      <w:rFonts w:ascii="Wingdings 2" w:hAnsi="Wingdings 2" w:eastAsia="Wingdings 2" w:cs="Wingdings 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61</Words>
  <Characters>64</Characters>
  <Lines>0</Lines>
  <Paragraphs>0</Paragraphs>
  <TotalTime>9</TotalTime>
  <ScaleCrop>false</ScaleCrop>
  <LinksUpToDate>false</LinksUpToDate>
  <CharactersWithSpaces>114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2025-03-18T07:14:00Z</dcterms:created>
  <dc:creator>WPS_1673587754</dc:creator>
  <cp:lastModifiedBy>greatwall</cp:lastModifiedBy>
  <cp:lastPrinted>2025-03-25T15:21:00Z</cp:lastPrinted>
  <dcterms:modified xsi:type="dcterms:W3CDTF">2025-04-01T18:00:27Z</dcterms:modified>
  <dc:title>海南省定点医疗机构</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D82DC06FA790483DA8F803CDB810DAF8_11</vt:lpwstr>
  </property>
  <property fmtid="{D5CDD505-2E9C-101B-9397-08002B2CF9AE}" pid="4" name="KSOTemplateDocerSaveRecord">
    <vt:lpwstr>eyJoZGlkIjoiNmIzMDU0ZjU4ZmM0MDA5ZmE1ZTc1YWIyNDRkYzQyYjYiLCJ1c2VySWQiOiIxNDY3NDk5NzEzIn0=</vt:lpwstr>
  </property>
</Properties>
</file>