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A2486">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600" w:lineRule="exact"/>
        <w:ind w:right="0" w:firstLine="883" w:firstLineChars="200"/>
        <w:jc w:val="both"/>
        <w:textAlignment w:val="auto"/>
        <w:outlineLvl w:val="9"/>
        <w:rPr>
          <w:rFonts w:hint="eastAsia" w:ascii="方正小标宋简体" w:hAnsi="方正小标宋简体" w:eastAsia="方正小标宋简体" w:cs="方正小标宋简体"/>
          <w:b/>
          <w:bCs/>
          <w:sz w:val="44"/>
          <w:szCs w:val="44"/>
          <w:lang w:eastAsia="zh-CN"/>
        </w:rPr>
      </w:pPr>
      <w:bookmarkStart w:id="0" w:name="_GoBack"/>
      <w:bookmarkEnd w:id="0"/>
    </w:p>
    <w:p w14:paraId="7905932B">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600" w:lineRule="exact"/>
        <w:ind w:right="0" w:firstLine="883" w:firstLineChars="200"/>
        <w:jc w:val="both"/>
        <w:textAlignment w:val="auto"/>
        <w:outlineLvl w:val="9"/>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黑龙江</w:t>
      </w:r>
      <w:r>
        <w:rPr>
          <w:rFonts w:hint="eastAsia" w:ascii="方正小标宋简体" w:hAnsi="方正小标宋简体" w:eastAsia="方正小标宋简体" w:cs="方正小标宋简体"/>
          <w:b/>
          <w:bCs/>
          <w:sz w:val="44"/>
          <w:szCs w:val="44"/>
        </w:rPr>
        <w:t>省医疗保障信用管理办法</w:t>
      </w:r>
    </w:p>
    <w:p w14:paraId="047DDC9E">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600" w:lineRule="exact"/>
        <w:ind w:right="0" w:firstLine="2560" w:firstLineChars="8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征求意见</w:t>
      </w:r>
      <w:r>
        <w:rPr>
          <w:rFonts w:hint="eastAsia" w:ascii="仿宋_GB2312" w:hAnsi="仿宋_GB2312" w:eastAsia="仿宋_GB2312" w:cs="仿宋_GB2312"/>
          <w:sz w:val="32"/>
          <w:szCs w:val="32"/>
          <w:lang w:eastAsia="zh-CN"/>
        </w:rPr>
        <w:t>稿）</w:t>
      </w:r>
    </w:p>
    <w:p w14:paraId="1D1D7A85">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600" w:lineRule="exact"/>
        <w:ind w:right="0" w:firstLine="880" w:firstLineChars="200"/>
        <w:jc w:val="both"/>
        <w:textAlignment w:val="auto"/>
        <w:outlineLvl w:val="9"/>
        <w:rPr>
          <w:rFonts w:hint="eastAsia" w:ascii="仿宋_GB2312" w:hAnsi="仿宋_GB2312" w:eastAsia="仿宋_GB2312" w:cs="仿宋_GB2312"/>
          <w:sz w:val="44"/>
          <w:szCs w:val="44"/>
          <w:lang w:eastAsia="zh-CN"/>
        </w:rPr>
      </w:pPr>
    </w:p>
    <w:p w14:paraId="54871D4E">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600" w:lineRule="exact"/>
        <w:ind w:right="0" w:firstLine="1280" w:firstLineChars="400"/>
        <w:jc w:val="both"/>
        <w:textAlignment w:val="auto"/>
        <w:outlineLvl w:val="9"/>
        <w:rPr>
          <w:rFonts w:hint="eastAsia" w:ascii="仿宋_GB2312" w:hAnsi="仿宋_GB2312" w:eastAsia="仿宋_GB2312" w:cs="仿宋_GB2312"/>
          <w:sz w:val="44"/>
          <w:szCs w:val="44"/>
          <w:lang w:eastAsia="zh-CN"/>
        </w:rPr>
      </w:pPr>
      <w:r>
        <w:rPr>
          <w:rFonts w:hint="eastAsia" w:ascii="仿宋_GB2312" w:hAnsi="仿宋_GB2312" w:eastAsia="仿宋_GB2312" w:cs="仿宋_GB2312"/>
          <w:sz w:val="32"/>
          <w:szCs w:val="32"/>
          <w:lang w:val="en-US" w:eastAsia="zh-CN"/>
        </w:rPr>
        <w:t>目  录</w:t>
      </w:r>
    </w:p>
    <w:p w14:paraId="09FE7921">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600" w:lineRule="exact"/>
        <w:ind w:right="0" w:firstLine="1280" w:firstLineChars="4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第一章  总则</w:t>
      </w:r>
    </w:p>
    <w:p w14:paraId="2BD5DAB6">
      <w:pPr>
        <w:keepNext w:val="0"/>
        <w:keepLines w:val="0"/>
        <w:pageBreakBefore w:val="0"/>
        <w:kinsoku/>
        <w:wordWrap/>
        <w:overflowPunct/>
        <w:topLinePunct w:val="0"/>
        <w:autoSpaceDE/>
        <w:autoSpaceDN/>
        <w:bidi w:val="0"/>
        <w:adjustRightInd/>
        <w:snapToGrid/>
        <w:spacing w:before="157" w:beforeLines="50" w:after="157" w:afterLines="50" w:line="600" w:lineRule="exact"/>
        <w:ind w:firstLine="1280" w:firstLineChars="400"/>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eastAsia="zh-CN"/>
        </w:rPr>
        <w:t>第二章</w:t>
      </w:r>
      <w:r>
        <w:rPr>
          <w:rFonts w:hint="eastAsia" w:ascii="仿宋_GB2312" w:hAnsi="仿宋_GB2312" w:eastAsia="仿宋_GB2312" w:cs="仿宋_GB2312"/>
          <w:b w:val="0"/>
          <w:bCs w:val="0"/>
          <w:sz w:val="32"/>
          <w:szCs w:val="32"/>
          <w:lang w:val="en-US" w:eastAsia="zh-CN"/>
        </w:rPr>
        <w:t xml:space="preserve"> 信用主体</w:t>
      </w:r>
      <w:r>
        <w:rPr>
          <w:rFonts w:hint="eastAsia" w:ascii="仿宋_GB2312" w:hAnsi="仿宋_GB2312" w:eastAsia="仿宋_GB2312" w:cs="仿宋_GB2312"/>
          <w:b w:val="0"/>
          <w:bCs w:val="0"/>
          <w:color w:val="C00000"/>
          <w:sz w:val="32"/>
          <w:szCs w:val="32"/>
          <w:lang w:val="en-US" w:eastAsia="zh-CN"/>
        </w:rPr>
        <w:t>与信用承诺</w:t>
      </w:r>
    </w:p>
    <w:p w14:paraId="35897E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600" w:lineRule="exact"/>
        <w:ind w:right="0" w:firstLine="1280" w:firstLineChars="400"/>
        <w:jc w:val="left"/>
        <w:textAlignment w:val="auto"/>
        <w:rPr>
          <w:rFonts w:hint="eastAsia" w:ascii="仿宋_GB2312" w:hAnsi="仿宋_GB2312" w:eastAsia="仿宋_GB2312" w:cs="仿宋_GB2312"/>
          <w:b w:val="0"/>
          <w:bCs w:val="0"/>
          <w:color w:val="333333"/>
          <w:sz w:val="32"/>
          <w:szCs w:val="32"/>
          <w:shd w:val="clear" w:fill="FFFFFF"/>
          <w:lang w:val="en-US" w:eastAsia="zh-CN"/>
        </w:rPr>
      </w:pPr>
      <w:r>
        <w:rPr>
          <w:rFonts w:hint="eastAsia" w:ascii="仿宋_GB2312" w:hAnsi="仿宋_GB2312" w:eastAsia="仿宋_GB2312" w:cs="仿宋_GB2312"/>
          <w:b w:val="0"/>
          <w:bCs w:val="0"/>
          <w:color w:val="333333"/>
          <w:sz w:val="32"/>
          <w:szCs w:val="32"/>
          <w:shd w:val="clear" w:fill="FFFFFF"/>
          <w:lang w:eastAsia="zh-CN"/>
        </w:rPr>
        <w:t>第三章</w:t>
      </w:r>
      <w:r>
        <w:rPr>
          <w:rFonts w:hint="eastAsia" w:ascii="仿宋_GB2312" w:hAnsi="仿宋_GB2312" w:eastAsia="仿宋_GB2312" w:cs="仿宋_GB2312"/>
          <w:b w:val="0"/>
          <w:bCs w:val="0"/>
          <w:color w:val="333333"/>
          <w:sz w:val="32"/>
          <w:szCs w:val="32"/>
          <w:shd w:val="clear" w:fill="FFFFFF"/>
          <w:lang w:val="en-US" w:eastAsia="zh-CN"/>
        </w:rPr>
        <w:t xml:space="preserve"> 信用档案</w:t>
      </w:r>
    </w:p>
    <w:p w14:paraId="1B77494A">
      <w:pPr>
        <w:pStyle w:val="3"/>
        <w:keepNext w:val="0"/>
        <w:keepLines w:val="0"/>
        <w:pageBreakBefore w:val="0"/>
        <w:kinsoku/>
        <w:wordWrap/>
        <w:overflowPunct/>
        <w:topLinePunct w:val="0"/>
        <w:autoSpaceDE/>
        <w:autoSpaceDN/>
        <w:bidi w:val="0"/>
        <w:adjustRightInd/>
        <w:snapToGrid/>
        <w:spacing w:before="157" w:beforeLines="50" w:after="157" w:afterLines="50" w:line="600" w:lineRule="exact"/>
        <w:ind w:firstLine="1280" w:firstLineChars="4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sz w:val="32"/>
          <w:szCs w:val="32"/>
          <w:lang w:eastAsia="zh-CN"/>
        </w:rPr>
        <w:t>第四章</w:t>
      </w:r>
      <w:r>
        <w:rPr>
          <w:rFonts w:hint="eastAsia" w:ascii="仿宋_GB2312" w:hAnsi="仿宋_GB2312" w:eastAsia="仿宋_GB2312" w:cs="仿宋_GB2312"/>
          <w:b w:val="0"/>
          <w:bCs w:val="0"/>
          <w:sz w:val="32"/>
          <w:szCs w:val="32"/>
          <w:lang w:val="en-US" w:eastAsia="zh-CN"/>
        </w:rPr>
        <w:t xml:space="preserve"> 信用信息归集</w:t>
      </w:r>
    </w:p>
    <w:p w14:paraId="41D87CB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line="600" w:lineRule="exact"/>
        <w:ind w:right="0" w:rightChars="0" w:firstLine="1280" w:firstLineChars="400"/>
        <w:textAlignment w:val="auto"/>
        <w:rPr>
          <w:rFonts w:hint="eastAsia" w:ascii="仿宋_GB2312" w:hAnsi="仿宋_GB2312" w:eastAsia="仿宋_GB2312" w:cs="仿宋_GB2312"/>
          <w:b w:val="0"/>
          <w:bCs w:val="0"/>
          <w:sz w:val="32"/>
          <w:szCs w:val="32"/>
          <w:shd w:val="clear" w:color="auto" w:fill="auto"/>
          <w:lang w:val="en-US" w:eastAsia="zh-CN"/>
        </w:rPr>
      </w:pPr>
      <w:r>
        <w:rPr>
          <w:rFonts w:hint="eastAsia" w:ascii="仿宋_GB2312" w:hAnsi="仿宋_GB2312" w:eastAsia="仿宋_GB2312" w:cs="仿宋_GB2312"/>
          <w:b w:val="0"/>
          <w:bCs w:val="0"/>
          <w:sz w:val="32"/>
          <w:szCs w:val="32"/>
          <w:shd w:val="clear" w:color="auto" w:fill="auto"/>
          <w:lang w:val="en-US" w:eastAsia="zh-CN"/>
        </w:rPr>
        <w:t>第五章 信用评价与发布</w:t>
      </w:r>
    </w:p>
    <w:p w14:paraId="48A8311C">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line="600" w:lineRule="exact"/>
        <w:ind w:right="0" w:rightChars="0" w:firstLine="1280" w:firstLineChars="400"/>
        <w:textAlignment w:val="auto"/>
        <w:rPr>
          <w:rFonts w:hint="eastAsia" w:ascii="仿宋_GB2312" w:hAnsi="仿宋_GB2312" w:eastAsia="仿宋_GB2312" w:cs="仿宋_GB2312"/>
          <w:b w:val="0"/>
          <w:bCs w:val="0"/>
          <w:sz w:val="32"/>
          <w:szCs w:val="32"/>
          <w:shd w:val="clear" w:color="auto" w:fill="auto"/>
          <w:lang w:val="en-US" w:eastAsia="zh-CN"/>
        </w:rPr>
      </w:pPr>
      <w:r>
        <w:rPr>
          <w:rFonts w:hint="eastAsia" w:ascii="仿宋_GB2312" w:hAnsi="仿宋_GB2312" w:eastAsia="仿宋_GB2312" w:cs="仿宋_GB2312"/>
          <w:b w:val="0"/>
          <w:bCs w:val="0"/>
          <w:sz w:val="32"/>
          <w:szCs w:val="32"/>
          <w:shd w:val="clear" w:color="auto" w:fill="auto"/>
          <w:lang w:val="en-US" w:eastAsia="zh-CN"/>
        </w:rPr>
        <w:t>第六章 信用结果应用</w:t>
      </w:r>
    </w:p>
    <w:p w14:paraId="44708F59">
      <w:pPr>
        <w:pStyle w:val="6"/>
        <w:keepNext w:val="0"/>
        <w:keepLines w:val="0"/>
        <w:pageBreakBefore w:val="0"/>
        <w:numPr>
          <w:ilvl w:val="0"/>
          <w:numId w:val="0"/>
        </w:numPr>
        <w:kinsoku/>
        <w:wordWrap/>
        <w:overflowPunct/>
        <w:topLinePunct w:val="0"/>
        <w:autoSpaceDE/>
        <w:autoSpaceDN/>
        <w:bidi w:val="0"/>
        <w:adjustRightInd/>
        <w:snapToGrid/>
        <w:spacing w:before="157" w:beforeLines="50" w:beforeAutospacing="0" w:after="157" w:afterLines="50" w:afterAutospacing="0" w:line="600" w:lineRule="exact"/>
        <w:ind w:right="0" w:rightChars="0" w:firstLine="1280" w:firstLineChars="4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第七章 信用异议与修复</w:t>
      </w:r>
    </w:p>
    <w:p w14:paraId="3ABE4E8C">
      <w:pPr>
        <w:pStyle w:val="6"/>
        <w:keepNext w:val="0"/>
        <w:keepLines w:val="0"/>
        <w:pageBreakBefore w:val="0"/>
        <w:numPr>
          <w:ilvl w:val="0"/>
          <w:numId w:val="0"/>
        </w:numPr>
        <w:kinsoku/>
        <w:wordWrap/>
        <w:overflowPunct/>
        <w:topLinePunct w:val="0"/>
        <w:autoSpaceDE/>
        <w:autoSpaceDN/>
        <w:bidi w:val="0"/>
        <w:adjustRightInd/>
        <w:snapToGrid/>
        <w:spacing w:before="157" w:beforeLines="50" w:beforeAutospacing="0" w:after="157" w:afterLines="50" w:afterAutospacing="0" w:line="600" w:lineRule="exact"/>
        <w:ind w:right="0" w:rightChars="0" w:firstLine="1280" w:firstLineChars="4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第八章 法律责任</w:t>
      </w:r>
    </w:p>
    <w:p w14:paraId="1EB775C2">
      <w:pPr>
        <w:keepNext w:val="0"/>
        <w:keepLines w:val="0"/>
        <w:pageBreakBefore w:val="0"/>
        <w:kinsoku/>
        <w:wordWrap/>
        <w:overflowPunct/>
        <w:topLinePunct w:val="0"/>
        <w:autoSpaceDE/>
        <w:autoSpaceDN/>
        <w:bidi w:val="0"/>
        <w:adjustRightInd/>
        <w:snapToGrid/>
        <w:spacing w:before="157" w:beforeLines="50" w:after="157" w:afterLines="50" w:line="600" w:lineRule="exact"/>
        <w:ind w:firstLine="1280" w:firstLineChars="400"/>
        <w:jc w:val="both"/>
        <w:textAlignment w:val="auto"/>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九</w:t>
      </w:r>
      <w:r>
        <w:rPr>
          <w:rFonts w:hint="eastAsia" w:ascii="仿宋_GB2312" w:hAnsi="仿宋_GB2312" w:eastAsia="仿宋_GB2312" w:cs="仿宋_GB2312"/>
          <w:b w:val="0"/>
          <w:bCs w:val="0"/>
          <w:sz w:val="32"/>
          <w:szCs w:val="32"/>
        </w:rPr>
        <w:t>章  附  则</w:t>
      </w:r>
    </w:p>
    <w:p w14:paraId="7E547EEF">
      <w:pPr>
        <w:rPr>
          <w:rFonts w:hint="eastAsia" w:ascii="方正小标宋简体" w:hAnsi="方正小标宋简体" w:eastAsia="方正小标宋简体" w:cs="方正小标宋简体"/>
          <w:sz w:val="44"/>
          <w:szCs w:val="44"/>
          <w:lang w:val="en-US" w:eastAsia="zh-CN"/>
        </w:rPr>
      </w:pPr>
    </w:p>
    <w:p w14:paraId="69BD3C6C">
      <w:pPr>
        <w:rPr>
          <w:rFonts w:hint="eastAsia" w:ascii="方正小标宋简体" w:hAnsi="方正小标宋简体" w:eastAsia="方正小标宋简体" w:cs="方正小标宋简体"/>
          <w:sz w:val="44"/>
          <w:szCs w:val="44"/>
          <w:lang w:val="en-US" w:eastAsia="zh-CN"/>
        </w:rPr>
      </w:pPr>
    </w:p>
    <w:p w14:paraId="3103CEE7">
      <w:pPr>
        <w:rPr>
          <w:rFonts w:hint="eastAsia" w:ascii="方正小标宋简体" w:hAnsi="方正小标宋简体" w:eastAsia="方正小标宋简体" w:cs="方正小标宋简体"/>
          <w:sz w:val="44"/>
          <w:szCs w:val="44"/>
          <w:lang w:val="en-US" w:eastAsia="zh-CN"/>
        </w:rPr>
      </w:pPr>
    </w:p>
    <w:p w14:paraId="25DEA172">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黑龙江省医疗保障信用管理办法（对照版）</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2415"/>
        <w:gridCol w:w="1394"/>
        <w:gridCol w:w="2377"/>
        <w:gridCol w:w="1033"/>
      </w:tblGrid>
      <w:tr w14:paraId="476C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689E656A">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修改前序号</w:t>
            </w:r>
          </w:p>
        </w:tc>
        <w:tc>
          <w:tcPr>
            <w:tcW w:w="2415" w:type="dxa"/>
          </w:tcPr>
          <w:p w14:paraId="40995FAE">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修改前内容</w:t>
            </w:r>
          </w:p>
        </w:tc>
        <w:tc>
          <w:tcPr>
            <w:tcW w:w="1394" w:type="dxa"/>
          </w:tcPr>
          <w:p w14:paraId="3F8AD9A1">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修改后序号</w:t>
            </w:r>
          </w:p>
        </w:tc>
        <w:tc>
          <w:tcPr>
            <w:tcW w:w="2377" w:type="dxa"/>
          </w:tcPr>
          <w:p w14:paraId="1E2B76BE">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修改后内容</w:t>
            </w:r>
          </w:p>
        </w:tc>
        <w:tc>
          <w:tcPr>
            <w:tcW w:w="1033" w:type="dxa"/>
          </w:tcPr>
          <w:p w14:paraId="68E189E0">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备注</w:t>
            </w:r>
          </w:p>
        </w:tc>
      </w:tr>
      <w:tr w14:paraId="0A35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52C116E5">
            <w:pPr>
              <w:rPr>
                <w:rFonts w:hint="eastAsia"/>
                <w:vertAlign w:val="baseline"/>
                <w:lang w:val="en-US" w:eastAsia="zh-CN"/>
              </w:rPr>
            </w:pPr>
          </w:p>
        </w:tc>
        <w:tc>
          <w:tcPr>
            <w:tcW w:w="2415" w:type="dxa"/>
          </w:tcPr>
          <w:p w14:paraId="66B194F9">
            <w:pPr>
              <w:rPr>
                <w:rFonts w:hint="default"/>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黑龙江省医疗保障信用管理暂行办法</w:t>
            </w:r>
          </w:p>
        </w:tc>
        <w:tc>
          <w:tcPr>
            <w:tcW w:w="1394" w:type="dxa"/>
          </w:tcPr>
          <w:p w14:paraId="7CF42F66">
            <w:pPr>
              <w:rPr>
                <w:rFonts w:hint="eastAsia"/>
                <w:vertAlign w:val="baseline"/>
                <w:lang w:val="en-US" w:eastAsia="zh-CN"/>
              </w:rPr>
            </w:pPr>
          </w:p>
        </w:tc>
        <w:tc>
          <w:tcPr>
            <w:tcW w:w="2377" w:type="dxa"/>
          </w:tcPr>
          <w:p w14:paraId="2DF85541">
            <w:pPr>
              <w:rPr>
                <w:rFonts w:hint="default"/>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黑龙江省医疗保障信用管理办法</w:t>
            </w:r>
          </w:p>
        </w:tc>
        <w:tc>
          <w:tcPr>
            <w:tcW w:w="1033" w:type="dxa"/>
          </w:tcPr>
          <w:p w14:paraId="6EB13CD9">
            <w:pPr>
              <w:rPr>
                <w:rFonts w:hint="eastAsia"/>
                <w:vertAlign w:val="baseline"/>
                <w:lang w:val="en-US" w:eastAsia="zh-CN"/>
              </w:rPr>
            </w:pPr>
          </w:p>
        </w:tc>
      </w:tr>
      <w:tr w14:paraId="6958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101E00B5">
            <w:pPr>
              <w:spacing w:line="560" w:lineRule="exact"/>
              <w:jc w:val="both"/>
              <w:rPr>
                <w:rFonts w:hint="eastAsia" w:ascii="黑体" w:hAnsi="黑体" w:eastAsia="黑体" w:cs="黑体"/>
                <w:sz w:val="32"/>
                <w:szCs w:val="32"/>
              </w:rPr>
            </w:pPr>
            <w:r>
              <w:rPr>
                <w:rFonts w:hint="eastAsia" w:ascii="黑体" w:hAnsi="黑体" w:eastAsia="黑体" w:cs="黑体"/>
                <w:sz w:val="32"/>
                <w:szCs w:val="32"/>
                <w:lang w:val="en-US" w:eastAsia="zh-CN"/>
              </w:rPr>
              <w:t>第一章</w:t>
            </w:r>
            <w:r>
              <w:rPr>
                <w:rFonts w:hint="eastAsia" w:ascii="黑体" w:hAnsi="黑体" w:eastAsia="黑体" w:cs="黑体"/>
                <w:sz w:val="32"/>
                <w:szCs w:val="32"/>
              </w:rPr>
              <w:t>总则</w:t>
            </w:r>
          </w:p>
          <w:p w14:paraId="69BE1648">
            <w:pPr>
              <w:rPr>
                <w:rFonts w:hint="eastAsia"/>
                <w:vertAlign w:val="baseline"/>
                <w:lang w:val="en-US" w:eastAsia="zh-CN"/>
              </w:rPr>
            </w:pPr>
          </w:p>
        </w:tc>
        <w:tc>
          <w:tcPr>
            <w:tcW w:w="2415" w:type="dxa"/>
          </w:tcPr>
          <w:p w14:paraId="73FEC040">
            <w:pPr>
              <w:rPr>
                <w:rFonts w:hint="eastAsia"/>
                <w:vertAlign w:val="baseline"/>
                <w:lang w:val="en-US" w:eastAsia="zh-CN"/>
              </w:rPr>
            </w:pPr>
          </w:p>
        </w:tc>
        <w:tc>
          <w:tcPr>
            <w:tcW w:w="1394" w:type="dxa"/>
          </w:tcPr>
          <w:p w14:paraId="74942344">
            <w:pPr>
              <w:spacing w:line="560" w:lineRule="exact"/>
              <w:jc w:val="both"/>
              <w:rPr>
                <w:rFonts w:hint="eastAsia" w:ascii="黑体" w:hAnsi="黑体" w:eastAsia="黑体" w:cs="黑体"/>
                <w:sz w:val="32"/>
                <w:szCs w:val="32"/>
              </w:rPr>
            </w:pPr>
            <w:r>
              <w:rPr>
                <w:rFonts w:hint="eastAsia" w:ascii="黑体" w:hAnsi="黑体" w:eastAsia="黑体" w:cs="黑体"/>
                <w:sz w:val="32"/>
                <w:szCs w:val="32"/>
                <w:lang w:val="en-US" w:eastAsia="zh-CN"/>
              </w:rPr>
              <w:t>第一章</w:t>
            </w:r>
            <w:r>
              <w:rPr>
                <w:rFonts w:hint="eastAsia" w:ascii="黑体" w:hAnsi="黑体" w:eastAsia="黑体" w:cs="黑体"/>
                <w:sz w:val="32"/>
                <w:szCs w:val="32"/>
              </w:rPr>
              <w:t>总则</w:t>
            </w:r>
          </w:p>
          <w:p w14:paraId="1DCF7B75">
            <w:pPr>
              <w:rPr>
                <w:rFonts w:hint="eastAsia"/>
                <w:vertAlign w:val="baseline"/>
                <w:lang w:val="en-US" w:eastAsia="zh-CN"/>
              </w:rPr>
            </w:pPr>
          </w:p>
        </w:tc>
        <w:tc>
          <w:tcPr>
            <w:tcW w:w="2377" w:type="dxa"/>
          </w:tcPr>
          <w:p w14:paraId="11B260AE">
            <w:pPr>
              <w:rPr>
                <w:rFonts w:hint="eastAsia"/>
                <w:vertAlign w:val="baseline"/>
                <w:lang w:val="en-US" w:eastAsia="zh-CN"/>
              </w:rPr>
            </w:pPr>
          </w:p>
        </w:tc>
        <w:tc>
          <w:tcPr>
            <w:tcW w:w="1033" w:type="dxa"/>
          </w:tcPr>
          <w:p w14:paraId="24517C37">
            <w:pPr>
              <w:rPr>
                <w:rFonts w:hint="eastAsia"/>
                <w:vertAlign w:val="baseline"/>
                <w:lang w:val="en-US" w:eastAsia="zh-CN"/>
              </w:rPr>
            </w:pPr>
          </w:p>
        </w:tc>
      </w:tr>
      <w:tr w14:paraId="30EE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1B1B1833">
            <w:pPr>
              <w:rPr>
                <w:rFonts w:hint="default"/>
                <w:vertAlign w:val="baseline"/>
                <w:lang w:val="en-US" w:eastAsia="zh-CN"/>
              </w:rPr>
            </w:pPr>
            <w:r>
              <w:rPr>
                <w:rFonts w:hint="eastAsia" w:ascii="仿宋_GB2312" w:hAnsi="仿宋_GB2312" w:eastAsia="仿宋_GB2312" w:cs="仿宋_GB2312"/>
                <w:sz w:val="32"/>
                <w:szCs w:val="32"/>
                <w:vertAlign w:val="baseline"/>
                <w:lang w:val="en-US" w:eastAsia="zh-CN"/>
              </w:rPr>
              <w:t>第一条</w:t>
            </w:r>
          </w:p>
        </w:tc>
        <w:tc>
          <w:tcPr>
            <w:tcW w:w="2415" w:type="dxa"/>
          </w:tcPr>
          <w:p w14:paraId="44CEEC76">
            <w:pPr>
              <w:ind w:firstLine="640" w:firstLineChars="200"/>
              <w:rPr>
                <w:rFonts w:hint="default"/>
                <w:vertAlign w:val="baseline"/>
                <w:lang w:val="en-US" w:eastAsia="zh-CN"/>
              </w:rPr>
            </w:pPr>
            <w:r>
              <w:rPr>
                <w:rFonts w:ascii="Times New Roman" w:hAnsi="Times New Roman" w:eastAsia="仿宋_GB2312" w:cs="Times New Roman"/>
                <w:sz w:val="32"/>
                <w:szCs w:val="32"/>
              </w:rPr>
              <w:t>为了规范医疗保障领域信用管理，提高诚信意识和信用水平，维护公民医疗保障合法权益，依据有关法律、法规，结合本省实际，制定本办法。</w:t>
            </w:r>
          </w:p>
        </w:tc>
        <w:tc>
          <w:tcPr>
            <w:tcW w:w="1394" w:type="dxa"/>
          </w:tcPr>
          <w:p w14:paraId="75EB075D">
            <w:pPr>
              <w:rPr>
                <w:rFonts w:hint="default"/>
                <w:vertAlign w:val="baseline"/>
                <w:lang w:val="en-US" w:eastAsia="zh-CN"/>
              </w:rPr>
            </w:pPr>
            <w:r>
              <w:rPr>
                <w:rFonts w:hint="eastAsia" w:ascii="仿宋_GB2312" w:hAnsi="仿宋_GB2312" w:eastAsia="仿宋_GB2312" w:cs="仿宋_GB2312"/>
                <w:sz w:val="32"/>
                <w:szCs w:val="32"/>
                <w:vertAlign w:val="baseline"/>
                <w:lang w:val="en-US" w:eastAsia="zh-CN"/>
              </w:rPr>
              <w:t>第一条</w:t>
            </w:r>
          </w:p>
        </w:tc>
        <w:tc>
          <w:tcPr>
            <w:tcW w:w="2377" w:type="dxa"/>
          </w:tcPr>
          <w:p w14:paraId="76C9F50D">
            <w:pPr>
              <w:ind w:firstLine="640" w:firstLineChars="200"/>
              <w:rPr>
                <w:rFonts w:hint="default"/>
                <w:vertAlign w:val="baseline"/>
                <w:lang w:val="en-US" w:eastAsia="zh-CN"/>
              </w:rPr>
            </w:pPr>
            <w:r>
              <w:rPr>
                <w:rFonts w:hint="eastAsia" w:ascii="仿宋" w:hAnsi="仿宋" w:eastAsia="仿宋" w:cs="仿宋"/>
                <w:sz w:val="32"/>
                <w:szCs w:val="32"/>
                <w:lang w:val="en-US" w:eastAsia="zh-CN"/>
              </w:rPr>
              <w:t>【目的依据】</w:t>
            </w:r>
            <w:r>
              <w:rPr>
                <w:rFonts w:ascii="Times New Roman" w:hAnsi="Times New Roman" w:eastAsia="仿宋_GB2312" w:cs="Times New Roman"/>
                <w:sz w:val="32"/>
                <w:szCs w:val="32"/>
              </w:rPr>
              <w:t>为了规范医疗保障领域信用管理，提高诚信意识和信用水平，维护公民医疗保障合法权益，依据有关法律、法规，结合本省实际，制定本办法。</w:t>
            </w:r>
          </w:p>
        </w:tc>
        <w:tc>
          <w:tcPr>
            <w:tcW w:w="1033" w:type="dxa"/>
          </w:tcPr>
          <w:p w14:paraId="64CAE5D8">
            <w:pPr>
              <w:rPr>
                <w:rFonts w:hint="default"/>
                <w:vertAlign w:val="baseline"/>
                <w:lang w:val="en-US" w:eastAsia="zh-CN"/>
              </w:rPr>
            </w:pPr>
          </w:p>
        </w:tc>
      </w:tr>
      <w:tr w14:paraId="2AD9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4A28A246">
            <w:pPr>
              <w:rPr>
                <w:rFonts w:hint="default"/>
                <w:vertAlign w:val="baseline"/>
                <w:lang w:val="en-US" w:eastAsia="zh-CN"/>
              </w:rPr>
            </w:pPr>
            <w:r>
              <w:rPr>
                <w:rFonts w:ascii="Times New Roman" w:hAnsi="Times New Roman" w:eastAsia="仿宋_GB2312" w:cs="Times New Roman"/>
                <w:sz w:val="32"/>
                <w:szCs w:val="32"/>
              </w:rPr>
              <w:t xml:space="preserve">第二条 </w:t>
            </w:r>
          </w:p>
        </w:tc>
        <w:tc>
          <w:tcPr>
            <w:tcW w:w="2415" w:type="dxa"/>
          </w:tcPr>
          <w:p w14:paraId="40F484BA">
            <w:pPr>
              <w:ind w:firstLine="640" w:firstLineChars="200"/>
              <w:rPr>
                <w:rFonts w:hint="default"/>
                <w:vertAlign w:val="baseline"/>
                <w:lang w:val="en-US" w:eastAsia="zh-CN"/>
              </w:rPr>
            </w:pPr>
            <w:r>
              <w:rPr>
                <w:rFonts w:ascii="Times New Roman" w:hAnsi="Times New Roman" w:eastAsia="仿宋_GB2312" w:cs="Times New Roman"/>
                <w:sz w:val="32"/>
                <w:szCs w:val="32"/>
              </w:rPr>
              <w:t>本省行政区域内医疗保障信用主体（以下简称“信用主体”）的医疗保障信用信息采集、信用承诺、评价、发布、结果应用、信用修复等管理活动，适用本办法。</w:t>
            </w:r>
          </w:p>
        </w:tc>
        <w:tc>
          <w:tcPr>
            <w:tcW w:w="1394" w:type="dxa"/>
          </w:tcPr>
          <w:p w14:paraId="024F0EA8">
            <w:pPr>
              <w:rPr>
                <w:rFonts w:hint="default"/>
                <w:vertAlign w:val="baseline"/>
                <w:lang w:val="en-US" w:eastAsia="zh-CN"/>
              </w:rPr>
            </w:pPr>
            <w:r>
              <w:rPr>
                <w:rFonts w:ascii="Times New Roman" w:hAnsi="Times New Roman" w:eastAsia="仿宋_GB2312" w:cs="Times New Roman"/>
                <w:sz w:val="32"/>
                <w:szCs w:val="32"/>
              </w:rPr>
              <w:t>第二条</w:t>
            </w:r>
          </w:p>
        </w:tc>
        <w:tc>
          <w:tcPr>
            <w:tcW w:w="2377" w:type="dxa"/>
          </w:tcPr>
          <w:p w14:paraId="4666295D">
            <w:pPr>
              <w:ind w:firstLine="640" w:firstLineChars="200"/>
              <w:rPr>
                <w:rFonts w:hint="default"/>
                <w:vertAlign w:val="baseline"/>
                <w:lang w:val="en-US" w:eastAsia="zh-CN"/>
              </w:rPr>
            </w:pPr>
            <w:r>
              <w:rPr>
                <w:rFonts w:hint="eastAsia" w:ascii="仿宋" w:hAnsi="仿宋" w:eastAsia="仿宋" w:cs="仿宋"/>
                <w:sz w:val="32"/>
                <w:szCs w:val="32"/>
              </w:rPr>
              <w:t>【适用范围】</w:t>
            </w:r>
            <w:r>
              <w:rPr>
                <w:rFonts w:ascii="Times New Roman" w:hAnsi="Times New Roman" w:eastAsia="仿宋_GB2312" w:cs="Times New Roman"/>
                <w:sz w:val="32"/>
                <w:szCs w:val="32"/>
              </w:rPr>
              <w:t>本省行政区域内医疗保障信用主体（以下简称“信用主体”）的医疗保障信用信息</w:t>
            </w:r>
            <w:r>
              <w:rPr>
                <w:rFonts w:hint="eastAsia" w:ascii="Times New Roman" w:hAnsi="Times New Roman" w:eastAsia="仿宋_GB2312" w:cs="Times New Roman"/>
                <w:color w:val="C00000"/>
                <w:sz w:val="32"/>
                <w:szCs w:val="32"/>
                <w:lang w:val="en-US" w:eastAsia="zh-CN"/>
              </w:rPr>
              <w:t>归</w:t>
            </w:r>
            <w:r>
              <w:rPr>
                <w:rFonts w:ascii="Times New Roman" w:hAnsi="Times New Roman" w:eastAsia="仿宋_GB2312" w:cs="Times New Roman"/>
                <w:sz w:val="32"/>
                <w:szCs w:val="32"/>
              </w:rPr>
              <w:t>集、信用承诺、评价、发布、结果应用、信用修复等管理活动，适用本办法。</w:t>
            </w:r>
          </w:p>
        </w:tc>
        <w:tc>
          <w:tcPr>
            <w:tcW w:w="1033" w:type="dxa"/>
          </w:tcPr>
          <w:p w14:paraId="33A1B384">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红字部分为修改内容</w:t>
            </w:r>
          </w:p>
        </w:tc>
      </w:tr>
      <w:tr w14:paraId="0D71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0DF84865">
            <w:pPr>
              <w:rPr>
                <w:rFonts w:hint="default"/>
                <w:vertAlign w:val="baseline"/>
                <w:lang w:val="en-US" w:eastAsia="zh-CN"/>
              </w:rPr>
            </w:pPr>
            <w:r>
              <w:rPr>
                <w:rFonts w:ascii="Times New Roman" w:hAnsi="Times New Roman" w:eastAsia="仿宋_GB2312" w:cs="Times New Roman"/>
                <w:sz w:val="32"/>
                <w:szCs w:val="32"/>
              </w:rPr>
              <w:t>第三条</w:t>
            </w:r>
          </w:p>
        </w:tc>
        <w:tc>
          <w:tcPr>
            <w:tcW w:w="2415" w:type="dxa"/>
          </w:tcPr>
          <w:p w14:paraId="4217A444">
            <w:pPr>
              <w:ind w:firstLine="640" w:firstLineChars="200"/>
              <w:rPr>
                <w:rFonts w:hint="default"/>
                <w:vertAlign w:val="baseline"/>
                <w:lang w:val="en-US" w:eastAsia="zh-CN"/>
              </w:rPr>
            </w:pPr>
            <w:r>
              <w:rPr>
                <w:rFonts w:ascii="Times New Roman" w:hAnsi="Times New Roman" w:eastAsia="仿宋_GB2312" w:cs="Times New Roman"/>
                <w:sz w:val="32"/>
                <w:szCs w:val="32"/>
              </w:rPr>
              <w:t>本办法所称医疗保障信用管理，是指医疗保障行政管理部门依法依规运用公共信用综合评价结果和医疗保障领域信用信息，对信用主体进行动态评价，依据评价结果确定信用主体医疗保障信用等级（以下简称“信用等级”），依据信用等级对信用主体实施信用分级分类监管的全过程。</w:t>
            </w:r>
          </w:p>
        </w:tc>
        <w:tc>
          <w:tcPr>
            <w:tcW w:w="1394" w:type="dxa"/>
          </w:tcPr>
          <w:p w14:paraId="68B8E755">
            <w:pPr>
              <w:rPr>
                <w:rFonts w:hint="default"/>
                <w:vertAlign w:val="baseline"/>
                <w:lang w:val="en-US" w:eastAsia="zh-CN"/>
              </w:rPr>
            </w:pPr>
            <w:r>
              <w:rPr>
                <w:rFonts w:ascii="Times New Roman" w:hAnsi="Times New Roman" w:eastAsia="仿宋_GB2312" w:cs="Times New Roman"/>
                <w:sz w:val="32"/>
                <w:szCs w:val="32"/>
              </w:rPr>
              <w:t>第三条</w:t>
            </w:r>
          </w:p>
        </w:tc>
        <w:tc>
          <w:tcPr>
            <w:tcW w:w="2377" w:type="dxa"/>
          </w:tcPr>
          <w:p w14:paraId="53A607AD">
            <w:pPr>
              <w:ind w:firstLine="640" w:firstLineChars="200"/>
              <w:rPr>
                <w:rFonts w:hint="default"/>
                <w:vertAlign w:val="baseline"/>
                <w:lang w:val="en-US" w:eastAsia="zh-CN"/>
              </w:rPr>
            </w:pPr>
            <w:r>
              <w:rPr>
                <w:rFonts w:hint="eastAsia" w:ascii="仿宋" w:hAnsi="仿宋" w:eastAsia="仿宋" w:cs="仿宋"/>
                <w:sz w:val="32"/>
                <w:szCs w:val="32"/>
                <w:lang w:eastAsia="zh-CN"/>
              </w:rPr>
              <w:t>【信用管理定义】</w:t>
            </w:r>
            <w:r>
              <w:rPr>
                <w:rFonts w:ascii="Times New Roman" w:hAnsi="Times New Roman" w:eastAsia="仿宋_GB2312" w:cs="Times New Roman"/>
                <w:sz w:val="32"/>
                <w:szCs w:val="32"/>
              </w:rPr>
              <w:t>本办法所称医疗保障信用管理，是指医疗保障行政管理部门依法依规运用公共信用综合评价结果和医疗保障领域信用信息，对信用主体进行动态评价，依据评价结果确定信用主体医疗保障信用等级（以下简称“信用等级”），依据信用等级对信用主体实施信用分级分类监管的全过程。</w:t>
            </w:r>
          </w:p>
        </w:tc>
        <w:tc>
          <w:tcPr>
            <w:tcW w:w="1033" w:type="dxa"/>
          </w:tcPr>
          <w:p w14:paraId="5271BD71">
            <w:pPr>
              <w:rPr>
                <w:rFonts w:hint="default"/>
                <w:vertAlign w:val="baseline"/>
                <w:lang w:val="en-US" w:eastAsia="zh-CN"/>
              </w:rPr>
            </w:pPr>
          </w:p>
        </w:tc>
      </w:tr>
      <w:tr w14:paraId="72D1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4FCA70C6">
            <w:pPr>
              <w:rPr>
                <w:rFonts w:hint="default"/>
                <w:vertAlign w:val="baseline"/>
                <w:lang w:val="en-US" w:eastAsia="zh-CN"/>
              </w:rPr>
            </w:pPr>
            <w:r>
              <w:rPr>
                <w:rFonts w:ascii="Times New Roman" w:hAnsi="Times New Roman" w:eastAsia="仿宋_GB2312" w:cs="Times New Roman"/>
                <w:sz w:val="32"/>
                <w:szCs w:val="32"/>
              </w:rPr>
              <w:t>第四条</w:t>
            </w:r>
          </w:p>
        </w:tc>
        <w:tc>
          <w:tcPr>
            <w:tcW w:w="2415" w:type="dxa"/>
          </w:tcPr>
          <w:p w14:paraId="619B8056">
            <w:pPr>
              <w:ind w:firstLine="640" w:firstLineChars="200"/>
              <w:rPr>
                <w:rFonts w:hint="default"/>
                <w:vertAlign w:val="baseline"/>
                <w:lang w:val="en-US" w:eastAsia="zh-CN"/>
              </w:rPr>
            </w:pPr>
            <w:r>
              <w:rPr>
                <w:rFonts w:ascii="Times New Roman" w:hAnsi="Times New Roman" w:eastAsia="仿宋_GB2312" w:cs="Times New Roman"/>
                <w:sz w:val="32"/>
                <w:szCs w:val="32"/>
              </w:rPr>
              <w:t>医疗保障信用管理坚持以人民健康为中心，坚持依法依规、公开透明、动态调整、共建共享、保护权益、奖惩结合的原则。不得损害国家和社会公共利益，不得泄露国家秘密、商业秘密和个人隐私。</w:t>
            </w:r>
          </w:p>
        </w:tc>
        <w:tc>
          <w:tcPr>
            <w:tcW w:w="1394" w:type="dxa"/>
          </w:tcPr>
          <w:p w14:paraId="4B46F6E7">
            <w:pPr>
              <w:rPr>
                <w:rFonts w:hint="default"/>
                <w:vertAlign w:val="baseline"/>
                <w:lang w:val="en-US" w:eastAsia="zh-CN"/>
              </w:rPr>
            </w:pPr>
            <w:r>
              <w:rPr>
                <w:rFonts w:ascii="Times New Roman" w:hAnsi="Times New Roman" w:eastAsia="仿宋_GB2312" w:cs="Times New Roman"/>
                <w:sz w:val="32"/>
                <w:szCs w:val="32"/>
              </w:rPr>
              <w:t>第四条</w:t>
            </w:r>
          </w:p>
        </w:tc>
        <w:tc>
          <w:tcPr>
            <w:tcW w:w="2377" w:type="dxa"/>
          </w:tcPr>
          <w:p w14:paraId="05186F8B">
            <w:pPr>
              <w:ind w:firstLine="640" w:firstLineChars="200"/>
              <w:rPr>
                <w:rFonts w:hint="default"/>
                <w:vertAlign w:val="baseline"/>
                <w:lang w:val="en-US" w:eastAsia="zh-CN"/>
              </w:rPr>
            </w:pPr>
            <w:r>
              <w:rPr>
                <w:rFonts w:hint="eastAsia" w:ascii="仿宋" w:hAnsi="仿宋" w:eastAsia="仿宋" w:cs="仿宋"/>
                <w:sz w:val="32"/>
                <w:szCs w:val="32"/>
                <w:lang w:eastAsia="zh-CN"/>
              </w:rPr>
              <w:t>【遵循原则】</w:t>
            </w:r>
            <w:r>
              <w:rPr>
                <w:rFonts w:ascii="Times New Roman" w:hAnsi="Times New Roman" w:eastAsia="仿宋_GB2312" w:cs="Times New Roman"/>
                <w:sz w:val="32"/>
                <w:szCs w:val="32"/>
              </w:rPr>
              <w:t>医疗保障信用管理坚持以人民健康为中心，坚持依法依规、公开透明、动态调整、共建共享、保护权益、奖惩结合的原则。不得损害国家和社会公共利益，不得泄露国家秘密、商业秘密和个人隐私。</w:t>
            </w:r>
          </w:p>
        </w:tc>
        <w:tc>
          <w:tcPr>
            <w:tcW w:w="1033" w:type="dxa"/>
          </w:tcPr>
          <w:p w14:paraId="0D554CAB">
            <w:pPr>
              <w:rPr>
                <w:rFonts w:hint="default"/>
                <w:vertAlign w:val="baseline"/>
                <w:lang w:val="en-US" w:eastAsia="zh-CN"/>
              </w:rPr>
            </w:pPr>
          </w:p>
        </w:tc>
      </w:tr>
      <w:tr w14:paraId="4BF7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1BBFCAD3">
            <w:pPr>
              <w:rPr>
                <w:rFonts w:hint="default"/>
                <w:vertAlign w:val="baseline"/>
                <w:lang w:val="en-US" w:eastAsia="zh-CN"/>
              </w:rPr>
            </w:pPr>
            <w:r>
              <w:rPr>
                <w:rFonts w:ascii="Times New Roman" w:hAnsi="Times New Roman" w:eastAsia="仿宋_GB2312" w:cs="Times New Roman"/>
                <w:sz w:val="32"/>
                <w:szCs w:val="32"/>
              </w:rPr>
              <w:t>第五条</w:t>
            </w:r>
          </w:p>
        </w:tc>
        <w:tc>
          <w:tcPr>
            <w:tcW w:w="2415" w:type="dxa"/>
          </w:tcPr>
          <w:p w14:paraId="713C1ED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省级医疗保障行政管理部门负责全省医疗保障信用管理工作，统筹制度建设、标准制定，开发和维护医疗保障信用评价管理系统，指导和监督全省医疗保障信用管理工作。</w:t>
            </w:r>
          </w:p>
          <w:p w14:paraId="6ECF272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市（地）医疗保障行政管理部门负责本行政区域内的医疗保障信用管理工作，组织医疗保障信用管理相关信息的采集、录入、审核，依法依规开展信用评价并做好评价结果的运用和公开等工作。</w:t>
            </w:r>
          </w:p>
          <w:p w14:paraId="5AA1A9B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县级医疗保障行政管理部门按照市（地）医疗保障行政管理部门的要求，具体做好本行政区域内的医疗保障信用管理工作。</w:t>
            </w:r>
          </w:p>
          <w:p w14:paraId="0A2E467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医疗保障行政管理部门可授权医疗保障经办机构承担医疗保障信用管理的具体工作，也可委托经国务院征信业监督管理部门许可或备案的第三方信用服务机构开展信用主体的信用评价工作。</w:t>
            </w:r>
          </w:p>
          <w:p w14:paraId="1F9CCEB3">
            <w:pPr>
              <w:rPr>
                <w:rFonts w:hint="default"/>
                <w:vertAlign w:val="baseline"/>
                <w:lang w:val="en-US" w:eastAsia="zh-CN"/>
              </w:rPr>
            </w:pPr>
          </w:p>
        </w:tc>
        <w:tc>
          <w:tcPr>
            <w:tcW w:w="1394" w:type="dxa"/>
          </w:tcPr>
          <w:p w14:paraId="53A193C5">
            <w:pPr>
              <w:rPr>
                <w:rFonts w:hint="default"/>
                <w:vertAlign w:val="baseline"/>
                <w:lang w:val="en-US" w:eastAsia="zh-CN"/>
              </w:rPr>
            </w:pPr>
            <w:r>
              <w:rPr>
                <w:rFonts w:ascii="Times New Roman" w:hAnsi="Times New Roman" w:eastAsia="仿宋_GB2312" w:cs="Times New Roman"/>
                <w:sz w:val="32"/>
                <w:szCs w:val="32"/>
              </w:rPr>
              <w:t>第五条</w:t>
            </w:r>
          </w:p>
        </w:tc>
        <w:tc>
          <w:tcPr>
            <w:tcW w:w="2377" w:type="dxa"/>
          </w:tcPr>
          <w:p w14:paraId="5DE55867">
            <w:pPr>
              <w:spacing w:line="560" w:lineRule="exact"/>
              <w:ind w:firstLine="640" w:firstLineChars="200"/>
              <w:rPr>
                <w:rFonts w:ascii="Times New Roman" w:hAnsi="Times New Roman" w:eastAsia="仿宋_GB2312" w:cs="Times New Roman"/>
                <w:sz w:val="32"/>
                <w:szCs w:val="32"/>
              </w:rPr>
            </w:pPr>
            <w:r>
              <w:rPr>
                <w:rFonts w:hint="eastAsia" w:ascii="仿宋" w:hAnsi="仿宋" w:eastAsia="仿宋" w:cs="仿宋"/>
                <w:sz w:val="32"/>
                <w:szCs w:val="32"/>
                <w:lang w:eastAsia="zh-CN"/>
              </w:rPr>
              <w:t>【部门职责】</w:t>
            </w:r>
            <w:r>
              <w:rPr>
                <w:rFonts w:ascii="Times New Roman" w:hAnsi="Times New Roman" w:eastAsia="仿宋_GB2312" w:cs="Times New Roman"/>
                <w:sz w:val="32"/>
                <w:szCs w:val="32"/>
              </w:rPr>
              <w:t>省级医疗保障行政管理部门</w:t>
            </w:r>
            <w:r>
              <w:rPr>
                <w:rFonts w:hint="eastAsia" w:ascii="Times New Roman" w:hAnsi="Times New Roman" w:eastAsia="仿宋_GB2312" w:cs="Times New Roman"/>
                <w:sz w:val="32"/>
                <w:szCs w:val="32"/>
                <w:lang w:val="en-US" w:eastAsia="zh-CN"/>
              </w:rPr>
              <w:t>负责</w:t>
            </w:r>
            <w:r>
              <w:rPr>
                <w:rFonts w:hint="eastAsia" w:ascii="Times New Roman" w:hAnsi="Times New Roman" w:eastAsia="仿宋_GB2312" w:cs="Times New Roman"/>
                <w:color w:val="C00000"/>
                <w:sz w:val="32"/>
                <w:szCs w:val="32"/>
                <w:lang w:val="en-US" w:eastAsia="zh-CN"/>
              </w:rPr>
              <w:t>统筹</w:t>
            </w:r>
            <w:r>
              <w:rPr>
                <w:rFonts w:ascii="Times New Roman" w:hAnsi="Times New Roman" w:eastAsia="仿宋_GB2312" w:cs="Times New Roman"/>
                <w:sz w:val="32"/>
                <w:szCs w:val="32"/>
              </w:rPr>
              <w:t>全省医疗保障信用管理工作，统筹制度建设、标准制定，开发和维护医疗保障信用评价管理系统，指导和监督全省医疗保障信用管理工作。</w:t>
            </w:r>
          </w:p>
          <w:p w14:paraId="17F5BED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市（地）医疗保障行政管理部门负责本行政区域内的医疗保障信用管理工作，组织医疗保障信用管理相关信息的</w:t>
            </w:r>
            <w:r>
              <w:rPr>
                <w:rFonts w:hint="eastAsia" w:ascii="Times New Roman" w:hAnsi="Times New Roman" w:eastAsia="仿宋_GB2312" w:cs="Times New Roman"/>
                <w:color w:val="C00000"/>
                <w:sz w:val="32"/>
                <w:szCs w:val="32"/>
                <w:lang w:val="en-US" w:eastAsia="zh-CN"/>
              </w:rPr>
              <w:t>归</w:t>
            </w:r>
            <w:r>
              <w:rPr>
                <w:rFonts w:ascii="Times New Roman" w:hAnsi="Times New Roman" w:eastAsia="仿宋_GB2312" w:cs="Times New Roman"/>
                <w:sz w:val="32"/>
                <w:szCs w:val="32"/>
              </w:rPr>
              <w:t>集、录入、审核，依法依规开展信用评价并做好评价结果的运用和公开等</w:t>
            </w:r>
            <w:r>
              <w:rPr>
                <w:rFonts w:hint="eastAsia" w:ascii="Times New Roman" w:hAnsi="Times New Roman" w:eastAsia="仿宋_GB2312" w:cs="Times New Roman"/>
                <w:color w:val="C00000"/>
                <w:sz w:val="32"/>
                <w:szCs w:val="32"/>
                <w:lang w:val="en-US" w:eastAsia="zh-CN"/>
              </w:rPr>
              <w:t>医疗保障信用管理</w:t>
            </w:r>
            <w:r>
              <w:rPr>
                <w:rFonts w:ascii="Times New Roman" w:hAnsi="Times New Roman" w:eastAsia="仿宋_GB2312" w:cs="Times New Roman"/>
                <w:sz w:val="32"/>
                <w:szCs w:val="32"/>
              </w:rPr>
              <w:t>工作。</w:t>
            </w:r>
          </w:p>
          <w:p w14:paraId="35A31AF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县级医疗保障行政管理部门按照市（地）医疗保障行政管理部门的要求，具体做好本行政区域内的医疗保障信用管理工作。</w:t>
            </w:r>
          </w:p>
          <w:p w14:paraId="3C2DD1B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医疗保障行政管理部门可授权医疗保障经办机构承担医疗保障信用管理的具体工作，也可委托经国务院征信业监督管理部门许可或备案的第三方信用服务机构开展信用主体的信用评价工作。</w:t>
            </w:r>
          </w:p>
          <w:p w14:paraId="14E081FA">
            <w:pPr>
              <w:rPr>
                <w:rFonts w:hint="default"/>
                <w:vertAlign w:val="baseline"/>
                <w:lang w:val="en-US" w:eastAsia="zh-CN"/>
              </w:rPr>
            </w:pPr>
          </w:p>
        </w:tc>
        <w:tc>
          <w:tcPr>
            <w:tcW w:w="1033" w:type="dxa"/>
          </w:tcPr>
          <w:p w14:paraId="1C1BCB84">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红字部分为修改内容</w:t>
            </w:r>
          </w:p>
        </w:tc>
      </w:tr>
      <w:tr w14:paraId="124B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1458D32C">
            <w:pPr>
              <w:rPr>
                <w:rFonts w:ascii="Times New Roman" w:hAnsi="Times New Roman" w:eastAsia="仿宋_GB2312" w:cs="Times New Roman"/>
                <w:sz w:val="32"/>
                <w:szCs w:val="32"/>
              </w:rPr>
            </w:pPr>
          </w:p>
        </w:tc>
        <w:tc>
          <w:tcPr>
            <w:tcW w:w="2415" w:type="dxa"/>
          </w:tcPr>
          <w:p w14:paraId="526DE1E2">
            <w:pPr>
              <w:ind w:firstLine="640" w:firstLineChars="200"/>
              <w:rPr>
                <w:rFonts w:ascii="Times New Roman" w:hAnsi="Times New Roman" w:eastAsia="仿宋_GB2312" w:cs="Times New Roman"/>
                <w:sz w:val="32"/>
                <w:szCs w:val="32"/>
              </w:rPr>
            </w:pPr>
          </w:p>
        </w:tc>
        <w:tc>
          <w:tcPr>
            <w:tcW w:w="1394" w:type="dxa"/>
          </w:tcPr>
          <w:p w14:paraId="357E3303">
            <w:pP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C00000"/>
                <w:sz w:val="32"/>
                <w:szCs w:val="32"/>
                <w:lang w:val="en-US" w:eastAsia="zh-CN"/>
              </w:rPr>
              <w:t>第六条</w:t>
            </w:r>
          </w:p>
        </w:tc>
        <w:tc>
          <w:tcPr>
            <w:tcW w:w="2377" w:type="dxa"/>
          </w:tcPr>
          <w:p w14:paraId="40B47103">
            <w:pPr>
              <w:keepNext w:val="0"/>
              <w:keepLines w:val="0"/>
              <w:widowControl/>
              <w:suppressLineNumbers w:val="0"/>
              <w:ind w:firstLine="640" w:firstLineChars="200"/>
              <w:jc w:val="left"/>
              <w:rPr>
                <w:rFonts w:ascii="Times New Roman" w:hAnsi="Times New Roman" w:eastAsia="仿宋_GB2312" w:cs="Times New Roman"/>
                <w:sz w:val="32"/>
                <w:szCs w:val="32"/>
              </w:rPr>
            </w:pPr>
            <w:r>
              <w:rPr>
                <w:rFonts w:hint="eastAsia" w:ascii="仿宋" w:hAnsi="仿宋" w:eastAsia="仿宋" w:cs="仿宋"/>
                <w:color w:val="C00000"/>
                <w:sz w:val="32"/>
                <w:szCs w:val="32"/>
                <w:shd w:val="clear" w:color="auto" w:fill="auto"/>
                <w:lang w:val="en-US" w:eastAsia="zh-CN"/>
              </w:rPr>
              <w:t>【信用信息共享和体制机制建设】</w:t>
            </w:r>
            <w:r>
              <w:rPr>
                <w:rFonts w:hint="eastAsia" w:ascii="仿宋_GB2312" w:hAnsi="仿宋_GB2312" w:eastAsia="仿宋_GB2312" w:cs="仿宋_GB2312"/>
                <w:color w:val="C00000"/>
                <w:sz w:val="32"/>
                <w:szCs w:val="32"/>
                <w:u w:val="none"/>
                <w:lang w:val="en-US" w:eastAsia="zh-CN"/>
              </w:rPr>
              <w:t>各级医疗保障部门应当与</w:t>
            </w:r>
            <w:r>
              <w:rPr>
                <w:rFonts w:hint="eastAsia" w:ascii="仿宋_GB2312" w:hAnsi="仿宋_GB2312" w:eastAsia="仿宋_GB2312" w:cs="仿宋_GB2312"/>
                <w:color w:val="C00000"/>
                <w:kern w:val="0"/>
                <w:sz w:val="32"/>
                <w:szCs w:val="32"/>
                <w:lang w:val="en-US" w:eastAsia="zh-CN" w:bidi="ar"/>
              </w:rPr>
              <w:t>其他有关部门建立健全信用信息共建共享机制和</w:t>
            </w:r>
            <w:r>
              <w:rPr>
                <w:rFonts w:hint="eastAsia" w:ascii="仿宋_GB2312" w:hAnsi="仿宋_GB2312" w:eastAsia="仿宋_GB2312" w:cs="仿宋_GB2312"/>
                <w:color w:val="C00000"/>
                <w:sz w:val="32"/>
                <w:szCs w:val="32"/>
                <w:u w:val="none"/>
                <w:lang w:val="en-US" w:eastAsia="zh-CN"/>
              </w:rPr>
              <w:t>部门间协同机制</w:t>
            </w:r>
            <w:r>
              <w:rPr>
                <w:rFonts w:ascii="Times New Roman" w:hAnsi="Times New Roman" w:eastAsia="仿宋_GB2312" w:cs="Times New Roman"/>
                <w:sz w:val="32"/>
                <w:szCs w:val="32"/>
              </w:rPr>
              <w:t>，实现互联互通、数据共享，推动医疗保障信用与其他信用联动管理。</w:t>
            </w:r>
            <w:r>
              <w:rPr>
                <w:rFonts w:hint="default" w:ascii="Times New Roman" w:hAnsi="Times New Roman" w:eastAsia="仿宋_GB2312" w:cs="Times New Roman"/>
                <w:b w:val="0"/>
                <w:bCs w:val="0"/>
                <w:i w:val="0"/>
                <w:iCs w:val="0"/>
                <w:caps w:val="0"/>
                <w:color w:val="C00000"/>
                <w:spacing w:val="0"/>
                <w:sz w:val="32"/>
                <w:szCs w:val="32"/>
                <w:u w:val="none"/>
                <w:shd w:val="clear" w:fill="FFFFFF"/>
              </w:rPr>
              <w:t>强化跨行业、跨领域、跨部门守信联合激励和失信联合惩戒</w:t>
            </w:r>
            <w:r>
              <w:rPr>
                <w:rFonts w:hint="eastAsia" w:ascii="Times New Roman" w:hAnsi="Times New Roman" w:eastAsia="仿宋_GB2312" w:cs="Times New Roman"/>
                <w:b w:val="0"/>
                <w:bCs w:val="0"/>
                <w:i w:val="0"/>
                <w:iCs w:val="0"/>
                <w:caps w:val="0"/>
                <w:color w:val="C00000"/>
                <w:spacing w:val="0"/>
                <w:sz w:val="32"/>
                <w:szCs w:val="32"/>
                <w:u w:val="none"/>
                <w:shd w:val="clear" w:fill="FFFFFF"/>
                <w:lang w:eastAsia="zh-CN"/>
              </w:rPr>
              <w:t>。</w:t>
            </w:r>
          </w:p>
        </w:tc>
        <w:tc>
          <w:tcPr>
            <w:tcW w:w="1033" w:type="dxa"/>
          </w:tcPr>
          <w:p w14:paraId="171B82E4">
            <w:pPr>
              <w:rPr>
                <w:rFonts w:hint="eastAsia" w:ascii="仿宋_GB2312" w:hAnsi="仿宋_GB2312" w:eastAsia="仿宋_GB2312" w:cs="仿宋_GB2312"/>
                <w:color w:val="C00000"/>
                <w:sz w:val="32"/>
                <w:szCs w:val="32"/>
                <w:vertAlign w:val="baseline"/>
                <w:lang w:val="en-US" w:eastAsia="zh-CN"/>
              </w:rPr>
            </w:pPr>
            <w:r>
              <w:rPr>
                <w:rFonts w:hint="eastAsia" w:ascii="仿宋_GB2312" w:hAnsi="仿宋_GB2312" w:eastAsia="仿宋_GB2312" w:cs="仿宋_GB2312"/>
                <w:color w:val="C00000"/>
                <w:sz w:val="32"/>
                <w:szCs w:val="32"/>
                <w:vertAlign w:val="baseline"/>
                <w:lang w:val="en-US" w:eastAsia="zh-CN"/>
              </w:rPr>
              <w:t>红字部分为新增内容</w:t>
            </w:r>
          </w:p>
          <w:p w14:paraId="20050C94">
            <w:pPr>
              <w:pStyle w:val="11"/>
              <w:rPr>
                <w:rFonts w:hint="default"/>
                <w:lang w:val="en-US" w:eastAsia="zh-CN"/>
              </w:rPr>
            </w:pPr>
          </w:p>
        </w:tc>
      </w:tr>
      <w:tr w14:paraId="6B01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508F4345">
            <w:pPr>
              <w:rPr>
                <w:rFonts w:hint="default"/>
                <w:vertAlign w:val="baseline"/>
                <w:lang w:val="en-US" w:eastAsia="zh-CN"/>
              </w:rPr>
            </w:pPr>
            <w:r>
              <w:rPr>
                <w:rFonts w:ascii="Times New Roman" w:hAnsi="Times New Roman" w:eastAsia="仿宋_GB2312" w:cs="Times New Roman"/>
                <w:sz w:val="32"/>
                <w:szCs w:val="32"/>
              </w:rPr>
              <w:t>第六条</w:t>
            </w:r>
          </w:p>
        </w:tc>
        <w:tc>
          <w:tcPr>
            <w:tcW w:w="2415" w:type="dxa"/>
          </w:tcPr>
          <w:p w14:paraId="727965BF">
            <w:pPr>
              <w:ind w:firstLine="640" w:firstLineChars="200"/>
              <w:rPr>
                <w:rFonts w:hint="default"/>
                <w:vertAlign w:val="baseline"/>
                <w:lang w:val="en-US" w:eastAsia="zh-CN"/>
              </w:rPr>
            </w:pPr>
            <w:r>
              <w:rPr>
                <w:rFonts w:ascii="Times New Roman" w:hAnsi="Times New Roman" w:eastAsia="仿宋_GB2312" w:cs="Times New Roman"/>
                <w:sz w:val="32"/>
                <w:szCs w:val="32"/>
              </w:rPr>
              <w:t>县级以上医疗保障行政管理部门应当建立以信用为基础的新型医疗保障监管机制，加强监管对象诚信教育，推行信用承诺制，建立监管对象信用管理档案，实施信用分级分类监管，依法依规实施守信激励和失信惩戒措施。</w:t>
            </w:r>
          </w:p>
        </w:tc>
        <w:tc>
          <w:tcPr>
            <w:tcW w:w="1394" w:type="dxa"/>
          </w:tcPr>
          <w:p w14:paraId="15D9F6B1">
            <w:pPr>
              <w:rPr>
                <w:rFonts w:hint="default"/>
                <w:vertAlign w:val="baseline"/>
                <w:lang w:val="en-US" w:eastAsia="zh-CN"/>
              </w:rPr>
            </w:pPr>
            <w:r>
              <w:rPr>
                <w:rFonts w:ascii="Times New Roman" w:hAnsi="Times New Roman" w:eastAsia="仿宋_GB2312" w:cs="Times New Roman"/>
                <w:color w:val="C00000"/>
                <w:sz w:val="32"/>
                <w:szCs w:val="32"/>
              </w:rPr>
              <w:t>第</w:t>
            </w:r>
            <w:r>
              <w:rPr>
                <w:rFonts w:hint="eastAsia" w:ascii="Times New Roman" w:hAnsi="Times New Roman" w:eastAsia="仿宋_GB2312" w:cs="Times New Roman"/>
                <w:color w:val="C00000"/>
                <w:sz w:val="32"/>
                <w:szCs w:val="32"/>
                <w:lang w:val="en-US" w:eastAsia="zh-CN"/>
              </w:rPr>
              <w:t>七</w:t>
            </w:r>
            <w:r>
              <w:rPr>
                <w:rFonts w:ascii="Times New Roman" w:hAnsi="Times New Roman" w:eastAsia="仿宋_GB2312" w:cs="Times New Roman"/>
                <w:color w:val="C00000"/>
                <w:sz w:val="32"/>
                <w:szCs w:val="32"/>
              </w:rPr>
              <w:t>条</w:t>
            </w:r>
          </w:p>
        </w:tc>
        <w:tc>
          <w:tcPr>
            <w:tcW w:w="2377" w:type="dxa"/>
          </w:tcPr>
          <w:p w14:paraId="7EBC8831">
            <w:pPr>
              <w:ind w:firstLine="640" w:firstLineChars="200"/>
              <w:rPr>
                <w:rFonts w:hint="default"/>
                <w:vertAlign w:val="baseline"/>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诚信建设</w:t>
            </w:r>
            <w:r>
              <w:rPr>
                <w:rFonts w:hint="eastAsia" w:ascii="仿宋" w:hAnsi="仿宋" w:eastAsia="仿宋"/>
                <w:sz w:val="32"/>
                <w:szCs w:val="32"/>
                <w:lang w:eastAsia="zh-CN"/>
              </w:rPr>
              <w:t>】</w:t>
            </w:r>
            <w:r>
              <w:rPr>
                <w:rFonts w:ascii="Times New Roman" w:hAnsi="Times New Roman" w:eastAsia="仿宋_GB2312" w:cs="Times New Roman"/>
                <w:sz w:val="32"/>
                <w:szCs w:val="32"/>
              </w:rPr>
              <w:t>县级以上医疗保障行政管理部门应当建立以信用为基础的新型医疗保障监管机制，加强监管对象诚信教育，推行信用承诺制，建立监管对象信用管理档案，实施信用分级分类监管，依法依规实施守信激励和失信惩戒措施。</w:t>
            </w:r>
          </w:p>
        </w:tc>
        <w:tc>
          <w:tcPr>
            <w:tcW w:w="1033" w:type="dxa"/>
          </w:tcPr>
          <w:p w14:paraId="3D6092A9">
            <w:pPr>
              <w:rPr>
                <w:rFonts w:hint="default"/>
                <w:vertAlign w:val="baseline"/>
                <w:lang w:val="en-US" w:eastAsia="zh-CN"/>
              </w:rPr>
            </w:pPr>
          </w:p>
        </w:tc>
      </w:tr>
      <w:tr w14:paraId="2097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36FA248B">
            <w:pPr>
              <w:rPr>
                <w:rFonts w:hint="default"/>
                <w:vertAlign w:val="baseline"/>
                <w:lang w:val="en-US" w:eastAsia="zh-CN"/>
              </w:rPr>
            </w:pPr>
            <w:r>
              <w:rPr>
                <w:rFonts w:ascii="Times New Roman" w:hAnsi="Times New Roman" w:eastAsia="仿宋_GB2312" w:cs="Times New Roman"/>
                <w:sz w:val="32"/>
                <w:szCs w:val="32"/>
              </w:rPr>
              <w:t>第七条</w:t>
            </w:r>
          </w:p>
        </w:tc>
        <w:tc>
          <w:tcPr>
            <w:tcW w:w="2415" w:type="dxa"/>
          </w:tcPr>
          <w:p w14:paraId="7025AB8A">
            <w:pPr>
              <w:ind w:firstLine="640" w:firstLineChars="200"/>
              <w:rPr>
                <w:rFonts w:hint="default"/>
                <w:vertAlign w:val="baseline"/>
                <w:lang w:val="en-US" w:eastAsia="zh-CN"/>
              </w:rPr>
            </w:pPr>
            <w:r>
              <w:rPr>
                <w:rFonts w:ascii="Times New Roman" w:hAnsi="Times New Roman" w:eastAsia="仿宋_GB2312" w:cs="Times New Roman"/>
                <w:sz w:val="32"/>
                <w:szCs w:val="32"/>
              </w:rPr>
              <w:t>县级以上医疗保障行政管理部门应当建立失信行为举报制度，构建医疗保障领域信用共建、共治格局。</w:t>
            </w:r>
          </w:p>
        </w:tc>
        <w:tc>
          <w:tcPr>
            <w:tcW w:w="1394" w:type="dxa"/>
          </w:tcPr>
          <w:p w14:paraId="11EAF721">
            <w:pPr>
              <w:rPr>
                <w:rFonts w:hint="default"/>
                <w:vertAlign w:val="baseline"/>
                <w:lang w:val="en-US" w:eastAsia="zh-CN"/>
              </w:rPr>
            </w:pPr>
            <w:r>
              <w:rPr>
                <w:rFonts w:ascii="Times New Roman" w:hAnsi="Times New Roman" w:eastAsia="仿宋_GB2312" w:cs="Times New Roman"/>
                <w:color w:val="C00000"/>
                <w:sz w:val="32"/>
                <w:szCs w:val="32"/>
              </w:rPr>
              <w:t>第</w:t>
            </w:r>
            <w:r>
              <w:rPr>
                <w:rFonts w:hint="eastAsia" w:ascii="Times New Roman" w:hAnsi="Times New Roman" w:eastAsia="仿宋_GB2312" w:cs="Times New Roman"/>
                <w:color w:val="C00000"/>
                <w:sz w:val="32"/>
                <w:szCs w:val="32"/>
                <w:lang w:val="en-US" w:eastAsia="zh-CN"/>
              </w:rPr>
              <w:t>八</w:t>
            </w:r>
            <w:r>
              <w:rPr>
                <w:rFonts w:ascii="Times New Roman" w:hAnsi="Times New Roman" w:eastAsia="仿宋_GB2312" w:cs="Times New Roman"/>
                <w:color w:val="C00000"/>
                <w:sz w:val="32"/>
                <w:szCs w:val="32"/>
              </w:rPr>
              <w:t>条</w:t>
            </w:r>
          </w:p>
        </w:tc>
        <w:tc>
          <w:tcPr>
            <w:tcW w:w="2377" w:type="dxa"/>
          </w:tcPr>
          <w:p w14:paraId="3E05E65D">
            <w:pPr>
              <w:ind w:firstLine="640" w:firstLineChars="200"/>
              <w:rPr>
                <w:rFonts w:hint="default"/>
                <w:vertAlign w:val="baseline"/>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制度建设</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县级以上医疗保障行政管理部门应当建立失信行为举报制度，构建医疗保障领域信用共建、共治格局。</w:t>
            </w:r>
          </w:p>
        </w:tc>
        <w:tc>
          <w:tcPr>
            <w:tcW w:w="1033" w:type="dxa"/>
          </w:tcPr>
          <w:p w14:paraId="5B0C1728">
            <w:pPr>
              <w:rPr>
                <w:rFonts w:hint="default"/>
                <w:vertAlign w:val="baseline"/>
                <w:lang w:val="en-US" w:eastAsia="zh-CN"/>
              </w:rPr>
            </w:pPr>
          </w:p>
        </w:tc>
      </w:tr>
      <w:tr w14:paraId="5D4D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4FD5EF2B">
            <w:pPr>
              <w:spacing w:line="560" w:lineRule="exact"/>
              <w:jc w:val="center"/>
              <w:rPr>
                <w:rFonts w:hint="eastAsia" w:ascii="黑体" w:hAnsi="黑体" w:eastAsia="黑体" w:cs="黑体"/>
                <w:b/>
                <w:bCs/>
                <w:sz w:val="32"/>
                <w:szCs w:val="32"/>
              </w:rPr>
            </w:pPr>
            <w:r>
              <w:rPr>
                <w:rFonts w:hint="eastAsia" w:ascii="黑体" w:hAnsi="黑体" w:eastAsia="黑体" w:cs="黑体"/>
                <w:b/>
                <w:bCs/>
                <w:sz w:val="32"/>
                <w:szCs w:val="32"/>
              </w:rPr>
              <w:t>第二章 医疗保障信用主体</w:t>
            </w:r>
          </w:p>
          <w:p w14:paraId="42EB9835">
            <w:pPr>
              <w:rPr>
                <w:rFonts w:hint="default"/>
                <w:vertAlign w:val="baseline"/>
                <w:lang w:val="en-US" w:eastAsia="zh-CN"/>
              </w:rPr>
            </w:pPr>
          </w:p>
        </w:tc>
        <w:tc>
          <w:tcPr>
            <w:tcW w:w="2415" w:type="dxa"/>
          </w:tcPr>
          <w:p w14:paraId="5B6CA732">
            <w:pPr>
              <w:rPr>
                <w:rFonts w:hint="default"/>
                <w:vertAlign w:val="baseline"/>
                <w:lang w:val="en-US" w:eastAsia="zh-CN"/>
              </w:rPr>
            </w:pPr>
          </w:p>
        </w:tc>
        <w:tc>
          <w:tcPr>
            <w:tcW w:w="1394" w:type="dxa"/>
          </w:tcPr>
          <w:p w14:paraId="47A826F2">
            <w:pPr>
              <w:spacing w:line="560" w:lineRule="exact"/>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rPr>
              <w:t>第二章 信用主体</w:t>
            </w:r>
            <w:r>
              <w:rPr>
                <w:rFonts w:hint="eastAsia" w:ascii="黑体" w:hAnsi="黑体" w:eastAsia="黑体" w:cs="黑体"/>
                <w:b/>
                <w:bCs/>
                <w:color w:val="C00000"/>
                <w:sz w:val="32"/>
                <w:szCs w:val="32"/>
                <w:lang w:val="en-US" w:eastAsia="zh-CN"/>
              </w:rPr>
              <w:t>与信用承诺</w:t>
            </w:r>
          </w:p>
          <w:p w14:paraId="3EEA70F9">
            <w:pPr>
              <w:rPr>
                <w:rFonts w:hint="default"/>
                <w:vertAlign w:val="baseline"/>
                <w:lang w:val="en-US" w:eastAsia="zh-CN"/>
              </w:rPr>
            </w:pPr>
          </w:p>
        </w:tc>
        <w:tc>
          <w:tcPr>
            <w:tcW w:w="2377" w:type="dxa"/>
          </w:tcPr>
          <w:p w14:paraId="19585C02">
            <w:pPr>
              <w:rPr>
                <w:rFonts w:hint="default"/>
                <w:vertAlign w:val="baseline"/>
                <w:lang w:val="en-US" w:eastAsia="zh-CN"/>
              </w:rPr>
            </w:pPr>
          </w:p>
        </w:tc>
        <w:tc>
          <w:tcPr>
            <w:tcW w:w="1033" w:type="dxa"/>
          </w:tcPr>
          <w:p w14:paraId="5EC52F77">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红字部分为新增内容</w:t>
            </w:r>
          </w:p>
        </w:tc>
      </w:tr>
      <w:tr w14:paraId="3F7A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0F6A712C">
            <w:pPr>
              <w:rPr>
                <w:rFonts w:hint="default"/>
                <w:vertAlign w:val="baseline"/>
                <w:lang w:val="en-US" w:eastAsia="zh-CN"/>
              </w:rPr>
            </w:pPr>
            <w:r>
              <w:rPr>
                <w:rFonts w:ascii="Times New Roman" w:hAnsi="Times New Roman" w:eastAsia="仿宋_GB2312" w:cs="Times New Roman"/>
                <w:sz w:val="32"/>
                <w:szCs w:val="32"/>
              </w:rPr>
              <w:t>第八条</w:t>
            </w:r>
          </w:p>
        </w:tc>
        <w:tc>
          <w:tcPr>
            <w:tcW w:w="2415" w:type="dxa"/>
          </w:tcPr>
          <w:p w14:paraId="6F411A2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本办法所称医疗保障信用主体，是指具有完全民事行为能力的自然人、法人和非法人组织，在医疗保障活动中履行法定职责、法定义务或者约定义务的状态，主要分为机构和人员两类。</w:t>
            </w:r>
          </w:p>
          <w:p w14:paraId="54AD6DC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（一）机构类信用主体</w:t>
            </w:r>
          </w:p>
          <w:p w14:paraId="3D3B7B4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1.基本医疗保险定点医疗机构；</w:t>
            </w:r>
          </w:p>
          <w:p w14:paraId="25C56DF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2.基本医疗保险定点零售药店；</w:t>
            </w:r>
          </w:p>
          <w:p w14:paraId="491A6FF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3.基本医疗保险参保单位；</w:t>
            </w:r>
          </w:p>
          <w:p w14:paraId="5CD4F0B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4.承办医疗保障经办业务的第三方机构；</w:t>
            </w:r>
          </w:p>
          <w:p w14:paraId="4AA2EE7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5.参与药械集中采购的医药生产和流通企业；</w:t>
            </w:r>
          </w:p>
          <w:p w14:paraId="6F5B958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6.其他参与医疗保障活动的机构。</w:t>
            </w:r>
          </w:p>
          <w:p w14:paraId="1B12A94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（二）人员类信用主体</w:t>
            </w:r>
          </w:p>
          <w:p w14:paraId="5C6E4EE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1.提供医疗保障服务的医师、护士（师）、药师等专业从业人员；</w:t>
            </w:r>
          </w:p>
          <w:p w14:paraId="08E1939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2.参保人员；</w:t>
            </w:r>
          </w:p>
          <w:p w14:paraId="3DF46DF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3.其他参与医疗保障活动的个人。</w:t>
            </w:r>
          </w:p>
          <w:p w14:paraId="186A5BF0">
            <w:pPr>
              <w:rPr>
                <w:rFonts w:hint="default"/>
                <w:vertAlign w:val="baseline"/>
                <w:lang w:val="en-US" w:eastAsia="zh-CN"/>
              </w:rPr>
            </w:pPr>
          </w:p>
        </w:tc>
        <w:tc>
          <w:tcPr>
            <w:tcW w:w="1394" w:type="dxa"/>
          </w:tcPr>
          <w:p w14:paraId="6E9D261B">
            <w:pPr>
              <w:rPr>
                <w:rFonts w:hint="default"/>
                <w:vertAlign w:val="baseline"/>
                <w:lang w:val="en-US" w:eastAsia="zh-CN"/>
              </w:rPr>
            </w:pPr>
            <w:r>
              <w:rPr>
                <w:rFonts w:ascii="Times New Roman" w:hAnsi="Times New Roman" w:eastAsia="仿宋_GB2312" w:cs="Times New Roman"/>
                <w:color w:val="C00000"/>
                <w:sz w:val="32"/>
                <w:szCs w:val="32"/>
              </w:rPr>
              <w:t>第</w:t>
            </w:r>
            <w:r>
              <w:rPr>
                <w:rFonts w:hint="eastAsia" w:ascii="Times New Roman" w:hAnsi="Times New Roman" w:eastAsia="仿宋_GB2312" w:cs="Times New Roman"/>
                <w:color w:val="C00000"/>
                <w:sz w:val="32"/>
                <w:szCs w:val="32"/>
                <w:lang w:val="en-US" w:eastAsia="zh-CN"/>
              </w:rPr>
              <w:t>九</w:t>
            </w:r>
            <w:r>
              <w:rPr>
                <w:rFonts w:ascii="Times New Roman" w:hAnsi="Times New Roman" w:eastAsia="仿宋_GB2312" w:cs="Times New Roman"/>
                <w:color w:val="C00000"/>
                <w:sz w:val="32"/>
                <w:szCs w:val="32"/>
              </w:rPr>
              <w:t>条</w:t>
            </w:r>
          </w:p>
        </w:tc>
        <w:tc>
          <w:tcPr>
            <w:tcW w:w="2377" w:type="dxa"/>
          </w:tcPr>
          <w:p w14:paraId="514BC971">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信用主体范围</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本办法所称医疗保障信用主体，是指具有完全民事行为能力的自然人、法人和非法人组织，在医疗保障活动中履行法定职责、法定义务或者约定义务的状态，主要分为机构和人员两类。</w:t>
            </w:r>
          </w:p>
          <w:p w14:paraId="229E507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（一）机构类信用主体</w:t>
            </w:r>
          </w:p>
          <w:p w14:paraId="40D9A48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1.基本医疗保险定点医疗机构；</w:t>
            </w:r>
          </w:p>
          <w:p w14:paraId="6592C16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2.基本医疗保险定点零售药店；</w:t>
            </w:r>
          </w:p>
          <w:p w14:paraId="791F423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3.基本医疗保险参保单位；</w:t>
            </w:r>
          </w:p>
          <w:p w14:paraId="48AD01B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4.承办医疗保障经办业务的第三方机构；</w:t>
            </w:r>
          </w:p>
          <w:p w14:paraId="7EE9427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5.参与</w:t>
            </w:r>
            <w:r>
              <w:rPr>
                <w:rFonts w:hint="eastAsia" w:ascii="Times New Roman" w:hAnsi="Times New Roman" w:eastAsia="仿宋_GB2312" w:cs="Times New Roman"/>
                <w:color w:val="C00000"/>
                <w:sz w:val="32"/>
                <w:szCs w:val="32"/>
                <w:lang w:val="en-US" w:eastAsia="zh-CN"/>
              </w:rPr>
              <w:t>医疗保障活动</w:t>
            </w:r>
            <w:r>
              <w:rPr>
                <w:rFonts w:ascii="Times New Roman" w:hAnsi="Times New Roman" w:eastAsia="仿宋_GB2312" w:cs="Times New Roman"/>
                <w:sz w:val="32"/>
                <w:szCs w:val="32"/>
              </w:rPr>
              <w:t>的医药生产和流通企业；</w:t>
            </w:r>
          </w:p>
          <w:p w14:paraId="13EB763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6.其他参与医疗保障活动的机构。</w:t>
            </w:r>
          </w:p>
          <w:p w14:paraId="5AAA9F6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（二）人员类信用主体</w:t>
            </w:r>
          </w:p>
          <w:p w14:paraId="4E02403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1.提供医疗保障服务的医师、护士（师）、药师等专业从业人员；</w:t>
            </w:r>
          </w:p>
          <w:p w14:paraId="2EE9461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2.参保人员；</w:t>
            </w:r>
          </w:p>
          <w:p w14:paraId="38737330">
            <w:pPr>
              <w:rPr>
                <w:rFonts w:hint="default"/>
                <w:vertAlign w:val="baseline"/>
                <w:lang w:val="en-US" w:eastAsia="zh-CN"/>
              </w:rPr>
            </w:pPr>
            <w:r>
              <w:rPr>
                <w:rFonts w:ascii="Times New Roman" w:hAnsi="Times New Roman" w:eastAsia="仿宋_GB2312" w:cs="Times New Roman"/>
                <w:sz w:val="32"/>
                <w:szCs w:val="32"/>
              </w:rPr>
              <w:t>3.其他参与医疗保障活动的个人。</w:t>
            </w:r>
          </w:p>
        </w:tc>
        <w:tc>
          <w:tcPr>
            <w:tcW w:w="1033" w:type="dxa"/>
          </w:tcPr>
          <w:p w14:paraId="504B9DA4">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红字部分为新增内容</w:t>
            </w:r>
          </w:p>
        </w:tc>
      </w:tr>
      <w:tr w14:paraId="639B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473385EF">
            <w:pPr>
              <w:rPr>
                <w:rFonts w:hint="default"/>
                <w:vertAlign w:val="baseline"/>
                <w:lang w:val="en-US" w:eastAsia="zh-CN"/>
              </w:rPr>
            </w:pPr>
            <w:r>
              <w:rPr>
                <w:rFonts w:ascii="Times New Roman" w:hAnsi="Times New Roman" w:eastAsia="仿宋_GB2312" w:cs="Times New Roman"/>
                <w:sz w:val="32"/>
                <w:szCs w:val="32"/>
              </w:rPr>
              <w:t>第九条</w:t>
            </w:r>
          </w:p>
        </w:tc>
        <w:tc>
          <w:tcPr>
            <w:tcW w:w="2415" w:type="dxa"/>
          </w:tcPr>
          <w:p w14:paraId="35D760BB">
            <w:pPr>
              <w:ind w:firstLine="640" w:firstLineChars="200"/>
              <w:rPr>
                <w:rFonts w:hint="default"/>
                <w:vertAlign w:val="baseline"/>
                <w:lang w:val="en-US" w:eastAsia="zh-CN"/>
              </w:rPr>
            </w:pPr>
            <w:r>
              <w:rPr>
                <w:rFonts w:ascii="Times New Roman" w:hAnsi="Times New Roman" w:eastAsia="仿宋_GB2312" w:cs="Times New Roman"/>
                <w:sz w:val="32"/>
                <w:szCs w:val="32"/>
              </w:rPr>
              <w:t>信用主体应当加强诚信自律，</w:t>
            </w:r>
            <w:r>
              <w:rPr>
                <w:rFonts w:hint="eastAsia" w:ascii="Times New Roman" w:hAnsi="Times New Roman" w:eastAsia="仿宋_GB2312" w:cs="Times New Roman"/>
                <w:sz w:val="32"/>
                <w:szCs w:val="32"/>
              </w:rPr>
              <w:t>自觉遵守相关法律法</w:t>
            </w:r>
            <w:r>
              <w:rPr>
                <w:rFonts w:hint="eastAsia" w:ascii="Times New Roman" w:hAnsi="Times New Roman" w:eastAsia="仿宋_GB2312" w:cs="Times New Roman"/>
                <w:spacing w:val="4"/>
                <w:sz w:val="32"/>
                <w:szCs w:val="32"/>
              </w:rPr>
              <w:t>规规定和服务协议约定</w:t>
            </w:r>
            <w:r>
              <w:rPr>
                <w:rFonts w:ascii="Times New Roman" w:hAnsi="Times New Roman" w:eastAsia="仿宋_GB2312" w:cs="Times New Roman"/>
                <w:spacing w:val="4"/>
                <w:sz w:val="32"/>
                <w:szCs w:val="32"/>
              </w:rPr>
              <w:t>，依法依规向医疗保障行政管理部门及其</w:t>
            </w:r>
            <w:r>
              <w:rPr>
                <w:rFonts w:ascii="Times New Roman" w:hAnsi="Times New Roman" w:eastAsia="仿宋_GB2312" w:cs="Times New Roman"/>
                <w:sz w:val="32"/>
                <w:szCs w:val="32"/>
              </w:rPr>
              <w:t>授权或委托的机构提供有关数据信息，履行相关义务。</w:t>
            </w:r>
          </w:p>
        </w:tc>
        <w:tc>
          <w:tcPr>
            <w:tcW w:w="1394" w:type="dxa"/>
          </w:tcPr>
          <w:p w14:paraId="07159466">
            <w:pPr>
              <w:rPr>
                <w:rFonts w:hint="eastAsia" w:ascii="仿宋_GB2312" w:hAnsi="仿宋_GB2312" w:eastAsia="仿宋_GB2312" w:cs="仿宋_GB2312"/>
                <w:color w:val="C00000"/>
                <w:sz w:val="32"/>
                <w:szCs w:val="32"/>
                <w:vertAlign w:val="baseline"/>
                <w:lang w:val="en-US" w:eastAsia="zh-CN"/>
              </w:rPr>
            </w:pPr>
            <w:r>
              <w:rPr>
                <w:rFonts w:ascii="Times New Roman" w:hAnsi="Times New Roman" w:eastAsia="仿宋_GB2312" w:cs="Times New Roman"/>
                <w:color w:val="C00000"/>
                <w:sz w:val="32"/>
                <w:szCs w:val="32"/>
              </w:rPr>
              <w:t>第</w:t>
            </w:r>
            <w:r>
              <w:rPr>
                <w:rFonts w:hint="eastAsia" w:ascii="Times New Roman" w:hAnsi="Times New Roman" w:eastAsia="仿宋_GB2312" w:cs="Times New Roman"/>
                <w:color w:val="C00000"/>
                <w:sz w:val="32"/>
                <w:szCs w:val="32"/>
                <w:lang w:val="en-US" w:eastAsia="zh-CN"/>
              </w:rPr>
              <w:t>十</w:t>
            </w:r>
            <w:r>
              <w:rPr>
                <w:rFonts w:ascii="Times New Roman" w:hAnsi="Times New Roman" w:eastAsia="仿宋_GB2312" w:cs="Times New Roman"/>
                <w:color w:val="C00000"/>
                <w:sz w:val="32"/>
                <w:szCs w:val="32"/>
              </w:rPr>
              <w:t>条</w:t>
            </w:r>
          </w:p>
        </w:tc>
        <w:tc>
          <w:tcPr>
            <w:tcW w:w="2377" w:type="dxa"/>
          </w:tcPr>
          <w:p w14:paraId="7F3C5EDC">
            <w:pPr>
              <w:keepNext w:val="0"/>
              <w:keepLines w:val="0"/>
              <w:widowControl/>
              <w:suppressLineNumbers w:val="0"/>
              <w:ind w:firstLine="640" w:firstLineChars="200"/>
              <w:jc w:val="left"/>
              <w:rPr>
                <w:rFonts w:hint="eastAsia" w:ascii="仿宋_GB2312" w:hAnsi="仿宋_GB2312" w:eastAsia="仿宋_GB2312" w:cs="仿宋_GB2312"/>
                <w:color w:val="C00000"/>
                <w:sz w:val="32"/>
                <w:szCs w:val="32"/>
                <w:vertAlign w:val="baseline"/>
                <w:lang w:val="en-US" w:eastAsia="zh-CN"/>
              </w:rPr>
            </w:pPr>
            <w:r>
              <w:rPr>
                <w:rStyle w:val="10"/>
                <w:rFonts w:hint="eastAsia" w:ascii="仿宋" w:hAnsi="仿宋" w:eastAsia="仿宋" w:cs="仿宋"/>
                <w:b w:val="0"/>
                <w:bCs/>
                <w:sz w:val="32"/>
                <w:szCs w:val="32"/>
                <w:shd w:val="clear" w:color="auto" w:fill="auto"/>
                <w:lang w:eastAsia="zh-CN"/>
              </w:rPr>
              <w:t>【信用主体行为规范】</w:t>
            </w:r>
            <w:r>
              <w:rPr>
                <w:rFonts w:ascii="Times New Roman" w:hAnsi="Times New Roman" w:eastAsia="仿宋_GB2312" w:cs="Times New Roman"/>
                <w:sz w:val="32"/>
                <w:szCs w:val="32"/>
              </w:rPr>
              <w:t>信用主体应当加强诚信自律，</w:t>
            </w:r>
            <w:r>
              <w:rPr>
                <w:rFonts w:hint="eastAsia" w:ascii="Times New Roman" w:hAnsi="Times New Roman" w:eastAsia="仿宋_GB2312" w:cs="Times New Roman"/>
                <w:sz w:val="32"/>
                <w:szCs w:val="32"/>
              </w:rPr>
              <w:t>自觉遵守相关法律法</w:t>
            </w:r>
            <w:r>
              <w:rPr>
                <w:rFonts w:hint="eastAsia" w:ascii="Times New Roman" w:hAnsi="Times New Roman" w:eastAsia="仿宋_GB2312" w:cs="Times New Roman"/>
                <w:spacing w:val="4"/>
                <w:sz w:val="32"/>
                <w:szCs w:val="32"/>
              </w:rPr>
              <w:t>规规定和服务协议约定</w:t>
            </w:r>
            <w:r>
              <w:rPr>
                <w:rFonts w:ascii="Times New Roman" w:hAnsi="Times New Roman" w:eastAsia="仿宋_GB2312" w:cs="Times New Roman"/>
                <w:spacing w:val="4"/>
                <w:sz w:val="32"/>
                <w:szCs w:val="32"/>
              </w:rPr>
              <w:t>，依法依规向医疗保障行政管理部门及其</w:t>
            </w:r>
            <w:r>
              <w:rPr>
                <w:rFonts w:ascii="Times New Roman" w:hAnsi="Times New Roman" w:eastAsia="仿宋_GB2312" w:cs="Times New Roman"/>
                <w:sz w:val="32"/>
                <w:szCs w:val="32"/>
              </w:rPr>
              <w:t>授权或委托的机构提供有关数据信息，履行相关义务。</w:t>
            </w:r>
          </w:p>
        </w:tc>
        <w:tc>
          <w:tcPr>
            <w:tcW w:w="1033" w:type="dxa"/>
          </w:tcPr>
          <w:p w14:paraId="63C798C4">
            <w:pPr>
              <w:rPr>
                <w:rFonts w:hint="default"/>
                <w:vertAlign w:val="baseline"/>
                <w:lang w:val="en-US" w:eastAsia="zh-CN"/>
              </w:rPr>
            </w:pPr>
          </w:p>
        </w:tc>
      </w:tr>
      <w:tr w14:paraId="2CED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46D00E2A">
            <w:pPr>
              <w:rPr>
                <w:rFonts w:hint="default"/>
                <w:vertAlign w:val="baseline"/>
                <w:lang w:val="en-US" w:eastAsia="zh-CN"/>
              </w:rPr>
            </w:pPr>
            <w:r>
              <w:rPr>
                <w:rFonts w:ascii="Times New Roman" w:hAnsi="Times New Roman" w:eastAsia="仿宋_GB2312" w:cs="Times New Roman"/>
                <w:sz w:val="32"/>
                <w:szCs w:val="32"/>
              </w:rPr>
              <w:t>第十条</w:t>
            </w:r>
          </w:p>
        </w:tc>
        <w:tc>
          <w:tcPr>
            <w:tcW w:w="2415" w:type="dxa"/>
          </w:tcPr>
          <w:p w14:paraId="0FC8ACF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级医疗保障行政管理部门应当建立健全信用承诺制度，公布实行信用承诺制的事项清单，承诺对象在办理清单事项时可以书面形式公开作出承诺。申请人有较严重不良信用记录或存在曾作出虚假信用承诺的，在信用修复前不适用信用承诺制。</w:t>
            </w:r>
          </w:p>
          <w:p w14:paraId="1CEE90A4">
            <w:pPr>
              <w:rPr>
                <w:rFonts w:hint="default"/>
                <w:vertAlign w:val="baseline"/>
                <w:lang w:val="en-US" w:eastAsia="zh-CN"/>
              </w:rPr>
            </w:pPr>
            <w:r>
              <w:rPr>
                <w:rFonts w:ascii="Times New Roman" w:hAnsi="Times New Roman" w:eastAsia="仿宋_GB2312" w:cs="Times New Roman"/>
                <w:sz w:val="32"/>
                <w:szCs w:val="32"/>
              </w:rPr>
              <w:t>县级以上医疗保障部门可以组织各类信用主体签署守信承诺书。</w:t>
            </w:r>
          </w:p>
        </w:tc>
        <w:tc>
          <w:tcPr>
            <w:tcW w:w="1394" w:type="dxa"/>
          </w:tcPr>
          <w:p w14:paraId="32C00836">
            <w:pPr>
              <w:rPr>
                <w:rFonts w:hint="default"/>
                <w:vertAlign w:val="baseline"/>
                <w:lang w:val="en-US" w:eastAsia="zh-CN"/>
              </w:rPr>
            </w:pPr>
            <w:r>
              <w:rPr>
                <w:rFonts w:ascii="Times New Roman" w:hAnsi="Times New Roman" w:eastAsia="仿宋_GB2312" w:cs="Times New Roman"/>
                <w:color w:val="C00000"/>
                <w:sz w:val="32"/>
                <w:szCs w:val="32"/>
              </w:rPr>
              <w:t>第十</w:t>
            </w:r>
            <w:r>
              <w:rPr>
                <w:rFonts w:hint="eastAsia" w:ascii="Times New Roman" w:hAnsi="Times New Roman" w:eastAsia="仿宋_GB2312" w:cs="Times New Roman"/>
                <w:color w:val="C00000"/>
                <w:sz w:val="32"/>
                <w:szCs w:val="32"/>
                <w:lang w:val="en-US" w:eastAsia="zh-CN"/>
              </w:rPr>
              <w:t>一</w:t>
            </w:r>
            <w:r>
              <w:rPr>
                <w:rFonts w:ascii="Times New Roman" w:hAnsi="Times New Roman" w:eastAsia="仿宋_GB2312" w:cs="Times New Roman"/>
                <w:color w:val="C00000"/>
                <w:sz w:val="32"/>
                <w:szCs w:val="32"/>
              </w:rPr>
              <w:t>条</w:t>
            </w:r>
          </w:p>
        </w:tc>
        <w:tc>
          <w:tcPr>
            <w:tcW w:w="2377" w:type="dxa"/>
          </w:tcPr>
          <w:p w14:paraId="4799D8B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信用承诺规范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各级医疗保障行政管理部门应当建立健全信用承诺制度，公布实行信用承诺制的事项清单，承诺对象在办理清单事项时可以书面形式公开作出承诺。申请人有较严重不良信用记录或存在曾作出虚假信用承诺的，在信用修复前不适用信用承诺制。</w:t>
            </w:r>
          </w:p>
          <w:p w14:paraId="433D5297">
            <w:pPr>
              <w:rPr>
                <w:rFonts w:hint="default"/>
                <w:vertAlign w:val="baseline"/>
                <w:lang w:val="en-US" w:eastAsia="zh-CN"/>
              </w:rPr>
            </w:pPr>
            <w:r>
              <w:rPr>
                <w:rFonts w:ascii="Times New Roman" w:hAnsi="Times New Roman" w:eastAsia="仿宋_GB2312" w:cs="Times New Roman"/>
                <w:sz w:val="32"/>
                <w:szCs w:val="32"/>
              </w:rPr>
              <w:t>县级以上医疗保障部门可以组织各类信用主体签署守信承诺书。</w:t>
            </w:r>
          </w:p>
        </w:tc>
        <w:tc>
          <w:tcPr>
            <w:tcW w:w="1033" w:type="dxa"/>
          </w:tcPr>
          <w:p w14:paraId="292F3238">
            <w:pPr>
              <w:rPr>
                <w:rFonts w:hint="default"/>
                <w:vertAlign w:val="baseline"/>
                <w:lang w:val="en-US" w:eastAsia="zh-CN"/>
              </w:rPr>
            </w:pPr>
          </w:p>
        </w:tc>
      </w:tr>
      <w:tr w14:paraId="2AC7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7DAC929C">
            <w:pPr>
              <w:rPr>
                <w:rFonts w:hint="default"/>
                <w:vertAlign w:val="baseline"/>
                <w:lang w:val="en-US" w:eastAsia="zh-CN"/>
              </w:rPr>
            </w:pPr>
            <w:r>
              <w:rPr>
                <w:rFonts w:ascii="Times New Roman" w:hAnsi="Times New Roman" w:eastAsia="仿宋_GB2312" w:cs="Times New Roman"/>
                <w:sz w:val="32"/>
                <w:szCs w:val="32"/>
              </w:rPr>
              <w:t>第十一条</w:t>
            </w:r>
          </w:p>
        </w:tc>
        <w:tc>
          <w:tcPr>
            <w:tcW w:w="2415" w:type="dxa"/>
          </w:tcPr>
          <w:p w14:paraId="12BBC870">
            <w:pPr>
              <w:ind w:firstLine="640" w:firstLineChars="200"/>
              <w:rPr>
                <w:rFonts w:hint="default"/>
                <w:vertAlign w:val="baseline"/>
                <w:lang w:val="en-US" w:eastAsia="zh-CN"/>
              </w:rPr>
            </w:pPr>
            <w:r>
              <w:rPr>
                <w:rFonts w:ascii="Times New Roman" w:hAnsi="Times New Roman" w:eastAsia="仿宋_GB2312" w:cs="Times New Roman"/>
                <w:sz w:val="32"/>
                <w:szCs w:val="32"/>
              </w:rPr>
              <w:t>信用主体书面信用承诺应当记入信用档案，作为事中、事后监管的依据，对不履行承诺的申请人适当提高抽查比例和频次，依法依规实施惩戒。</w:t>
            </w:r>
          </w:p>
        </w:tc>
        <w:tc>
          <w:tcPr>
            <w:tcW w:w="1394" w:type="dxa"/>
          </w:tcPr>
          <w:p w14:paraId="241ECC2F">
            <w:pPr>
              <w:rPr>
                <w:rFonts w:hint="default"/>
                <w:vertAlign w:val="baseline"/>
                <w:lang w:val="en-US" w:eastAsia="zh-CN"/>
              </w:rPr>
            </w:pPr>
            <w:r>
              <w:rPr>
                <w:rFonts w:ascii="Times New Roman" w:hAnsi="Times New Roman" w:eastAsia="仿宋_GB2312" w:cs="Times New Roman"/>
                <w:color w:val="C00000"/>
                <w:sz w:val="32"/>
                <w:szCs w:val="32"/>
              </w:rPr>
              <w:t>第十</w:t>
            </w:r>
            <w:r>
              <w:rPr>
                <w:rFonts w:hint="eastAsia" w:ascii="Times New Roman" w:hAnsi="Times New Roman" w:eastAsia="仿宋_GB2312" w:cs="Times New Roman"/>
                <w:color w:val="C00000"/>
                <w:sz w:val="32"/>
                <w:szCs w:val="32"/>
                <w:lang w:val="en-US" w:eastAsia="zh-CN"/>
              </w:rPr>
              <w:t>二</w:t>
            </w:r>
            <w:r>
              <w:rPr>
                <w:rFonts w:ascii="Times New Roman" w:hAnsi="Times New Roman" w:eastAsia="仿宋_GB2312" w:cs="Times New Roman"/>
                <w:color w:val="C00000"/>
                <w:sz w:val="32"/>
                <w:szCs w:val="32"/>
              </w:rPr>
              <w:t>条</w:t>
            </w:r>
          </w:p>
        </w:tc>
        <w:tc>
          <w:tcPr>
            <w:tcW w:w="2377" w:type="dxa"/>
          </w:tcPr>
          <w:p w14:paraId="0392DD43">
            <w:pPr>
              <w:keepNext w:val="0"/>
              <w:keepLines w:val="0"/>
              <w:widowControl/>
              <w:suppressLineNumbers w:val="0"/>
              <w:ind w:firstLine="640" w:firstLineChars="20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【信用承诺制度规范】医疗保障部门应当创新监管方式，建立医保领域信用承诺制，将信用主体履行承诺情况纳入信用档案，并</w:t>
            </w:r>
            <w:r>
              <w:rPr>
                <w:rFonts w:hint="eastAsia" w:ascii="仿宋_GB2312" w:hAnsi="仿宋_GB2312" w:eastAsia="仿宋_GB2312" w:cs="仿宋_GB2312"/>
                <w:color w:val="auto"/>
                <w:kern w:val="0"/>
                <w:sz w:val="32"/>
                <w:szCs w:val="32"/>
                <w:lang w:val="en-US" w:eastAsia="zh-CN" w:bidi="ar"/>
              </w:rPr>
              <w:t>作为事中事后监管的依据</w:t>
            </w:r>
            <w:r>
              <w:rPr>
                <w:rFonts w:hint="eastAsia" w:ascii="仿宋_GB2312" w:hAnsi="仿宋_GB2312" w:eastAsia="仿宋_GB2312" w:cs="仿宋_GB2312"/>
                <w:color w:val="C00000"/>
                <w:kern w:val="0"/>
                <w:sz w:val="32"/>
                <w:szCs w:val="32"/>
                <w:lang w:val="en-US" w:eastAsia="zh-CN" w:bidi="ar"/>
              </w:rPr>
              <w:t>，与监督检查频次、处罚裁量等挂钩，</w:t>
            </w:r>
            <w:r>
              <w:rPr>
                <w:rFonts w:hint="eastAsia" w:ascii="仿宋_GB2312" w:hAnsi="仿宋_GB2312" w:eastAsia="仿宋_GB2312" w:cs="仿宋_GB2312"/>
                <w:color w:val="auto"/>
                <w:kern w:val="0"/>
                <w:sz w:val="32"/>
                <w:szCs w:val="32"/>
                <w:lang w:val="en-US" w:eastAsia="zh-CN" w:bidi="ar"/>
              </w:rPr>
              <w:t>依法依规实施惩戒</w:t>
            </w:r>
            <w:r>
              <w:rPr>
                <w:rFonts w:hint="eastAsia" w:ascii="仿宋_GB2312" w:hAnsi="仿宋_GB2312" w:eastAsia="仿宋_GB2312" w:cs="仿宋_GB2312"/>
                <w:color w:val="C00000"/>
                <w:kern w:val="0"/>
                <w:sz w:val="32"/>
                <w:szCs w:val="32"/>
                <w:lang w:val="en-US" w:eastAsia="zh-CN" w:bidi="ar"/>
              </w:rPr>
              <w:t>，推动信用主体守信践诺，主动履行医疗保障信用主体责任。</w:t>
            </w:r>
          </w:p>
          <w:p w14:paraId="2486339F">
            <w:pPr>
              <w:rPr>
                <w:rFonts w:hint="default"/>
                <w:vertAlign w:val="baseline"/>
                <w:lang w:val="en-US" w:eastAsia="zh-CN"/>
              </w:rPr>
            </w:pPr>
          </w:p>
        </w:tc>
        <w:tc>
          <w:tcPr>
            <w:tcW w:w="1033" w:type="dxa"/>
          </w:tcPr>
          <w:p w14:paraId="0553875A">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红字部分为新增内容</w:t>
            </w:r>
          </w:p>
        </w:tc>
      </w:tr>
      <w:tr w14:paraId="40F5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72AE4C2B">
            <w:pPr>
              <w:rPr>
                <w:rFonts w:hint="default"/>
                <w:vertAlign w:val="baseline"/>
                <w:lang w:val="en-US" w:eastAsia="zh-CN"/>
              </w:rPr>
            </w:pPr>
          </w:p>
        </w:tc>
        <w:tc>
          <w:tcPr>
            <w:tcW w:w="2415" w:type="dxa"/>
          </w:tcPr>
          <w:p w14:paraId="41B5BBB1">
            <w:pPr>
              <w:rPr>
                <w:rFonts w:hint="default"/>
                <w:vertAlign w:val="baseline"/>
                <w:lang w:val="en-US" w:eastAsia="zh-CN"/>
              </w:rPr>
            </w:pPr>
          </w:p>
        </w:tc>
        <w:tc>
          <w:tcPr>
            <w:tcW w:w="1394" w:type="dxa"/>
          </w:tcPr>
          <w:p w14:paraId="615B3B0A">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第十三条</w:t>
            </w:r>
          </w:p>
        </w:tc>
        <w:tc>
          <w:tcPr>
            <w:tcW w:w="2377" w:type="dxa"/>
          </w:tcPr>
          <w:p w14:paraId="464FDD3D">
            <w:pPr>
              <w:keepNext w:val="0"/>
              <w:keepLines w:val="0"/>
              <w:widowControl/>
              <w:suppressLineNumbers w:val="0"/>
              <w:ind w:firstLine="640" w:firstLineChars="20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信用承诺定义】信用承诺是指参与医疗保障活动的相关机构、人员以规范形式向社会作出的公开书面承诺，包括严守诚信原则，严格遵守法律法规和服务协议，规范使用医疗保障基金，不参与欺诈骗保，不实施过度诊疗，自愿接受医疗保障部门依法依规开展的行政检查、协议管理等，主动接受社会监督等相关内容。</w:t>
            </w:r>
          </w:p>
          <w:p w14:paraId="0C2F742F">
            <w:pPr>
              <w:rPr>
                <w:rFonts w:hint="default"/>
                <w:vertAlign w:val="baseline"/>
                <w:lang w:val="en-US" w:eastAsia="zh-CN"/>
              </w:rPr>
            </w:pPr>
          </w:p>
        </w:tc>
        <w:tc>
          <w:tcPr>
            <w:tcW w:w="1033" w:type="dxa"/>
          </w:tcPr>
          <w:p w14:paraId="3BBFA00B">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红字部分为新增内容</w:t>
            </w:r>
          </w:p>
        </w:tc>
      </w:tr>
      <w:tr w14:paraId="76C7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44BE75FF">
            <w:pPr>
              <w:rPr>
                <w:rFonts w:hint="default"/>
                <w:vertAlign w:val="baseline"/>
                <w:lang w:val="en-US" w:eastAsia="zh-CN"/>
              </w:rPr>
            </w:pPr>
          </w:p>
        </w:tc>
        <w:tc>
          <w:tcPr>
            <w:tcW w:w="2415" w:type="dxa"/>
          </w:tcPr>
          <w:p w14:paraId="1468AF79">
            <w:pPr>
              <w:rPr>
                <w:rFonts w:hint="default"/>
                <w:vertAlign w:val="baseline"/>
                <w:lang w:val="en-US" w:eastAsia="zh-CN"/>
              </w:rPr>
            </w:pPr>
          </w:p>
        </w:tc>
        <w:tc>
          <w:tcPr>
            <w:tcW w:w="1394" w:type="dxa"/>
          </w:tcPr>
          <w:p w14:paraId="57EEE909">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第十四条</w:t>
            </w:r>
          </w:p>
        </w:tc>
        <w:tc>
          <w:tcPr>
            <w:tcW w:w="2377" w:type="dxa"/>
          </w:tcPr>
          <w:p w14:paraId="1CA42521">
            <w:pPr>
              <w:keepNext w:val="0"/>
              <w:keepLines w:val="0"/>
              <w:widowControl/>
              <w:suppressLineNumbers w:val="0"/>
              <w:ind w:firstLine="640" w:firstLineChars="200"/>
              <w:jc w:val="left"/>
              <w:rPr>
                <w:rFonts w:hint="default"/>
                <w:vertAlign w:val="baseline"/>
                <w:lang w:val="en-US" w:eastAsia="zh-CN"/>
              </w:rPr>
            </w:pPr>
            <w:r>
              <w:rPr>
                <w:rFonts w:hint="eastAsia" w:ascii="仿宋_GB2312" w:hAnsi="仿宋_GB2312" w:eastAsia="仿宋_GB2312" w:cs="仿宋_GB2312"/>
                <w:color w:val="C00000"/>
                <w:kern w:val="0"/>
                <w:sz w:val="32"/>
                <w:szCs w:val="32"/>
                <w:lang w:val="en-US" w:eastAsia="zh-CN" w:bidi="ar"/>
              </w:rPr>
              <w:t>【信用承诺形式】参与医疗保障活动的信用主体应当组织相关人员通过签署承诺书的形式作出信用承诺，确保相关人员知晓并遵守信用承诺。</w:t>
            </w:r>
          </w:p>
        </w:tc>
        <w:tc>
          <w:tcPr>
            <w:tcW w:w="1033" w:type="dxa"/>
          </w:tcPr>
          <w:p w14:paraId="16652977">
            <w:pPr>
              <w:rPr>
                <w:rFonts w:hint="default"/>
                <w:vertAlign w:val="baseline"/>
                <w:lang w:val="en-US" w:eastAsia="zh-CN"/>
              </w:rPr>
            </w:pPr>
          </w:p>
        </w:tc>
      </w:tr>
      <w:tr w14:paraId="36E7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171396F9">
            <w:pPr>
              <w:rPr>
                <w:rFonts w:hint="default"/>
                <w:vertAlign w:val="baseline"/>
                <w:lang w:val="en-US" w:eastAsia="zh-CN"/>
              </w:rPr>
            </w:pPr>
          </w:p>
        </w:tc>
        <w:tc>
          <w:tcPr>
            <w:tcW w:w="2415" w:type="dxa"/>
          </w:tcPr>
          <w:p w14:paraId="4B753889">
            <w:pPr>
              <w:rPr>
                <w:rFonts w:hint="default"/>
                <w:vertAlign w:val="baseline"/>
                <w:lang w:val="en-US" w:eastAsia="zh-CN"/>
              </w:rPr>
            </w:pPr>
          </w:p>
        </w:tc>
        <w:tc>
          <w:tcPr>
            <w:tcW w:w="1394" w:type="dxa"/>
          </w:tcPr>
          <w:p w14:paraId="7E500D7A">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第十五条</w:t>
            </w:r>
          </w:p>
        </w:tc>
        <w:tc>
          <w:tcPr>
            <w:tcW w:w="2377" w:type="dxa"/>
          </w:tcPr>
          <w:p w14:paraId="57C2C2A2">
            <w:pPr>
              <w:keepNext w:val="0"/>
              <w:keepLines w:val="0"/>
              <w:widowControl/>
              <w:suppressLineNumbers w:val="0"/>
              <w:ind w:firstLine="640" w:firstLineChars="200"/>
              <w:jc w:val="left"/>
              <w:rPr>
                <w:rFonts w:hint="default"/>
                <w:vertAlign w:val="baseline"/>
                <w:lang w:val="en-US" w:eastAsia="zh-CN"/>
              </w:rPr>
            </w:pPr>
            <w:r>
              <w:rPr>
                <w:rFonts w:hint="eastAsia" w:ascii="仿宋_GB2312" w:hAnsi="仿宋_GB2312" w:eastAsia="仿宋_GB2312" w:cs="仿宋_GB2312"/>
                <w:color w:val="C00000"/>
                <w:kern w:val="0"/>
                <w:sz w:val="32"/>
                <w:szCs w:val="32"/>
                <w:lang w:val="en-US" w:eastAsia="zh-CN" w:bidi="ar"/>
              </w:rPr>
              <w:t>【信用承诺管理】信用承诺书由信用承诺主体填写，签字或单位盖章。各级医疗保障部门可采取网上下载、现场提供等多种方式，方便信用主体取得信用承诺书模板，同时应当指导信用主体在参与医疗保障活动时进行承诺。信用承诺及其履行情况信息采用电子化归集，相关数据按照标准列入公共信用信息资源目录，以数据共享的形式归集至公共信用信息平台。</w:t>
            </w:r>
          </w:p>
        </w:tc>
        <w:tc>
          <w:tcPr>
            <w:tcW w:w="1033" w:type="dxa"/>
          </w:tcPr>
          <w:p w14:paraId="7708435D">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红字部分为新增内容</w:t>
            </w:r>
          </w:p>
        </w:tc>
      </w:tr>
      <w:tr w14:paraId="1567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532FC149">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第三章 信用档案</w:t>
            </w:r>
          </w:p>
          <w:p w14:paraId="17222BA9">
            <w:pPr>
              <w:rPr>
                <w:rFonts w:hint="default"/>
                <w:vertAlign w:val="baseline"/>
                <w:lang w:val="en-US" w:eastAsia="zh-CN"/>
              </w:rPr>
            </w:pPr>
          </w:p>
        </w:tc>
        <w:tc>
          <w:tcPr>
            <w:tcW w:w="2415" w:type="dxa"/>
          </w:tcPr>
          <w:p w14:paraId="7908382D">
            <w:pPr>
              <w:rPr>
                <w:rFonts w:hint="default"/>
                <w:vertAlign w:val="baseline"/>
                <w:lang w:val="en-US" w:eastAsia="zh-CN"/>
              </w:rPr>
            </w:pPr>
          </w:p>
        </w:tc>
        <w:tc>
          <w:tcPr>
            <w:tcW w:w="1394" w:type="dxa"/>
          </w:tcPr>
          <w:p w14:paraId="7D9DD7F8">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第三章 信用档案</w:t>
            </w:r>
          </w:p>
          <w:p w14:paraId="3F56B479">
            <w:pPr>
              <w:rPr>
                <w:rFonts w:hint="default"/>
                <w:vertAlign w:val="baseline"/>
                <w:lang w:val="en-US" w:eastAsia="zh-CN"/>
              </w:rPr>
            </w:pPr>
          </w:p>
        </w:tc>
        <w:tc>
          <w:tcPr>
            <w:tcW w:w="2377" w:type="dxa"/>
          </w:tcPr>
          <w:p w14:paraId="17DC7852">
            <w:pPr>
              <w:rPr>
                <w:rFonts w:hint="default"/>
                <w:vertAlign w:val="baseline"/>
                <w:lang w:val="en-US" w:eastAsia="zh-CN"/>
              </w:rPr>
            </w:pPr>
          </w:p>
        </w:tc>
        <w:tc>
          <w:tcPr>
            <w:tcW w:w="1033" w:type="dxa"/>
          </w:tcPr>
          <w:p w14:paraId="5C31FD11">
            <w:pPr>
              <w:rPr>
                <w:rFonts w:hint="default"/>
                <w:vertAlign w:val="baseline"/>
                <w:lang w:val="en-US" w:eastAsia="zh-CN"/>
              </w:rPr>
            </w:pPr>
          </w:p>
        </w:tc>
      </w:tr>
      <w:tr w14:paraId="45E0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151C0C3F">
            <w:pPr>
              <w:rPr>
                <w:rFonts w:hint="default"/>
                <w:vertAlign w:val="baseline"/>
                <w:lang w:val="en-US" w:eastAsia="zh-CN"/>
              </w:rPr>
            </w:pPr>
            <w:r>
              <w:rPr>
                <w:rFonts w:ascii="Times New Roman" w:hAnsi="Times New Roman" w:eastAsia="仿宋_GB2312" w:cs="Times New Roman"/>
                <w:sz w:val="32"/>
                <w:szCs w:val="32"/>
              </w:rPr>
              <w:t>第十二条</w:t>
            </w:r>
          </w:p>
        </w:tc>
        <w:tc>
          <w:tcPr>
            <w:tcW w:w="2415" w:type="dxa"/>
          </w:tcPr>
          <w:p w14:paraId="503D940E">
            <w:pPr>
              <w:ind w:firstLine="640" w:firstLineChars="200"/>
              <w:rPr>
                <w:rFonts w:hint="eastAsia" w:eastAsia="仿宋_GB2312"/>
                <w:vertAlign w:val="baseline"/>
                <w:lang w:val="en-US" w:eastAsia="zh-CN"/>
              </w:rPr>
            </w:pPr>
            <w:r>
              <w:rPr>
                <w:rFonts w:ascii="Times New Roman" w:hAnsi="Times New Roman" w:eastAsia="仿宋_GB2312" w:cs="Times New Roman"/>
                <w:sz w:val="32"/>
                <w:szCs w:val="32"/>
              </w:rPr>
              <w:t>县级以上医疗保障行政管理部门应当按照信用主体分类建立医疗保障信用档案，机构类信用档案以统一社会信用代码作为标识，人员类信用档案以身份证号码作为标识</w:t>
            </w:r>
            <w:r>
              <w:rPr>
                <w:rFonts w:hint="eastAsia" w:ascii="Times New Roman" w:hAnsi="Times New Roman" w:eastAsia="仿宋_GB2312" w:cs="Times New Roman"/>
                <w:sz w:val="32"/>
                <w:szCs w:val="32"/>
                <w:lang w:eastAsia="zh-CN"/>
              </w:rPr>
              <w:t>。</w:t>
            </w:r>
          </w:p>
        </w:tc>
        <w:tc>
          <w:tcPr>
            <w:tcW w:w="1394" w:type="dxa"/>
          </w:tcPr>
          <w:p w14:paraId="6BA44B34">
            <w:pPr>
              <w:rPr>
                <w:rFonts w:hint="default"/>
                <w:vertAlign w:val="baseline"/>
                <w:lang w:val="en-US" w:eastAsia="zh-CN"/>
              </w:rPr>
            </w:pPr>
            <w:r>
              <w:rPr>
                <w:rFonts w:ascii="Times New Roman" w:hAnsi="Times New Roman" w:eastAsia="仿宋_GB2312" w:cs="Times New Roman"/>
                <w:color w:val="C00000"/>
                <w:sz w:val="32"/>
                <w:szCs w:val="32"/>
              </w:rPr>
              <w:t>第十</w:t>
            </w:r>
            <w:r>
              <w:rPr>
                <w:rFonts w:hint="eastAsia" w:ascii="Times New Roman" w:hAnsi="Times New Roman" w:eastAsia="仿宋_GB2312" w:cs="Times New Roman"/>
                <w:color w:val="C00000"/>
                <w:sz w:val="32"/>
                <w:szCs w:val="32"/>
                <w:lang w:val="en-US" w:eastAsia="zh-CN"/>
              </w:rPr>
              <w:t>六</w:t>
            </w:r>
            <w:r>
              <w:rPr>
                <w:rFonts w:ascii="Times New Roman" w:hAnsi="Times New Roman" w:eastAsia="仿宋_GB2312" w:cs="Times New Roman"/>
                <w:color w:val="C00000"/>
                <w:sz w:val="32"/>
                <w:szCs w:val="32"/>
              </w:rPr>
              <w:t>条</w:t>
            </w:r>
          </w:p>
        </w:tc>
        <w:tc>
          <w:tcPr>
            <w:tcW w:w="2377" w:type="dxa"/>
          </w:tcPr>
          <w:p w14:paraId="6A477507">
            <w:pPr>
              <w:ind w:firstLine="640" w:firstLineChars="200"/>
              <w:rPr>
                <w:rFonts w:hint="eastAsia" w:eastAsia="仿宋_GB2312"/>
                <w:vertAlign w:val="baseline"/>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信用档案管理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县级以上医疗保障行政管理部门应当</w:t>
            </w:r>
            <w:r>
              <w:rPr>
                <w:rFonts w:hint="eastAsia" w:ascii="Times New Roman" w:hAnsi="Times New Roman" w:eastAsia="仿宋_GB2312" w:cs="Times New Roman"/>
                <w:color w:val="C00000"/>
                <w:sz w:val="32"/>
                <w:szCs w:val="32"/>
                <w:lang w:val="en-US" w:eastAsia="zh-CN"/>
              </w:rPr>
              <w:t>依托省医疗保障信息平台，</w:t>
            </w:r>
            <w:r>
              <w:rPr>
                <w:rFonts w:ascii="Times New Roman" w:hAnsi="Times New Roman" w:eastAsia="仿宋_GB2312" w:cs="Times New Roman"/>
                <w:sz w:val="32"/>
                <w:szCs w:val="32"/>
              </w:rPr>
              <w:t>按照信用主体分类建立医疗保障信用档案，机构类信用档案以统一社会信用代码作为标识，人员类信用档案以身份证号码作为标识</w:t>
            </w:r>
            <w:r>
              <w:rPr>
                <w:rFonts w:hint="eastAsia" w:ascii="Times New Roman" w:hAnsi="Times New Roman" w:eastAsia="仿宋_GB2312" w:cs="Times New Roman"/>
                <w:sz w:val="32"/>
                <w:szCs w:val="32"/>
                <w:lang w:eastAsia="zh-CN"/>
              </w:rPr>
              <w:t>。</w:t>
            </w:r>
          </w:p>
        </w:tc>
        <w:tc>
          <w:tcPr>
            <w:tcW w:w="1033" w:type="dxa"/>
          </w:tcPr>
          <w:p w14:paraId="657DAC6E">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红字部分为新增内容</w:t>
            </w:r>
          </w:p>
        </w:tc>
      </w:tr>
      <w:tr w14:paraId="7445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712D826D">
            <w:pPr>
              <w:rPr>
                <w:rFonts w:hint="default"/>
                <w:vertAlign w:val="baseline"/>
                <w:lang w:val="en-US" w:eastAsia="zh-CN"/>
              </w:rPr>
            </w:pPr>
            <w:r>
              <w:rPr>
                <w:rFonts w:ascii="Times New Roman" w:hAnsi="Times New Roman" w:eastAsia="仿宋_GB2312" w:cs="Times New Roman"/>
                <w:sz w:val="32"/>
                <w:szCs w:val="32"/>
              </w:rPr>
              <w:t>第十三条</w:t>
            </w:r>
          </w:p>
        </w:tc>
        <w:tc>
          <w:tcPr>
            <w:tcW w:w="2415" w:type="dxa"/>
          </w:tcPr>
          <w:p w14:paraId="7B18FAB4">
            <w:pPr>
              <w:ind w:firstLine="640" w:firstLineChars="200"/>
              <w:rPr>
                <w:rFonts w:hint="default"/>
                <w:vertAlign w:val="baseline"/>
                <w:lang w:val="en-US" w:eastAsia="zh-CN"/>
              </w:rPr>
            </w:pPr>
            <w:r>
              <w:rPr>
                <w:rFonts w:ascii="Times New Roman" w:hAnsi="Times New Roman" w:eastAsia="仿宋_GB2312" w:cs="Times New Roman"/>
                <w:sz w:val="32"/>
                <w:szCs w:val="32"/>
              </w:rPr>
              <w:t>信用主体信用档案包括信用主体的基础信息、守信信息、失信信息、信用评价等级结果等。信用档案应真实反映信用主体的信用状况。信用档案信息保持动态更新。</w:t>
            </w:r>
          </w:p>
        </w:tc>
        <w:tc>
          <w:tcPr>
            <w:tcW w:w="1394" w:type="dxa"/>
          </w:tcPr>
          <w:p w14:paraId="1123800F">
            <w:pPr>
              <w:rPr>
                <w:rFonts w:hint="default"/>
                <w:vertAlign w:val="baseline"/>
                <w:lang w:val="en-US" w:eastAsia="zh-CN"/>
              </w:rPr>
            </w:pPr>
            <w:r>
              <w:rPr>
                <w:rFonts w:ascii="Times New Roman" w:hAnsi="Times New Roman" w:eastAsia="仿宋_GB2312" w:cs="Times New Roman"/>
                <w:color w:val="C00000"/>
                <w:sz w:val="32"/>
                <w:szCs w:val="32"/>
              </w:rPr>
              <w:t>第十</w:t>
            </w:r>
            <w:r>
              <w:rPr>
                <w:rFonts w:hint="eastAsia" w:ascii="Times New Roman" w:hAnsi="Times New Roman" w:eastAsia="仿宋_GB2312" w:cs="Times New Roman"/>
                <w:color w:val="C00000"/>
                <w:sz w:val="32"/>
                <w:szCs w:val="32"/>
                <w:lang w:val="en-US" w:eastAsia="zh-CN"/>
              </w:rPr>
              <w:t>七</w:t>
            </w:r>
            <w:r>
              <w:rPr>
                <w:rFonts w:ascii="Times New Roman" w:hAnsi="Times New Roman" w:eastAsia="仿宋_GB2312" w:cs="Times New Roman"/>
                <w:color w:val="C00000"/>
                <w:sz w:val="32"/>
                <w:szCs w:val="32"/>
              </w:rPr>
              <w:t>条</w:t>
            </w:r>
          </w:p>
        </w:tc>
        <w:tc>
          <w:tcPr>
            <w:tcW w:w="2377" w:type="dxa"/>
          </w:tcPr>
          <w:p w14:paraId="1CCFDF9F">
            <w:pPr>
              <w:keepNext w:val="0"/>
              <w:keepLines w:val="0"/>
              <w:widowControl/>
              <w:suppressLineNumbers w:val="0"/>
              <w:ind w:firstLine="640" w:firstLineChars="200"/>
              <w:jc w:val="left"/>
              <w:rPr>
                <w:rFonts w:hint="default"/>
                <w:vertAlign w:val="baseline"/>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信用主体基础信息构成与信用档案管理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信用主体信用档案包括信用主体的基础信息、守信信息、失信信息、信用评价等级结果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C00000"/>
                <w:sz w:val="32"/>
                <w:szCs w:val="32"/>
                <w:lang w:val="en-US" w:eastAsia="zh-CN"/>
              </w:rPr>
              <w:t>信用信息异议记录信息、信用修复信息、相关部门评定的优良信用和不良信用信息</w:t>
            </w:r>
            <w:r>
              <w:rPr>
                <w:rFonts w:ascii="Times New Roman" w:hAnsi="Times New Roman" w:eastAsia="仿宋_GB2312" w:cs="Times New Roman"/>
                <w:sz w:val="32"/>
                <w:szCs w:val="32"/>
              </w:rPr>
              <w:t>等。信用档案应真实反映信用主体的信用状况。信用档案信息保持动态更新。</w:t>
            </w:r>
          </w:p>
        </w:tc>
        <w:tc>
          <w:tcPr>
            <w:tcW w:w="1033" w:type="dxa"/>
          </w:tcPr>
          <w:p w14:paraId="1A929272">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红字部分为新增内容</w:t>
            </w:r>
          </w:p>
        </w:tc>
      </w:tr>
      <w:tr w14:paraId="4A03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2ABC92A2">
            <w:pPr>
              <w:rPr>
                <w:rFonts w:hint="default"/>
                <w:vertAlign w:val="baseline"/>
                <w:lang w:val="en-US" w:eastAsia="zh-CN"/>
              </w:rPr>
            </w:pPr>
            <w:r>
              <w:rPr>
                <w:rFonts w:ascii="Times New Roman" w:hAnsi="Times New Roman" w:eastAsia="仿宋_GB2312" w:cs="Times New Roman"/>
                <w:sz w:val="32"/>
                <w:szCs w:val="32"/>
              </w:rPr>
              <w:t>第十四条</w:t>
            </w:r>
          </w:p>
        </w:tc>
        <w:tc>
          <w:tcPr>
            <w:tcW w:w="2415" w:type="dxa"/>
          </w:tcPr>
          <w:p w14:paraId="57F4FEF4">
            <w:pPr>
              <w:ind w:firstLine="640" w:firstLineChars="200"/>
              <w:rPr>
                <w:rFonts w:hint="default"/>
                <w:vertAlign w:val="baseline"/>
                <w:lang w:val="en-US" w:eastAsia="zh-CN"/>
              </w:rPr>
            </w:pPr>
            <w:r>
              <w:rPr>
                <w:rFonts w:ascii="Times New Roman" w:hAnsi="Times New Roman" w:eastAsia="仿宋_GB2312" w:cs="Times New Roman"/>
                <w:sz w:val="32"/>
                <w:szCs w:val="32"/>
              </w:rPr>
              <w:t>机构类信用主体的基础信息包括单位性质、名称、法定代表人和统一社会信用代码等。人员类信用主体的基础信息包括姓名和居民身份证号码、出入境证件号码、执业注册信息等。</w:t>
            </w:r>
          </w:p>
        </w:tc>
        <w:tc>
          <w:tcPr>
            <w:tcW w:w="1394" w:type="dxa"/>
          </w:tcPr>
          <w:p w14:paraId="21204B6D">
            <w:pPr>
              <w:rPr>
                <w:rFonts w:hint="default"/>
                <w:vertAlign w:val="baseline"/>
                <w:lang w:val="en-US" w:eastAsia="zh-CN"/>
              </w:rPr>
            </w:pPr>
            <w:r>
              <w:rPr>
                <w:rFonts w:ascii="Times New Roman" w:hAnsi="Times New Roman" w:eastAsia="仿宋_GB2312" w:cs="Times New Roman"/>
                <w:color w:val="C00000"/>
                <w:sz w:val="32"/>
                <w:szCs w:val="32"/>
              </w:rPr>
              <w:t>第十</w:t>
            </w:r>
            <w:r>
              <w:rPr>
                <w:rFonts w:hint="eastAsia" w:ascii="Times New Roman" w:hAnsi="Times New Roman" w:eastAsia="仿宋_GB2312" w:cs="Times New Roman"/>
                <w:color w:val="C00000"/>
                <w:sz w:val="32"/>
                <w:szCs w:val="32"/>
                <w:lang w:val="en-US" w:eastAsia="zh-CN"/>
              </w:rPr>
              <w:t>八</w:t>
            </w:r>
            <w:r>
              <w:rPr>
                <w:rFonts w:ascii="Times New Roman" w:hAnsi="Times New Roman" w:eastAsia="仿宋_GB2312" w:cs="Times New Roman"/>
                <w:color w:val="C00000"/>
                <w:sz w:val="32"/>
                <w:szCs w:val="32"/>
              </w:rPr>
              <w:t>条</w:t>
            </w:r>
          </w:p>
        </w:tc>
        <w:tc>
          <w:tcPr>
            <w:tcW w:w="2377" w:type="dxa"/>
          </w:tcPr>
          <w:p w14:paraId="21B6350C">
            <w:pPr>
              <w:ind w:firstLine="640" w:firstLineChars="200"/>
              <w:rPr>
                <w:rFonts w:hint="default"/>
                <w:vertAlign w:val="baseline"/>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信用档案内容</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机构类信用主体的基础信息包括单位性质、名称、法定代表人和统一社会信用代码</w:t>
            </w:r>
            <w:r>
              <w:rPr>
                <w:rFonts w:hint="eastAsia" w:ascii="Times New Roman" w:hAnsi="Times New Roman" w:eastAsia="仿宋_GB2312" w:cs="Times New Roman"/>
                <w:color w:val="C00000"/>
                <w:sz w:val="32"/>
                <w:szCs w:val="32"/>
                <w:lang w:val="en-US" w:eastAsia="zh-CN"/>
              </w:rPr>
              <w:t>以及缴纳医疗保险费用情况</w:t>
            </w:r>
            <w:r>
              <w:rPr>
                <w:rFonts w:ascii="Times New Roman" w:hAnsi="Times New Roman" w:eastAsia="仿宋_GB2312" w:cs="Times New Roman"/>
                <w:sz w:val="32"/>
                <w:szCs w:val="32"/>
              </w:rPr>
              <w:t>等。人员类信用主体的基础信息包括姓名和居民身份证号码、出入境证件号码、执业注册信息</w:t>
            </w:r>
            <w:r>
              <w:rPr>
                <w:rFonts w:hint="eastAsia" w:ascii="Times New Roman" w:hAnsi="Times New Roman" w:eastAsia="仿宋_GB2312" w:cs="Times New Roman"/>
                <w:color w:val="C00000"/>
                <w:sz w:val="32"/>
                <w:szCs w:val="32"/>
                <w:lang w:val="en-US" w:eastAsia="zh-CN"/>
              </w:rPr>
              <w:t>以及缴纳医疗保险费用情况</w:t>
            </w:r>
            <w:r>
              <w:rPr>
                <w:rFonts w:ascii="Times New Roman" w:hAnsi="Times New Roman" w:eastAsia="仿宋_GB2312" w:cs="Times New Roman"/>
                <w:sz w:val="32"/>
                <w:szCs w:val="32"/>
              </w:rPr>
              <w:t>等。</w:t>
            </w:r>
          </w:p>
        </w:tc>
        <w:tc>
          <w:tcPr>
            <w:tcW w:w="1033" w:type="dxa"/>
          </w:tcPr>
          <w:p w14:paraId="584938D1">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红字部分为新增内容</w:t>
            </w:r>
          </w:p>
        </w:tc>
      </w:tr>
      <w:tr w14:paraId="6C8A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3F48F721">
            <w:pPr>
              <w:rPr>
                <w:rFonts w:hint="default"/>
                <w:vertAlign w:val="baseline"/>
                <w:lang w:val="en-US" w:eastAsia="zh-CN"/>
              </w:rPr>
            </w:pPr>
            <w:r>
              <w:rPr>
                <w:rFonts w:ascii="Times New Roman" w:hAnsi="Times New Roman" w:eastAsia="仿宋_GB2312" w:cs="Times New Roman"/>
                <w:sz w:val="32"/>
                <w:szCs w:val="32"/>
              </w:rPr>
              <w:t>第十五条</w:t>
            </w:r>
          </w:p>
        </w:tc>
        <w:tc>
          <w:tcPr>
            <w:tcW w:w="2415" w:type="dxa"/>
          </w:tcPr>
          <w:p w14:paraId="747D3DE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信用主体的守信信息指对信用主体信用状况构成正面影响的信用信息，包括以下内容：</w:t>
            </w:r>
          </w:p>
          <w:p w14:paraId="33B3013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（一）县级以上人民政府及其行政管理部门、法律法规授权具有管理公共事务职能的组织按规定程序认定信用主体与诚信相关的表彰、奖励等信息；</w:t>
            </w:r>
          </w:p>
          <w:p w14:paraId="63C09B1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（二）遵守法律、法规和政策，履行医疗保障服务协议约定信息；</w:t>
            </w:r>
          </w:p>
          <w:p w14:paraId="674EF83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（三）自觉信守承诺信息；</w:t>
            </w:r>
          </w:p>
          <w:p w14:paraId="387A819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（四）法律、法规、规章等规定应当</w:t>
            </w:r>
            <w:r>
              <w:rPr>
                <w:rFonts w:hint="eastAsia" w:ascii="Times New Roman" w:hAnsi="Times New Roman" w:eastAsia="仿宋_GB2312" w:cs="Times New Roman"/>
                <w:sz w:val="32"/>
                <w:szCs w:val="32"/>
              </w:rPr>
              <w:t>记</w:t>
            </w:r>
            <w:r>
              <w:rPr>
                <w:rFonts w:ascii="Times New Roman" w:hAnsi="Times New Roman" w:eastAsia="仿宋_GB2312" w:cs="Times New Roman"/>
                <w:sz w:val="32"/>
                <w:szCs w:val="32"/>
              </w:rPr>
              <w:t>入信用档案的其他守信信息。</w:t>
            </w:r>
          </w:p>
          <w:p w14:paraId="5FC26EFB">
            <w:pPr>
              <w:rPr>
                <w:rFonts w:hint="default"/>
                <w:vertAlign w:val="baseline"/>
                <w:lang w:val="en-US" w:eastAsia="zh-CN"/>
              </w:rPr>
            </w:pPr>
          </w:p>
        </w:tc>
        <w:tc>
          <w:tcPr>
            <w:tcW w:w="1394" w:type="dxa"/>
          </w:tcPr>
          <w:p w14:paraId="1E22A2F4">
            <w:pPr>
              <w:rPr>
                <w:rFonts w:hint="default"/>
                <w:vertAlign w:val="baseline"/>
                <w:lang w:val="en-US" w:eastAsia="zh-CN"/>
              </w:rPr>
            </w:pPr>
            <w:r>
              <w:rPr>
                <w:rFonts w:ascii="Times New Roman" w:hAnsi="Times New Roman" w:eastAsia="仿宋_GB2312" w:cs="Times New Roman"/>
                <w:color w:val="C00000"/>
                <w:sz w:val="32"/>
                <w:szCs w:val="32"/>
              </w:rPr>
              <w:t>第十</w:t>
            </w:r>
            <w:r>
              <w:rPr>
                <w:rFonts w:hint="eastAsia" w:ascii="Times New Roman" w:hAnsi="Times New Roman" w:eastAsia="仿宋_GB2312" w:cs="Times New Roman"/>
                <w:color w:val="C00000"/>
                <w:sz w:val="32"/>
                <w:szCs w:val="32"/>
                <w:lang w:val="en-US" w:eastAsia="zh-CN"/>
              </w:rPr>
              <w:t>九</w:t>
            </w:r>
            <w:r>
              <w:rPr>
                <w:rFonts w:ascii="Times New Roman" w:hAnsi="Times New Roman" w:eastAsia="仿宋_GB2312" w:cs="Times New Roman"/>
                <w:color w:val="C00000"/>
                <w:sz w:val="32"/>
                <w:szCs w:val="32"/>
              </w:rPr>
              <w:t>条</w:t>
            </w:r>
          </w:p>
        </w:tc>
        <w:tc>
          <w:tcPr>
            <w:tcW w:w="2377" w:type="dxa"/>
          </w:tcPr>
          <w:p w14:paraId="7AB1DD76">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守信信息构成</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信用主体的守信信息指对信用主体信用状况构成正面影响的信用信息，包括以下内容：</w:t>
            </w:r>
          </w:p>
          <w:p w14:paraId="13F5194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（一）县级以上人民政府及其行政管理部门、法律法规授权具有管理公共事务职能的组织按规定程序认定信用主体与诚信相关的表彰、奖励等信息；</w:t>
            </w:r>
          </w:p>
          <w:p w14:paraId="567874A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（二）遵守法律、法规和政策，履行医疗保障服务协议约定信息；</w:t>
            </w:r>
          </w:p>
          <w:p w14:paraId="74169EF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（三）自觉信守承诺信息；</w:t>
            </w:r>
          </w:p>
          <w:p w14:paraId="6EC4B0C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（四）法律、法规、规章等规定应当</w:t>
            </w:r>
            <w:r>
              <w:rPr>
                <w:rFonts w:hint="eastAsia" w:ascii="Times New Roman" w:hAnsi="Times New Roman" w:eastAsia="仿宋_GB2312" w:cs="Times New Roman"/>
                <w:sz w:val="32"/>
                <w:szCs w:val="32"/>
              </w:rPr>
              <w:t>记</w:t>
            </w:r>
            <w:r>
              <w:rPr>
                <w:rFonts w:ascii="Times New Roman" w:hAnsi="Times New Roman" w:eastAsia="仿宋_GB2312" w:cs="Times New Roman"/>
                <w:sz w:val="32"/>
                <w:szCs w:val="32"/>
              </w:rPr>
              <w:t>入信用档案的其他守信信息。</w:t>
            </w:r>
          </w:p>
          <w:p w14:paraId="6878541F">
            <w:pPr>
              <w:rPr>
                <w:rFonts w:hint="default"/>
                <w:vertAlign w:val="baseline"/>
                <w:lang w:val="en-US" w:eastAsia="zh-CN"/>
              </w:rPr>
            </w:pPr>
          </w:p>
        </w:tc>
        <w:tc>
          <w:tcPr>
            <w:tcW w:w="1033" w:type="dxa"/>
          </w:tcPr>
          <w:p w14:paraId="2FFCCE2F">
            <w:pPr>
              <w:rPr>
                <w:rFonts w:hint="default"/>
                <w:vertAlign w:val="baseline"/>
                <w:lang w:val="en-US" w:eastAsia="zh-CN"/>
              </w:rPr>
            </w:pPr>
          </w:p>
        </w:tc>
      </w:tr>
      <w:tr w14:paraId="11FD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5D1262B6">
            <w:pPr>
              <w:rPr>
                <w:rFonts w:hint="default"/>
                <w:vertAlign w:val="baseline"/>
                <w:lang w:val="en-US" w:eastAsia="zh-CN"/>
              </w:rPr>
            </w:pPr>
            <w:r>
              <w:rPr>
                <w:rFonts w:ascii="Times New Roman" w:hAnsi="Times New Roman" w:eastAsia="仿宋_GB2312" w:cs="Times New Roman"/>
                <w:sz w:val="32"/>
                <w:szCs w:val="32"/>
              </w:rPr>
              <w:t>第十六条</w:t>
            </w:r>
          </w:p>
        </w:tc>
        <w:tc>
          <w:tcPr>
            <w:tcW w:w="2415" w:type="dxa"/>
          </w:tcPr>
          <w:p w14:paraId="0CFB2AA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信用主体的失信信息指对信用主体信用状况构成负面影响的信用信息，包括以下内容：</w:t>
            </w:r>
          </w:p>
          <w:p w14:paraId="2A4D9C7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（一）违反医疗保障有关法律、法规、规章或者服务协议，受到县级以上医疗保障行政管理部门行政处罚或者医疗保障经办机构协议处理等相关信息；</w:t>
            </w:r>
          </w:p>
          <w:p w14:paraId="6DEAA99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（二）违反价格、招标和挂网规则，违背守信承诺和购销合同，在医药购销中存在给予回扣或其他不正当利益等情形，扰乱药品或医用耗材集中采购秩序等相关信息；</w:t>
            </w:r>
          </w:p>
          <w:p w14:paraId="00CDA60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（三）未在法定期限内申请行政复议或诉讼，或者复议诉讼后维持原决定，拒不履行医疗保障行政处罚或行政决定的信息；</w:t>
            </w:r>
          </w:p>
          <w:p w14:paraId="706AB469">
            <w:pPr>
              <w:rPr>
                <w:rFonts w:hint="default"/>
                <w:vertAlign w:val="baseline"/>
                <w:lang w:val="en-US" w:eastAsia="zh-CN"/>
              </w:rPr>
            </w:pPr>
            <w:r>
              <w:rPr>
                <w:rFonts w:ascii="Times New Roman" w:hAnsi="Times New Roman" w:eastAsia="仿宋_GB2312" w:cs="Times New Roman"/>
                <w:sz w:val="32"/>
                <w:szCs w:val="32"/>
              </w:rPr>
              <w:t xml:space="preserve"> （四）法律、法规、规章规定的其他失信行为信息。</w:t>
            </w:r>
          </w:p>
        </w:tc>
        <w:tc>
          <w:tcPr>
            <w:tcW w:w="1394" w:type="dxa"/>
          </w:tcPr>
          <w:p w14:paraId="7D1A2D9F">
            <w:pPr>
              <w:rPr>
                <w:rFonts w:hint="default"/>
                <w:vertAlign w:val="baseline"/>
                <w:lang w:val="en-US" w:eastAsia="zh-CN"/>
              </w:rPr>
            </w:pPr>
            <w:r>
              <w:rPr>
                <w:rFonts w:ascii="Times New Roman" w:hAnsi="Times New Roman" w:eastAsia="仿宋_GB2312" w:cs="Times New Roman"/>
                <w:color w:val="C00000"/>
                <w:sz w:val="32"/>
                <w:szCs w:val="32"/>
              </w:rPr>
              <w:t>第</w:t>
            </w:r>
            <w:r>
              <w:rPr>
                <w:rFonts w:hint="eastAsia" w:ascii="Times New Roman" w:hAnsi="Times New Roman" w:eastAsia="仿宋_GB2312" w:cs="Times New Roman"/>
                <w:color w:val="C00000"/>
                <w:sz w:val="32"/>
                <w:szCs w:val="32"/>
                <w:lang w:val="en-US" w:eastAsia="zh-CN"/>
              </w:rPr>
              <w:t>二十</w:t>
            </w:r>
            <w:r>
              <w:rPr>
                <w:rFonts w:ascii="Times New Roman" w:hAnsi="Times New Roman" w:eastAsia="仿宋_GB2312" w:cs="Times New Roman"/>
                <w:color w:val="C00000"/>
                <w:sz w:val="32"/>
                <w:szCs w:val="32"/>
              </w:rPr>
              <w:t>条</w:t>
            </w:r>
          </w:p>
        </w:tc>
        <w:tc>
          <w:tcPr>
            <w:tcW w:w="2377" w:type="dxa"/>
          </w:tcPr>
          <w:p w14:paraId="10997B7B">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失信信息构成</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信用主体的失信信息指对信用主体信用状况构成负面影响的信用信息，包括以下内容：</w:t>
            </w:r>
          </w:p>
          <w:p w14:paraId="0C48D4F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（一）违反医疗保障有关法律、法规、规章或者服务协议，受到县级以上医疗保障行政管理部门行政处罚或者医疗保障经办机构协议处理等相关信息；</w:t>
            </w:r>
          </w:p>
          <w:p w14:paraId="1396E8B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（二）违反价格、招标和挂网规则，违背守信承诺和购销合同，在医药购销中存在给予回扣或其他不正当利益等情形，扰乱药品或医用耗材集中采购秩序等相关信息；</w:t>
            </w:r>
          </w:p>
          <w:p w14:paraId="226F233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（三）未在法定期限内申请行政复议或诉讼，或者复议诉讼后维持原决定，拒不履行医疗保障行政处罚或行政决定的信息；</w:t>
            </w:r>
          </w:p>
          <w:p w14:paraId="7784BB57">
            <w:pPr>
              <w:rPr>
                <w:rFonts w:hint="default"/>
                <w:vertAlign w:val="baseline"/>
                <w:lang w:val="en-US" w:eastAsia="zh-CN"/>
              </w:rPr>
            </w:pPr>
            <w:r>
              <w:rPr>
                <w:rFonts w:ascii="Times New Roman" w:hAnsi="Times New Roman" w:eastAsia="仿宋_GB2312" w:cs="Times New Roman"/>
                <w:sz w:val="32"/>
                <w:szCs w:val="32"/>
              </w:rPr>
              <w:t xml:space="preserve"> （四）法律、法规、规章规定的其他失信行为信息。</w:t>
            </w:r>
          </w:p>
        </w:tc>
        <w:tc>
          <w:tcPr>
            <w:tcW w:w="1033" w:type="dxa"/>
          </w:tcPr>
          <w:p w14:paraId="4F695B56">
            <w:pPr>
              <w:rPr>
                <w:rFonts w:hint="default"/>
                <w:vertAlign w:val="baseline"/>
                <w:lang w:val="en-US" w:eastAsia="zh-CN"/>
              </w:rPr>
            </w:pPr>
          </w:p>
        </w:tc>
      </w:tr>
      <w:tr w14:paraId="651F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1CDB165D">
            <w:pPr>
              <w:rPr>
                <w:rFonts w:hint="default"/>
                <w:vertAlign w:val="baseline"/>
                <w:lang w:val="en-US" w:eastAsia="zh-CN"/>
              </w:rPr>
            </w:pPr>
            <w:r>
              <w:rPr>
                <w:rFonts w:ascii="Times New Roman" w:hAnsi="Times New Roman" w:eastAsia="仿宋_GB2312" w:cs="Times New Roman"/>
                <w:sz w:val="32"/>
                <w:szCs w:val="32"/>
              </w:rPr>
              <w:t>第十七条</w:t>
            </w:r>
          </w:p>
        </w:tc>
        <w:tc>
          <w:tcPr>
            <w:tcW w:w="2415" w:type="dxa"/>
          </w:tcPr>
          <w:p w14:paraId="0F146CFA">
            <w:pPr>
              <w:ind w:firstLine="640" w:firstLineChars="200"/>
              <w:rPr>
                <w:rFonts w:hint="default"/>
                <w:vertAlign w:val="baseline"/>
                <w:lang w:val="en-US" w:eastAsia="zh-CN"/>
              </w:rPr>
            </w:pPr>
            <w:r>
              <w:rPr>
                <w:rFonts w:ascii="Times New Roman" w:hAnsi="Times New Roman" w:eastAsia="仿宋_GB2312" w:cs="Times New Roman"/>
                <w:sz w:val="32"/>
                <w:szCs w:val="32"/>
              </w:rPr>
              <w:t>省级医疗保障行政管理部门依托医疗保障信用评价管理系统，以数据和应用标准化为原则，围绕信用管理的全流程，整合医疗保障领域各种信用信息资源，健全医疗保障信用信息数据库，设立信用主体的信用档案、管理模块，实现信用信息的电子化采集、记录、存储、应用。</w:t>
            </w:r>
          </w:p>
        </w:tc>
        <w:tc>
          <w:tcPr>
            <w:tcW w:w="1394" w:type="dxa"/>
          </w:tcPr>
          <w:p w14:paraId="09DDE790">
            <w:pPr>
              <w:rPr>
                <w:rFonts w:hint="default"/>
                <w:vertAlign w:val="baseline"/>
                <w:lang w:val="en-US" w:eastAsia="zh-CN"/>
              </w:rPr>
            </w:pPr>
            <w:r>
              <w:rPr>
                <w:rFonts w:ascii="Times New Roman" w:hAnsi="Times New Roman" w:eastAsia="仿宋_GB2312" w:cs="Times New Roman"/>
                <w:color w:val="C00000"/>
                <w:sz w:val="32"/>
                <w:szCs w:val="32"/>
              </w:rPr>
              <w:t>第</w:t>
            </w:r>
            <w:r>
              <w:rPr>
                <w:rFonts w:hint="eastAsia" w:ascii="Times New Roman" w:hAnsi="Times New Roman" w:eastAsia="仿宋_GB2312" w:cs="Times New Roman"/>
                <w:color w:val="C00000"/>
                <w:sz w:val="32"/>
                <w:szCs w:val="32"/>
                <w:lang w:val="en-US" w:eastAsia="zh-CN"/>
              </w:rPr>
              <w:t>二十一</w:t>
            </w:r>
            <w:r>
              <w:rPr>
                <w:rFonts w:ascii="Times New Roman" w:hAnsi="Times New Roman" w:eastAsia="仿宋_GB2312" w:cs="Times New Roman"/>
                <w:color w:val="C00000"/>
                <w:sz w:val="32"/>
                <w:szCs w:val="32"/>
              </w:rPr>
              <w:t>条</w:t>
            </w:r>
          </w:p>
        </w:tc>
        <w:tc>
          <w:tcPr>
            <w:tcW w:w="2377" w:type="dxa"/>
          </w:tcPr>
          <w:p w14:paraId="36330D5A">
            <w:pPr>
              <w:ind w:firstLine="640" w:firstLineChars="200"/>
              <w:rPr>
                <w:rFonts w:hint="default"/>
                <w:vertAlign w:val="baseline"/>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信用评价管理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省级医疗保障行政管理部门</w:t>
            </w:r>
            <w:r>
              <w:rPr>
                <w:rFonts w:hint="eastAsia" w:ascii="Times New Roman" w:hAnsi="Times New Roman" w:eastAsia="仿宋_GB2312" w:cs="Times New Roman"/>
                <w:sz w:val="32"/>
                <w:szCs w:val="32"/>
                <w:lang w:val="en-US" w:eastAsia="zh-CN"/>
              </w:rPr>
              <w:t>应当</w:t>
            </w:r>
            <w:r>
              <w:rPr>
                <w:rFonts w:ascii="Times New Roman" w:hAnsi="Times New Roman" w:eastAsia="仿宋_GB2312" w:cs="Times New Roman"/>
                <w:sz w:val="32"/>
                <w:szCs w:val="32"/>
              </w:rPr>
              <w:t>依托医疗保障信用评价管理系统，以数据和应用标准化为原则，围绕信用管理的全流程，整合医疗保障领域各种信用信息资源，健全医疗保障信用信息数据库，设立信用主体的信用档案、管理模块，实现信用信息的电子化采集、记录、存储、应用。</w:t>
            </w:r>
          </w:p>
        </w:tc>
        <w:tc>
          <w:tcPr>
            <w:tcW w:w="1033" w:type="dxa"/>
          </w:tcPr>
          <w:p w14:paraId="3C9E770C">
            <w:pPr>
              <w:rPr>
                <w:rFonts w:hint="default"/>
                <w:vertAlign w:val="baseline"/>
                <w:lang w:val="en-US" w:eastAsia="zh-CN"/>
              </w:rPr>
            </w:pPr>
          </w:p>
        </w:tc>
      </w:tr>
      <w:tr w14:paraId="512B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36B1F370">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第四章 信用信息归集</w:t>
            </w:r>
          </w:p>
          <w:p w14:paraId="01AE99D0">
            <w:pPr>
              <w:rPr>
                <w:rFonts w:hint="default"/>
                <w:vertAlign w:val="baseline"/>
                <w:lang w:val="en-US" w:eastAsia="zh-CN"/>
              </w:rPr>
            </w:pPr>
          </w:p>
        </w:tc>
        <w:tc>
          <w:tcPr>
            <w:tcW w:w="2415" w:type="dxa"/>
          </w:tcPr>
          <w:p w14:paraId="0B12D03E">
            <w:pPr>
              <w:rPr>
                <w:rFonts w:hint="default"/>
                <w:vertAlign w:val="baseline"/>
                <w:lang w:val="en-US" w:eastAsia="zh-CN"/>
              </w:rPr>
            </w:pPr>
          </w:p>
        </w:tc>
        <w:tc>
          <w:tcPr>
            <w:tcW w:w="1394" w:type="dxa"/>
          </w:tcPr>
          <w:p w14:paraId="052A1973">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第四章 信用信息归集</w:t>
            </w:r>
          </w:p>
          <w:p w14:paraId="4AE175D5">
            <w:pPr>
              <w:rPr>
                <w:rFonts w:hint="default"/>
                <w:vertAlign w:val="baseline"/>
                <w:lang w:val="en-US" w:eastAsia="zh-CN"/>
              </w:rPr>
            </w:pPr>
          </w:p>
        </w:tc>
        <w:tc>
          <w:tcPr>
            <w:tcW w:w="2377" w:type="dxa"/>
          </w:tcPr>
          <w:p w14:paraId="5ECC10B2">
            <w:pPr>
              <w:rPr>
                <w:rFonts w:hint="default"/>
                <w:vertAlign w:val="baseline"/>
                <w:lang w:val="en-US" w:eastAsia="zh-CN"/>
              </w:rPr>
            </w:pPr>
          </w:p>
        </w:tc>
        <w:tc>
          <w:tcPr>
            <w:tcW w:w="1033" w:type="dxa"/>
          </w:tcPr>
          <w:p w14:paraId="506FE3C7">
            <w:pPr>
              <w:rPr>
                <w:rFonts w:hint="default"/>
                <w:vertAlign w:val="baseline"/>
                <w:lang w:val="en-US" w:eastAsia="zh-CN"/>
              </w:rPr>
            </w:pPr>
          </w:p>
        </w:tc>
      </w:tr>
      <w:tr w14:paraId="490E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280AB3A0">
            <w:pPr>
              <w:rPr>
                <w:rFonts w:hint="default"/>
                <w:vertAlign w:val="baseline"/>
                <w:lang w:val="en-US" w:eastAsia="zh-CN"/>
              </w:rPr>
            </w:pPr>
            <w:r>
              <w:rPr>
                <w:rFonts w:ascii="Times New Roman" w:hAnsi="Times New Roman" w:eastAsia="仿宋_GB2312" w:cs="Times New Roman"/>
                <w:sz w:val="32"/>
                <w:szCs w:val="32"/>
              </w:rPr>
              <w:t>第十八条</w:t>
            </w:r>
          </w:p>
        </w:tc>
        <w:tc>
          <w:tcPr>
            <w:tcW w:w="2415" w:type="dxa"/>
          </w:tcPr>
          <w:p w14:paraId="358FE31E">
            <w:pPr>
              <w:ind w:firstLine="640" w:firstLineChars="200"/>
              <w:rPr>
                <w:rFonts w:hint="default"/>
                <w:vertAlign w:val="baseline"/>
                <w:lang w:val="en-US" w:eastAsia="zh-CN"/>
              </w:rPr>
            </w:pPr>
            <w:r>
              <w:rPr>
                <w:rFonts w:ascii="Times New Roman" w:hAnsi="Times New Roman" w:eastAsia="仿宋_GB2312" w:cs="Times New Roman"/>
                <w:sz w:val="32"/>
                <w:szCs w:val="32"/>
              </w:rPr>
              <w:t>医疗保障信用信息是指信用主体在履行医疗保障法律、法规、医保服务协议及其他社会活动中产生的涉及信用主体信用状况的信息，包括信用主体的守信信息和失信信息。</w:t>
            </w:r>
          </w:p>
        </w:tc>
        <w:tc>
          <w:tcPr>
            <w:tcW w:w="1394" w:type="dxa"/>
          </w:tcPr>
          <w:p w14:paraId="1C426623">
            <w:pPr>
              <w:rPr>
                <w:rFonts w:hint="default"/>
                <w:vertAlign w:val="baseline"/>
                <w:lang w:val="en-US" w:eastAsia="zh-CN"/>
              </w:rPr>
            </w:pPr>
            <w:r>
              <w:rPr>
                <w:rFonts w:ascii="Times New Roman" w:hAnsi="Times New Roman" w:eastAsia="仿宋_GB2312" w:cs="Times New Roman"/>
                <w:color w:val="C00000"/>
                <w:sz w:val="32"/>
                <w:szCs w:val="32"/>
              </w:rPr>
              <w:t>第</w:t>
            </w:r>
            <w:r>
              <w:rPr>
                <w:rFonts w:hint="eastAsia" w:ascii="Times New Roman" w:hAnsi="Times New Roman" w:eastAsia="仿宋_GB2312" w:cs="Times New Roman"/>
                <w:color w:val="C00000"/>
                <w:sz w:val="32"/>
                <w:szCs w:val="32"/>
                <w:lang w:val="en-US" w:eastAsia="zh-CN"/>
              </w:rPr>
              <w:t>二十二</w:t>
            </w:r>
            <w:r>
              <w:rPr>
                <w:rFonts w:ascii="Times New Roman" w:hAnsi="Times New Roman" w:eastAsia="仿宋_GB2312" w:cs="Times New Roman"/>
                <w:color w:val="C00000"/>
                <w:sz w:val="32"/>
                <w:szCs w:val="32"/>
              </w:rPr>
              <w:t>条</w:t>
            </w:r>
          </w:p>
        </w:tc>
        <w:tc>
          <w:tcPr>
            <w:tcW w:w="2377" w:type="dxa"/>
          </w:tcPr>
          <w:p w14:paraId="371DA2D9">
            <w:pPr>
              <w:ind w:firstLine="640" w:firstLineChars="200"/>
              <w:rPr>
                <w:rFonts w:hint="default"/>
                <w:vertAlign w:val="baseline"/>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医疗保障信用信息定义</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医疗保障信用信息是指信用主体在履行医疗保障法律、法规、医保服务协议及其他社会活动中产生的涉及信用主体信用状况的信息，包括信用主体的守信信息和失信信息。</w:t>
            </w:r>
          </w:p>
        </w:tc>
        <w:tc>
          <w:tcPr>
            <w:tcW w:w="1033" w:type="dxa"/>
          </w:tcPr>
          <w:p w14:paraId="486E4FC4">
            <w:pPr>
              <w:rPr>
                <w:rFonts w:hint="default"/>
                <w:vertAlign w:val="baseline"/>
                <w:lang w:val="en-US" w:eastAsia="zh-CN"/>
              </w:rPr>
            </w:pPr>
          </w:p>
        </w:tc>
      </w:tr>
      <w:tr w14:paraId="645F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59E7C2AE">
            <w:pPr>
              <w:rPr>
                <w:rFonts w:ascii="Times New Roman" w:hAnsi="Times New Roman" w:eastAsia="仿宋_GB2312" w:cs="Times New Roman"/>
                <w:sz w:val="32"/>
                <w:szCs w:val="32"/>
              </w:rPr>
            </w:pPr>
          </w:p>
        </w:tc>
        <w:tc>
          <w:tcPr>
            <w:tcW w:w="2415" w:type="dxa"/>
          </w:tcPr>
          <w:p w14:paraId="163B752D">
            <w:pPr>
              <w:spacing w:line="560" w:lineRule="exact"/>
              <w:ind w:firstLine="640" w:firstLineChars="200"/>
              <w:rPr>
                <w:rFonts w:ascii="Times New Roman" w:hAnsi="Times New Roman" w:eastAsia="仿宋_GB2312" w:cs="Times New Roman"/>
                <w:sz w:val="32"/>
                <w:szCs w:val="32"/>
              </w:rPr>
            </w:pPr>
          </w:p>
        </w:tc>
        <w:tc>
          <w:tcPr>
            <w:tcW w:w="1394" w:type="dxa"/>
          </w:tcPr>
          <w:p w14:paraId="0D42FB93">
            <w:pP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C00000"/>
                <w:sz w:val="32"/>
                <w:szCs w:val="32"/>
                <w:lang w:val="en-US" w:eastAsia="zh-CN"/>
              </w:rPr>
              <w:t>第二十三条</w:t>
            </w:r>
          </w:p>
        </w:tc>
        <w:tc>
          <w:tcPr>
            <w:tcW w:w="2377" w:type="dxa"/>
          </w:tcPr>
          <w:p w14:paraId="581A6EC3">
            <w:pPr>
              <w:keepNext w:val="0"/>
              <w:keepLines w:val="0"/>
              <w:widowControl/>
              <w:suppressLineNumbers w:val="0"/>
              <w:ind w:firstLine="640" w:firstLineChars="20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【信用信息分类】信用信息按照国家、省对公共信用信息目录的规定进行分类，包括以下类别： </w:t>
            </w:r>
          </w:p>
          <w:p w14:paraId="227E595A">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（一）信用主体登记注册基本信息。主要指公共管理和服务 </w:t>
            </w:r>
          </w:p>
          <w:p w14:paraId="77241831">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中反映信用主体基本情况的登记类信息； </w:t>
            </w:r>
          </w:p>
          <w:p w14:paraId="640921E1">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（二）信用主体的资质资格、职称和职业资格信息； </w:t>
            </w:r>
          </w:p>
          <w:p w14:paraId="3C080E7F">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（三）行政管理信息。包括医疗保障行政管理信息、拒不履 </w:t>
            </w:r>
          </w:p>
          <w:p w14:paraId="752A4F56">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行生效的医疗保障行政决定所确定义务的信息，以及医疗卫生、市场监管、药品监管、人力资源和社会保障等领域与医疗保障有 </w:t>
            </w:r>
          </w:p>
          <w:p w14:paraId="0604913D">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关的行政管理类公共信用记录； </w:t>
            </w:r>
          </w:p>
          <w:p w14:paraId="63960704">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（四）司法裁判及执行信息。包括信用主体因违反医疗保障 </w:t>
            </w:r>
          </w:p>
          <w:p w14:paraId="2E93F9E0">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法律受到法律制裁的生效判决及其执行信息，人民法院对医疗保障行政部门申请法院强制执行的裁定及其执行情况，医疗保障行 </w:t>
            </w:r>
          </w:p>
          <w:p w14:paraId="49EF2460">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政诉讼案件的生效判决及其执行信息，纳入失信被执行人名单及限制消费信息等； </w:t>
            </w:r>
          </w:p>
          <w:p w14:paraId="615567F1">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（五）经营（活动）异常名录（状态）信息； </w:t>
            </w:r>
          </w:p>
          <w:p w14:paraId="43F14763">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（六）信用评价结果信息。包括医疗保障信用评价结果、公 </w:t>
            </w:r>
          </w:p>
          <w:p w14:paraId="37B670E4">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共信用综合评价结果等信息； </w:t>
            </w:r>
          </w:p>
          <w:p w14:paraId="21CEBE1D">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（七）行政约定及其履行信息。主要指信用主体履行医疗保 </w:t>
            </w:r>
          </w:p>
          <w:p w14:paraId="3F9180AB">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障服务协议情况的信息； </w:t>
            </w:r>
          </w:p>
          <w:p w14:paraId="227E0907">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（八）信用承诺及其履行情况信息。主要指信用主体作出的医疗保障信用承诺及其履行情况信息； </w:t>
            </w:r>
          </w:p>
          <w:p w14:paraId="230B5CD5">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（九）违反法律法规情况信息。包括信用主体因《医疗保障 </w:t>
            </w:r>
          </w:p>
          <w:p w14:paraId="59430CB5">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基金使用监督管理条例》第三十六条、第三十八条、第三十九条、第四十一条第一款、第四十六条规定情形而产生的处理信息，因《中华人民共和国基本医疗卫生与健康促进法》第五十七条、第 </w:t>
            </w:r>
          </w:p>
          <w:p w14:paraId="5A98F00B">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八十二条规定情形而产生的有关信息，其他违反法律法规情况信息等； </w:t>
            </w:r>
          </w:p>
          <w:p w14:paraId="20B7C0A0">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（十）诚实守信相关荣誉信息。包括市（地）级以上市人民政府及其部门以及法律法规授权具有管理公共事务职能的组织按规定程序认定的与诚信相关的荣誉信息； </w:t>
            </w:r>
          </w:p>
          <w:p w14:paraId="227CB928">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（十一）失信主体名单信息。包括在全国范围内实施的、实 </w:t>
            </w:r>
          </w:p>
          <w:p w14:paraId="4DCE69AB">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施主体为医疗保障部门的医疗保障领域失信联合惩戒对象名单、社会救助领域信用黑名单，信用主体因《医疗保障基金使用监督管理条例》第三十七条、第四十条、第四十一条第二款规定情形被医疗保障部门认定的失信主体名单，其他有关行业、领域主管部门认定的严重失信主体名单； </w:t>
            </w:r>
          </w:p>
          <w:p w14:paraId="10241B17">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（十二）医疗保障领域法律、法规和国家规定的其他公共信 </w:t>
            </w:r>
          </w:p>
          <w:p w14:paraId="088881BB">
            <w:pPr>
              <w:keepNext w:val="0"/>
              <w:keepLines w:val="0"/>
              <w:widowControl/>
              <w:suppressLineNumbers w:val="0"/>
              <w:jc w:val="left"/>
              <w:rPr>
                <w:rFonts w:ascii="Times New Roman" w:hAnsi="Times New Roman" w:eastAsia="仿宋_GB2312" w:cs="Times New Roman"/>
                <w:sz w:val="32"/>
                <w:szCs w:val="32"/>
              </w:rPr>
            </w:pPr>
            <w:r>
              <w:rPr>
                <w:rFonts w:hint="eastAsia" w:ascii="仿宋_GB2312" w:hAnsi="仿宋_GB2312" w:eastAsia="仿宋_GB2312" w:cs="仿宋_GB2312"/>
                <w:color w:val="C00000"/>
                <w:kern w:val="0"/>
                <w:sz w:val="32"/>
                <w:szCs w:val="32"/>
                <w:lang w:val="en-US" w:eastAsia="zh-CN" w:bidi="ar"/>
              </w:rPr>
              <w:t>用信息，包括信用主体违法违规提供虚假资料、隐瞒事实真相等弄虚作假行为的信息。</w:t>
            </w:r>
          </w:p>
        </w:tc>
        <w:tc>
          <w:tcPr>
            <w:tcW w:w="1033" w:type="dxa"/>
          </w:tcPr>
          <w:p w14:paraId="00AB575A">
            <w:pPr>
              <w:rPr>
                <w:rFonts w:hint="default"/>
                <w:vertAlign w:val="baseline"/>
                <w:lang w:val="en-US" w:eastAsia="zh-CN"/>
              </w:rPr>
            </w:pPr>
            <w:r>
              <w:rPr>
                <w:rFonts w:hint="eastAsia"/>
                <w:vertAlign w:val="baseline"/>
                <w:lang w:val="en-US" w:eastAsia="zh-CN"/>
              </w:rPr>
              <w:t>信用信息分类</w:t>
            </w:r>
          </w:p>
        </w:tc>
      </w:tr>
      <w:tr w14:paraId="6B40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4DF7634B">
            <w:pPr>
              <w:rPr>
                <w:rFonts w:hint="default"/>
                <w:vertAlign w:val="baseline"/>
                <w:lang w:val="en-US" w:eastAsia="zh-CN"/>
              </w:rPr>
            </w:pPr>
            <w:r>
              <w:rPr>
                <w:rFonts w:ascii="Times New Roman" w:hAnsi="Times New Roman" w:eastAsia="仿宋_GB2312" w:cs="Times New Roman"/>
                <w:sz w:val="32"/>
                <w:szCs w:val="32"/>
              </w:rPr>
              <w:t>第十九条</w:t>
            </w:r>
          </w:p>
        </w:tc>
        <w:tc>
          <w:tcPr>
            <w:tcW w:w="2415" w:type="dxa"/>
          </w:tcPr>
          <w:p w14:paraId="7548858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医疗保障信用信息采集方式包括：</w:t>
            </w:r>
          </w:p>
          <w:p w14:paraId="17D9BEF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（一）信用主体按有关规定要求提供；</w:t>
            </w:r>
          </w:p>
          <w:p w14:paraId="37F72E3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（二）医疗保障行政管理部门从医保智能审核、智能监控、日常监管、专项行动、协议管理等获取；</w:t>
            </w:r>
          </w:p>
          <w:p w14:paraId="21B2653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（三）医疗保障行政管理部门从各级公共信用信息平台、国家企业信用信息公示系统等共享；</w:t>
            </w:r>
          </w:p>
          <w:p w14:paraId="388866DF">
            <w:pPr>
              <w:spacing w:line="560" w:lineRule="exact"/>
              <w:ind w:firstLine="640" w:firstLineChars="200"/>
              <w:rPr>
                <w:rFonts w:hint="default"/>
                <w:vertAlign w:val="baseline"/>
                <w:lang w:val="en-US" w:eastAsia="zh-CN"/>
              </w:rPr>
            </w:pPr>
            <w:r>
              <w:rPr>
                <w:rFonts w:ascii="Times New Roman" w:hAnsi="Times New Roman" w:eastAsia="仿宋_GB2312" w:cs="Times New Roman"/>
                <w:sz w:val="32"/>
                <w:szCs w:val="32"/>
              </w:rPr>
              <w:t>（四）其他符合法律法规规定的采集途径。</w:t>
            </w:r>
          </w:p>
        </w:tc>
        <w:tc>
          <w:tcPr>
            <w:tcW w:w="1394" w:type="dxa"/>
          </w:tcPr>
          <w:p w14:paraId="4AC673BE">
            <w:pPr>
              <w:rPr>
                <w:rFonts w:hint="default"/>
                <w:vertAlign w:val="baseline"/>
                <w:lang w:val="en-US" w:eastAsia="zh-CN"/>
              </w:rPr>
            </w:pPr>
            <w:r>
              <w:rPr>
                <w:rFonts w:ascii="Times New Roman" w:hAnsi="Times New Roman" w:eastAsia="仿宋_GB2312" w:cs="Times New Roman"/>
                <w:color w:val="C00000"/>
                <w:sz w:val="32"/>
                <w:szCs w:val="32"/>
              </w:rPr>
              <w:t>第</w:t>
            </w:r>
            <w:r>
              <w:rPr>
                <w:rFonts w:hint="eastAsia" w:ascii="Times New Roman" w:hAnsi="Times New Roman" w:eastAsia="仿宋_GB2312" w:cs="Times New Roman"/>
                <w:color w:val="C00000"/>
                <w:sz w:val="32"/>
                <w:szCs w:val="32"/>
                <w:lang w:val="en-US" w:eastAsia="zh-CN"/>
              </w:rPr>
              <w:t>二十四</w:t>
            </w:r>
            <w:r>
              <w:rPr>
                <w:rFonts w:ascii="Times New Roman" w:hAnsi="Times New Roman" w:eastAsia="仿宋_GB2312" w:cs="Times New Roman"/>
                <w:color w:val="C00000"/>
                <w:sz w:val="32"/>
                <w:szCs w:val="32"/>
              </w:rPr>
              <w:t>条</w:t>
            </w:r>
          </w:p>
        </w:tc>
        <w:tc>
          <w:tcPr>
            <w:tcW w:w="2377" w:type="dxa"/>
          </w:tcPr>
          <w:p w14:paraId="6EB64FCC">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信用信息归集途径</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医疗保障信用信息</w:t>
            </w:r>
            <w:r>
              <w:rPr>
                <w:rFonts w:hint="eastAsia" w:ascii="Times New Roman" w:hAnsi="Times New Roman" w:eastAsia="仿宋_GB2312" w:cs="Times New Roman"/>
                <w:color w:val="C00000"/>
                <w:sz w:val="32"/>
                <w:szCs w:val="32"/>
                <w:lang w:val="en-US" w:eastAsia="zh-CN"/>
              </w:rPr>
              <w:t>归</w:t>
            </w:r>
            <w:r>
              <w:rPr>
                <w:rFonts w:ascii="Times New Roman" w:hAnsi="Times New Roman" w:eastAsia="仿宋_GB2312" w:cs="Times New Roman"/>
                <w:sz w:val="32"/>
                <w:szCs w:val="32"/>
              </w:rPr>
              <w:t>集</w:t>
            </w:r>
            <w:r>
              <w:rPr>
                <w:rFonts w:hint="eastAsia" w:ascii="Times New Roman" w:hAnsi="Times New Roman" w:eastAsia="仿宋_GB2312" w:cs="Times New Roman"/>
                <w:color w:val="C00000"/>
                <w:sz w:val="32"/>
                <w:szCs w:val="32"/>
                <w:lang w:val="en-US" w:eastAsia="zh-CN"/>
              </w:rPr>
              <w:t>途径</w:t>
            </w:r>
            <w:r>
              <w:rPr>
                <w:rFonts w:ascii="Times New Roman" w:hAnsi="Times New Roman" w:eastAsia="仿宋_GB2312" w:cs="Times New Roman"/>
                <w:sz w:val="32"/>
                <w:szCs w:val="32"/>
              </w:rPr>
              <w:t>包括：</w:t>
            </w:r>
          </w:p>
          <w:p w14:paraId="5F86137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（一）信用主体按有关规定要求提供；</w:t>
            </w:r>
          </w:p>
          <w:p w14:paraId="527D594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（二）医疗保障行政管理部门从医保智能审核、智能监控、日常监管、专项行动、协议管理等获取；</w:t>
            </w:r>
          </w:p>
          <w:p w14:paraId="370FEA6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（三）医疗保障行政管理部门从各级公共信用信息平台、国家企业信用信息公示系统等共享；</w:t>
            </w:r>
          </w:p>
          <w:p w14:paraId="2BB361AC">
            <w:pPr>
              <w:spacing w:line="560" w:lineRule="exact"/>
              <w:ind w:firstLine="640" w:firstLineChars="200"/>
              <w:rPr>
                <w:rFonts w:hint="default"/>
                <w:vertAlign w:val="baseline"/>
                <w:lang w:val="en-US" w:eastAsia="zh-CN"/>
              </w:rPr>
            </w:pPr>
            <w:r>
              <w:rPr>
                <w:rFonts w:ascii="Times New Roman" w:hAnsi="Times New Roman" w:eastAsia="仿宋_GB2312" w:cs="Times New Roman"/>
                <w:sz w:val="32"/>
                <w:szCs w:val="32"/>
              </w:rPr>
              <w:t>（四）其他符合法律法规规定的</w:t>
            </w:r>
            <w:r>
              <w:rPr>
                <w:rFonts w:hint="eastAsia" w:ascii="Times New Roman" w:hAnsi="Times New Roman" w:eastAsia="仿宋_GB2312" w:cs="Times New Roman"/>
                <w:color w:val="C00000"/>
                <w:sz w:val="32"/>
                <w:szCs w:val="32"/>
                <w:lang w:val="en-US" w:eastAsia="zh-CN"/>
              </w:rPr>
              <w:t>归</w:t>
            </w:r>
            <w:r>
              <w:rPr>
                <w:rFonts w:ascii="Times New Roman" w:hAnsi="Times New Roman" w:eastAsia="仿宋_GB2312" w:cs="Times New Roman"/>
                <w:sz w:val="32"/>
                <w:szCs w:val="32"/>
              </w:rPr>
              <w:t>集途径。</w:t>
            </w:r>
          </w:p>
        </w:tc>
        <w:tc>
          <w:tcPr>
            <w:tcW w:w="1033" w:type="dxa"/>
          </w:tcPr>
          <w:p w14:paraId="5BC07DC0">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红字部分为修改内容</w:t>
            </w:r>
          </w:p>
        </w:tc>
      </w:tr>
      <w:tr w14:paraId="5624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5A80AB3C">
            <w:pPr>
              <w:rPr>
                <w:rFonts w:hint="default"/>
                <w:vertAlign w:val="baseline"/>
                <w:lang w:val="en-US" w:eastAsia="zh-CN"/>
              </w:rPr>
            </w:pPr>
            <w:r>
              <w:rPr>
                <w:rFonts w:ascii="Times New Roman" w:hAnsi="Times New Roman" w:eastAsia="仿宋_GB2312" w:cs="Times New Roman"/>
                <w:sz w:val="32"/>
                <w:szCs w:val="32"/>
              </w:rPr>
              <w:t>第二十条</w:t>
            </w:r>
          </w:p>
        </w:tc>
        <w:tc>
          <w:tcPr>
            <w:tcW w:w="2415" w:type="dxa"/>
          </w:tcPr>
          <w:p w14:paraId="171089E9">
            <w:pPr>
              <w:ind w:firstLine="640" w:firstLineChars="200"/>
              <w:rPr>
                <w:rFonts w:hint="default"/>
                <w:vertAlign w:val="baseline"/>
                <w:lang w:val="en-US" w:eastAsia="zh-CN"/>
              </w:rPr>
            </w:pPr>
            <w:r>
              <w:rPr>
                <w:rFonts w:ascii="Times New Roman" w:hAnsi="Times New Roman" w:eastAsia="仿宋_GB2312" w:cs="Times New Roman"/>
                <w:sz w:val="32"/>
                <w:szCs w:val="32"/>
              </w:rPr>
              <w:t>信用主体应当依法依规向医疗保障部门提供相关信用信息，并对提供信息的真实性、完整性、准确性负责，不得隐匿、虚构、篡改。</w:t>
            </w:r>
          </w:p>
        </w:tc>
        <w:tc>
          <w:tcPr>
            <w:tcW w:w="1394" w:type="dxa"/>
          </w:tcPr>
          <w:p w14:paraId="62EBE151">
            <w:pPr>
              <w:rPr>
                <w:rFonts w:hint="default"/>
                <w:vertAlign w:val="baseline"/>
                <w:lang w:val="en-US" w:eastAsia="zh-CN"/>
              </w:rPr>
            </w:pPr>
            <w:r>
              <w:rPr>
                <w:rFonts w:ascii="Times New Roman" w:hAnsi="Times New Roman" w:eastAsia="仿宋_GB2312" w:cs="Times New Roman"/>
                <w:color w:val="C00000"/>
                <w:sz w:val="32"/>
                <w:szCs w:val="32"/>
              </w:rPr>
              <w:t>第二十</w:t>
            </w:r>
            <w:r>
              <w:rPr>
                <w:rFonts w:hint="eastAsia" w:ascii="Times New Roman" w:hAnsi="Times New Roman" w:eastAsia="仿宋_GB2312" w:cs="Times New Roman"/>
                <w:color w:val="C00000"/>
                <w:sz w:val="32"/>
                <w:szCs w:val="32"/>
                <w:lang w:val="en-US" w:eastAsia="zh-CN"/>
              </w:rPr>
              <w:t>五</w:t>
            </w:r>
            <w:r>
              <w:rPr>
                <w:rFonts w:ascii="Times New Roman" w:hAnsi="Times New Roman" w:eastAsia="仿宋_GB2312" w:cs="Times New Roman"/>
                <w:color w:val="C00000"/>
                <w:sz w:val="32"/>
                <w:szCs w:val="32"/>
              </w:rPr>
              <w:t>条</w:t>
            </w:r>
          </w:p>
        </w:tc>
        <w:tc>
          <w:tcPr>
            <w:tcW w:w="2377" w:type="dxa"/>
          </w:tcPr>
          <w:p w14:paraId="3734ACDA">
            <w:pPr>
              <w:keepNext w:val="0"/>
              <w:keepLines w:val="0"/>
              <w:widowControl/>
              <w:suppressLineNumbers w:val="0"/>
              <w:ind w:firstLine="640" w:firstLineChars="200"/>
              <w:jc w:val="left"/>
              <w:rPr>
                <w:rFonts w:hint="default"/>
                <w:vertAlign w:val="baseline"/>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信用主体提供信用信息的职责</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信用主体应当依法依规向医疗保障部门提供相关信用信息</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color w:val="C00000"/>
                <w:kern w:val="0"/>
                <w:sz w:val="32"/>
                <w:szCs w:val="32"/>
                <w:lang w:val="en-US" w:eastAsia="zh-CN" w:bidi="ar"/>
              </w:rPr>
              <w:t>积极配合医疗保障部门对其相关信用信息的归集工作，应当主动作出信用承诺，</w:t>
            </w:r>
            <w:r>
              <w:rPr>
                <w:rFonts w:ascii="Times New Roman" w:hAnsi="Times New Roman" w:eastAsia="仿宋_GB2312" w:cs="Times New Roman"/>
                <w:sz w:val="32"/>
                <w:szCs w:val="32"/>
              </w:rPr>
              <w:t>并对提供信息的真实性、完整性、准确性</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C00000"/>
                <w:sz w:val="32"/>
                <w:szCs w:val="32"/>
                <w:lang w:val="en-US" w:eastAsia="zh-CN"/>
              </w:rPr>
              <w:t>时效性</w:t>
            </w:r>
            <w:r>
              <w:rPr>
                <w:rFonts w:ascii="Times New Roman" w:hAnsi="Times New Roman" w:eastAsia="仿宋_GB2312" w:cs="Times New Roman"/>
                <w:sz w:val="32"/>
                <w:szCs w:val="32"/>
              </w:rPr>
              <w:t>负责，不得隐匿、虚构、篡改。</w:t>
            </w:r>
          </w:p>
        </w:tc>
        <w:tc>
          <w:tcPr>
            <w:tcW w:w="1033" w:type="dxa"/>
          </w:tcPr>
          <w:p w14:paraId="32F31169">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红字部分为新增内容</w:t>
            </w:r>
          </w:p>
        </w:tc>
      </w:tr>
      <w:tr w14:paraId="0722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1C8B0AE6">
            <w:pPr>
              <w:rPr>
                <w:rFonts w:hint="default"/>
                <w:vertAlign w:val="baseline"/>
                <w:lang w:val="en-US" w:eastAsia="zh-CN"/>
              </w:rPr>
            </w:pPr>
            <w:r>
              <w:rPr>
                <w:rFonts w:ascii="Times New Roman" w:hAnsi="Times New Roman" w:eastAsia="仿宋_GB2312" w:cs="Times New Roman"/>
                <w:sz w:val="32"/>
                <w:szCs w:val="32"/>
              </w:rPr>
              <w:t>第二十一条</w:t>
            </w:r>
          </w:p>
        </w:tc>
        <w:tc>
          <w:tcPr>
            <w:tcW w:w="2415" w:type="dxa"/>
          </w:tcPr>
          <w:p w14:paraId="0070AD9B">
            <w:pPr>
              <w:rPr>
                <w:rFonts w:hint="default"/>
                <w:vertAlign w:val="baseline"/>
                <w:lang w:val="en-US" w:eastAsia="zh-CN"/>
              </w:rPr>
            </w:pPr>
            <w:r>
              <w:rPr>
                <w:rFonts w:ascii="Times New Roman" w:hAnsi="Times New Roman" w:eastAsia="仿宋_GB2312" w:cs="Times New Roman"/>
                <w:sz w:val="32"/>
                <w:szCs w:val="32"/>
              </w:rPr>
              <w:t>医疗保障部门应当与有关部门建立信用信息共建共享机制，实现互联互通、数据共享，推动医疗保障信用与其他信用联动管理。</w:t>
            </w:r>
          </w:p>
        </w:tc>
        <w:tc>
          <w:tcPr>
            <w:tcW w:w="1394" w:type="dxa"/>
          </w:tcPr>
          <w:p w14:paraId="4CB192D6">
            <w:pPr>
              <w:rPr>
                <w:rFonts w:hint="default"/>
                <w:vertAlign w:val="baseline"/>
                <w:lang w:val="en-US" w:eastAsia="zh-CN"/>
              </w:rPr>
            </w:pPr>
          </w:p>
        </w:tc>
        <w:tc>
          <w:tcPr>
            <w:tcW w:w="2377" w:type="dxa"/>
          </w:tcPr>
          <w:p w14:paraId="753C03FF">
            <w:pPr>
              <w:rPr>
                <w:rFonts w:hint="default"/>
                <w:vertAlign w:val="baseline"/>
                <w:lang w:val="en-US" w:eastAsia="zh-CN"/>
              </w:rPr>
            </w:pPr>
          </w:p>
        </w:tc>
        <w:tc>
          <w:tcPr>
            <w:tcW w:w="1033" w:type="dxa"/>
          </w:tcPr>
          <w:p w14:paraId="38E993D2">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修改前第21条删除，融合为修改后的第6条</w:t>
            </w:r>
          </w:p>
        </w:tc>
      </w:tr>
      <w:tr w14:paraId="77A7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5382F352">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第五章 信用评价与发布</w:t>
            </w:r>
          </w:p>
          <w:p w14:paraId="722BEA76">
            <w:pPr>
              <w:rPr>
                <w:rFonts w:hint="default"/>
                <w:vertAlign w:val="baseline"/>
                <w:lang w:val="en-US" w:eastAsia="zh-CN"/>
              </w:rPr>
            </w:pPr>
          </w:p>
        </w:tc>
        <w:tc>
          <w:tcPr>
            <w:tcW w:w="2415" w:type="dxa"/>
          </w:tcPr>
          <w:p w14:paraId="7A68B100">
            <w:pPr>
              <w:rPr>
                <w:rFonts w:hint="default"/>
                <w:vertAlign w:val="baseline"/>
                <w:lang w:val="en-US" w:eastAsia="zh-CN"/>
              </w:rPr>
            </w:pPr>
          </w:p>
        </w:tc>
        <w:tc>
          <w:tcPr>
            <w:tcW w:w="1394" w:type="dxa"/>
          </w:tcPr>
          <w:p w14:paraId="7381FA9E">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第五章 信用评价与发布</w:t>
            </w:r>
          </w:p>
          <w:p w14:paraId="247021A4">
            <w:pPr>
              <w:rPr>
                <w:rFonts w:hint="default"/>
                <w:vertAlign w:val="baseline"/>
                <w:lang w:val="en-US" w:eastAsia="zh-CN"/>
              </w:rPr>
            </w:pPr>
          </w:p>
        </w:tc>
        <w:tc>
          <w:tcPr>
            <w:tcW w:w="2377" w:type="dxa"/>
          </w:tcPr>
          <w:p w14:paraId="0C6A1EB3">
            <w:pPr>
              <w:rPr>
                <w:rFonts w:hint="default"/>
                <w:vertAlign w:val="baseline"/>
                <w:lang w:val="en-US" w:eastAsia="zh-CN"/>
              </w:rPr>
            </w:pPr>
          </w:p>
        </w:tc>
        <w:tc>
          <w:tcPr>
            <w:tcW w:w="1033" w:type="dxa"/>
          </w:tcPr>
          <w:p w14:paraId="01A700D4">
            <w:pPr>
              <w:rPr>
                <w:rFonts w:hint="default"/>
                <w:vertAlign w:val="baseline"/>
                <w:lang w:val="en-US" w:eastAsia="zh-CN"/>
              </w:rPr>
            </w:pPr>
          </w:p>
        </w:tc>
      </w:tr>
      <w:tr w14:paraId="08F4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3458E875">
            <w:pPr>
              <w:rPr>
                <w:rFonts w:hint="default"/>
                <w:vertAlign w:val="baseline"/>
                <w:lang w:val="en-US" w:eastAsia="zh-CN"/>
              </w:rPr>
            </w:pPr>
            <w:r>
              <w:rPr>
                <w:rFonts w:ascii="Times New Roman" w:hAnsi="Times New Roman" w:eastAsia="仿宋_GB2312" w:cs="Times New Roman"/>
                <w:sz w:val="32"/>
                <w:szCs w:val="32"/>
              </w:rPr>
              <w:t>第二十二条</w:t>
            </w:r>
          </w:p>
        </w:tc>
        <w:tc>
          <w:tcPr>
            <w:tcW w:w="2415" w:type="dxa"/>
          </w:tcPr>
          <w:p w14:paraId="16229B3A">
            <w:pPr>
              <w:ind w:firstLine="640" w:firstLineChars="200"/>
              <w:rPr>
                <w:rFonts w:hint="default"/>
                <w:vertAlign w:val="baseline"/>
                <w:lang w:val="en-US" w:eastAsia="zh-CN"/>
              </w:rPr>
            </w:pPr>
            <w:r>
              <w:rPr>
                <w:rFonts w:ascii="Times New Roman" w:hAnsi="Times New Roman" w:eastAsia="仿宋_GB2312" w:cs="Times New Roman"/>
                <w:sz w:val="32"/>
                <w:szCs w:val="32"/>
              </w:rPr>
              <w:t>省级医疗保障行政管理部门负责组织制定医疗保障领域信用评价办法，明确医疗保障信用指标体系、信用评价方式、信用等级等内容。</w:t>
            </w:r>
          </w:p>
        </w:tc>
        <w:tc>
          <w:tcPr>
            <w:tcW w:w="1394" w:type="dxa"/>
          </w:tcPr>
          <w:p w14:paraId="6F5D5EC8">
            <w:pPr>
              <w:rPr>
                <w:rFonts w:hint="default"/>
                <w:vertAlign w:val="baseline"/>
                <w:lang w:val="en-US" w:eastAsia="zh-CN"/>
              </w:rPr>
            </w:pPr>
            <w:r>
              <w:rPr>
                <w:rFonts w:ascii="Times New Roman" w:hAnsi="Times New Roman" w:eastAsia="仿宋_GB2312" w:cs="Times New Roman"/>
                <w:color w:val="C00000"/>
                <w:sz w:val="32"/>
                <w:szCs w:val="32"/>
              </w:rPr>
              <w:t>第二十</w:t>
            </w:r>
            <w:r>
              <w:rPr>
                <w:rFonts w:hint="eastAsia" w:ascii="Times New Roman" w:hAnsi="Times New Roman" w:eastAsia="仿宋_GB2312" w:cs="Times New Roman"/>
                <w:color w:val="C00000"/>
                <w:sz w:val="32"/>
                <w:szCs w:val="32"/>
                <w:lang w:val="en-US" w:eastAsia="zh-CN"/>
              </w:rPr>
              <w:t>六</w:t>
            </w:r>
            <w:r>
              <w:rPr>
                <w:rFonts w:ascii="Times New Roman" w:hAnsi="Times New Roman" w:eastAsia="仿宋_GB2312" w:cs="Times New Roman"/>
                <w:color w:val="C00000"/>
                <w:sz w:val="32"/>
                <w:szCs w:val="32"/>
              </w:rPr>
              <w:t>条</w:t>
            </w:r>
          </w:p>
        </w:tc>
        <w:tc>
          <w:tcPr>
            <w:tcW w:w="2377" w:type="dxa"/>
          </w:tcPr>
          <w:p w14:paraId="1978CC86">
            <w:pPr>
              <w:keepNext w:val="0"/>
              <w:keepLines w:val="0"/>
              <w:widowControl/>
              <w:suppressLineNumbers w:val="0"/>
              <w:ind w:firstLine="640" w:firstLineChars="200"/>
              <w:jc w:val="left"/>
              <w:rPr>
                <w:rFonts w:hint="default"/>
                <w:vertAlign w:val="baseline"/>
                <w:lang w:val="en-US"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信用评价管理</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省</w:t>
            </w:r>
            <w:r>
              <w:rPr>
                <w:rFonts w:hint="eastAsia" w:ascii="Times New Roman" w:hAnsi="Times New Roman" w:eastAsia="仿宋_GB2312" w:cs="Times New Roman"/>
                <w:color w:val="auto"/>
                <w:sz w:val="32"/>
                <w:szCs w:val="32"/>
                <w:lang w:val="en-US" w:eastAsia="zh-CN"/>
              </w:rPr>
              <w:t>级</w:t>
            </w:r>
            <w:r>
              <w:rPr>
                <w:rFonts w:ascii="Times New Roman" w:hAnsi="Times New Roman" w:eastAsia="仿宋_GB2312" w:cs="Times New Roman"/>
                <w:color w:val="auto"/>
                <w:sz w:val="32"/>
                <w:szCs w:val="32"/>
              </w:rPr>
              <w:t>医疗保障</w:t>
            </w:r>
            <w:r>
              <w:rPr>
                <w:rFonts w:hint="eastAsia" w:ascii="Times New Roman" w:hAnsi="Times New Roman" w:eastAsia="仿宋_GB2312" w:cs="Times New Roman"/>
                <w:color w:val="auto"/>
                <w:sz w:val="32"/>
                <w:szCs w:val="32"/>
                <w:lang w:val="en-US" w:eastAsia="zh-CN"/>
              </w:rPr>
              <w:t>行政管理部门</w:t>
            </w:r>
            <w:r>
              <w:rPr>
                <w:rFonts w:ascii="Times New Roman" w:hAnsi="Times New Roman" w:eastAsia="仿宋_GB2312" w:cs="Times New Roman"/>
                <w:color w:val="auto"/>
                <w:sz w:val="32"/>
                <w:szCs w:val="32"/>
              </w:rPr>
              <w:t>负责组织制定医疗保障领域信用评价</w:t>
            </w:r>
            <w:r>
              <w:rPr>
                <w:rFonts w:hint="eastAsia" w:ascii="Times New Roman" w:hAnsi="Times New Roman" w:eastAsia="仿宋_GB2312" w:cs="Times New Roman"/>
                <w:color w:val="C00000"/>
                <w:sz w:val="32"/>
                <w:szCs w:val="32"/>
                <w:lang w:val="en-US" w:eastAsia="zh-CN"/>
              </w:rPr>
              <w:t>规则</w:t>
            </w:r>
            <w:r>
              <w:rPr>
                <w:rFonts w:ascii="Times New Roman" w:hAnsi="Times New Roman" w:eastAsia="仿宋_GB2312" w:cs="Times New Roman"/>
                <w:color w:val="C00000"/>
                <w:sz w:val="32"/>
                <w:szCs w:val="32"/>
              </w:rPr>
              <w:t>，</w:t>
            </w:r>
            <w:r>
              <w:rPr>
                <w:rFonts w:hint="eastAsia" w:ascii="仿宋_GB2312" w:hAnsi="仿宋_GB2312" w:eastAsia="仿宋_GB2312" w:cs="仿宋_GB2312"/>
                <w:color w:val="C00000"/>
                <w:kern w:val="0"/>
                <w:sz w:val="32"/>
                <w:szCs w:val="32"/>
                <w:lang w:val="en-US" w:eastAsia="zh-CN" w:bidi="ar"/>
              </w:rPr>
              <w:t>明确不同信用主体的信用评价指标和评分规则、评价方式、信用等级等内容，并根据监督管理实际进行调整。</w:t>
            </w:r>
          </w:p>
        </w:tc>
        <w:tc>
          <w:tcPr>
            <w:tcW w:w="1033" w:type="dxa"/>
          </w:tcPr>
          <w:p w14:paraId="685E1A06">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红字部分为新增内容</w:t>
            </w:r>
          </w:p>
        </w:tc>
      </w:tr>
      <w:tr w14:paraId="5D6E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6A0B8AFB">
            <w:pPr>
              <w:rPr>
                <w:rFonts w:hint="default"/>
                <w:vertAlign w:val="baseline"/>
                <w:lang w:val="en-US" w:eastAsia="zh-CN"/>
              </w:rPr>
            </w:pPr>
            <w:r>
              <w:rPr>
                <w:rFonts w:ascii="Times New Roman" w:hAnsi="Times New Roman" w:eastAsia="仿宋_GB2312" w:cs="Times New Roman"/>
                <w:sz w:val="32"/>
                <w:szCs w:val="32"/>
              </w:rPr>
              <w:t>第二十三条</w:t>
            </w:r>
          </w:p>
        </w:tc>
        <w:tc>
          <w:tcPr>
            <w:tcW w:w="2415" w:type="dxa"/>
          </w:tcPr>
          <w:p w14:paraId="4AB64E4D">
            <w:pPr>
              <w:ind w:firstLine="640" w:firstLineChars="200"/>
              <w:rPr>
                <w:rFonts w:hint="default"/>
                <w:vertAlign w:val="baseline"/>
                <w:lang w:val="en-US" w:eastAsia="zh-CN"/>
              </w:rPr>
            </w:pPr>
            <w:r>
              <w:rPr>
                <w:rFonts w:ascii="Times New Roman" w:hAnsi="Times New Roman" w:eastAsia="仿宋_GB2312" w:cs="Times New Roman"/>
                <w:sz w:val="32"/>
                <w:szCs w:val="32"/>
              </w:rPr>
              <w:t>信用指标分为一级指标、二级指标和三级指标。针对不同信用主体，确定信用指标及指标权重，综合形成信用指标体系。各类信用主体评价指标另行制定。</w:t>
            </w:r>
          </w:p>
        </w:tc>
        <w:tc>
          <w:tcPr>
            <w:tcW w:w="1394" w:type="dxa"/>
          </w:tcPr>
          <w:p w14:paraId="3B8E36AD">
            <w:pPr>
              <w:rPr>
                <w:rFonts w:hint="default"/>
                <w:vertAlign w:val="baseline"/>
                <w:lang w:val="en-US" w:eastAsia="zh-CN"/>
              </w:rPr>
            </w:pPr>
            <w:r>
              <w:rPr>
                <w:rFonts w:ascii="Times New Roman" w:hAnsi="Times New Roman" w:eastAsia="仿宋_GB2312" w:cs="Times New Roman"/>
                <w:color w:val="C00000"/>
                <w:sz w:val="32"/>
                <w:szCs w:val="32"/>
              </w:rPr>
              <w:t>第二十</w:t>
            </w:r>
            <w:r>
              <w:rPr>
                <w:rFonts w:hint="eastAsia" w:ascii="Times New Roman" w:hAnsi="Times New Roman" w:eastAsia="仿宋_GB2312" w:cs="Times New Roman"/>
                <w:color w:val="C00000"/>
                <w:sz w:val="32"/>
                <w:szCs w:val="32"/>
                <w:lang w:val="en-US" w:eastAsia="zh-CN"/>
              </w:rPr>
              <w:t>七</w:t>
            </w:r>
            <w:r>
              <w:rPr>
                <w:rFonts w:ascii="Times New Roman" w:hAnsi="Times New Roman" w:eastAsia="仿宋_GB2312" w:cs="Times New Roman"/>
                <w:color w:val="C00000"/>
                <w:sz w:val="32"/>
                <w:szCs w:val="32"/>
              </w:rPr>
              <w:t>条</w:t>
            </w:r>
          </w:p>
        </w:tc>
        <w:tc>
          <w:tcPr>
            <w:tcW w:w="2377" w:type="dxa"/>
          </w:tcPr>
          <w:p w14:paraId="173FB9AA">
            <w:pPr>
              <w:ind w:firstLine="640" w:firstLineChars="200"/>
              <w:rPr>
                <w:rFonts w:hint="default"/>
                <w:vertAlign w:val="baseline"/>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信用评价指标</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信用指标分为一级指标、二级指标和三级指标。针对不同信用主体，确定信用指标及指标权重，综合形成信用指标体系。各类信用主体评价指标另行制定。</w:t>
            </w:r>
          </w:p>
        </w:tc>
        <w:tc>
          <w:tcPr>
            <w:tcW w:w="1033" w:type="dxa"/>
          </w:tcPr>
          <w:p w14:paraId="668FD1EB">
            <w:pPr>
              <w:rPr>
                <w:rFonts w:hint="default"/>
                <w:vertAlign w:val="baseline"/>
                <w:lang w:val="en-US" w:eastAsia="zh-CN"/>
              </w:rPr>
            </w:pPr>
          </w:p>
        </w:tc>
      </w:tr>
      <w:tr w14:paraId="051C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2FC77680">
            <w:pPr>
              <w:rPr>
                <w:rFonts w:hint="default"/>
                <w:vertAlign w:val="baseline"/>
                <w:lang w:val="en-US" w:eastAsia="zh-CN"/>
              </w:rPr>
            </w:pPr>
            <w:r>
              <w:rPr>
                <w:rFonts w:ascii="Times New Roman" w:hAnsi="Times New Roman" w:eastAsia="仿宋_GB2312" w:cs="Times New Roman"/>
                <w:sz w:val="32"/>
                <w:szCs w:val="32"/>
              </w:rPr>
              <w:t>第二十四条</w:t>
            </w:r>
          </w:p>
        </w:tc>
        <w:tc>
          <w:tcPr>
            <w:tcW w:w="2415" w:type="dxa"/>
          </w:tcPr>
          <w:p w14:paraId="71E5AC8D">
            <w:pPr>
              <w:ind w:firstLine="640" w:firstLineChars="200"/>
              <w:rPr>
                <w:rFonts w:hint="default"/>
                <w:vertAlign w:val="baseline"/>
                <w:lang w:val="en-US" w:eastAsia="zh-CN"/>
              </w:rPr>
            </w:pPr>
            <w:r>
              <w:rPr>
                <w:rFonts w:ascii="Times New Roman" w:hAnsi="Times New Roman" w:eastAsia="仿宋_GB2312" w:cs="Times New Roman"/>
                <w:sz w:val="32"/>
                <w:szCs w:val="32"/>
              </w:rPr>
              <w:t>信用评价采用“千分制”评分。根据评分情况，将信用主体划分为A级（评分≥850）、B级（790≤评分&lt;850）、C级（730≤评分&lt;790）、D级（670≤评分&lt;730）、E级（评分&lt;670）五个等级。</w:t>
            </w:r>
          </w:p>
        </w:tc>
        <w:tc>
          <w:tcPr>
            <w:tcW w:w="1394" w:type="dxa"/>
          </w:tcPr>
          <w:p w14:paraId="46444434">
            <w:pPr>
              <w:rPr>
                <w:rFonts w:hint="default"/>
                <w:vertAlign w:val="baseline"/>
                <w:lang w:val="en-US" w:eastAsia="zh-CN"/>
              </w:rPr>
            </w:pPr>
            <w:r>
              <w:rPr>
                <w:rFonts w:ascii="Times New Roman" w:hAnsi="Times New Roman" w:eastAsia="仿宋_GB2312" w:cs="Times New Roman"/>
                <w:color w:val="C00000"/>
                <w:sz w:val="32"/>
                <w:szCs w:val="32"/>
              </w:rPr>
              <w:t>第二十</w:t>
            </w:r>
            <w:r>
              <w:rPr>
                <w:rFonts w:hint="eastAsia" w:ascii="Times New Roman" w:hAnsi="Times New Roman" w:eastAsia="仿宋_GB2312" w:cs="Times New Roman"/>
                <w:color w:val="C00000"/>
                <w:sz w:val="32"/>
                <w:szCs w:val="32"/>
                <w:lang w:val="en-US" w:eastAsia="zh-CN"/>
              </w:rPr>
              <w:t>八</w:t>
            </w:r>
            <w:r>
              <w:rPr>
                <w:rFonts w:ascii="Times New Roman" w:hAnsi="Times New Roman" w:eastAsia="仿宋_GB2312" w:cs="Times New Roman"/>
                <w:color w:val="C00000"/>
                <w:sz w:val="32"/>
                <w:szCs w:val="32"/>
              </w:rPr>
              <w:t>条</w:t>
            </w:r>
          </w:p>
        </w:tc>
        <w:tc>
          <w:tcPr>
            <w:tcW w:w="2377" w:type="dxa"/>
          </w:tcPr>
          <w:p w14:paraId="04EA528B">
            <w:pPr>
              <w:ind w:firstLine="640" w:firstLineChars="200"/>
              <w:rPr>
                <w:rFonts w:hint="default"/>
                <w:vertAlign w:val="baseline"/>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信用评价等级</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信用评价采用“千分制”评分。根据评分情况，将信用主体划分为A级（评分≥850）、B级（790≤评分&lt;850）、C级（730≤评分&lt;790）、D级（670≤评分&lt;730）、E级（评分&lt;670）五个等级。</w:t>
            </w:r>
          </w:p>
        </w:tc>
        <w:tc>
          <w:tcPr>
            <w:tcW w:w="1033" w:type="dxa"/>
          </w:tcPr>
          <w:p w14:paraId="6C5FC614">
            <w:pPr>
              <w:rPr>
                <w:rFonts w:hint="default"/>
                <w:vertAlign w:val="baseline"/>
                <w:lang w:val="en-US" w:eastAsia="zh-CN"/>
              </w:rPr>
            </w:pPr>
          </w:p>
        </w:tc>
      </w:tr>
      <w:tr w14:paraId="5A84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9" w:hRule="atLeast"/>
        </w:trPr>
        <w:tc>
          <w:tcPr>
            <w:tcW w:w="1303" w:type="dxa"/>
          </w:tcPr>
          <w:p w14:paraId="016709A8">
            <w:pPr>
              <w:rPr>
                <w:rFonts w:ascii="Times New Roman" w:hAnsi="Times New Roman" w:eastAsia="仿宋_GB2312" w:cs="Times New Roman"/>
                <w:sz w:val="32"/>
                <w:szCs w:val="32"/>
              </w:rPr>
            </w:pPr>
          </w:p>
        </w:tc>
        <w:tc>
          <w:tcPr>
            <w:tcW w:w="2415" w:type="dxa"/>
          </w:tcPr>
          <w:p w14:paraId="7BE416DF">
            <w:pPr>
              <w:spacing w:line="560" w:lineRule="exact"/>
              <w:ind w:firstLine="640" w:firstLineChars="200"/>
              <w:rPr>
                <w:rFonts w:ascii="Times New Roman" w:hAnsi="Times New Roman" w:eastAsia="仿宋_GB2312" w:cs="Times New Roman"/>
                <w:sz w:val="32"/>
                <w:szCs w:val="32"/>
              </w:rPr>
            </w:pPr>
          </w:p>
        </w:tc>
        <w:tc>
          <w:tcPr>
            <w:tcW w:w="1394" w:type="dxa"/>
          </w:tcPr>
          <w:p w14:paraId="5E63932A">
            <w:pPr>
              <w:rPr>
                <w:rFonts w:hint="eastAsia" w:ascii="Times New Roman" w:hAnsi="Times New Roman" w:eastAsia="仿宋_GB2312" w:cs="Times New Roman"/>
                <w:color w:val="C00000"/>
                <w:sz w:val="32"/>
                <w:szCs w:val="32"/>
                <w:lang w:val="en-US" w:eastAsia="zh-CN"/>
              </w:rPr>
            </w:pPr>
            <w:r>
              <w:rPr>
                <w:rFonts w:ascii="Times New Roman" w:hAnsi="Times New Roman" w:eastAsia="仿宋_GB2312" w:cs="Times New Roman"/>
                <w:color w:val="C00000"/>
                <w:sz w:val="32"/>
                <w:szCs w:val="32"/>
              </w:rPr>
              <w:t>第</w:t>
            </w:r>
            <w:r>
              <w:rPr>
                <w:rFonts w:hint="eastAsia" w:ascii="Times New Roman" w:hAnsi="Times New Roman" w:eastAsia="仿宋_GB2312" w:cs="Times New Roman"/>
                <w:color w:val="C00000"/>
                <w:sz w:val="32"/>
                <w:szCs w:val="32"/>
                <w:lang w:val="en-US" w:eastAsia="zh-CN"/>
              </w:rPr>
              <w:t>二十九</w:t>
            </w:r>
            <w:r>
              <w:rPr>
                <w:rFonts w:ascii="Times New Roman" w:hAnsi="Times New Roman" w:eastAsia="仿宋_GB2312" w:cs="Times New Roman"/>
                <w:color w:val="C00000"/>
                <w:sz w:val="32"/>
                <w:szCs w:val="32"/>
              </w:rPr>
              <w:t>条</w:t>
            </w:r>
          </w:p>
        </w:tc>
        <w:tc>
          <w:tcPr>
            <w:tcW w:w="2377" w:type="dxa"/>
          </w:tcPr>
          <w:p w14:paraId="4C8780D1">
            <w:pPr>
              <w:ind w:firstLine="640" w:firstLineChars="200"/>
              <w:rPr>
                <w:rFonts w:ascii="Times New Roman" w:hAnsi="Times New Roman" w:eastAsia="仿宋_GB2312" w:cs="仿宋"/>
                <w:sz w:val="32"/>
                <w:szCs w:val="32"/>
                <w:u w:val="none"/>
              </w:rPr>
            </w:pPr>
            <w:r>
              <w:rPr>
                <w:rFonts w:hint="eastAsia" w:ascii="Times New Roman" w:hAnsi="Times New Roman" w:eastAsia="仿宋_GB2312" w:cs="仿宋"/>
                <w:sz w:val="32"/>
                <w:szCs w:val="32"/>
                <w:u w:val="none"/>
              </w:rPr>
              <w:t>单位和个人在医疗保障活动中违反《医疗保障基金使用监督管理条例》第四十条、第四十一条第二款规定情形之一，且县级以上人民政府医疗保障行政部门给予行政处罚的，应当认定为严重失信。</w:t>
            </w:r>
          </w:p>
          <w:p w14:paraId="32FB9BCB">
            <w:pPr>
              <w:rPr>
                <w:rFonts w:ascii="Times New Roman" w:hAnsi="Times New Roman" w:eastAsia="仿宋_GB2312" w:cs="仿宋"/>
                <w:sz w:val="36"/>
                <w:szCs w:val="36"/>
                <w:u w:val="none"/>
              </w:rPr>
            </w:pPr>
            <w:r>
              <w:rPr>
                <w:rFonts w:hint="eastAsia" w:ascii="Times New Roman" w:hAnsi="Times New Roman" w:eastAsia="仿宋_GB2312" w:cs="仿宋"/>
                <w:sz w:val="36"/>
                <w:szCs w:val="36"/>
                <w:u w:val="none"/>
              </w:rPr>
              <w:t>　　</w:t>
            </w:r>
          </w:p>
          <w:p w14:paraId="336519D2">
            <w:pPr>
              <w:keepNext w:val="0"/>
              <w:keepLines w:val="0"/>
              <w:widowControl/>
              <w:suppressLineNumbers w:val="0"/>
              <w:jc w:val="left"/>
              <w:rPr>
                <w:rFonts w:ascii="Times New Roman" w:hAnsi="Times New Roman" w:eastAsia="仿宋_GB2312" w:cs="Times New Roman"/>
                <w:sz w:val="32"/>
                <w:szCs w:val="32"/>
              </w:rPr>
            </w:pPr>
          </w:p>
        </w:tc>
        <w:tc>
          <w:tcPr>
            <w:tcW w:w="1033" w:type="dxa"/>
          </w:tcPr>
          <w:p w14:paraId="47E44365">
            <w:pPr>
              <w:rPr>
                <w:rFonts w:hint="default"/>
                <w:vertAlign w:val="baseline"/>
                <w:lang w:val="en-US" w:eastAsia="zh-CN"/>
              </w:rPr>
            </w:pPr>
          </w:p>
        </w:tc>
      </w:tr>
      <w:tr w14:paraId="3226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6229889D">
            <w:pPr>
              <w:rPr>
                <w:rFonts w:hint="default"/>
                <w:vertAlign w:val="baseline"/>
                <w:lang w:val="en-US" w:eastAsia="zh-CN"/>
              </w:rPr>
            </w:pPr>
            <w:r>
              <w:rPr>
                <w:rFonts w:ascii="Times New Roman" w:hAnsi="Times New Roman" w:eastAsia="仿宋_GB2312" w:cs="Times New Roman"/>
                <w:sz w:val="32"/>
                <w:szCs w:val="32"/>
              </w:rPr>
              <w:t>第二十五条</w:t>
            </w:r>
          </w:p>
        </w:tc>
        <w:tc>
          <w:tcPr>
            <w:tcW w:w="2415" w:type="dxa"/>
          </w:tcPr>
          <w:p w14:paraId="056A398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市（地）级医疗保障行政管理部门应当每年组织开展医疗保障信用评价工作，评价周期为一年。</w:t>
            </w:r>
          </w:p>
          <w:p w14:paraId="1A029C46">
            <w:pPr>
              <w:spacing w:line="560" w:lineRule="exact"/>
              <w:ind w:firstLine="640" w:firstLineChars="200"/>
              <w:rPr>
                <w:rFonts w:hint="default"/>
                <w:vertAlign w:val="baseline"/>
                <w:lang w:val="en-US" w:eastAsia="zh-CN"/>
              </w:rPr>
            </w:pPr>
            <w:r>
              <w:rPr>
                <w:rFonts w:ascii="Times New Roman" w:hAnsi="Times New Roman" w:eastAsia="仿宋_GB2312" w:cs="Times New Roman"/>
                <w:sz w:val="32"/>
                <w:szCs w:val="32"/>
              </w:rPr>
              <w:t>信用评价应当按照信用评价办法，通过医疗保障信用评价管理系统对信用主体进行综合评价，自动生成信用评价结果。</w:t>
            </w:r>
          </w:p>
        </w:tc>
        <w:tc>
          <w:tcPr>
            <w:tcW w:w="1394" w:type="dxa"/>
          </w:tcPr>
          <w:p w14:paraId="5EB832C9">
            <w:pPr>
              <w:rPr>
                <w:rFonts w:hint="default"/>
                <w:vertAlign w:val="baseline"/>
                <w:lang w:val="en-US" w:eastAsia="zh-CN"/>
              </w:rPr>
            </w:pPr>
            <w:r>
              <w:rPr>
                <w:rFonts w:ascii="Times New Roman" w:hAnsi="Times New Roman" w:eastAsia="仿宋_GB2312" w:cs="Times New Roman"/>
                <w:color w:val="C00000"/>
                <w:sz w:val="32"/>
                <w:szCs w:val="32"/>
              </w:rPr>
              <w:t>第</w:t>
            </w:r>
            <w:r>
              <w:rPr>
                <w:rFonts w:hint="eastAsia" w:ascii="Times New Roman" w:hAnsi="Times New Roman" w:eastAsia="仿宋_GB2312" w:cs="Times New Roman"/>
                <w:color w:val="C00000"/>
                <w:sz w:val="32"/>
                <w:szCs w:val="32"/>
                <w:lang w:val="en-US" w:eastAsia="zh-CN"/>
              </w:rPr>
              <w:t>三十</w:t>
            </w:r>
            <w:r>
              <w:rPr>
                <w:rFonts w:ascii="Times New Roman" w:hAnsi="Times New Roman" w:eastAsia="仿宋_GB2312" w:cs="Times New Roman"/>
                <w:color w:val="C00000"/>
                <w:sz w:val="32"/>
                <w:szCs w:val="32"/>
              </w:rPr>
              <w:t>条</w:t>
            </w:r>
          </w:p>
        </w:tc>
        <w:tc>
          <w:tcPr>
            <w:tcW w:w="2377" w:type="dxa"/>
          </w:tcPr>
          <w:p w14:paraId="33BE62F2">
            <w:pPr>
              <w:spacing w:line="560" w:lineRule="exact"/>
              <w:ind w:firstLine="640" w:firstLineChars="200"/>
              <w:rPr>
                <w:rFonts w:hint="default" w:ascii="Times New Roman" w:hAnsi="Times New Roman" w:eastAsia="仿宋_GB2312" w:cs="Times New Roman"/>
                <w:color w:val="C00000"/>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信用评价管理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市（地）级医疗保障行政管理部门应当每年组织开展医疗保障信用评价工作，评价周期为一年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C00000"/>
                <w:sz w:val="32"/>
                <w:szCs w:val="32"/>
                <w:lang w:val="en-US" w:eastAsia="zh-CN"/>
              </w:rPr>
              <w:t>于每年4月底前确定上一年度信用评价结果。</w:t>
            </w:r>
          </w:p>
          <w:p w14:paraId="64BF8734">
            <w:pPr>
              <w:keepNext w:val="0"/>
              <w:keepLines w:val="0"/>
              <w:widowControl/>
              <w:suppressLineNumbers w:val="0"/>
              <w:jc w:val="left"/>
              <w:rPr>
                <w:rFonts w:hint="default"/>
                <w:lang w:val="en-US" w:eastAsia="zh-CN"/>
              </w:rPr>
            </w:pPr>
            <w:r>
              <w:rPr>
                <w:rFonts w:ascii="Times New Roman" w:hAnsi="Times New Roman" w:eastAsia="仿宋_GB2312" w:cs="Times New Roman"/>
                <w:sz w:val="32"/>
                <w:szCs w:val="32"/>
              </w:rPr>
              <w:t>信用评价应当按照信用评价</w:t>
            </w:r>
            <w:r>
              <w:rPr>
                <w:rFonts w:hint="eastAsia" w:ascii="Times New Roman" w:hAnsi="Times New Roman" w:eastAsia="仿宋_GB2312" w:cs="Times New Roman"/>
                <w:color w:val="C00000"/>
                <w:sz w:val="32"/>
                <w:szCs w:val="32"/>
                <w:lang w:val="en-US" w:eastAsia="zh-CN"/>
              </w:rPr>
              <w:t>规则</w:t>
            </w:r>
            <w:r>
              <w:rPr>
                <w:rFonts w:ascii="Times New Roman" w:hAnsi="Times New Roman" w:eastAsia="仿宋_GB2312" w:cs="Times New Roman"/>
                <w:sz w:val="32"/>
                <w:szCs w:val="32"/>
              </w:rPr>
              <w:t>，通过医疗保障信用评价管理系统对信用主体进行综合评价，自动生成信用评价结果。</w:t>
            </w:r>
          </w:p>
        </w:tc>
        <w:tc>
          <w:tcPr>
            <w:tcW w:w="1033" w:type="dxa"/>
          </w:tcPr>
          <w:p w14:paraId="654A35BE">
            <w:pPr>
              <w:rPr>
                <w:rFonts w:hint="default"/>
                <w:vertAlign w:val="baseline"/>
                <w:lang w:val="en-US" w:eastAsia="zh-CN"/>
              </w:rPr>
            </w:pPr>
          </w:p>
        </w:tc>
      </w:tr>
      <w:tr w14:paraId="1D56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4EF66C6C">
            <w:pPr>
              <w:rPr>
                <w:rFonts w:hint="default"/>
                <w:vertAlign w:val="baseline"/>
                <w:lang w:val="en-US" w:eastAsia="zh-CN"/>
              </w:rPr>
            </w:pPr>
          </w:p>
        </w:tc>
        <w:tc>
          <w:tcPr>
            <w:tcW w:w="2415" w:type="dxa"/>
          </w:tcPr>
          <w:p w14:paraId="35FF8B9E">
            <w:pPr>
              <w:rPr>
                <w:rFonts w:hint="default"/>
                <w:vertAlign w:val="baseline"/>
                <w:lang w:val="en-US" w:eastAsia="zh-CN"/>
              </w:rPr>
            </w:pPr>
          </w:p>
        </w:tc>
        <w:tc>
          <w:tcPr>
            <w:tcW w:w="1394" w:type="dxa"/>
          </w:tcPr>
          <w:p w14:paraId="4B2DEC31">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第三十一条</w:t>
            </w:r>
          </w:p>
        </w:tc>
        <w:tc>
          <w:tcPr>
            <w:tcW w:w="2377" w:type="dxa"/>
          </w:tcPr>
          <w:p w14:paraId="6E072E67">
            <w:pPr>
              <w:keepNext w:val="0"/>
              <w:keepLines w:val="0"/>
              <w:widowControl/>
              <w:suppressLineNumbers w:val="0"/>
              <w:ind w:firstLine="640" w:firstLineChars="20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【禁止信用评价情形】有下列情形之一的信用主 </w:t>
            </w:r>
          </w:p>
          <w:p w14:paraId="40B6036A">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体，不参加本期的评价： </w:t>
            </w:r>
          </w:p>
          <w:p w14:paraId="51D67DC1">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（一）涉及医疗保障基金使用不满一个评价年度的； </w:t>
            </w:r>
          </w:p>
          <w:p w14:paraId="37B529AE">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（二）本评价年度内未涉及医疗保障基金使用的； </w:t>
            </w:r>
          </w:p>
          <w:p w14:paraId="43BC5203">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（三）因涉嫌违法犯罪被立案查处尚未结案的； </w:t>
            </w:r>
          </w:p>
          <w:p w14:paraId="65AAF2AA">
            <w:pPr>
              <w:rPr>
                <w:rFonts w:hint="default"/>
                <w:vertAlign w:val="baseline"/>
                <w:lang w:val="en-US" w:eastAsia="zh-CN"/>
              </w:rPr>
            </w:pPr>
            <w:r>
              <w:rPr>
                <w:rFonts w:hint="eastAsia" w:ascii="仿宋_GB2312" w:hAnsi="仿宋_GB2312" w:eastAsia="仿宋_GB2312" w:cs="仿宋_GB2312"/>
                <w:color w:val="C00000"/>
                <w:kern w:val="0"/>
                <w:sz w:val="32"/>
                <w:szCs w:val="32"/>
                <w:lang w:val="en-US" w:eastAsia="zh-CN" w:bidi="ar"/>
              </w:rPr>
              <w:t>（四）其他不应参加本期评价的情形。</w:t>
            </w:r>
          </w:p>
        </w:tc>
        <w:tc>
          <w:tcPr>
            <w:tcW w:w="1033" w:type="dxa"/>
          </w:tcPr>
          <w:p w14:paraId="261609D9">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红字部分为新增内容</w:t>
            </w:r>
          </w:p>
        </w:tc>
      </w:tr>
      <w:tr w14:paraId="1300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1626C49B">
            <w:pPr>
              <w:rPr>
                <w:rFonts w:hint="default"/>
                <w:vertAlign w:val="baseline"/>
                <w:lang w:val="en-US" w:eastAsia="zh-CN"/>
              </w:rPr>
            </w:pPr>
            <w:r>
              <w:rPr>
                <w:rFonts w:ascii="Times New Roman" w:hAnsi="Times New Roman" w:eastAsia="仿宋_GB2312" w:cs="Times New Roman"/>
                <w:sz w:val="32"/>
                <w:szCs w:val="32"/>
              </w:rPr>
              <w:t>第二十六条</w:t>
            </w:r>
          </w:p>
        </w:tc>
        <w:tc>
          <w:tcPr>
            <w:tcW w:w="2415" w:type="dxa"/>
          </w:tcPr>
          <w:p w14:paraId="565A9F6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信用主体对实时信用评价结果有异议的，可在评价结果发布之日起5个工作日内，通过线上或者线下途径，向市（地）医疗保障行政管理部门提出异议申请并提供相关证明材料。受理单位应在3个工作日内处理完毕，鉴定和专家评审所需时间不计入异议处理时间。</w:t>
            </w:r>
          </w:p>
          <w:p w14:paraId="223FB01A">
            <w:pPr>
              <w:spacing w:line="560" w:lineRule="exact"/>
              <w:ind w:firstLine="640" w:firstLineChars="200"/>
              <w:rPr>
                <w:rFonts w:hint="default"/>
                <w:vertAlign w:val="baseline"/>
                <w:lang w:val="en-US" w:eastAsia="zh-CN"/>
              </w:rPr>
            </w:pPr>
            <w:r>
              <w:rPr>
                <w:rFonts w:ascii="Times New Roman" w:hAnsi="Times New Roman" w:eastAsia="仿宋_GB2312" w:cs="Times New Roman"/>
                <w:sz w:val="32"/>
                <w:szCs w:val="32"/>
              </w:rPr>
              <w:t>经核查确认异议申请理由成立的，应当及时更正，并告知异议申请人；异议申请理由不成立、决定不予更正的，应当告知异议申请人并说明理由。</w:t>
            </w:r>
          </w:p>
        </w:tc>
        <w:tc>
          <w:tcPr>
            <w:tcW w:w="1394" w:type="dxa"/>
          </w:tcPr>
          <w:p w14:paraId="339DEF9C">
            <w:pPr>
              <w:rPr>
                <w:rFonts w:hint="default"/>
                <w:vertAlign w:val="baseline"/>
                <w:lang w:val="en-US" w:eastAsia="zh-CN"/>
              </w:rPr>
            </w:pPr>
            <w:r>
              <w:rPr>
                <w:rFonts w:ascii="Times New Roman" w:hAnsi="Times New Roman" w:eastAsia="仿宋_GB2312" w:cs="Times New Roman"/>
                <w:color w:val="C00000"/>
                <w:sz w:val="32"/>
                <w:szCs w:val="32"/>
              </w:rPr>
              <w:t>第</w:t>
            </w:r>
            <w:r>
              <w:rPr>
                <w:rFonts w:hint="eastAsia" w:ascii="Times New Roman" w:hAnsi="Times New Roman" w:eastAsia="仿宋_GB2312" w:cs="Times New Roman"/>
                <w:color w:val="C00000"/>
                <w:sz w:val="32"/>
                <w:szCs w:val="32"/>
                <w:lang w:val="en-US" w:eastAsia="zh-CN"/>
              </w:rPr>
              <w:t>三十二</w:t>
            </w:r>
            <w:r>
              <w:rPr>
                <w:rFonts w:ascii="Times New Roman" w:hAnsi="Times New Roman" w:eastAsia="仿宋_GB2312" w:cs="Times New Roman"/>
                <w:color w:val="C00000"/>
                <w:sz w:val="32"/>
                <w:szCs w:val="32"/>
              </w:rPr>
              <w:t>条</w:t>
            </w:r>
          </w:p>
        </w:tc>
        <w:tc>
          <w:tcPr>
            <w:tcW w:w="2377" w:type="dxa"/>
          </w:tcPr>
          <w:p w14:paraId="6EBAA87D">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信用评价异议处理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信用主体对信用评价结果有异议的，可在评价结果发布之日起5个工作日内，通过线上或者线下途径，向市（地）医疗保障行政管理部门提出异议申请并提供相关证明材料。受理单位应在3个工作日内处理完毕，鉴定和专家评审所需时间不计入异议处理时间。</w:t>
            </w:r>
          </w:p>
          <w:p w14:paraId="498FC4F1">
            <w:pPr>
              <w:spacing w:line="560" w:lineRule="exact"/>
              <w:ind w:firstLine="640" w:firstLineChars="200"/>
              <w:rPr>
                <w:rFonts w:hint="default"/>
                <w:vertAlign w:val="baseline"/>
                <w:lang w:val="en-US" w:eastAsia="zh-CN"/>
              </w:rPr>
            </w:pPr>
            <w:r>
              <w:rPr>
                <w:rFonts w:ascii="Times New Roman" w:hAnsi="Times New Roman" w:eastAsia="仿宋_GB2312" w:cs="Times New Roman"/>
                <w:sz w:val="32"/>
                <w:szCs w:val="32"/>
              </w:rPr>
              <w:t>经核查确认异议申请理由成立的，应当及时更正，并告知异议申请人；异议申请理由不成立、决定不予更正的，应当告知异议申请人并说明理由。</w:t>
            </w:r>
          </w:p>
        </w:tc>
        <w:tc>
          <w:tcPr>
            <w:tcW w:w="1033" w:type="dxa"/>
          </w:tcPr>
          <w:p w14:paraId="645F4E0A">
            <w:pPr>
              <w:rPr>
                <w:rFonts w:hint="default"/>
                <w:vertAlign w:val="baseline"/>
                <w:lang w:val="en-US" w:eastAsia="zh-CN"/>
              </w:rPr>
            </w:pPr>
          </w:p>
        </w:tc>
      </w:tr>
      <w:tr w14:paraId="0A97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3858F03B">
            <w:pPr>
              <w:rPr>
                <w:rFonts w:hint="default"/>
                <w:vertAlign w:val="baseline"/>
                <w:lang w:val="en-US" w:eastAsia="zh-CN"/>
              </w:rPr>
            </w:pPr>
            <w:r>
              <w:rPr>
                <w:rFonts w:ascii="Times New Roman" w:hAnsi="Times New Roman" w:eastAsia="仿宋_GB2312" w:cs="Times New Roman"/>
                <w:sz w:val="32"/>
                <w:szCs w:val="32"/>
              </w:rPr>
              <w:t>第二十七条</w:t>
            </w:r>
          </w:p>
        </w:tc>
        <w:tc>
          <w:tcPr>
            <w:tcW w:w="2415" w:type="dxa"/>
          </w:tcPr>
          <w:p w14:paraId="49292343">
            <w:pPr>
              <w:ind w:firstLine="640" w:firstLineChars="200"/>
              <w:rPr>
                <w:rFonts w:hint="default"/>
                <w:vertAlign w:val="baseline"/>
                <w:lang w:val="en-US" w:eastAsia="zh-CN"/>
              </w:rPr>
            </w:pPr>
            <w:r>
              <w:rPr>
                <w:rFonts w:ascii="Times New Roman" w:hAnsi="Times New Roman" w:eastAsia="仿宋_GB2312" w:cs="Times New Roman"/>
                <w:sz w:val="32"/>
                <w:szCs w:val="32"/>
              </w:rPr>
              <w:t>信用主体对医疗保障信用评价初评结果无异议或者完成异议处理的，应形成正式的医疗保障信用评价结果，并</w:t>
            </w:r>
            <w:r>
              <w:rPr>
                <w:rFonts w:hint="eastAsia" w:ascii="Times New Roman" w:hAnsi="Times New Roman" w:eastAsia="仿宋_GB2312" w:cs="Times New Roman"/>
                <w:sz w:val="32"/>
                <w:szCs w:val="32"/>
              </w:rPr>
              <w:t>记</w:t>
            </w:r>
            <w:r>
              <w:rPr>
                <w:rFonts w:ascii="Times New Roman" w:hAnsi="Times New Roman" w:eastAsia="仿宋_GB2312" w:cs="Times New Roman"/>
                <w:sz w:val="32"/>
                <w:szCs w:val="32"/>
              </w:rPr>
              <w:t>入信用主体的信用档案。</w:t>
            </w:r>
          </w:p>
        </w:tc>
        <w:tc>
          <w:tcPr>
            <w:tcW w:w="1394" w:type="dxa"/>
          </w:tcPr>
          <w:p w14:paraId="0C1474B9">
            <w:pPr>
              <w:rPr>
                <w:rFonts w:hint="default"/>
                <w:vertAlign w:val="baseline"/>
                <w:lang w:val="en-US" w:eastAsia="zh-CN"/>
              </w:rPr>
            </w:pPr>
            <w:r>
              <w:rPr>
                <w:rFonts w:ascii="Times New Roman" w:hAnsi="Times New Roman" w:eastAsia="仿宋_GB2312" w:cs="Times New Roman"/>
                <w:color w:val="C00000"/>
                <w:sz w:val="32"/>
                <w:szCs w:val="32"/>
              </w:rPr>
              <w:t>第</w:t>
            </w:r>
            <w:r>
              <w:rPr>
                <w:rFonts w:hint="eastAsia" w:ascii="Times New Roman" w:hAnsi="Times New Roman" w:eastAsia="仿宋_GB2312" w:cs="Times New Roman"/>
                <w:color w:val="C00000"/>
                <w:sz w:val="32"/>
                <w:szCs w:val="32"/>
                <w:lang w:val="en-US" w:eastAsia="zh-CN"/>
              </w:rPr>
              <w:t>三十三</w:t>
            </w:r>
            <w:r>
              <w:rPr>
                <w:rFonts w:ascii="Times New Roman" w:hAnsi="Times New Roman" w:eastAsia="仿宋_GB2312" w:cs="Times New Roman"/>
                <w:color w:val="C00000"/>
                <w:sz w:val="32"/>
                <w:szCs w:val="32"/>
              </w:rPr>
              <w:t>条</w:t>
            </w:r>
          </w:p>
        </w:tc>
        <w:tc>
          <w:tcPr>
            <w:tcW w:w="2377" w:type="dxa"/>
          </w:tcPr>
          <w:p w14:paraId="5B165F45">
            <w:pPr>
              <w:ind w:firstLine="640" w:firstLineChars="200"/>
              <w:rPr>
                <w:rFonts w:hint="default"/>
                <w:vertAlign w:val="baseline"/>
                <w:lang w:val="en-US" w:eastAsia="zh-CN"/>
              </w:rPr>
            </w:pPr>
            <w:r>
              <w:rPr>
                <w:rFonts w:hint="eastAsia" w:ascii="Times New Roman" w:hAnsi="Times New Roman" w:eastAsia="仿宋_GB2312" w:cs="Times New Roman"/>
                <w:sz w:val="32"/>
                <w:szCs w:val="32"/>
                <w:lang w:val="en-US" w:eastAsia="zh-CN"/>
              </w:rPr>
              <w:t>【信用评价管理】信</w:t>
            </w:r>
            <w:r>
              <w:rPr>
                <w:rFonts w:ascii="Times New Roman" w:hAnsi="Times New Roman" w:eastAsia="仿宋_GB2312" w:cs="Times New Roman"/>
                <w:sz w:val="32"/>
                <w:szCs w:val="32"/>
              </w:rPr>
              <w:t>用主体对医疗保障信用评价初评结果无异议或者完成异议处理的，应形成正式的医疗保障信用评价结果，并</w:t>
            </w:r>
            <w:r>
              <w:rPr>
                <w:rFonts w:hint="eastAsia" w:ascii="Times New Roman" w:hAnsi="Times New Roman" w:eastAsia="仿宋_GB2312" w:cs="Times New Roman"/>
                <w:sz w:val="32"/>
                <w:szCs w:val="32"/>
              </w:rPr>
              <w:t>记</w:t>
            </w:r>
            <w:r>
              <w:rPr>
                <w:rFonts w:ascii="Times New Roman" w:hAnsi="Times New Roman" w:eastAsia="仿宋_GB2312" w:cs="Times New Roman"/>
                <w:sz w:val="32"/>
                <w:szCs w:val="32"/>
              </w:rPr>
              <w:t>入信用主体的信用档案。</w:t>
            </w:r>
          </w:p>
        </w:tc>
        <w:tc>
          <w:tcPr>
            <w:tcW w:w="1033" w:type="dxa"/>
          </w:tcPr>
          <w:p w14:paraId="58D4BF30">
            <w:pPr>
              <w:rPr>
                <w:rFonts w:hint="default"/>
                <w:vertAlign w:val="baseline"/>
                <w:lang w:val="en-US" w:eastAsia="zh-CN"/>
              </w:rPr>
            </w:pPr>
          </w:p>
        </w:tc>
      </w:tr>
      <w:tr w14:paraId="12CF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1EF653EA">
            <w:pPr>
              <w:rPr>
                <w:rFonts w:hint="default"/>
                <w:vertAlign w:val="baseline"/>
                <w:lang w:val="en-US" w:eastAsia="zh-CN"/>
              </w:rPr>
            </w:pPr>
            <w:r>
              <w:rPr>
                <w:rFonts w:ascii="Times New Roman" w:hAnsi="Times New Roman" w:eastAsia="仿宋_GB2312" w:cs="Times New Roman"/>
                <w:sz w:val="32"/>
                <w:szCs w:val="32"/>
              </w:rPr>
              <w:t>第二十八条</w:t>
            </w:r>
          </w:p>
        </w:tc>
        <w:tc>
          <w:tcPr>
            <w:tcW w:w="2415" w:type="dxa"/>
          </w:tcPr>
          <w:p w14:paraId="546EACF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各级医疗保障部门应当通过网站、服务窗口、移动终端和自助终端等渠道为信用主体提供信用评价结果实时查询服务。</w:t>
            </w:r>
          </w:p>
          <w:p w14:paraId="061656CF">
            <w:pPr>
              <w:rPr>
                <w:rFonts w:hint="default"/>
                <w:vertAlign w:val="baseline"/>
                <w:lang w:val="en-US" w:eastAsia="zh-CN"/>
              </w:rPr>
            </w:pPr>
          </w:p>
        </w:tc>
        <w:tc>
          <w:tcPr>
            <w:tcW w:w="1394" w:type="dxa"/>
          </w:tcPr>
          <w:p w14:paraId="69108728">
            <w:pPr>
              <w:rPr>
                <w:rFonts w:hint="default"/>
                <w:vertAlign w:val="baseline"/>
                <w:lang w:val="en-US" w:eastAsia="zh-CN"/>
              </w:rPr>
            </w:pPr>
            <w:r>
              <w:rPr>
                <w:rFonts w:ascii="Times New Roman" w:hAnsi="Times New Roman" w:eastAsia="仿宋_GB2312" w:cs="Times New Roman"/>
                <w:color w:val="C00000"/>
                <w:sz w:val="32"/>
                <w:szCs w:val="32"/>
              </w:rPr>
              <w:t>第</w:t>
            </w:r>
            <w:r>
              <w:rPr>
                <w:rFonts w:hint="eastAsia" w:ascii="Times New Roman" w:hAnsi="Times New Roman" w:eastAsia="仿宋_GB2312" w:cs="Times New Roman"/>
                <w:color w:val="C00000"/>
                <w:sz w:val="32"/>
                <w:szCs w:val="32"/>
                <w:lang w:val="en-US" w:eastAsia="zh-CN"/>
              </w:rPr>
              <w:t>三十四</w:t>
            </w:r>
            <w:r>
              <w:rPr>
                <w:rFonts w:ascii="Times New Roman" w:hAnsi="Times New Roman" w:eastAsia="仿宋_GB2312" w:cs="Times New Roman"/>
                <w:color w:val="C00000"/>
                <w:sz w:val="32"/>
                <w:szCs w:val="32"/>
              </w:rPr>
              <w:t>条</w:t>
            </w:r>
          </w:p>
        </w:tc>
        <w:tc>
          <w:tcPr>
            <w:tcW w:w="2377" w:type="dxa"/>
          </w:tcPr>
          <w:p w14:paraId="7EC1FFC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信用评价结果查询与管理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各级医疗保障部门应当通过网站、服务窗口、移动终端和自助终端等渠道为信用主体提供信用评价结果查询服务。</w:t>
            </w:r>
          </w:p>
          <w:p w14:paraId="529094EF">
            <w:pPr>
              <w:keepNext w:val="0"/>
              <w:keepLines w:val="0"/>
              <w:widowControl/>
              <w:suppressLineNumbers w:val="0"/>
              <w:ind w:firstLine="640" w:firstLineChars="200"/>
              <w:jc w:val="left"/>
              <w:rPr>
                <w:rFonts w:hint="default"/>
                <w:vertAlign w:val="baseline"/>
                <w:lang w:val="en-US" w:eastAsia="zh-CN"/>
              </w:rPr>
            </w:pPr>
            <w:r>
              <w:rPr>
                <w:rFonts w:hint="eastAsia" w:ascii="仿宋_GB2312" w:hAnsi="仿宋_GB2312" w:eastAsia="仿宋_GB2312" w:cs="仿宋_GB2312"/>
                <w:color w:val="C00000"/>
                <w:kern w:val="0"/>
                <w:sz w:val="32"/>
                <w:szCs w:val="32"/>
                <w:lang w:val="en-US" w:eastAsia="zh-CN" w:bidi="ar"/>
              </w:rPr>
              <w:t>各级医疗保障部门应当建立信用信息查询制度，设定查询人员的查询权限和查询程序，并建立查询日志，记载查询人员姓名、查询时间、内容以及用途。查询日志应当长期保存。</w:t>
            </w:r>
          </w:p>
        </w:tc>
        <w:tc>
          <w:tcPr>
            <w:tcW w:w="1033" w:type="dxa"/>
          </w:tcPr>
          <w:p w14:paraId="6B934EAD">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红字部分为新增内容</w:t>
            </w:r>
          </w:p>
        </w:tc>
      </w:tr>
      <w:tr w14:paraId="5BC3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5713B905">
            <w:pPr>
              <w:rPr>
                <w:rFonts w:hint="default"/>
                <w:vertAlign w:val="baseline"/>
                <w:lang w:val="en-US" w:eastAsia="zh-CN"/>
              </w:rPr>
            </w:pPr>
            <w:r>
              <w:rPr>
                <w:rFonts w:ascii="Times New Roman" w:hAnsi="Times New Roman" w:eastAsia="仿宋_GB2312" w:cs="Times New Roman"/>
                <w:sz w:val="32"/>
                <w:szCs w:val="32"/>
              </w:rPr>
              <w:t>第二十九条</w:t>
            </w:r>
          </w:p>
        </w:tc>
        <w:tc>
          <w:tcPr>
            <w:tcW w:w="2415" w:type="dxa"/>
          </w:tcPr>
          <w:p w14:paraId="3E38E820">
            <w:pPr>
              <w:ind w:firstLine="640" w:firstLineChars="200"/>
              <w:rPr>
                <w:rFonts w:hint="default"/>
                <w:vertAlign w:val="baseline"/>
                <w:lang w:val="en-US" w:eastAsia="zh-CN"/>
              </w:rPr>
            </w:pPr>
            <w:r>
              <w:rPr>
                <w:rFonts w:ascii="Times New Roman" w:hAnsi="Times New Roman" w:eastAsia="仿宋_GB2312" w:cs="Times New Roman"/>
                <w:sz w:val="32"/>
                <w:szCs w:val="32"/>
              </w:rPr>
              <w:t>机构类信用主体的医疗保障信用评价结果由市（地）医疗保障部门统一发布。</w:t>
            </w:r>
          </w:p>
        </w:tc>
        <w:tc>
          <w:tcPr>
            <w:tcW w:w="1394" w:type="dxa"/>
          </w:tcPr>
          <w:p w14:paraId="58351A3F">
            <w:pPr>
              <w:rPr>
                <w:rFonts w:hint="default"/>
                <w:vertAlign w:val="baseline"/>
                <w:lang w:val="en-US" w:eastAsia="zh-CN"/>
              </w:rPr>
            </w:pPr>
            <w:r>
              <w:rPr>
                <w:rFonts w:ascii="Times New Roman" w:hAnsi="Times New Roman" w:eastAsia="仿宋_GB2312" w:cs="Times New Roman"/>
                <w:color w:val="C00000"/>
                <w:sz w:val="32"/>
                <w:szCs w:val="32"/>
              </w:rPr>
              <w:t>第</w:t>
            </w:r>
            <w:r>
              <w:rPr>
                <w:rFonts w:hint="eastAsia" w:ascii="Times New Roman" w:hAnsi="Times New Roman" w:eastAsia="仿宋_GB2312" w:cs="Times New Roman"/>
                <w:color w:val="C00000"/>
                <w:sz w:val="32"/>
                <w:szCs w:val="32"/>
                <w:lang w:val="en-US" w:eastAsia="zh-CN"/>
              </w:rPr>
              <w:t>三十五</w:t>
            </w:r>
            <w:r>
              <w:rPr>
                <w:rFonts w:ascii="Times New Roman" w:hAnsi="Times New Roman" w:eastAsia="仿宋_GB2312" w:cs="Times New Roman"/>
                <w:color w:val="C00000"/>
                <w:sz w:val="32"/>
                <w:szCs w:val="32"/>
              </w:rPr>
              <w:t>条</w:t>
            </w:r>
          </w:p>
        </w:tc>
        <w:tc>
          <w:tcPr>
            <w:tcW w:w="2377" w:type="dxa"/>
          </w:tcPr>
          <w:p w14:paraId="5890D656">
            <w:pPr>
              <w:keepNext w:val="0"/>
              <w:keepLines w:val="0"/>
              <w:widowControl/>
              <w:suppressLineNumbers w:val="0"/>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信用评价与管理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机构类信用主体的医疗保障信用评价结果由市（地）医疗保障部门统一发布。</w:t>
            </w:r>
          </w:p>
          <w:p w14:paraId="58CC6EE1">
            <w:pPr>
              <w:keepNext w:val="0"/>
              <w:keepLines w:val="0"/>
              <w:widowControl/>
              <w:suppressLineNumbers w:val="0"/>
              <w:ind w:firstLine="640" w:firstLineChars="200"/>
              <w:jc w:val="left"/>
              <w:rPr>
                <w:rFonts w:hint="default"/>
                <w:vertAlign w:val="baseline"/>
                <w:lang w:val="en-US" w:eastAsia="zh-CN"/>
              </w:rPr>
            </w:pPr>
            <w:r>
              <w:rPr>
                <w:rFonts w:hint="eastAsia" w:ascii="仿宋_GB2312" w:hAnsi="仿宋_GB2312" w:eastAsia="仿宋_GB2312" w:cs="仿宋_GB2312"/>
                <w:color w:val="C00000"/>
                <w:kern w:val="0"/>
                <w:sz w:val="32"/>
                <w:szCs w:val="32"/>
                <w:lang w:val="en-US" w:eastAsia="zh-CN" w:bidi="ar"/>
              </w:rPr>
              <w:t>医疗保障部门应当通过医疗保障局官网及时将信用评价结果及其查询方法以公告的形式告知信用主体，信用评价结果发生变动的，医疗保障行政部门应当及时告知信用主体结果变动情况以及变动原因、依据。</w:t>
            </w:r>
          </w:p>
        </w:tc>
        <w:tc>
          <w:tcPr>
            <w:tcW w:w="1033" w:type="dxa"/>
          </w:tcPr>
          <w:p w14:paraId="559F6831">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红字部分为新增内容</w:t>
            </w:r>
          </w:p>
        </w:tc>
      </w:tr>
      <w:tr w14:paraId="6110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14F814C0">
            <w:pPr>
              <w:spacing w:line="560" w:lineRule="exact"/>
              <w:jc w:val="center"/>
              <w:rPr>
                <w:rFonts w:ascii="黑体" w:hAnsi="黑体" w:eastAsia="黑体" w:cs="黑体"/>
                <w:sz w:val="32"/>
                <w:szCs w:val="32"/>
              </w:rPr>
            </w:pPr>
            <w:r>
              <w:rPr>
                <w:rFonts w:hint="eastAsia" w:ascii="黑体" w:hAnsi="黑体" w:eastAsia="黑体" w:cs="黑体"/>
                <w:sz w:val="32"/>
                <w:szCs w:val="32"/>
              </w:rPr>
              <w:t>第六章 信用结果应用</w:t>
            </w:r>
          </w:p>
          <w:p w14:paraId="7BD9D0F9">
            <w:pPr>
              <w:rPr>
                <w:rFonts w:hint="default"/>
                <w:vertAlign w:val="baseline"/>
                <w:lang w:val="en-US" w:eastAsia="zh-CN"/>
              </w:rPr>
            </w:pPr>
          </w:p>
        </w:tc>
        <w:tc>
          <w:tcPr>
            <w:tcW w:w="2415" w:type="dxa"/>
          </w:tcPr>
          <w:p w14:paraId="04D7201A">
            <w:pPr>
              <w:rPr>
                <w:rFonts w:hint="default"/>
                <w:vertAlign w:val="baseline"/>
                <w:lang w:val="en-US" w:eastAsia="zh-CN"/>
              </w:rPr>
            </w:pPr>
          </w:p>
        </w:tc>
        <w:tc>
          <w:tcPr>
            <w:tcW w:w="1394" w:type="dxa"/>
          </w:tcPr>
          <w:p w14:paraId="57A366A9">
            <w:pPr>
              <w:spacing w:line="560" w:lineRule="exact"/>
              <w:jc w:val="center"/>
              <w:rPr>
                <w:rFonts w:ascii="黑体" w:hAnsi="黑体" w:eastAsia="黑体" w:cs="黑体"/>
                <w:sz w:val="32"/>
                <w:szCs w:val="32"/>
              </w:rPr>
            </w:pPr>
            <w:r>
              <w:rPr>
                <w:rFonts w:hint="eastAsia" w:ascii="黑体" w:hAnsi="黑体" w:eastAsia="黑体" w:cs="黑体"/>
                <w:sz w:val="32"/>
                <w:szCs w:val="32"/>
              </w:rPr>
              <w:t>第六章 信用结果应用</w:t>
            </w:r>
          </w:p>
          <w:p w14:paraId="6F6FE11D">
            <w:pPr>
              <w:rPr>
                <w:rFonts w:hint="default"/>
                <w:vertAlign w:val="baseline"/>
                <w:lang w:val="en-US" w:eastAsia="zh-CN"/>
              </w:rPr>
            </w:pPr>
          </w:p>
        </w:tc>
        <w:tc>
          <w:tcPr>
            <w:tcW w:w="2377" w:type="dxa"/>
          </w:tcPr>
          <w:p w14:paraId="66DA8BB9">
            <w:pPr>
              <w:rPr>
                <w:rFonts w:hint="default"/>
                <w:vertAlign w:val="baseline"/>
                <w:lang w:val="en-US" w:eastAsia="zh-CN"/>
              </w:rPr>
            </w:pPr>
          </w:p>
        </w:tc>
        <w:tc>
          <w:tcPr>
            <w:tcW w:w="1033" w:type="dxa"/>
          </w:tcPr>
          <w:p w14:paraId="288FE4A8">
            <w:pPr>
              <w:rPr>
                <w:rFonts w:hint="default"/>
                <w:vertAlign w:val="baseline"/>
                <w:lang w:val="en-US" w:eastAsia="zh-CN"/>
              </w:rPr>
            </w:pPr>
          </w:p>
        </w:tc>
      </w:tr>
      <w:tr w14:paraId="5C04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17790B28">
            <w:pPr>
              <w:rPr>
                <w:rFonts w:ascii="Times New Roman" w:hAnsi="Times New Roman" w:eastAsia="仿宋_GB2312" w:cs="Times New Roman"/>
                <w:sz w:val="32"/>
                <w:szCs w:val="32"/>
              </w:rPr>
            </w:pPr>
          </w:p>
        </w:tc>
        <w:tc>
          <w:tcPr>
            <w:tcW w:w="2415" w:type="dxa"/>
          </w:tcPr>
          <w:p w14:paraId="1A6F842E">
            <w:pPr>
              <w:rPr>
                <w:rFonts w:ascii="Times New Roman" w:hAnsi="Times New Roman" w:eastAsia="仿宋_GB2312" w:cs="Times New Roman"/>
                <w:sz w:val="32"/>
                <w:szCs w:val="32"/>
              </w:rPr>
            </w:pPr>
          </w:p>
        </w:tc>
        <w:tc>
          <w:tcPr>
            <w:tcW w:w="1394" w:type="dxa"/>
          </w:tcPr>
          <w:p w14:paraId="6DAB7AD2">
            <w:pP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C00000"/>
                <w:sz w:val="32"/>
                <w:szCs w:val="32"/>
                <w:lang w:val="en-US" w:eastAsia="zh-CN"/>
              </w:rPr>
              <w:t>第三十六条</w:t>
            </w:r>
          </w:p>
        </w:tc>
        <w:tc>
          <w:tcPr>
            <w:tcW w:w="2377" w:type="dxa"/>
          </w:tcPr>
          <w:p w14:paraId="76AA1CA1">
            <w:pPr>
              <w:keepNext w:val="0"/>
              <w:keepLines w:val="0"/>
              <w:widowControl/>
              <w:suppressLineNumbers w:val="0"/>
              <w:ind w:firstLine="640" w:firstLineChars="200"/>
              <w:jc w:val="left"/>
              <w:rPr>
                <w:rFonts w:ascii="Times New Roman" w:hAnsi="Times New Roman" w:eastAsia="仿宋_GB2312" w:cs="Times New Roman"/>
                <w:sz w:val="32"/>
                <w:szCs w:val="32"/>
              </w:rPr>
            </w:pPr>
            <w:r>
              <w:rPr>
                <w:rFonts w:hint="eastAsia" w:ascii="仿宋_GB2312" w:hAnsi="仿宋_GB2312" w:eastAsia="仿宋_GB2312" w:cs="仿宋_GB2312"/>
                <w:color w:val="C00000"/>
                <w:kern w:val="0"/>
                <w:sz w:val="32"/>
                <w:szCs w:val="32"/>
                <w:lang w:val="en-US" w:eastAsia="zh-CN" w:bidi="ar"/>
              </w:rPr>
              <w:t>【信用评价结果管理】医疗保障信用评价结果和医疗保障行政部门认定的严重失信主体名单应当纳入全省社会信用信息目录，及时推送至省社会信用信息共享交换平台和“信用中国（黑龙江）”网站，为各级各部门在行政管理和公共服务工作中开展分级分类监管、联合惩戒提供数据支撑。</w:t>
            </w:r>
          </w:p>
        </w:tc>
        <w:tc>
          <w:tcPr>
            <w:tcW w:w="1033" w:type="dxa"/>
          </w:tcPr>
          <w:p w14:paraId="380B6921">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红字部分为新增内容</w:t>
            </w:r>
          </w:p>
        </w:tc>
      </w:tr>
      <w:tr w14:paraId="42A1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7843F549">
            <w:pPr>
              <w:rPr>
                <w:rFonts w:hint="default"/>
                <w:vertAlign w:val="baseline"/>
                <w:lang w:val="en-US" w:eastAsia="zh-CN"/>
              </w:rPr>
            </w:pPr>
            <w:r>
              <w:rPr>
                <w:rFonts w:ascii="Times New Roman" w:hAnsi="Times New Roman" w:eastAsia="仿宋_GB2312" w:cs="Times New Roman"/>
                <w:sz w:val="32"/>
                <w:szCs w:val="32"/>
              </w:rPr>
              <w:t>第三十条</w:t>
            </w:r>
          </w:p>
        </w:tc>
        <w:tc>
          <w:tcPr>
            <w:tcW w:w="2415" w:type="dxa"/>
          </w:tcPr>
          <w:p w14:paraId="7EDA196D">
            <w:pPr>
              <w:rPr>
                <w:rFonts w:hint="default"/>
                <w:vertAlign w:val="baseline"/>
                <w:lang w:val="en-US" w:eastAsia="zh-CN"/>
              </w:rPr>
            </w:pPr>
            <w:r>
              <w:rPr>
                <w:rFonts w:ascii="Times New Roman" w:hAnsi="Times New Roman" w:eastAsia="仿宋_GB2312" w:cs="Times New Roman"/>
                <w:sz w:val="32"/>
                <w:szCs w:val="32"/>
              </w:rPr>
              <w:t>县级以上医疗保障行政管理部门应当根据医疗保障信用评价结果，实施分级分类监管</w:t>
            </w:r>
          </w:p>
        </w:tc>
        <w:tc>
          <w:tcPr>
            <w:tcW w:w="1394" w:type="dxa"/>
          </w:tcPr>
          <w:p w14:paraId="1E561806">
            <w:pPr>
              <w:rPr>
                <w:rFonts w:hint="default"/>
                <w:vertAlign w:val="baseline"/>
                <w:lang w:val="en-US" w:eastAsia="zh-CN"/>
              </w:rPr>
            </w:pPr>
          </w:p>
        </w:tc>
        <w:tc>
          <w:tcPr>
            <w:tcW w:w="2377" w:type="dxa"/>
          </w:tcPr>
          <w:p w14:paraId="43377D96">
            <w:pPr>
              <w:rPr>
                <w:rFonts w:hint="default"/>
                <w:vertAlign w:val="baseline"/>
                <w:lang w:val="en-US" w:eastAsia="zh-CN"/>
              </w:rPr>
            </w:pPr>
          </w:p>
        </w:tc>
        <w:tc>
          <w:tcPr>
            <w:tcW w:w="1033" w:type="dxa"/>
          </w:tcPr>
          <w:p w14:paraId="5332B58D">
            <w:pPr>
              <w:rPr>
                <w:rFonts w:hint="default"/>
                <w:vertAlign w:val="baseline"/>
                <w:lang w:val="en-US" w:eastAsia="zh-CN"/>
              </w:rPr>
            </w:pPr>
            <w:r>
              <w:rPr>
                <w:rFonts w:hint="eastAsia" w:ascii="仿宋_GB2312" w:hAnsi="仿宋_GB2312" w:eastAsia="仿宋_GB2312" w:cs="仿宋_GB2312"/>
                <w:sz w:val="32"/>
                <w:szCs w:val="32"/>
                <w:vertAlign w:val="baseline"/>
                <w:lang w:val="en-US" w:eastAsia="zh-CN"/>
              </w:rPr>
              <w:t>融合至修改后</w:t>
            </w:r>
            <w:r>
              <w:rPr>
                <w:rFonts w:hint="eastAsia" w:ascii="仿宋_GB2312" w:hAnsi="仿宋_GB2312" w:eastAsia="仿宋_GB2312" w:cs="仿宋_GB2312"/>
                <w:color w:val="00B050"/>
                <w:sz w:val="32"/>
                <w:szCs w:val="32"/>
                <w:vertAlign w:val="baseline"/>
                <w:lang w:val="en-US" w:eastAsia="zh-CN"/>
              </w:rPr>
              <w:t>第38条</w:t>
            </w:r>
          </w:p>
        </w:tc>
      </w:tr>
      <w:tr w14:paraId="3A91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0B24955A">
            <w:pPr>
              <w:rPr>
                <w:rFonts w:hint="default"/>
                <w:vertAlign w:val="baseline"/>
                <w:lang w:val="en-US" w:eastAsia="zh-CN"/>
              </w:rPr>
            </w:pPr>
          </w:p>
        </w:tc>
        <w:tc>
          <w:tcPr>
            <w:tcW w:w="2415" w:type="dxa"/>
          </w:tcPr>
          <w:p w14:paraId="7D2CEE19">
            <w:pPr>
              <w:rPr>
                <w:rFonts w:hint="default"/>
                <w:vertAlign w:val="baseline"/>
                <w:lang w:val="en-US" w:eastAsia="zh-CN"/>
              </w:rPr>
            </w:pPr>
          </w:p>
        </w:tc>
        <w:tc>
          <w:tcPr>
            <w:tcW w:w="1394" w:type="dxa"/>
          </w:tcPr>
          <w:p w14:paraId="5B908001">
            <w:pPr>
              <w:rPr>
                <w:rFonts w:hint="default"/>
                <w:vertAlign w:val="baseline"/>
                <w:lang w:val="en-US" w:eastAsia="zh-CN"/>
              </w:rPr>
            </w:pPr>
            <w:r>
              <w:rPr>
                <w:rFonts w:hint="eastAsia" w:ascii="Times New Roman" w:hAnsi="Times New Roman" w:eastAsia="仿宋_GB2312" w:cs="Times New Roman"/>
                <w:color w:val="C00000"/>
                <w:sz w:val="32"/>
                <w:szCs w:val="32"/>
                <w:lang w:val="en-US" w:eastAsia="zh-CN"/>
              </w:rPr>
              <w:t>第三十七条</w:t>
            </w:r>
          </w:p>
        </w:tc>
        <w:tc>
          <w:tcPr>
            <w:tcW w:w="2377" w:type="dxa"/>
          </w:tcPr>
          <w:p w14:paraId="05D5279C">
            <w:pPr>
              <w:keepNext w:val="0"/>
              <w:keepLines w:val="0"/>
              <w:widowControl/>
              <w:suppressLineNumbers w:val="0"/>
              <w:ind w:firstLine="640" w:firstLineChars="200"/>
              <w:jc w:val="left"/>
              <w:rPr>
                <w:rFonts w:hint="eastAsia" w:ascii="仿宋_GB2312" w:hAnsi="仿宋_GB2312" w:eastAsia="仿宋_GB2312" w:cs="仿宋_GB2312"/>
                <w:color w:val="C00000"/>
                <w:kern w:val="0"/>
                <w:sz w:val="32"/>
                <w:szCs w:val="32"/>
                <w:lang w:val="en-US" w:eastAsia="zh-CN" w:bidi="ar"/>
              </w:rPr>
            </w:pPr>
            <w:r>
              <w:rPr>
                <w:rFonts w:hint="eastAsia" w:ascii="仿宋_GB2312" w:hAnsi="仿宋_GB2312" w:eastAsia="仿宋_GB2312" w:cs="仿宋_GB2312"/>
                <w:color w:val="C00000"/>
                <w:kern w:val="0"/>
                <w:sz w:val="32"/>
                <w:szCs w:val="32"/>
                <w:lang w:val="en-US" w:eastAsia="zh-CN" w:bidi="ar"/>
              </w:rPr>
              <w:t>【信用评价结果应用与信用管理】各级医疗保障部门在政府采购、招标投标、医保管理服务协议签订、医保费用核查、定点医药机构年终考核、药品耗材集采、基金支付、行政检查、医保信用评价等医疗保障工作中，应当根据履行职责需要查询公共信用信息。</w:t>
            </w:r>
          </w:p>
          <w:p w14:paraId="45B65071">
            <w:pPr>
              <w:keepNext w:val="0"/>
              <w:keepLines w:val="0"/>
              <w:widowControl/>
              <w:suppressLineNumbers w:val="0"/>
              <w:ind w:firstLine="640" w:firstLineChars="200"/>
              <w:jc w:val="left"/>
              <w:rPr>
                <w:rFonts w:hint="default"/>
                <w:vertAlign w:val="baseline"/>
                <w:lang w:val="en-US" w:eastAsia="zh-CN"/>
              </w:rPr>
            </w:pPr>
            <w:r>
              <w:rPr>
                <w:rFonts w:hint="eastAsia" w:ascii="仿宋_GB2312" w:hAnsi="仿宋_GB2312" w:eastAsia="仿宋_GB2312" w:cs="仿宋_GB2312"/>
                <w:color w:val="C00000"/>
                <w:kern w:val="0"/>
                <w:sz w:val="32"/>
                <w:szCs w:val="32"/>
                <w:lang w:val="en-US" w:eastAsia="zh-CN" w:bidi="ar"/>
              </w:rPr>
              <w:t>医疗保障部门在医疗保障信用管理工作中可</w:t>
            </w:r>
            <w:r>
              <w:rPr>
                <w:rFonts w:hint="eastAsia" w:ascii="仿宋_GB2312" w:hAnsi="仿宋_GB2312" w:eastAsia="仿宋_GB2312" w:cs="仿宋_GB2312"/>
                <w:b w:val="0"/>
                <w:bCs w:val="0"/>
                <w:color w:val="C00000"/>
                <w:kern w:val="0"/>
                <w:sz w:val="32"/>
                <w:szCs w:val="32"/>
                <w:shd w:val="clear"/>
                <w:lang w:val="en-US" w:eastAsia="zh-CN" w:bidi="ar"/>
              </w:rPr>
              <w:t>依法购买信用服务和产品。</w:t>
            </w:r>
          </w:p>
        </w:tc>
        <w:tc>
          <w:tcPr>
            <w:tcW w:w="1033" w:type="dxa"/>
          </w:tcPr>
          <w:p w14:paraId="7672EAB2">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红字部分为新增内容</w:t>
            </w:r>
          </w:p>
        </w:tc>
      </w:tr>
      <w:tr w14:paraId="0780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51E7935D">
            <w:pPr>
              <w:rPr>
                <w:rFonts w:hint="default"/>
                <w:vertAlign w:val="baseline"/>
                <w:lang w:val="en-US" w:eastAsia="zh-CN"/>
              </w:rPr>
            </w:pPr>
          </w:p>
        </w:tc>
        <w:tc>
          <w:tcPr>
            <w:tcW w:w="2415" w:type="dxa"/>
          </w:tcPr>
          <w:p w14:paraId="7F56B888">
            <w:pPr>
              <w:rPr>
                <w:rFonts w:hint="default"/>
                <w:vertAlign w:val="baseline"/>
                <w:lang w:val="en-US" w:eastAsia="zh-CN"/>
              </w:rPr>
            </w:pPr>
          </w:p>
        </w:tc>
        <w:tc>
          <w:tcPr>
            <w:tcW w:w="1394" w:type="dxa"/>
          </w:tcPr>
          <w:p w14:paraId="1F86A928">
            <w:pPr>
              <w:rPr>
                <w:rFonts w:hint="default"/>
                <w:vertAlign w:val="baseline"/>
                <w:lang w:val="en-US" w:eastAsia="zh-CN"/>
              </w:rPr>
            </w:pPr>
            <w:r>
              <w:rPr>
                <w:rFonts w:hint="eastAsia" w:ascii="Times New Roman" w:hAnsi="Times New Roman" w:eastAsia="仿宋_GB2312" w:cs="Times New Roman"/>
                <w:b/>
                <w:bCs/>
                <w:color w:val="00B050"/>
                <w:sz w:val="32"/>
                <w:szCs w:val="32"/>
                <w:lang w:val="en-US" w:eastAsia="zh-CN"/>
              </w:rPr>
              <w:t>第三十八条</w:t>
            </w:r>
          </w:p>
        </w:tc>
        <w:tc>
          <w:tcPr>
            <w:tcW w:w="2377" w:type="dxa"/>
          </w:tcPr>
          <w:p w14:paraId="5CA88F5F">
            <w:pPr>
              <w:keepNext w:val="0"/>
              <w:keepLines w:val="0"/>
              <w:widowControl/>
              <w:suppressLineNumbers w:val="0"/>
              <w:ind w:firstLine="640" w:firstLineChars="20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信用分级分类管理与应用】各级医疗保障部门应当按照守信激励、失信惩戒的原则，根据信用评价结果对信用主体实行分类管理，综合运用于信用主体的协议管理、检查稽核、医保信用支付、绩效考核、职称评定、处罚裁量等方面管理服务工作。</w:t>
            </w:r>
          </w:p>
          <w:p w14:paraId="73D1C4C9">
            <w:pPr>
              <w:rPr>
                <w:rFonts w:hint="default"/>
                <w:vertAlign w:val="baseline"/>
                <w:lang w:val="en-US" w:eastAsia="zh-CN"/>
              </w:rPr>
            </w:pPr>
          </w:p>
        </w:tc>
        <w:tc>
          <w:tcPr>
            <w:tcW w:w="1033" w:type="dxa"/>
          </w:tcPr>
          <w:p w14:paraId="0A284800">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红字部分为新增内容</w:t>
            </w:r>
          </w:p>
        </w:tc>
      </w:tr>
      <w:tr w14:paraId="2735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32C063E2">
            <w:pPr>
              <w:rPr>
                <w:rFonts w:hint="default"/>
                <w:vertAlign w:val="baseline"/>
                <w:lang w:val="en-US" w:eastAsia="zh-CN"/>
              </w:rPr>
            </w:pPr>
            <w:r>
              <w:rPr>
                <w:rFonts w:ascii="Times New Roman" w:hAnsi="Times New Roman" w:eastAsia="仿宋_GB2312" w:cs="Times New Roman"/>
                <w:sz w:val="32"/>
                <w:szCs w:val="32"/>
              </w:rPr>
              <w:t>第三十一条</w:t>
            </w:r>
          </w:p>
        </w:tc>
        <w:tc>
          <w:tcPr>
            <w:tcW w:w="2415" w:type="dxa"/>
          </w:tcPr>
          <w:p w14:paraId="202892D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县级以上医疗保障行政管理部门对信用评价结果为A级、B级的信用主体，可以给予以下激励：</w:t>
            </w:r>
          </w:p>
          <w:p w14:paraId="1AA1D14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在医疗保障行政管理和医疗保障公共服务中，给予简化程序、“绿色通道”和“容缺受理”等便利化服务措施；对符合条件的医疗保障行政相对人，除法律法规要求提供的材料外，部分申报材料不齐备的，如其书面承诺在规定期限内提供，应先行受理；加快医保费用核拨、定点协议签订办理速度。</w:t>
            </w:r>
          </w:p>
          <w:p w14:paraId="7829162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（二）对机构类信用主体，在日常监督检查或抽查中减少检查频次；降低医疗保障考核金比例；提高医疗保障基金预拨付额度等措施；</w:t>
            </w:r>
          </w:p>
          <w:p w14:paraId="6C83964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（三）在药品和医用耗材招标投标活动中，对守信信用主体给予加分、提升等次等措施；</w:t>
            </w:r>
          </w:p>
          <w:p w14:paraId="2FAB3DC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（四）在与医疗保障有关的政策、项目支持中，同等条件下列为优先选择对象或者予以重点支持；</w:t>
            </w:r>
          </w:p>
          <w:p w14:paraId="3ED647A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（五）鼓励金融机构开发信贷优惠、融资便利等守信激励产品，对守信信用主体给予优惠和便利，降低市场交易成本。</w:t>
            </w:r>
          </w:p>
          <w:p w14:paraId="368D19F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（六）在医疗保障行政管理部门门户网站或其他媒体进行宣传推介；</w:t>
            </w:r>
          </w:p>
          <w:p w14:paraId="11C18542">
            <w:pPr>
              <w:spacing w:line="560" w:lineRule="exact"/>
              <w:ind w:firstLine="640" w:firstLineChars="200"/>
              <w:rPr>
                <w:rFonts w:hint="default"/>
                <w:vertAlign w:val="baseline"/>
                <w:lang w:val="en-US" w:eastAsia="zh-CN"/>
              </w:rPr>
            </w:pPr>
            <w:r>
              <w:rPr>
                <w:rFonts w:ascii="Times New Roman" w:hAnsi="Times New Roman" w:eastAsia="仿宋_GB2312" w:cs="Times New Roman"/>
                <w:sz w:val="32"/>
                <w:szCs w:val="32"/>
              </w:rPr>
              <w:t>（七）法律、法规、国家有关管理部门和本省规定的其他激励措施。</w:t>
            </w:r>
          </w:p>
        </w:tc>
        <w:tc>
          <w:tcPr>
            <w:tcW w:w="1394" w:type="dxa"/>
          </w:tcPr>
          <w:p w14:paraId="509C781B">
            <w:pPr>
              <w:rPr>
                <w:rFonts w:hint="default"/>
                <w:vertAlign w:val="baseline"/>
                <w:lang w:val="en-US" w:eastAsia="zh-CN"/>
              </w:rPr>
            </w:pPr>
            <w:r>
              <w:rPr>
                <w:rFonts w:ascii="Times New Roman" w:hAnsi="Times New Roman" w:eastAsia="仿宋_GB2312" w:cs="Times New Roman"/>
                <w:color w:val="C00000"/>
                <w:sz w:val="32"/>
                <w:szCs w:val="32"/>
              </w:rPr>
              <w:t>第</w:t>
            </w:r>
            <w:r>
              <w:rPr>
                <w:rFonts w:hint="eastAsia" w:ascii="Times New Roman" w:hAnsi="Times New Roman" w:eastAsia="仿宋_GB2312" w:cs="Times New Roman"/>
                <w:color w:val="C00000"/>
                <w:sz w:val="32"/>
                <w:szCs w:val="32"/>
                <w:lang w:val="en-US" w:eastAsia="zh-CN"/>
              </w:rPr>
              <w:t>三十九</w:t>
            </w:r>
            <w:r>
              <w:rPr>
                <w:rFonts w:ascii="Times New Roman" w:hAnsi="Times New Roman" w:eastAsia="仿宋_GB2312" w:cs="Times New Roman"/>
                <w:color w:val="C00000"/>
                <w:sz w:val="32"/>
                <w:szCs w:val="32"/>
              </w:rPr>
              <w:t>条</w:t>
            </w:r>
          </w:p>
        </w:tc>
        <w:tc>
          <w:tcPr>
            <w:tcW w:w="2377" w:type="dxa"/>
          </w:tcPr>
          <w:p w14:paraId="6214A5C0">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守信激励措施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县级以上医疗保障行政管理部门对信用评价结果为A级、B级的信用主体，可以给予以下激励：</w:t>
            </w:r>
          </w:p>
          <w:p w14:paraId="2037A211">
            <w:pPr>
              <w:keepNext w:val="0"/>
              <w:keepLines w:val="0"/>
              <w:widowControl/>
              <w:suppressLineNumbers w:val="0"/>
              <w:jc w:val="lef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在医疗保障行政管理和医疗保障公共服务中，给予简化程序、“绿色通道”和“容缺受理”等便利化服务措施；对符合条件的医疗保障行政相对人，除法律法规要求提供的材料外，部分申报材料不齐备的，如其书面承诺在规定期限内提供，应先行受理；加快医保费用核拨、定点协议签订办理速度</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color w:val="C00000"/>
                <w:kern w:val="0"/>
                <w:sz w:val="32"/>
                <w:szCs w:val="32"/>
                <w:lang w:val="en-US" w:eastAsia="zh-CN" w:bidi="ar"/>
              </w:rPr>
              <w:t>对 A、B 级参保人员提供医保信用支付；</w:t>
            </w:r>
          </w:p>
          <w:p w14:paraId="5512D3F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（二）对机构类信用主体，在日常监督检查或抽查中减少检查频次；降低医疗保障考核金比例；提高医疗保障基金预拨付额度等措施；</w:t>
            </w:r>
          </w:p>
          <w:p w14:paraId="14D68CE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（三）在药品和医用耗材招标投标活动中，对守信信用主体给予加分、提升等次等措施；</w:t>
            </w:r>
          </w:p>
          <w:p w14:paraId="038A9B6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（四）在与医疗保障有关的政策、项目支持中，同等条件下列为优先选择对象或者予以重点支持；</w:t>
            </w:r>
          </w:p>
          <w:p w14:paraId="063022D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（五）鼓励金融机构开发信贷优惠、融资便利等守信激励产品，对守信信用主体给予优惠和便利，降低市场交易成本。</w:t>
            </w:r>
          </w:p>
          <w:p w14:paraId="12FCDE5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（六）在医疗保障行政管理部门门户网站或其他媒体进行宣传推介；</w:t>
            </w:r>
          </w:p>
          <w:p w14:paraId="58A657E8">
            <w:pPr>
              <w:keepNext w:val="0"/>
              <w:keepLines w:val="0"/>
              <w:widowControl/>
              <w:suppressLineNumbers w:val="0"/>
              <w:jc w:val="left"/>
              <w:rPr>
                <w:rFonts w:hint="default"/>
                <w:vertAlign w:val="baseline"/>
                <w:lang w:val="en-US" w:eastAsia="zh-CN"/>
              </w:rPr>
            </w:pPr>
            <w:r>
              <w:rPr>
                <w:rFonts w:ascii="Times New Roman" w:hAnsi="Times New Roman" w:eastAsia="仿宋_GB2312" w:cs="Times New Roman"/>
                <w:sz w:val="32"/>
                <w:szCs w:val="32"/>
              </w:rPr>
              <w:t>（七）法律、法规、国家有关管理部门</w:t>
            </w:r>
            <w:r>
              <w:rPr>
                <w:rFonts w:hint="eastAsia" w:ascii="Times New Roman" w:hAnsi="Times New Roman" w:eastAsia="仿宋_GB2312" w:cs="Times New Roman"/>
                <w:color w:val="C00000"/>
                <w:sz w:val="32"/>
                <w:szCs w:val="32"/>
                <w:lang w:val="en-US" w:eastAsia="zh-CN"/>
              </w:rPr>
              <w:t>或本级以上人民政府及其部门</w:t>
            </w:r>
            <w:r>
              <w:rPr>
                <w:rFonts w:ascii="Times New Roman" w:hAnsi="Times New Roman" w:eastAsia="仿宋_GB2312" w:cs="Times New Roman"/>
                <w:sz w:val="32"/>
                <w:szCs w:val="32"/>
              </w:rPr>
              <w:t>规定的其他激励措施。</w:t>
            </w:r>
          </w:p>
        </w:tc>
        <w:tc>
          <w:tcPr>
            <w:tcW w:w="1033" w:type="dxa"/>
          </w:tcPr>
          <w:p w14:paraId="355752B4">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红字部分为新增内容</w:t>
            </w:r>
          </w:p>
        </w:tc>
      </w:tr>
      <w:tr w14:paraId="06FB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0C8501C4">
            <w:pPr>
              <w:rPr>
                <w:rFonts w:hint="default"/>
                <w:vertAlign w:val="baseline"/>
                <w:lang w:val="en-US" w:eastAsia="zh-CN"/>
              </w:rPr>
            </w:pPr>
            <w:r>
              <w:rPr>
                <w:rFonts w:ascii="Times New Roman" w:hAnsi="Times New Roman" w:eastAsia="仿宋_GB2312" w:cs="Times New Roman"/>
                <w:sz w:val="32"/>
                <w:szCs w:val="32"/>
              </w:rPr>
              <w:t>第三十二条</w:t>
            </w:r>
          </w:p>
        </w:tc>
        <w:tc>
          <w:tcPr>
            <w:tcW w:w="2415" w:type="dxa"/>
          </w:tcPr>
          <w:p w14:paraId="4264FBC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县级以上医疗保障行政管理部门对信用评价结果为D级、E级的信用主体，可采取以下措施：</w:t>
            </w:r>
          </w:p>
          <w:p w14:paraId="6C1743F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警示约谈，要求限期整改；</w:t>
            </w:r>
          </w:p>
          <w:p w14:paraId="2B44CF2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列为重点监控对象和监督检查对象，作为日常检查或者抽查的重点，增加检查频次；</w:t>
            </w:r>
          </w:p>
          <w:p w14:paraId="151FA0FA">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增加医疗保障考核金比例，降低医疗保障基金预拨付额度；</w:t>
            </w:r>
          </w:p>
          <w:p w14:paraId="3C88319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（四）依托集中采购平台向采购方提示风险信息；</w:t>
            </w:r>
          </w:p>
          <w:p w14:paraId="646DBB77">
            <w:pPr>
              <w:rPr>
                <w:rFonts w:hint="default"/>
                <w:vertAlign w:val="baseline"/>
                <w:lang w:val="en-US" w:eastAsia="zh-CN"/>
              </w:rPr>
            </w:pPr>
            <w:r>
              <w:rPr>
                <w:rFonts w:ascii="Times New Roman" w:hAnsi="Times New Roman" w:eastAsia="仿宋_GB2312" w:cs="Times New Roman"/>
                <w:sz w:val="32"/>
                <w:szCs w:val="32"/>
              </w:rPr>
              <w:t>（五）法律、法规、国家有关管理部门和本省规定的其他措施。</w:t>
            </w:r>
          </w:p>
        </w:tc>
        <w:tc>
          <w:tcPr>
            <w:tcW w:w="1394" w:type="dxa"/>
          </w:tcPr>
          <w:p w14:paraId="1A9EA856">
            <w:pPr>
              <w:rPr>
                <w:rFonts w:hint="default"/>
                <w:vertAlign w:val="baseline"/>
                <w:lang w:val="en-US" w:eastAsia="zh-CN"/>
              </w:rPr>
            </w:pPr>
            <w:r>
              <w:rPr>
                <w:rFonts w:ascii="Times New Roman" w:hAnsi="Times New Roman" w:eastAsia="仿宋_GB2312" w:cs="Times New Roman"/>
                <w:color w:val="C00000"/>
                <w:sz w:val="32"/>
                <w:szCs w:val="32"/>
              </w:rPr>
              <w:t>第</w:t>
            </w:r>
            <w:r>
              <w:rPr>
                <w:rFonts w:hint="eastAsia" w:ascii="Times New Roman" w:hAnsi="Times New Roman" w:eastAsia="仿宋_GB2312" w:cs="Times New Roman"/>
                <w:color w:val="C00000"/>
                <w:sz w:val="32"/>
                <w:szCs w:val="32"/>
                <w:lang w:val="en-US" w:eastAsia="zh-CN"/>
              </w:rPr>
              <w:t>四十</w:t>
            </w:r>
            <w:r>
              <w:rPr>
                <w:rFonts w:ascii="Times New Roman" w:hAnsi="Times New Roman" w:eastAsia="仿宋_GB2312" w:cs="Times New Roman"/>
                <w:color w:val="C00000"/>
                <w:sz w:val="32"/>
                <w:szCs w:val="32"/>
              </w:rPr>
              <w:t>条</w:t>
            </w:r>
          </w:p>
        </w:tc>
        <w:tc>
          <w:tcPr>
            <w:tcW w:w="2377" w:type="dxa"/>
          </w:tcPr>
          <w:p w14:paraId="68591E8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失信惩戒措施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县级以上医疗保障行政管理部门对信用评价结果为D级、E级的信用主体，可采取以下措施：</w:t>
            </w:r>
          </w:p>
          <w:p w14:paraId="7EC0406A">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警示约谈，要求</w:t>
            </w:r>
            <w:r>
              <w:rPr>
                <w:rFonts w:hint="eastAsia" w:ascii="Times New Roman" w:hAnsi="Times New Roman" w:eastAsia="仿宋_GB2312" w:cs="Times New Roman"/>
                <w:color w:val="C00000"/>
                <w:sz w:val="32"/>
                <w:szCs w:val="32"/>
                <w:lang w:val="en-US" w:eastAsia="zh-CN"/>
              </w:rPr>
              <w:t>其</w:t>
            </w:r>
            <w:r>
              <w:rPr>
                <w:rFonts w:ascii="Times New Roman" w:hAnsi="Times New Roman" w:eastAsia="仿宋_GB2312" w:cs="Times New Roman"/>
                <w:sz w:val="32"/>
                <w:szCs w:val="32"/>
              </w:rPr>
              <w:t>限期整改；</w:t>
            </w:r>
          </w:p>
          <w:p w14:paraId="460C84C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列为重点监控对象和监督检查对象，作为日常检查或者抽查的重点，增加检查频次；</w:t>
            </w:r>
          </w:p>
          <w:p w14:paraId="4AA51C63">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增加医疗保障考核金比例，降低医疗保障基金预拨付额度；</w:t>
            </w:r>
          </w:p>
          <w:p w14:paraId="11734C5E">
            <w:pPr>
              <w:keepNext w:val="0"/>
              <w:keepLines w:val="0"/>
              <w:widowControl/>
              <w:suppressLineNumbers w:val="0"/>
              <w:jc w:val="left"/>
              <w:rPr>
                <w:rFonts w:hint="eastAsia" w:ascii="仿宋_GB2312" w:hAnsi="仿宋_GB2312" w:eastAsia="仿宋_GB2312" w:cs="仿宋_GB2312"/>
                <w:color w:val="C00000"/>
                <w:kern w:val="0"/>
                <w:sz w:val="32"/>
                <w:szCs w:val="32"/>
                <w:lang w:val="en-US" w:eastAsia="zh-CN" w:bidi="ar"/>
              </w:rPr>
            </w:pPr>
            <w:r>
              <w:rPr>
                <w:rFonts w:ascii="Times New Roman" w:hAnsi="Times New Roman" w:eastAsia="仿宋_GB2312" w:cs="Times New Roman"/>
                <w:sz w:val="32"/>
                <w:szCs w:val="32"/>
              </w:rPr>
              <w:t>（四）</w:t>
            </w:r>
            <w:r>
              <w:rPr>
                <w:rFonts w:hint="eastAsia" w:ascii="仿宋_GB2312" w:hAnsi="仿宋_GB2312" w:eastAsia="仿宋_GB2312" w:cs="仿宋_GB2312"/>
                <w:color w:val="C00000"/>
                <w:kern w:val="0"/>
                <w:sz w:val="32"/>
                <w:szCs w:val="32"/>
                <w:lang w:val="en-US" w:eastAsia="zh-CN" w:bidi="ar"/>
              </w:rPr>
              <w:t>对定点医药机构及其相关人员，可按规定中止或终止相关责任人员医保支付资格和费用结算；</w:t>
            </w:r>
          </w:p>
          <w:p w14:paraId="6AD0F52C">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（五）对失信医药企业，可按规定在医保目录准入、双通道 </w:t>
            </w:r>
          </w:p>
          <w:p w14:paraId="12F6FB62">
            <w:pPr>
              <w:keepNext w:val="0"/>
              <w:keepLines w:val="0"/>
              <w:widowControl/>
              <w:suppressLineNumbers w:val="0"/>
              <w:jc w:val="left"/>
              <w:rPr>
                <w:rFonts w:ascii="Times New Roman" w:hAnsi="Times New Roman" w:eastAsia="仿宋_GB2312" w:cs="Times New Roman"/>
                <w:sz w:val="32"/>
                <w:szCs w:val="32"/>
              </w:rPr>
            </w:pPr>
            <w:r>
              <w:rPr>
                <w:rFonts w:hint="eastAsia" w:ascii="仿宋_GB2312" w:hAnsi="仿宋_GB2312" w:eastAsia="仿宋_GB2312" w:cs="仿宋_GB2312"/>
                <w:color w:val="C00000"/>
                <w:kern w:val="0"/>
                <w:sz w:val="32"/>
                <w:szCs w:val="32"/>
                <w:lang w:val="en-US" w:eastAsia="zh-CN" w:bidi="ar"/>
              </w:rPr>
              <w:t>药品管理、医药挂网采购等方面采取处置措施；</w:t>
            </w:r>
            <w:r>
              <w:rPr>
                <w:rFonts w:ascii="Times New Roman" w:hAnsi="Times New Roman" w:eastAsia="仿宋_GB2312" w:cs="Times New Roman"/>
                <w:sz w:val="32"/>
                <w:szCs w:val="32"/>
              </w:rPr>
              <w:t>依托集中采购平台向采购方提示风险信息；</w:t>
            </w:r>
          </w:p>
          <w:p w14:paraId="77103125">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sz w:val="32"/>
                <w:szCs w:val="32"/>
                <w:lang w:eastAsia="zh-CN"/>
              </w:rPr>
              <w:t>（</w:t>
            </w:r>
            <w:r>
              <w:rPr>
                <w:rFonts w:hint="eastAsia" w:ascii="仿宋_GB2312" w:hAnsi="仿宋_GB2312" w:eastAsia="仿宋_GB2312" w:cs="仿宋_GB2312"/>
                <w:color w:val="C00000"/>
                <w:sz w:val="32"/>
                <w:szCs w:val="32"/>
                <w:lang w:val="en-US" w:eastAsia="zh-CN"/>
              </w:rPr>
              <w:t>六</w:t>
            </w:r>
            <w:r>
              <w:rPr>
                <w:rFonts w:hint="eastAsia" w:ascii="仿宋_GB2312" w:hAnsi="仿宋_GB2312" w:eastAsia="仿宋_GB2312" w:cs="仿宋_GB2312"/>
                <w:color w:val="C00000"/>
                <w:sz w:val="32"/>
                <w:szCs w:val="32"/>
                <w:lang w:eastAsia="zh-CN"/>
              </w:rPr>
              <w:t>）</w:t>
            </w:r>
            <w:r>
              <w:rPr>
                <w:rFonts w:hint="eastAsia" w:ascii="仿宋_GB2312" w:hAnsi="仿宋_GB2312" w:eastAsia="仿宋_GB2312" w:cs="仿宋_GB2312"/>
                <w:color w:val="C00000"/>
                <w:kern w:val="0"/>
                <w:sz w:val="32"/>
                <w:szCs w:val="32"/>
                <w:lang w:val="en-US" w:eastAsia="zh-CN" w:bidi="ar"/>
              </w:rPr>
              <w:t xml:space="preserve">对失信参保人员，可按规定采取暂停医疗费用联网结 </w:t>
            </w:r>
          </w:p>
          <w:p w14:paraId="28FB2164">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算等措施；</w:t>
            </w:r>
          </w:p>
          <w:p w14:paraId="7013260F">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sz w:val="32"/>
                <w:szCs w:val="32"/>
                <w:lang w:eastAsia="zh-CN"/>
              </w:rPr>
              <w:t>（</w:t>
            </w:r>
            <w:r>
              <w:rPr>
                <w:rFonts w:hint="eastAsia" w:ascii="仿宋_GB2312" w:hAnsi="仿宋_GB2312" w:eastAsia="仿宋_GB2312" w:cs="仿宋_GB2312"/>
                <w:color w:val="C00000"/>
                <w:sz w:val="32"/>
                <w:szCs w:val="32"/>
                <w:lang w:val="en-US" w:eastAsia="zh-CN"/>
              </w:rPr>
              <w:t>七</w:t>
            </w:r>
            <w:r>
              <w:rPr>
                <w:rFonts w:hint="eastAsia" w:ascii="仿宋_GB2312" w:hAnsi="仿宋_GB2312" w:eastAsia="仿宋_GB2312" w:cs="仿宋_GB2312"/>
                <w:color w:val="C00000"/>
                <w:sz w:val="32"/>
                <w:szCs w:val="32"/>
                <w:lang w:eastAsia="zh-CN"/>
              </w:rPr>
              <w:t>）</w:t>
            </w:r>
            <w:r>
              <w:rPr>
                <w:rFonts w:hint="eastAsia" w:ascii="仿宋_GB2312" w:hAnsi="仿宋_GB2312" w:eastAsia="仿宋_GB2312" w:cs="仿宋_GB2312"/>
                <w:color w:val="C00000"/>
                <w:kern w:val="0"/>
                <w:sz w:val="32"/>
                <w:szCs w:val="32"/>
                <w:lang w:val="en-US" w:eastAsia="zh-CN" w:bidi="ar"/>
              </w:rPr>
              <w:t>对在社会救助政策实施中有特定严重失信行为的个人依法依规纳入社会救助领域信用黑名单；</w:t>
            </w:r>
          </w:p>
          <w:p w14:paraId="3DD92273">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sz w:val="32"/>
                <w:szCs w:val="32"/>
                <w:lang w:eastAsia="zh-CN"/>
              </w:rPr>
              <w:t>（</w:t>
            </w:r>
            <w:r>
              <w:rPr>
                <w:rFonts w:hint="eastAsia" w:ascii="仿宋_GB2312" w:hAnsi="仿宋_GB2312" w:eastAsia="仿宋_GB2312" w:cs="仿宋_GB2312"/>
                <w:color w:val="C00000"/>
                <w:sz w:val="32"/>
                <w:szCs w:val="32"/>
                <w:lang w:val="en-US" w:eastAsia="zh-CN"/>
              </w:rPr>
              <w:t>八</w:t>
            </w:r>
            <w:r>
              <w:rPr>
                <w:rFonts w:hint="eastAsia" w:ascii="仿宋_GB2312" w:hAnsi="仿宋_GB2312" w:eastAsia="仿宋_GB2312" w:cs="仿宋_GB2312"/>
                <w:color w:val="C00000"/>
                <w:sz w:val="32"/>
                <w:szCs w:val="32"/>
                <w:lang w:eastAsia="zh-CN"/>
              </w:rPr>
              <w:t>）</w:t>
            </w:r>
            <w:r>
              <w:rPr>
                <w:rFonts w:hint="eastAsia" w:ascii="仿宋_GB2312" w:hAnsi="仿宋_GB2312" w:eastAsia="仿宋_GB2312" w:cs="仿宋_GB2312"/>
                <w:color w:val="C00000"/>
                <w:kern w:val="0"/>
                <w:sz w:val="32"/>
                <w:szCs w:val="32"/>
                <w:lang w:val="en-US" w:eastAsia="zh-CN" w:bidi="ar"/>
              </w:rPr>
              <w:t xml:space="preserve">对拒不改正或者造成重大数据泄露等严重后果的组 </w:t>
            </w:r>
          </w:p>
          <w:p w14:paraId="64B322DB">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织、个人，违反《中华人民共和国数据安全法》有关规定造成严重后果的组织、个人，依法暂停数据处理相关业务；</w:t>
            </w:r>
          </w:p>
          <w:p w14:paraId="1B981F20">
            <w:pPr>
              <w:keepNext w:val="0"/>
              <w:keepLines w:val="0"/>
              <w:widowControl/>
              <w:suppressLineNumbers w:val="0"/>
              <w:jc w:val="left"/>
              <w:rPr>
                <w:rFonts w:hint="eastAsia" w:ascii="Times New Roman" w:hAnsi="Times New Roman" w:eastAsia="仿宋_GB2312" w:cs="Times New Roman"/>
                <w:sz w:val="32"/>
                <w:szCs w:val="32"/>
                <w:lang w:eastAsia="zh-CN"/>
              </w:rPr>
            </w:pPr>
            <w:r>
              <w:rPr>
                <w:rFonts w:hint="eastAsia" w:ascii="仿宋_GB2312" w:hAnsi="仿宋_GB2312" w:eastAsia="仿宋_GB2312" w:cs="仿宋_GB2312"/>
                <w:color w:val="C00000"/>
                <w:sz w:val="32"/>
                <w:szCs w:val="32"/>
                <w:lang w:eastAsia="zh-CN"/>
              </w:rPr>
              <w:t>（</w:t>
            </w:r>
            <w:r>
              <w:rPr>
                <w:rFonts w:hint="eastAsia" w:ascii="仿宋_GB2312" w:hAnsi="仿宋_GB2312" w:eastAsia="仿宋_GB2312" w:cs="仿宋_GB2312"/>
                <w:color w:val="C00000"/>
                <w:sz w:val="32"/>
                <w:szCs w:val="32"/>
                <w:lang w:val="en-US" w:eastAsia="zh-CN"/>
              </w:rPr>
              <w:t>九</w:t>
            </w:r>
            <w:r>
              <w:rPr>
                <w:rFonts w:hint="eastAsia" w:ascii="仿宋_GB2312" w:hAnsi="仿宋_GB2312" w:eastAsia="仿宋_GB2312" w:cs="仿宋_GB2312"/>
                <w:color w:val="C00000"/>
                <w:sz w:val="32"/>
                <w:szCs w:val="32"/>
                <w:lang w:eastAsia="zh-CN"/>
              </w:rPr>
              <w:t>）</w:t>
            </w:r>
            <w:r>
              <w:rPr>
                <w:rFonts w:hint="eastAsia" w:ascii="仿宋_GB2312" w:hAnsi="仿宋_GB2312" w:eastAsia="仿宋_GB2312" w:cs="仿宋_GB2312"/>
                <w:color w:val="C00000"/>
                <w:kern w:val="0"/>
                <w:sz w:val="32"/>
                <w:szCs w:val="32"/>
                <w:lang w:val="en-US" w:eastAsia="zh-CN" w:bidi="ar"/>
              </w:rPr>
              <w:t>对有较严重的不良信用记录或者存在曾作出虚假承诺等情形的申请人不适用告知承诺、容缺受理；</w:t>
            </w:r>
          </w:p>
          <w:p w14:paraId="7715E8DC">
            <w:pPr>
              <w:rPr>
                <w:rFonts w:hint="default"/>
                <w:vertAlign w:val="baseline"/>
                <w:lang w:val="en-US" w:eastAsia="zh-CN"/>
              </w:rPr>
            </w:pPr>
            <w:r>
              <w:rPr>
                <w:rFonts w:ascii="Times New Roman" w:hAnsi="Times New Roman" w:eastAsia="仿宋_GB2312" w:cs="Times New Roman"/>
                <w:color w:val="C00000"/>
                <w:sz w:val="32"/>
                <w:szCs w:val="32"/>
              </w:rPr>
              <w:t>（</w:t>
            </w:r>
            <w:r>
              <w:rPr>
                <w:rFonts w:hint="eastAsia" w:ascii="Times New Roman" w:hAnsi="Times New Roman" w:eastAsia="仿宋_GB2312" w:cs="Times New Roman"/>
                <w:color w:val="C00000"/>
                <w:sz w:val="32"/>
                <w:szCs w:val="32"/>
                <w:lang w:val="en-US" w:eastAsia="zh-CN"/>
              </w:rPr>
              <w:t>十</w:t>
            </w:r>
            <w:r>
              <w:rPr>
                <w:rFonts w:ascii="Times New Roman" w:hAnsi="Times New Roman" w:eastAsia="仿宋_GB2312" w:cs="Times New Roman"/>
                <w:color w:val="C00000"/>
                <w:sz w:val="32"/>
                <w:szCs w:val="32"/>
              </w:rPr>
              <w:t>）</w:t>
            </w:r>
            <w:r>
              <w:rPr>
                <w:rFonts w:ascii="Times New Roman" w:hAnsi="Times New Roman" w:eastAsia="仿宋_GB2312" w:cs="Times New Roman"/>
                <w:sz w:val="32"/>
                <w:szCs w:val="32"/>
              </w:rPr>
              <w:t>法律、法规、国家有关管理部门</w:t>
            </w:r>
            <w:r>
              <w:rPr>
                <w:rFonts w:hint="eastAsia" w:ascii="Times New Roman" w:hAnsi="Times New Roman" w:eastAsia="仿宋_GB2312" w:cs="Times New Roman"/>
                <w:color w:val="C00000"/>
                <w:sz w:val="32"/>
                <w:szCs w:val="32"/>
                <w:lang w:val="en-US" w:eastAsia="zh-CN"/>
              </w:rPr>
              <w:t>或省级人民政府及其部门</w:t>
            </w:r>
            <w:r>
              <w:rPr>
                <w:rFonts w:ascii="Times New Roman" w:hAnsi="Times New Roman" w:eastAsia="仿宋_GB2312" w:cs="Times New Roman"/>
                <w:sz w:val="32"/>
                <w:szCs w:val="32"/>
              </w:rPr>
              <w:t>规定的其他措施。</w:t>
            </w:r>
          </w:p>
        </w:tc>
        <w:tc>
          <w:tcPr>
            <w:tcW w:w="1033" w:type="dxa"/>
          </w:tcPr>
          <w:p w14:paraId="79DB3A33">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红字部分为新增内容</w:t>
            </w:r>
          </w:p>
        </w:tc>
      </w:tr>
      <w:tr w14:paraId="2D09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3BB88BBB">
            <w:pPr>
              <w:rPr>
                <w:rFonts w:ascii="Times New Roman" w:hAnsi="Times New Roman" w:eastAsia="仿宋_GB2312" w:cs="Times New Roman"/>
                <w:sz w:val="32"/>
                <w:szCs w:val="32"/>
              </w:rPr>
            </w:pPr>
          </w:p>
        </w:tc>
        <w:tc>
          <w:tcPr>
            <w:tcW w:w="2415" w:type="dxa"/>
          </w:tcPr>
          <w:p w14:paraId="077C691C">
            <w:pPr>
              <w:spacing w:line="560" w:lineRule="exact"/>
              <w:ind w:firstLine="640" w:firstLineChars="200"/>
              <w:rPr>
                <w:rFonts w:ascii="Times New Roman" w:hAnsi="Times New Roman" w:eastAsia="仿宋_GB2312" w:cs="Times New Roman"/>
                <w:sz w:val="32"/>
                <w:szCs w:val="32"/>
              </w:rPr>
            </w:pPr>
          </w:p>
        </w:tc>
        <w:tc>
          <w:tcPr>
            <w:tcW w:w="1394" w:type="dxa"/>
          </w:tcPr>
          <w:p w14:paraId="17571A8E">
            <w:pPr>
              <w:rPr>
                <w:rFonts w:ascii="Times New Roman" w:hAnsi="Times New Roman" w:eastAsia="仿宋_GB2312" w:cs="Times New Roman"/>
                <w:color w:val="C00000"/>
                <w:sz w:val="32"/>
                <w:szCs w:val="32"/>
              </w:rPr>
            </w:pPr>
            <w:r>
              <w:rPr>
                <w:rFonts w:ascii="Times New Roman" w:hAnsi="Times New Roman" w:eastAsia="仿宋_GB2312" w:cs="Times New Roman"/>
                <w:color w:val="C00000"/>
                <w:sz w:val="32"/>
                <w:szCs w:val="32"/>
              </w:rPr>
              <w:t>第</w:t>
            </w:r>
            <w:r>
              <w:rPr>
                <w:rFonts w:hint="eastAsia" w:ascii="Times New Roman" w:hAnsi="Times New Roman" w:eastAsia="仿宋_GB2312" w:cs="Times New Roman"/>
                <w:color w:val="C00000"/>
                <w:sz w:val="32"/>
                <w:szCs w:val="32"/>
                <w:lang w:val="en-US" w:eastAsia="zh-CN"/>
              </w:rPr>
              <w:t>四十一</w:t>
            </w:r>
            <w:r>
              <w:rPr>
                <w:rFonts w:ascii="Times New Roman" w:hAnsi="Times New Roman" w:eastAsia="仿宋_GB2312" w:cs="Times New Roman"/>
                <w:color w:val="C00000"/>
                <w:sz w:val="32"/>
                <w:szCs w:val="32"/>
              </w:rPr>
              <w:t>条</w:t>
            </w:r>
          </w:p>
        </w:tc>
        <w:tc>
          <w:tcPr>
            <w:tcW w:w="2377" w:type="dxa"/>
          </w:tcPr>
          <w:p w14:paraId="0DBD19EE">
            <w:pPr>
              <w:ind w:firstLine="640" w:firstLineChars="200"/>
              <w:rPr>
                <w:rFonts w:ascii="Times New Roman" w:hAnsi="Times New Roman" w:eastAsia="仿宋_GB2312" w:cs="仿宋"/>
                <w:color w:val="C00000"/>
                <w:sz w:val="32"/>
                <w:szCs w:val="32"/>
                <w:u w:val="none"/>
              </w:rPr>
            </w:pPr>
            <w:r>
              <w:rPr>
                <w:rFonts w:hint="eastAsia" w:ascii="Times New Roman" w:hAnsi="Times New Roman" w:eastAsia="仿宋_GB2312" w:cs="仿宋"/>
                <w:color w:val="C00000"/>
                <w:sz w:val="32"/>
                <w:szCs w:val="32"/>
                <w:u w:val="none"/>
                <w:lang w:eastAsia="zh-CN"/>
              </w:rPr>
              <w:t>【</w:t>
            </w:r>
            <w:r>
              <w:rPr>
                <w:rFonts w:hint="eastAsia" w:ascii="Times New Roman" w:hAnsi="Times New Roman" w:eastAsia="仿宋_GB2312" w:cs="仿宋"/>
                <w:color w:val="C00000"/>
                <w:sz w:val="32"/>
                <w:szCs w:val="32"/>
                <w:u w:val="none"/>
                <w:lang w:val="en-US" w:eastAsia="zh-CN"/>
              </w:rPr>
              <w:t>严重失信惩戒措施</w:t>
            </w:r>
            <w:r>
              <w:rPr>
                <w:rFonts w:hint="eastAsia" w:ascii="Times New Roman" w:hAnsi="Times New Roman" w:eastAsia="仿宋_GB2312" w:cs="仿宋"/>
                <w:color w:val="C00000"/>
                <w:sz w:val="32"/>
                <w:szCs w:val="32"/>
                <w:u w:val="none"/>
                <w:lang w:eastAsia="zh-CN"/>
              </w:rPr>
              <w:t>】</w:t>
            </w:r>
            <w:r>
              <w:rPr>
                <w:rFonts w:hint="eastAsia" w:ascii="Times New Roman" w:hAnsi="Times New Roman" w:eastAsia="仿宋_GB2312" w:cs="仿宋"/>
                <w:color w:val="C00000"/>
                <w:sz w:val="32"/>
                <w:szCs w:val="32"/>
                <w:u w:val="none"/>
              </w:rPr>
              <w:t>对严重失信行为，县级以上人民政府医疗保障行政部门可以采取下列惩戒措施：</w:t>
            </w:r>
          </w:p>
          <w:p w14:paraId="24609EDB">
            <w:pPr>
              <w:rPr>
                <w:rFonts w:ascii="Times New Roman" w:hAnsi="Times New Roman" w:eastAsia="仿宋_GB2312" w:cs="仿宋"/>
                <w:color w:val="C00000"/>
                <w:sz w:val="32"/>
                <w:szCs w:val="32"/>
                <w:u w:val="none"/>
              </w:rPr>
            </w:pPr>
            <w:r>
              <w:rPr>
                <w:rFonts w:hint="eastAsia" w:ascii="Times New Roman" w:hAnsi="Times New Roman" w:eastAsia="仿宋_GB2312" w:cs="仿宋"/>
                <w:color w:val="C00000"/>
                <w:sz w:val="32"/>
                <w:szCs w:val="32"/>
                <w:u w:val="none"/>
              </w:rPr>
              <w:t>　　（一）按照规定公开失信信息，公示期三年；</w:t>
            </w:r>
          </w:p>
          <w:p w14:paraId="267AF712">
            <w:pPr>
              <w:rPr>
                <w:rFonts w:ascii="Times New Roman" w:hAnsi="Times New Roman" w:eastAsia="仿宋_GB2312" w:cs="仿宋"/>
                <w:color w:val="C00000"/>
                <w:sz w:val="32"/>
                <w:szCs w:val="32"/>
                <w:u w:val="none"/>
              </w:rPr>
            </w:pPr>
            <w:r>
              <w:rPr>
                <w:rFonts w:hint="eastAsia" w:ascii="Times New Roman" w:hAnsi="Times New Roman" w:eastAsia="仿宋_GB2312" w:cs="仿宋"/>
                <w:color w:val="C00000"/>
                <w:sz w:val="32"/>
                <w:szCs w:val="32"/>
                <w:u w:val="none"/>
              </w:rPr>
              <w:t>　　（二）未被解除服务协议的，将失信定点医药机构列为重点监控和监督检查对象，增加检查频率；</w:t>
            </w:r>
          </w:p>
          <w:p w14:paraId="3EC588A7">
            <w:pPr>
              <w:rPr>
                <w:rFonts w:ascii="Times New Roman" w:hAnsi="Times New Roman" w:eastAsia="仿宋_GB2312" w:cs="仿宋"/>
                <w:color w:val="C00000"/>
                <w:sz w:val="32"/>
                <w:szCs w:val="32"/>
                <w:u w:val="none"/>
              </w:rPr>
            </w:pPr>
            <w:r>
              <w:rPr>
                <w:rFonts w:hint="eastAsia" w:ascii="Times New Roman" w:hAnsi="Times New Roman" w:eastAsia="仿宋_GB2312" w:cs="仿宋"/>
                <w:color w:val="C00000"/>
                <w:sz w:val="32"/>
                <w:szCs w:val="32"/>
                <w:u w:val="none"/>
              </w:rPr>
              <w:t>　　（三）向行业主管部门及其他相关部门通报定点医药机构的失信行为；</w:t>
            </w:r>
          </w:p>
          <w:p w14:paraId="02F90E9A">
            <w:pPr>
              <w:ind w:firstLine="644"/>
              <w:rPr>
                <w:rFonts w:ascii="Times New Roman" w:hAnsi="Times New Roman" w:eastAsia="仿宋_GB2312" w:cs="Times New Roman"/>
                <w:sz w:val="32"/>
                <w:szCs w:val="32"/>
              </w:rPr>
            </w:pPr>
            <w:r>
              <w:rPr>
                <w:rFonts w:hint="eastAsia" w:ascii="Times New Roman" w:hAnsi="Times New Roman" w:eastAsia="仿宋_GB2312" w:cs="仿宋"/>
                <w:color w:val="C00000"/>
                <w:sz w:val="32"/>
                <w:szCs w:val="32"/>
                <w:u w:val="none"/>
              </w:rPr>
              <w:t>（四）法律、行政法规、省级地方性法规和国家规定的其他惩戒措施。</w:t>
            </w:r>
          </w:p>
        </w:tc>
        <w:tc>
          <w:tcPr>
            <w:tcW w:w="1033" w:type="dxa"/>
          </w:tcPr>
          <w:p w14:paraId="233E9A5F">
            <w:pPr>
              <w:rPr>
                <w:rFonts w:hint="default"/>
                <w:vertAlign w:val="baseline"/>
                <w:lang w:val="en-US" w:eastAsia="zh-CN"/>
              </w:rPr>
            </w:pPr>
          </w:p>
        </w:tc>
      </w:tr>
      <w:tr w14:paraId="3CC2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1898EA18">
            <w:pPr>
              <w:rPr>
                <w:rFonts w:hint="default"/>
                <w:vertAlign w:val="baseline"/>
                <w:lang w:val="en-US" w:eastAsia="zh-CN"/>
              </w:rPr>
            </w:pPr>
            <w:r>
              <w:rPr>
                <w:rFonts w:ascii="Times New Roman" w:hAnsi="Times New Roman" w:eastAsia="仿宋_GB2312" w:cs="Times New Roman"/>
                <w:sz w:val="32"/>
                <w:szCs w:val="32"/>
              </w:rPr>
              <w:t>第三十三条</w:t>
            </w:r>
          </w:p>
        </w:tc>
        <w:tc>
          <w:tcPr>
            <w:tcW w:w="2415" w:type="dxa"/>
          </w:tcPr>
          <w:p w14:paraId="7F27898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信用主体发生骗取医疗保障基金支出、造成医疗保障基金损失等失信行为时，应及时记录，降低其信用等级，并依法依规实施失信惩戒。</w:t>
            </w:r>
          </w:p>
          <w:p w14:paraId="50499E3E">
            <w:pPr>
              <w:spacing w:line="560" w:lineRule="exact"/>
              <w:ind w:firstLine="640" w:firstLineChars="200"/>
              <w:rPr>
                <w:rFonts w:hint="default"/>
                <w:vertAlign w:val="baseline"/>
                <w:lang w:val="en-US" w:eastAsia="zh-CN"/>
              </w:rPr>
            </w:pPr>
            <w:r>
              <w:rPr>
                <w:rFonts w:ascii="Times New Roman" w:hAnsi="Times New Roman" w:eastAsia="仿宋_GB2312" w:cs="Times New Roman"/>
                <w:sz w:val="32"/>
                <w:szCs w:val="32"/>
              </w:rPr>
              <w:t>信用主体欺诈骗保情节严重的，依法依规纳入医疗保障领域失信联合惩戒对象名单。</w:t>
            </w:r>
          </w:p>
        </w:tc>
        <w:tc>
          <w:tcPr>
            <w:tcW w:w="1394" w:type="dxa"/>
          </w:tcPr>
          <w:p w14:paraId="55D9BE36">
            <w:pPr>
              <w:rPr>
                <w:rFonts w:hint="default"/>
                <w:vertAlign w:val="baseline"/>
                <w:lang w:val="en-US" w:eastAsia="zh-CN"/>
              </w:rPr>
            </w:pPr>
            <w:r>
              <w:rPr>
                <w:rFonts w:ascii="Times New Roman" w:hAnsi="Times New Roman" w:eastAsia="仿宋_GB2312" w:cs="Times New Roman"/>
                <w:color w:val="C00000"/>
                <w:sz w:val="32"/>
                <w:szCs w:val="32"/>
              </w:rPr>
              <w:t>第</w:t>
            </w:r>
            <w:r>
              <w:rPr>
                <w:rFonts w:hint="eastAsia" w:ascii="Times New Roman" w:hAnsi="Times New Roman" w:eastAsia="仿宋_GB2312" w:cs="Times New Roman"/>
                <w:color w:val="C00000"/>
                <w:sz w:val="32"/>
                <w:szCs w:val="32"/>
                <w:lang w:val="en-US" w:eastAsia="zh-CN"/>
              </w:rPr>
              <w:t>四十二</w:t>
            </w:r>
            <w:r>
              <w:rPr>
                <w:rFonts w:ascii="Times New Roman" w:hAnsi="Times New Roman" w:eastAsia="仿宋_GB2312" w:cs="Times New Roman"/>
                <w:color w:val="C00000"/>
                <w:sz w:val="32"/>
                <w:szCs w:val="32"/>
              </w:rPr>
              <w:t>条</w:t>
            </w:r>
          </w:p>
        </w:tc>
        <w:tc>
          <w:tcPr>
            <w:tcW w:w="2377" w:type="dxa"/>
          </w:tcPr>
          <w:p w14:paraId="0D18BD4B">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失信惩戒管理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信用主体发生骗取医疗保障基金支出、造成医疗保障基金损失等失信行为时，应及时记录，降低其信用等级，并依法依规实施失信惩戒。</w:t>
            </w:r>
          </w:p>
          <w:p w14:paraId="08D15968">
            <w:pPr>
              <w:spacing w:line="560" w:lineRule="exact"/>
              <w:ind w:firstLine="640" w:firstLineChars="200"/>
              <w:rPr>
                <w:rFonts w:hint="default"/>
                <w:vertAlign w:val="baseline"/>
                <w:lang w:val="en-US" w:eastAsia="zh-CN"/>
              </w:rPr>
            </w:pPr>
            <w:r>
              <w:rPr>
                <w:rFonts w:ascii="Times New Roman" w:hAnsi="Times New Roman" w:eastAsia="仿宋_GB2312" w:cs="Times New Roman"/>
                <w:sz w:val="32"/>
                <w:szCs w:val="32"/>
              </w:rPr>
              <w:t>信用主体欺诈骗保情节严重的，依法依规纳入医疗保障领域失信联合惩戒对象名单。</w:t>
            </w:r>
          </w:p>
        </w:tc>
        <w:tc>
          <w:tcPr>
            <w:tcW w:w="1033" w:type="dxa"/>
          </w:tcPr>
          <w:p w14:paraId="5642EE83">
            <w:pPr>
              <w:rPr>
                <w:rFonts w:hint="default"/>
                <w:vertAlign w:val="baseline"/>
                <w:lang w:val="en-US" w:eastAsia="zh-CN"/>
              </w:rPr>
            </w:pPr>
          </w:p>
        </w:tc>
      </w:tr>
      <w:tr w14:paraId="49A6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0885A95B">
            <w:pPr>
              <w:rPr>
                <w:rFonts w:hint="default"/>
                <w:vertAlign w:val="baseline"/>
                <w:lang w:val="en-US" w:eastAsia="zh-CN"/>
              </w:rPr>
            </w:pPr>
            <w:r>
              <w:rPr>
                <w:rFonts w:ascii="Times New Roman" w:hAnsi="Times New Roman" w:eastAsia="仿宋_GB2312" w:cs="Times New Roman"/>
                <w:sz w:val="32"/>
                <w:szCs w:val="32"/>
              </w:rPr>
              <w:t>第三十四条</w:t>
            </w:r>
          </w:p>
        </w:tc>
        <w:tc>
          <w:tcPr>
            <w:tcW w:w="2415" w:type="dxa"/>
          </w:tcPr>
          <w:p w14:paraId="74075985">
            <w:pPr>
              <w:spacing w:line="560" w:lineRule="exact"/>
              <w:ind w:firstLine="640" w:firstLineChars="200"/>
              <w:rPr>
                <w:rFonts w:hint="default"/>
                <w:vertAlign w:val="baseline"/>
                <w:lang w:val="en-US" w:eastAsia="zh-CN"/>
              </w:rPr>
            </w:pPr>
            <w:r>
              <w:rPr>
                <w:rFonts w:ascii="Times New Roman" w:hAnsi="Times New Roman" w:eastAsia="仿宋_GB2312" w:cs="Times New Roman"/>
                <w:sz w:val="32"/>
                <w:szCs w:val="32"/>
              </w:rPr>
              <w:t>市（地）级以上医疗保障行政管理部门应当以正向激励为主导，探索建立人员类信用主体诚信积分管理应用制度。</w:t>
            </w:r>
          </w:p>
        </w:tc>
        <w:tc>
          <w:tcPr>
            <w:tcW w:w="1394" w:type="dxa"/>
          </w:tcPr>
          <w:p w14:paraId="46912AAF">
            <w:pPr>
              <w:rPr>
                <w:rFonts w:hint="default"/>
                <w:vertAlign w:val="baseline"/>
                <w:lang w:val="en-US" w:eastAsia="zh-CN"/>
              </w:rPr>
            </w:pPr>
            <w:r>
              <w:rPr>
                <w:rFonts w:ascii="Times New Roman" w:hAnsi="Times New Roman" w:eastAsia="仿宋_GB2312" w:cs="Times New Roman"/>
                <w:color w:val="C00000"/>
                <w:sz w:val="32"/>
                <w:szCs w:val="32"/>
              </w:rPr>
              <w:t>第</w:t>
            </w:r>
            <w:r>
              <w:rPr>
                <w:rFonts w:hint="eastAsia" w:ascii="Times New Roman" w:hAnsi="Times New Roman" w:eastAsia="仿宋_GB2312" w:cs="Times New Roman"/>
                <w:color w:val="C00000"/>
                <w:sz w:val="32"/>
                <w:szCs w:val="32"/>
                <w:lang w:val="en-US" w:eastAsia="zh-CN"/>
              </w:rPr>
              <w:t>四十三</w:t>
            </w:r>
            <w:r>
              <w:rPr>
                <w:rFonts w:ascii="Times New Roman" w:hAnsi="Times New Roman" w:eastAsia="仿宋_GB2312" w:cs="Times New Roman"/>
                <w:color w:val="C00000"/>
                <w:sz w:val="32"/>
                <w:szCs w:val="32"/>
              </w:rPr>
              <w:t>条</w:t>
            </w:r>
          </w:p>
        </w:tc>
        <w:tc>
          <w:tcPr>
            <w:tcW w:w="2377" w:type="dxa"/>
          </w:tcPr>
          <w:p w14:paraId="0CE614D1">
            <w:pPr>
              <w:spacing w:line="560" w:lineRule="exact"/>
              <w:ind w:firstLine="640" w:firstLineChars="200"/>
              <w:rPr>
                <w:rFonts w:hint="default"/>
                <w:vertAlign w:val="baseline"/>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人员类信用主体信用管理与应用</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市（地）级以上医疗保障行政管理部门应当以正向激励为主导，探索建立人员类信用主体诚信积分管理应用制度。</w:t>
            </w:r>
          </w:p>
        </w:tc>
        <w:tc>
          <w:tcPr>
            <w:tcW w:w="1033" w:type="dxa"/>
          </w:tcPr>
          <w:p w14:paraId="1F355579">
            <w:pPr>
              <w:rPr>
                <w:rFonts w:hint="default"/>
                <w:vertAlign w:val="baseline"/>
                <w:lang w:val="en-US" w:eastAsia="zh-CN"/>
              </w:rPr>
            </w:pPr>
          </w:p>
        </w:tc>
      </w:tr>
      <w:tr w14:paraId="2F1E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0DBBAA7B">
            <w:pPr>
              <w:rPr>
                <w:rFonts w:hint="default"/>
                <w:vertAlign w:val="baseline"/>
                <w:lang w:val="en-US" w:eastAsia="zh-CN"/>
              </w:rPr>
            </w:pPr>
          </w:p>
        </w:tc>
        <w:tc>
          <w:tcPr>
            <w:tcW w:w="2415" w:type="dxa"/>
          </w:tcPr>
          <w:p w14:paraId="3F53D87B">
            <w:pPr>
              <w:rPr>
                <w:rFonts w:hint="default"/>
                <w:vertAlign w:val="baseline"/>
                <w:lang w:val="en-US" w:eastAsia="zh-CN"/>
              </w:rPr>
            </w:pPr>
          </w:p>
        </w:tc>
        <w:tc>
          <w:tcPr>
            <w:tcW w:w="1394" w:type="dxa"/>
          </w:tcPr>
          <w:p w14:paraId="0A19061B">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第四十四条</w:t>
            </w:r>
          </w:p>
        </w:tc>
        <w:tc>
          <w:tcPr>
            <w:tcW w:w="2377" w:type="dxa"/>
          </w:tcPr>
          <w:p w14:paraId="13510BC6">
            <w:pPr>
              <w:keepNext w:val="0"/>
              <w:keepLines w:val="0"/>
              <w:widowControl/>
              <w:suppressLineNumbers w:val="0"/>
              <w:ind w:firstLine="640" w:firstLineChars="20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【机构类信用主体惩戒措施】机构类信用主体出现危害人身安全、造成医疗保障基金重大损失或者其他严重不良社会影响的，医疗保障部门应当依法依规依程序采取以下惩戒措施： </w:t>
            </w:r>
          </w:p>
          <w:p w14:paraId="136283A9">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（一）依法依规纳入医疗保障领域失信联合惩戒对象名单， </w:t>
            </w:r>
          </w:p>
          <w:p w14:paraId="72FEFE8C">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通过信用黑龙江、医疗保障部门官方网站向社会公开严重失信信息，信息保存期为3 年，从严重失信行为被认定之日起计算； </w:t>
            </w:r>
          </w:p>
          <w:p w14:paraId="79DB43F4">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（二）达到解除医疗保障服务协议条件的，由医疗保障部门 </w:t>
            </w:r>
          </w:p>
          <w:p w14:paraId="629E05DC">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解除医疗保障服务协议； </w:t>
            </w:r>
          </w:p>
          <w:p w14:paraId="3FBEAFC8">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（三）在医疗保障工作中列为重点审查对象，在行政管理中 </w:t>
            </w:r>
          </w:p>
          <w:p w14:paraId="0AC5EE9D">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限制享受行政便利措施； </w:t>
            </w:r>
          </w:p>
          <w:p w14:paraId="598A2341">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（四）依法禁止其法定代表人、主要负责人或实际控制人等 </w:t>
            </w:r>
          </w:p>
          <w:p w14:paraId="6C5FF071">
            <w:pPr>
              <w:keepNext w:val="0"/>
              <w:keepLines w:val="0"/>
              <w:widowControl/>
              <w:suppressLineNumbers w:val="0"/>
              <w:jc w:val="lef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kern w:val="0"/>
                <w:sz w:val="32"/>
                <w:szCs w:val="32"/>
                <w:lang w:val="en-US" w:eastAsia="zh-CN" w:bidi="ar"/>
              </w:rPr>
              <w:t xml:space="preserve">5 年内从事定点医药机构管理活动，并列入严重失信人员名单； </w:t>
            </w:r>
          </w:p>
          <w:p w14:paraId="0C468B84">
            <w:pPr>
              <w:keepNext w:val="0"/>
              <w:keepLines w:val="0"/>
              <w:widowControl/>
              <w:suppressLineNumbers w:val="0"/>
              <w:jc w:val="left"/>
              <w:rPr>
                <w:rFonts w:hint="default"/>
                <w:vertAlign w:val="baseline"/>
                <w:lang w:val="en-US" w:eastAsia="zh-CN"/>
              </w:rPr>
            </w:pPr>
            <w:r>
              <w:rPr>
                <w:rFonts w:hint="eastAsia" w:ascii="仿宋_GB2312" w:hAnsi="仿宋_GB2312" w:eastAsia="仿宋_GB2312" w:cs="仿宋_GB2312"/>
                <w:color w:val="C00000"/>
                <w:kern w:val="0"/>
                <w:sz w:val="32"/>
                <w:szCs w:val="32"/>
                <w:lang w:val="en-US" w:eastAsia="zh-CN" w:bidi="ar"/>
              </w:rPr>
              <w:t>（五）法律、法规和国家规定的其他惩戒措施。</w:t>
            </w:r>
          </w:p>
        </w:tc>
        <w:tc>
          <w:tcPr>
            <w:tcW w:w="1033" w:type="dxa"/>
          </w:tcPr>
          <w:p w14:paraId="2A870F6A">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红字部分为新增内容</w:t>
            </w:r>
          </w:p>
        </w:tc>
      </w:tr>
      <w:tr w14:paraId="5DFE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3E2B10DB">
            <w:pPr>
              <w:rPr>
                <w:rFonts w:hint="default"/>
                <w:vertAlign w:val="baseline"/>
                <w:lang w:val="en-US" w:eastAsia="zh-CN"/>
              </w:rPr>
            </w:pPr>
          </w:p>
        </w:tc>
        <w:tc>
          <w:tcPr>
            <w:tcW w:w="2415" w:type="dxa"/>
          </w:tcPr>
          <w:p w14:paraId="5B6E7A10">
            <w:pPr>
              <w:rPr>
                <w:rFonts w:hint="default"/>
                <w:vertAlign w:val="baseline"/>
                <w:lang w:val="en-US" w:eastAsia="zh-CN"/>
              </w:rPr>
            </w:pPr>
          </w:p>
        </w:tc>
        <w:tc>
          <w:tcPr>
            <w:tcW w:w="1394" w:type="dxa"/>
          </w:tcPr>
          <w:p w14:paraId="5651F035">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第四十五条</w:t>
            </w:r>
          </w:p>
        </w:tc>
        <w:tc>
          <w:tcPr>
            <w:tcW w:w="2377" w:type="dxa"/>
          </w:tcPr>
          <w:p w14:paraId="69640D08">
            <w:pPr>
              <w:keepNext w:val="0"/>
              <w:keepLines w:val="0"/>
              <w:widowControl/>
              <w:suppressLineNumbers w:val="0"/>
              <w:ind w:firstLine="640" w:firstLineChars="200"/>
              <w:jc w:val="left"/>
              <w:rPr>
                <w:rFonts w:hint="default"/>
                <w:vertAlign w:val="baseline"/>
                <w:lang w:val="en-US" w:eastAsia="zh-CN"/>
              </w:rPr>
            </w:pPr>
            <w:r>
              <w:rPr>
                <w:rFonts w:hint="eastAsia" w:ascii="仿宋_GB2312" w:hAnsi="仿宋_GB2312" w:eastAsia="仿宋_GB2312" w:cs="仿宋_GB2312"/>
                <w:color w:val="C00000"/>
                <w:kern w:val="0"/>
                <w:sz w:val="32"/>
                <w:szCs w:val="32"/>
                <w:lang w:val="en-US" w:eastAsia="zh-CN" w:bidi="ar"/>
              </w:rPr>
              <w:t>【失信惩戒管理】医疗保障行政部门应当依据全国失信惩戒措施基础清单、黑龙江省失信惩戒措施补充清单和市（地）级市人民政府（行署）制定的失信惩戒措施补充清单，对医疗保障失信行为主体、严重失信行为主体实施惩戒措施。禁止在失信惩戒措施清单外违法违规实施惩戒措施。</w:t>
            </w:r>
          </w:p>
        </w:tc>
        <w:tc>
          <w:tcPr>
            <w:tcW w:w="1033" w:type="dxa"/>
          </w:tcPr>
          <w:p w14:paraId="4C08868E">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红字部分为新增内容</w:t>
            </w:r>
          </w:p>
        </w:tc>
      </w:tr>
      <w:tr w14:paraId="5743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5BA30CD5">
            <w:pPr>
              <w:rPr>
                <w:rFonts w:hint="default"/>
                <w:vertAlign w:val="baseline"/>
                <w:lang w:val="en-US" w:eastAsia="zh-CN"/>
              </w:rPr>
            </w:pPr>
          </w:p>
        </w:tc>
        <w:tc>
          <w:tcPr>
            <w:tcW w:w="2415" w:type="dxa"/>
          </w:tcPr>
          <w:p w14:paraId="53D74C37">
            <w:pPr>
              <w:rPr>
                <w:rFonts w:hint="default"/>
                <w:vertAlign w:val="baseline"/>
                <w:lang w:val="en-US" w:eastAsia="zh-CN"/>
              </w:rPr>
            </w:pPr>
          </w:p>
        </w:tc>
        <w:tc>
          <w:tcPr>
            <w:tcW w:w="1394" w:type="dxa"/>
          </w:tcPr>
          <w:p w14:paraId="7D42BA22">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第四十六条</w:t>
            </w:r>
          </w:p>
        </w:tc>
        <w:tc>
          <w:tcPr>
            <w:tcW w:w="2377" w:type="dxa"/>
          </w:tcPr>
          <w:p w14:paraId="097FEF00">
            <w:pPr>
              <w:keepNext w:val="0"/>
              <w:keepLines w:val="0"/>
              <w:widowControl/>
              <w:suppressLineNumbers w:val="0"/>
              <w:ind w:firstLine="640" w:firstLineChars="200"/>
              <w:jc w:val="left"/>
              <w:rPr>
                <w:rFonts w:hint="default"/>
                <w:vertAlign w:val="baseline"/>
                <w:lang w:val="en-US" w:eastAsia="zh-CN"/>
              </w:rPr>
            </w:pPr>
            <w:r>
              <w:rPr>
                <w:rFonts w:hint="eastAsia" w:ascii="仿宋_GB2312" w:hAnsi="仿宋_GB2312" w:eastAsia="仿宋_GB2312" w:cs="仿宋_GB2312"/>
                <w:color w:val="C00000"/>
                <w:kern w:val="0"/>
                <w:sz w:val="32"/>
                <w:szCs w:val="32"/>
                <w:lang w:val="en-US" w:eastAsia="zh-CN" w:bidi="ar"/>
              </w:rPr>
              <w:t>【严重失信行为认定管理】医疗保障行政部门在作出认定严重失信主体名单决定前，应当告知当事人作出决定的事由、依据和当事人依法享有的权利；当事人提出异议的，应当予以核实并在五个工作日内反馈结果。列入严重失信主体名单，应当依托相应的行政决定文书，载明事由、依据、失信惩戒措施提示、移出条件和程序以及救济措施等。</w:t>
            </w:r>
          </w:p>
        </w:tc>
        <w:tc>
          <w:tcPr>
            <w:tcW w:w="1033" w:type="dxa"/>
          </w:tcPr>
          <w:p w14:paraId="0D6014B9">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红字部分为新增内容</w:t>
            </w:r>
          </w:p>
        </w:tc>
      </w:tr>
      <w:tr w14:paraId="352EF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3595B5FC">
            <w:pPr>
              <w:spacing w:line="560" w:lineRule="exact"/>
              <w:jc w:val="center"/>
              <w:rPr>
                <w:rFonts w:hint="default"/>
                <w:vertAlign w:val="baseline"/>
                <w:lang w:val="en-US" w:eastAsia="zh-CN"/>
              </w:rPr>
            </w:pPr>
            <w:r>
              <w:rPr>
                <w:rFonts w:ascii="Times New Roman" w:hAnsi="Times New Roman" w:eastAsia="黑体" w:cs="Times New Roman"/>
                <w:sz w:val="32"/>
                <w:szCs w:val="32"/>
              </w:rPr>
              <w:t>第七章 信用修复</w:t>
            </w:r>
          </w:p>
        </w:tc>
        <w:tc>
          <w:tcPr>
            <w:tcW w:w="2415" w:type="dxa"/>
          </w:tcPr>
          <w:p w14:paraId="3C713855">
            <w:pPr>
              <w:rPr>
                <w:rFonts w:hint="default"/>
                <w:vertAlign w:val="baseline"/>
                <w:lang w:val="en-US" w:eastAsia="zh-CN"/>
              </w:rPr>
            </w:pPr>
          </w:p>
        </w:tc>
        <w:tc>
          <w:tcPr>
            <w:tcW w:w="1394" w:type="dxa"/>
          </w:tcPr>
          <w:p w14:paraId="0BB5AC4E">
            <w:pPr>
              <w:spacing w:line="560" w:lineRule="exact"/>
              <w:jc w:val="center"/>
              <w:rPr>
                <w:rFonts w:hint="default"/>
                <w:vertAlign w:val="baseline"/>
                <w:lang w:val="en-US" w:eastAsia="zh-CN"/>
              </w:rPr>
            </w:pPr>
            <w:r>
              <w:rPr>
                <w:rFonts w:ascii="Times New Roman" w:hAnsi="Times New Roman" w:eastAsia="黑体" w:cs="Times New Roman"/>
                <w:sz w:val="32"/>
                <w:szCs w:val="32"/>
              </w:rPr>
              <w:t>第七章 信用修复</w:t>
            </w:r>
          </w:p>
        </w:tc>
        <w:tc>
          <w:tcPr>
            <w:tcW w:w="2377" w:type="dxa"/>
          </w:tcPr>
          <w:p w14:paraId="302869DB">
            <w:pPr>
              <w:rPr>
                <w:rFonts w:hint="default"/>
                <w:vertAlign w:val="baseline"/>
                <w:lang w:val="en-US" w:eastAsia="zh-CN"/>
              </w:rPr>
            </w:pPr>
          </w:p>
        </w:tc>
        <w:tc>
          <w:tcPr>
            <w:tcW w:w="1033" w:type="dxa"/>
          </w:tcPr>
          <w:p w14:paraId="151C2ADA">
            <w:pPr>
              <w:rPr>
                <w:rFonts w:hint="default"/>
                <w:vertAlign w:val="baseline"/>
                <w:lang w:val="en-US" w:eastAsia="zh-CN"/>
              </w:rPr>
            </w:pPr>
          </w:p>
        </w:tc>
      </w:tr>
      <w:tr w14:paraId="0438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3B705BA2">
            <w:pPr>
              <w:rPr>
                <w:rFonts w:hint="default"/>
                <w:vertAlign w:val="baseline"/>
                <w:lang w:val="en-US" w:eastAsia="zh-CN"/>
              </w:rPr>
            </w:pPr>
            <w:r>
              <w:rPr>
                <w:rFonts w:ascii="Times New Roman" w:hAnsi="Times New Roman" w:eastAsia="仿宋_GB2312" w:cs="Times New Roman"/>
                <w:sz w:val="32"/>
                <w:szCs w:val="32"/>
              </w:rPr>
              <w:t>第三十五条</w:t>
            </w:r>
          </w:p>
        </w:tc>
        <w:tc>
          <w:tcPr>
            <w:tcW w:w="2415" w:type="dxa"/>
          </w:tcPr>
          <w:p w14:paraId="23EAD86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失信主体依法纠正失信行为、履行完毕法定责任或者约定义务、消除不利影响的，可以向作出失信行为认定的医疗保障部门申请信用修复。</w:t>
            </w:r>
          </w:p>
          <w:p w14:paraId="4B821DB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失信主体向作出失信行为认定的医疗保障行政部门提出信用修复申请时应当提交下列材料：</w:t>
            </w:r>
          </w:p>
          <w:p w14:paraId="0878532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（一）信用修复申请表；</w:t>
            </w:r>
          </w:p>
          <w:p w14:paraId="06E18D9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（二）信用修复承诺书；</w:t>
            </w:r>
          </w:p>
          <w:p w14:paraId="3C9B693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（三）有效身份证件；</w:t>
            </w:r>
          </w:p>
          <w:p w14:paraId="4D574C2B">
            <w:pPr>
              <w:rPr>
                <w:rFonts w:hint="default"/>
                <w:vertAlign w:val="baseline"/>
                <w:lang w:val="en-US" w:eastAsia="zh-CN"/>
              </w:rPr>
            </w:pPr>
            <w:r>
              <w:rPr>
                <w:rFonts w:ascii="Times New Roman" w:hAnsi="Times New Roman" w:eastAsia="仿宋_GB2312" w:cs="Times New Roman"/>
                <w:sz w:val="32"/>
                <w:szCs w:val="32"/>
              </w:rPr>
              <w:t>（四）违法违规行为纠正、整改情况的相关证明材料。</w:t>
            </w:r>
          </w:p>
        </w:tc>
        <w:tc>
          <w:tcPr>
            <w:tcW w:w="1394" w:type="dxa"/>
          </w:tcPr>
          <w:p w14:paraId="6ED17DCA">
            <w:pPr>
              <w:rPr>
                <w:rFonts w:hint="default"/>
                <w:vertAlign w:val="baseline"/>
                <w:lang w:val="en-US" w:eastAsia="zh-CN"/>
              </w:rPr>
            </w:pPr>
            <w:r>
              <w:rPr>
                <w:rFonts w:ascii="Times New Roman" w:hAnsi="Times New Roman" w:eastAsia="仿宋_GB2312" w:cs="Times New Roman"/>
                <w:color w:val="C00000"/>
                <w:sz w:val="32"/>
                <w:szCs w:val="32"/>
              </w:rPr>
              <w:t>第</w:t>
            </w:r>
            <w:r>
              <w:rPr>
                <w:rFonts w:hint="eastAsia" w:ascii="Times New Roman" w:hAnsi="Times New Roman" w:eastAsia="仿宋_GB2312" w:cs="Times New Roman"/>
                <w:color w:val="C00000"/>
                <w:sz w:val="32"/>
                <w:szCs w:val="32"/>
                <w:lang w:val="en-US" w:eastAsia="zh-CN"/>
              </w:rPr>
              <w:t>四十七</w:t>
            </w:r>
            <w:r>
              <w:rPr>
                <w:rFonts w:ascii="Times New Roman" w:hAnsi="Times New Roman" w:eastAsia="仿宋_GB2312" w:cs="Times New Roman"/>
                <w:color w:val="C00000"/>
                <w:sz w:val="32"/>
                <w:szCs w:val="32"/>
              </w:rPr>
              <w:t>条</w:t>
            </w:r>
          </w:p>
        </w:tc>
        <w:tc>
          <w:tcPr>
            <w:tcW w:w="2377" w:type="dxa"/>
          </w:tcPr>
          <w:p w14:paraId="2ADCF01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信用修复条件</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失信主体依法纠正失信行为、履行完毕法定责任或者约定义务、消除不利影响的，可以向作出失信行为认定的医疗保障部门申请信用修复。</w:t>
            </w:r>
          </w:p>
          <w:p w14:paraId="4138ECB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失信主体向作出失信行为认定的医疗保障行政部门提出信用修复申请时应当提交下列材料：</w:t>
            </w:r>
          </w:p>
          <w:p w14:paraId="21414C8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（一）信用修复申请表；</w:t>
            </w:r>
          </w:p>
          <w:p w14:paraId="4ED6EF5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（二）信用修复承诺书；</w:t>
            </w:r>
          </w:p>
          <w:p w14:paraId="47AD9AE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（三）有效身份证件；</w:t>
            </w:r>
          </w:p>
          <w:p w14:paraId="510CE84C">
            <w:pPr>
              <w:rPr>
                <w:rFonts w:hint="default"/>
                <w:vertAlign w:val="baseline"/>
                <w:lang w:val="en-US" w:eastAsia="zh-CN"/>
              </w:rPr>
            </w:pPr>
            <w:r>
              <w:rPr>
                <w:rFonts w:ascii="Times New Roman" w:hAnsi="Times New Roman" w:eastAsia="仿宋_GB2312" w:cs="Times New Roman"/>
                <w:sz w:val="32"/>
                <w:szCs w:val="32"/>
              </w:rPr>
              <w:t>（四）违法违规行为纠正、整改情况的相关证明材料。</w:t>
            </w:r>
          </w:p>
        </w:tc>
        <w:tc>
          <w:tcPr>
            <w:tcW w:w="1033" w:type="dxa"/>
          </w:tcPr>
          <w:p w14:paraId="33DCA823">
            <w:pPr>
              <w:rPr>
                <w:rFonts w:hint="default"/>
                <w:vertAlign w:val="baseline"/>
                <w:lang w:val="en-US" w:eastAsia="zh-CN"/>
              </w:rPr>
            </w:pPr>
          </w:p>
        </w:tc>
      </w:tr>
      <w:tr w14:paraId="2F01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1D7A05E9">
            <w:pPr>
              <w:rPr>
                <w:rFonts w:hint="default"/>
                <w:vertAlign w:val="baseline"/>
                <w:lang w:val="en-US" w:eastAsia="zh-CN"/>
              </w:rPr>
            </w:pPr>
            <w:r>
              <w:rPr>
                <w:rFonts w:ascii="Times New Roman" w:hAnsi="Times New Roman" w:eastAsia="仿宋_GB2312" w:cs="Times New Roman"/>
                <w:sz w:val="32"/>
                <w:szCs w:val="32"/>
              </w:rPr>
              <w:t>第三十六条</w:t>
            </w:r>
          </w:p>
        </w:tc>
        <w:tc>
          <w:tcPr>
            <w:tcW w:w="2415" w:type="dxa"/>
          </w:tcPr>
          <w:p w14:paraId="5018EF1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失信主体有以下情形之一的，不予信用修复：</w:t>
            </w:r>
          </w:p>
          <w:p w14:paraId="0AAB374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（一）被认定为一般失信行为之日起未满3个月的；被认定为严重失信行为之日起未满1年的。</w:t>
            </w:r>
          </w:p>
          <w:p w14:paraId="1BA5506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（二）失信主体信用修复期限内，再次发生同类失信行为的；</w:t>
            </w:r>
          </w:p>
          <w:p w14:paraId="0771029A">
            <w:pPr>
              <w:spacing w:line="560" w:lineRule="exact"/>
              <w:ind w:firstLine="640" w:firstLineChars="200"/>
              <w:rPr>
                <w:rFonts w:hint="default"/>
                <w:vertAlign w:val="baseline"/>
                <w:lang w:val="en-US" w:eastAsia="zh-CN"/>
              </w:rPr>
            </w:pPr>
            <w:r>
              <w:rPr>
                <w:rFonts w:ascii="Times New Roman" w:hAnsi="Times New Roman" w:eastAsia="仿宋_GB2312" w:cs="Times New Roman"/>
                <w:sz w:val="32"/>
                <w:szCs w:val="32"/>
              </w:rPr>
              <w:t xml:space="preserve">（三）依法依规暂不适宜实施信用修复的其他失信行为。 </w:t>
            </w:r>
          </w:p>
        </w:tc>
        <w:tc>
          <w:tcPr>
            <w:tcW w:w="1394" w:type="dxa"/>
          </w:tcPr>
          <w:p w14:paraId="178A747C">
            <w:pPr>
              <w:rPr>
                <w:rFonts w:hint="default"/>
                <w:vertAlign w:val="baseline"/>
                <w:lang w:val="en-US" w:eastAsia="zh-CN"/>
              </w:rPr>
            </w:pPr>
            <w:r>
              <w:rPr>
                <w:rFonts w:ascii="Times New Roman" w:hAnsi="Times New Roman" w:eastAsia="仿宋_GB2312" w:cs="Times New Roman"/>
                <w:color w:val="C00000"/>
                <w:sz w:val="32"/>
                <w:szCs w:val="32"/>
              </w:rPr>
              <w:t>第</w:t>
            </w:r>
            <w:r>
              <w:rPr>
                <w:rFonts w:hint="eastAsia" w:ascii="Times New Roman" w:hAnsi="Times New Roman" w:eastAsia="仿宋_GB2312" w:cs="Times New Roman"/>
                <w:color w:val="C00000"/>
                <w:sz w:val="32"/>
                <w:szCs w:val="32"/>
                <w:lang w:val="en-US" w:eastAsia="zh-CN"/>
              </w:rPr>
              <w:t>四十八</w:t>
            </w:r>
            <w:r>
              <w:rPr>
                <w:rFonts w:ascii="Times New Roman" w:hAnsi="Times New Roman" w:eastAsia="仿宋_GB2312" w:cs="Times New Roman"/>
                <w:color w:val="C00000"/>
                <w:sz w:val="32"/>
                <w:szCs w:val="32"/>
              </w:rPr>
              <w:t>条</w:t>
            </w:r>
          </w:p>
        </w:tc>
        <w:tc>
          <w:tcPr>
            <w:tcW w:w="2377" w:type="dxa"/>
          </w:tcPr>
          <w:p w14:paraId="4C9A911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不予信用修复情形</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失信主体有以下情形之一的，不予信用修复：</w:t>
            </w:r>
          </w:p>
          <w:p w14:paraId="1518D67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（一）被认定为一般失信行为之日起未满3个月的；被认定为严重失信行为之日起未满1年的。</w:t>
            </w:r>
          </w:p>
          <w:p w14:paraId="3D916FB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（二）失信主体信用修复期限内，再次发生同类失信行为的；</w:t>
            </w:r>
          </w:p>
          <w:p w14:paraId="5C14CB72">
            <w:pPr>
              <w:spacing w:line="560" w:lineRule="exact"/>
              <w:ind w:firstLine="640" w:firstLineChars="200"/>
              <w:rPr>
                <w:rFonts w:hint="default"/>
                <w:vertAlign w:val="baseline"/>
                <w:lang w:val="en-US" w:eastAsia="zh-CN"/>
              </w:rPr>
            </w:pPr>
            <w:r>
              <w:rPr>
                <w:rFonts w:ascii="Times New Roman" w:hAnsi="Times New Roman" w:eastAsia="仿宋_GB2312" w:cs="Times New Roman"/>
                <w:sz w:val="32"/>
                <w:szCs w:val="32"/>
              </w:rPr>
              <w:t xml:space="preserve">（三）依法依规暂不适宜实施信用修复的其他失信行为。 </w:t>
            </w:r>
          </w:p>
        </w:tc>
        <w:tc>
          <w:tcPr>
            <w:tcW w:w="1033" w:type="dxa"/>
          </w:tcPr>
          <w:p w14:paraId="599516E7">
            <w:pPr>
              <w:rPr>
                <w:rFonts w:hint="default"/>
                <w:vertAlign w:val="baseline"/>
                <w:lang w:val="en-US" w:eastAsia="zh-CN"/>
              </w:rPr>
            </w:pPr>
          </w:p>
        </w:tc>
      </w:tr>
      <w:tr w14:paraId="1BF8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69525EAA">
            <w:pPr>
              <w:rPr>
                <w:rFonts w:hint="default"/>
                <w:vertAlign w:val="baseline"/>
                <w:lang w:val="en-US" w:eastAsia="zh-CN"/>
              </w:rPr>
            </w:pPr>
            <w:r>
              <w:rPr>
                <w:rFonts w:ascii="Times New Roman" w:hAnsi="Times New Roman" w:eastAsia="仿宋_GB2312" w:cs="Times New Roman"/>
                <w:sz w:val="32"/>
                <w:szCs w:val="32"/>
              </w:rPr>
              <w:t>第三十七条</w:t>
            </w:r>
          </w:p>
        </w:tc>
        <w:tc>
          <w:tcPr>
            <w:tcW w:w="2415" w:type="dxa"/>
          </w:tcPr>
          <w:p w14:paraId="72831298">
            <w:pPr>
              <w:ind w:firstLine="640" w:firstLineChars="200"/>
              <w:rPr>
                <w:rFonts w:hint="default"/>
                <w:vertAlign w:val="baseline"/>
                <w:lang w:val="en-US" w:eastAsia="zh-CN"/>
              </w:rPr>
            </w:pPr>
            <w:r>
              <w:rPr>
                <w:rFonts w:ascii="Times New Roman" w:hAnsi="Times New Roman" w:eastAsia="仿宋_GB2312" w:cs="Times New Roman"/>
                <w:sz w:val="32"/>
                <w:szCs w:val="32"/>
              </w:rPr>
              <w:t>作出失信行为认定的医疗保障部门应当在受理信用主体信用修复申请后 10个工作日内作出处理意见，情况复杂的可以延长至 20个工作日。对于符合信用修复条件的按程序修复，在官方网站进行公示，公示期限为5个工作日，公示期满无异议的，予以信用修复，并书面告知。对于不符合信用修复条件的，不予修复，并书面告知。</w:t>
            </w:r>
          </w:p>
        </w:tc>
        <w:tc>
          <w:tcPr>
            <w:tcW w:w="1394" w:type="dxa"/>
          </w:tcPr>
          <w:p w14:paraId="4340B365">
            <w:pPr>
              <w:rPr>
                <w:rFonts w:hint="default"/>
                <w:vertAlign w:val="baseline"/>
                <w:lang w:val="en-US" w:eastAsia="zh-CN"/>
              </w:rPr>
            </w:pPr>
            <w:r>
              <w:rPr>
                <w:rFonts w:ascii="Times New Roman" w:hAnsi="Times New Roman" w:eastAsia="仿宋_GB2312" w:cs="Times New Roman"/>
                <w:color w:val="C00000"/>
                <w:sz w:val="32"/>
                <w:szCs w:val="32"/>
              </w:rPr>
              <w:t>第</w:t>
            </w:r>
            <w:r>
              <w:rPr>
                <w:rFonts w:hint="eastAsia" w:ascii="Times New Roman" w:hAnsi="Times New Roman" w:eastAsia="仿宋_GB2312" w:cs="Times New Roman"/>
                <w:color w:val="C00000"/>
                <w:sz w:val="32"/>
                <w:szCs w:val="32"/>
                <w:lang w:val="en-US" w:eastAsia="zh-CN"/>
              </w:rPr>
              <w:t>四十九</w:t>
            </w:r>
            <w:r>
              <w:rPr>
                <w:rFonts w:ascii="Times New Roman" w:hAnsi="Times New Roman" w:eastAsia="仿宋_GB2312" w:cs="Times New Roman"/>
                <w:color w:val="C00000"/>
                <w:sz w:val="32"/>
                <w:szCs w:val="32"/>
              </w:rPr>
              <w:t>条</w:t>
            </w:r>
          </w:p>
        </w:tc>
        <w:tc>
          <w:tcPr>
            <w:tcW w:w="2377" w:type="dxa"/>
          </w:tcPr>
          <w:p w14:paraId="67978632">
            <w:pPr>
              <w:ind w:firstLine="640" w:firstLineChars="200"/>
              <w:rPr>
                <w:rFonts w:hint="default"/>
                <w:vertAlign w:val="baseline"/>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信用修复管理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作出失信行为认定的医疗保障部门应当在受理信用主体信用修复申请后 10个工作日内作出处理意见，情况复杂的可以延长至 20个工作日。对于符合信用修复条件的按程序修复，在官方网站进行公示，公示期限为5个工作日，公示期满无异议的，予以信用修复，并书面告知。对于不符合信用修复条件的，不予修复，并书面告知。</w:t>
            </w:r>
          </w:p>
        </w:tc>
        <w:tc>
          <w:tcPr>
            <w:tcW w:w="1033" w:type="dxa"/>
          </w:tcPr>
          <w:p w14:paraId="63EE9C96">
            <w:pPr>
              <w:rPr>
                <w:rFonts w:hint="default"/>
                <w:vertAlign w:val="baseline"/>
                <w:lang w:val="en-US" w:eastAsia="zh-CN"/>
              </w:rPr>
            </w:pPr>
          </w:p>
        </w:tc>
      </w:tr>
      <w:tr w14:paraId="65F9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3B739327">
            <w:pPr>
              <w:spacing w:line="560" w:lineRule="exact"/>
              <w:jc w:val="center"/>
              <w:rPr>
                <w:rFonts w:hint="default"/>
                <w:vertAlign w:val="baseline"/>
                <w:lang w:val="en-US" w:eastAsia="zh-CN"/>
              </w:rPr>
            </w:pPr>
            <w:r>
              <w:rPr>
                <w:rFonts w:hint="eastAsia" w:ascii="黑体" w:hAnsi="黑体" w:eastAsia="黑体" w:cs="黑体"/>
                <w:sz w:val="32"/>
                <w:szCs w:val="32"/>
              </w:rPr>
              <w:t>第八章 附 则</w:t>
            </w:r>
          </w:p>
        </w:tc>
        <w:tc>
          <w:tcPr>
            <w:tcW w:w="2415" w:type="dxa"/>
          </w:tcPr>
          <w:p w14:paraId="4AE43692">
            <w:pPr>
              <w:rPr>
                <w:rFonts w:hint="default"/>
                <w:vertAlign w:val="baseline"/>
                <w:lang w:val="en-US" w:eastAsia="zh-CN"/>
              </w:rPr>
            </w:pPr>
          </w:p>
        </w:tc>
        <w:tc>
          <w:tcPr>
            <w:tcW w:w="1394" w:type="dxa"/>
          </w:tcPr>
          <w:p w14:paraId="7AEB34F6">
            <w:pPr>
              <w:spacing w:line="560" w:lineRule="exact"/>
              <w:jc w:val="center"/>
              <w:rPr>
                <w:rFonts w:hint="default"/>
                <w:vertAlign w:val="baseline"/>
                <w:lang w:val="en-US" w:eastAsia="zh-CN"/>
              </w:rPr>
            </w:pPr>
            <w:r>
              <w:rPr>
                <w:rFonts w:hint="eastAsia" w:ascii="黑体" w:hAnsi="黑体" w:eastAsia="黑体" w:cs="黑体"/>
                <w:sz w:val="32"/>
                <w:szCs w:val="32"/>
              </w:rPr>
              <w:t>第八章 附 则</w:t>
            </w:r>
          </w:p>
        </w:tc>
        <w:tc>
          <w:tcPr>
            <w:tcW w:w="2377" w:type="dxa"/>
          </w:tcPr>
          <w:p w14:paraId="6C7CD4EE">
            <w:pPr>
              <w:rPr>
                <w:rFonts w:hint="default"/>
                <w:vertAlign w:val="baseline"/>
                <w:lang w:val="en-US" w:eastAsia="zh-CN"/>
              </w:rPr>
            </w:pPr>
          </w:p>
        </w:tc>
        <w:tc>
          <w:tcPr>
            <w:tcW w:w="1033" w:type="dxa"/>
          </w:tcPr>
          <w:p w14:paraId="00C8007D">
            <w:pPr>
              <w:rPr>
                <w:rFonts w:hint="default"/>
                <w:vertAlign w:val="baseline"/>
                <w:lang w:val="en-US" w:eastAsia="zh-CN"/>
              </w:rPr>
            </w:pPr>
          </w:p>
        </w:tc>
      </w:tr>
      <w:tr w14:paraId="5080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5BAC8138">
            <w:pPr>
              <w:rPr>
                <w:rFonts w:hint="default"/>
                <w:vertAlign w:val="baseline"/>
                <w:lang w:val="en-US" w:eastAsia="zh-CN"/>
              </w:rPr>
            </w:pPr>
          </w:p>
        </w:tc>
        <w:tc>
          <w:tcPr>
            <w:tcW w:w="2415" w:type="dxa"/>
          </w:tcPr>
          <w:p w14:paraId="0C890513">
            <w:pPr>
              <w:rPr>
                <w:rFonts w:hint="default"/>
                <w:vertAlign w:val="baseline"/>
                <w:lang w:val="en-US" w:eastAsia="zh-CN"/>
              </w:rPr>
            </w:pPr>
          </w:p>
        </w:tc>
        <w:tc>
          <w:tcPr>
            <w:tcW w:w="1394" w:type="dxa"/>
          </w:tcPr>
          <w:p w14:paraId="7FF24002">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第五十条</w:t>
            </w:r>
          </w:p>
        </w:tc>
        <w:tc>
          <w:tcPr>
            <w:tcW w:w="2377" w:type="dxa"/>
          </w:tcPr>
          <w:p w14:paraId="60FF42C4">
            <w:pPr>
              <w:keepNext w:val="0"/>
              <w:keepLines w:val="0"/>
              <w:widowControl/>
              <w:suppressLineNumbers w:val="0"/>
              <w:ind w:firstLine="640" w:firstLineChars="200"/>
              <w:jc w:val="left"/>
              <w:rPr>
                <w:rFonts w:hint="default"/>
                <w:vertAlign w:val="baseline"/>
                <w:lang w:val="en-US" w:eastAsia="zh-CN"/>
              </w:rPr>
            </w:pPr>
            <w:r>
              <w:rPr>
                <w:rFonts w:hint="eastAsia" w:ascii="仿宋_GB2312" w:hAnsi="仿宋_GB2312" w:eastAsia="仿宋_GB2312" w:cs="仿宋_GB2312"/>
                <w:color w:val="C00000"/>
                <w:kern w:val="0"/>
                <w:sz w:val="32"/>
                <w:szCs w:val="32"/>
                <w:lang w:val="en-US" w:eastAsia="zh-CN" w:bidi="ar"/>
              </w:rPr>
              <w:t>【信用信息安全管理】医疗保障部门应当建立信用信息安全管理和保密制度，履行信息安全管理职责，防范危害医保信用信息安全的行为。在信用信息归集、公开、共享、查询和应用等过程中，损害信用主体合法权益的，应当依法承担有关责任；构成犯罪的，依法追究刑事责任。</w:t>
            </w:r>
          </w:p>
        </w:tc>
        <w:tc>
          <w:tcPr>
            <w:tcW w:w="1033" w:type="dxa"/>
          </w:tcPr>
          <w:p w14:paraId="4F2B573F">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红字部分为新增内容</w:t>
            </w:r>
          </w:p>
        </w:tc>
      </w:tr>
      <w:tr w14:paraId="4DF8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0CB3E8B2">
            <w:pPr>
              <w:rPr>
                <w:rFonts w:hint="default"/>
                <w:vertAlign w:val="baseline"/>
                <w:lang w:val="en-US" w:eastAsia="zh-CN"/>
              </w:rPr>
            </w:pPr>
            <w:r>
              <w:rPr>
                <w:rFonts w:ascii="Times New Roman" w:hAnsi="Times New Roman" w:eastAsia="仿宋_GB2312" w:cs="Times New Roman"/>
                <w:sz w:val="32"/>
                <w:szCs w:val="32"/>
              </w:rPr>
              <w:t>第三十八条</w:t>
            </w:r>
          </w:p>
        </w:tc>
        <w:tc>
          <w:tcPr>
            <w:tcW w:w="2415" w:type="dxa"/>
          </w:tcPr>
          <w:p w14:paraId="1ACDDCED">
            <w:pPr>
              <w:ind w:firstLine="640" w:firstLineChars="200"/>
              <w:rPr>
                <w:rFonts w:hint="default"/>
                <w:vertAlign w:val="baseline"/>
                <w:lang w:val="en-US" w:eastAsia="zh-CN"/>
              </w:rPr>
            </w:pPr>
            <w:r>
              <w:rPr>
                <w:rFonts w:ascii="Times New Roman" w:hAnsi="Times New Roman" w:eastAsia="仿宋_GB2312" w:cs="Times New Roman"/>
                <w:sz w:val="32"/>
                <w:szCs w:val="32"/>
              </w:rPr>
              <w:t>本办法规定的条款内容，法律、法规已有法律责任规定的，按照其规定。</w:t>
            </w:r>
          </w:p>
        </w:tc>
        <w:tc>
          <w:tcPr>
            <w:tcW w:w="1394" w:type="dxa"/>
          </w:tcPr>
          <w:p w14:paraId="207812A0">
            <w:pPr>
              <w:rPr>
                <w:rFonts w:hint="default"/>
                <w:vertAlign w:val="baseline"/>
                <w:lang w:val="en-US" w:eastAsia="zh-CN"/>
              </w:rPr>
            </w:pPr>
            <w:r>
              <w:rPr>
                <w:rFonts w:ascii="Times New Roman" w:hAnsi="Times New Roman" w:eastAsia="仿宋_GB2312" w:cs="Times New Roman"/>
                <w:color w:val="C00000"/>
                <w:sz w:val="32"/>
                <w:szCs w:val="32"/>
              </w:rPr>
              <w:t>第</w:t>
            </w:r>
            <w:r>
              <w:rPr>
                <w:rFonts w:hint="eastAsia" w:ascii="Times New Roman" w:hAnsi="Times New Roman" w:eastAsia="仿宋_GB2312" w:cs="Times New Roman"/>
                <w:color w:val="C00000"/>
                <w:sz w:val="32"/>
                <w:szCs w:val="32"/>
                <w:lang w:val="en-US" w:eastAsia="zh-CN"/>
              </w:rPr>
              <w:t>五十一</w:t>
            </w:r>
            <w:r>
              <w:rPr>
                <w:rFonts w:ascii="Times New Roman" w:hAnsi="Times New Roman" w:eastAsia="仿宋_GB2312" w:cs="Times New Roman"/>
                <w:color w:val="C00000"/>
                <w:sz w:val="32"/>
                <w:szCs w:val="32"/>
              </w:rPr>
              <w:t>条</w:t>
            </w:r>
          </w:p>
        </w:tc>
        <w:tc>
          <w:tcPr>
            <w:tcW w:w="2377" w:type="dxa"/>
          </w:tcPr>
          <w:p w14:paraId="0BA2407E">
            <w:pPr>
              <w:ind w:firstLine="640" w:firstLineChars="200"/>
              <w:rPr>
                <w:rFonts w:hint="default"/>
                <w:vertAlign w:val="baseline"/>
                <w:lang w:val="en-US" w:eastAsia="zh-CN"/>
              </w:rPr>
            </w:pPr>
            <w:r>
              <w:rPr>
                <w:rFonts w:hint="eastAsia" w:ascii="Times New Roman" w:hAnsi="Times New Roman" w:eastAsia="仿宋_GB2312" w:cs="Times New Roman"/>
                <w:color w:val="C00000"/>
                <w:sz w:val="32"/>
                <w:szCs w:val="32"/>
                <w:lang w:eastAsia="zh-CN"/>
              </w:rPr>
              <w:t>【</w:t>
            </w:r>
            <w:r>
              <w:rPr>
                <w:rFonts w:hint="eastAsia" w:ascii="Times New Roman" w:hAnsi="Times New Roman" w:eastAsia="仿宋_GB2312" w:cs="Times New Roman"/>
                <w:color w:val="C00000"/>
                <w:sz w:val="32"/>
                <w:szCs w:val="32"/>
                <w:lang w:val="en-US" w:eastAsia="zh-CN"/>
              </w:rPr>
              <w:t>兜底条款</w:t>
            </w:r>
            <w:r>
              <w:rPr>
                <w:rFonts w:hint="eastAsia" w:ascii="Times New Roman" w:hAnsi="Times New Roman" w:eastAsia="仿宋_GB2312" w:cs="Times New Roman"/>
                <w:color w:val="C00000"/>
                <w:sz w:val="32"/>
                <w:szCs w:val="32"/>
                <w:lang w:eastAsia="zh-CN"/>
              </w:rPr>
              <w:t>】</w:t>
            </w:r>
            <w:r>
              <w:rPr>
                <w:rFonts w:hint="eastAsia" w:ascii="Times New Roman" w:hAnsi="Times New Roman" w:eastAsia="仿宋_GB2312" w:cs="仿宋"/>
                <w:color w:val="C00000"/>
                <w:sz w:val="32"/>
                <w:szCs w:val="32"/>
                <w:u w:val="none"/>
              </w:rPr>
              <w:t>法律、行政法规</w:t>
            </w:r>
            <w:r>
              <w:rPr>
                <w:rFonts w:hint="eastAsia" w:ascii="Times New Roman" w:hAnsi="Times New Roman" w:eastAsia="仿宋_GB2312" w:cs="仿宋"/>
                <w:color w:val="C00000"/>
                <w:sz w:val="32"/>
                <w:szCs w:val="32"/>
                <w:u w:val="none"/>
                <w:lang w:eastAsia="zh-CN"/>
              </w:rPr>
              <w:t>、</w:t>
            </w:r>
            <w:r>
              <w:rPr>
                <w:rFonts w:hint="eastAsia" w:ascii="Times New Roman" w:hAnsi="Times New Roman" w:eastAsia="仿宋_GB2312" w:cs="仿宋"/>
                <w:color w:val="C00000"/>
                <w:sz w:val="32"/>
                <w:szCs w:val="32"/>
                <w:u w:val="none"/>
              </w:rPr>
              <w:t>省级地方性法规和国家另有规定的，依照其规定。</w:t>
            </w:r>
          </w:p>
        </w:tc>
        <w:tc>
          <w:tcPr>
            <w:tcW w:w="1033" w:type="dxa"/>
          </w:tcPr>
          <w:p w14:paraId="06ACFFBC">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红字部分为新增内容</w:t>
            </w:r>
          </w:p>
        </w:tc>
      </w:tr>
      <w:tr w14:paraId="4FE4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5AFAE68A">
            <w:pPr>
              <w:rPr>
                <w:rFonts w:hint="default"/>
                <w:vertAlign w:val="baseline"/>
                <w:lang w:val="en-US" w:eastAsia="zh-CN"/>
              </w:rPr>
            </w:pPr>
            <w:r>
              <w:rPr>
                <w:rFonts w:ascii="Times New Roman" w:hAnsi="Times New Roman" w:eastAsia="仿宋_GB2312" w:cs="Times New Roman"/>
                <w:sz w:val="32"/>
                <w:szCs w:val="32"/>
              </w:rPr>
              <w:t>第三十九条</w:t>
            </w:r>
          </w:p>
        </w:tc>
        <w:tc>
          <w:tcPr>
            <w:tcW w:w="2415" w:type="dxa"/>
          </w:tcPr>
          <w:p w14:paraId="5AF7A03D">
            <w:pPr>
              <w:rPr>
                <w:rFonts w:hint="default"/>
                <w:vertAlign w:val="baseline"/>
                <w:lang w:val="en-US" w:eastAsia="zh-CN"/>
              </w:rPr>
            </w:pPr>
            <w:r>
              <w:rPr>
                <w:rFonts w:ascii="Times New Roman" w:hAnsi="Times New Roman" w:eastAsia="仿宋_GB2312" w:cs="Times New Roman"/>
                <w:sz w:val="32"/>
                <w:szCs w:val="32"/>
              </w:rPr>
              <w:t>本办法由黑龙江省医疗保障局负责解释。</w:t>
            </w:r>
          </w:p>
        </w:tc>
        <w:tc>
          <w:tcPr>
            <w:tcW w:w="1394" w:type="dxa"/>
          </w:tcPr>
          <w:p w14:paraId="4A7DAED1">
            <w:pPr>
              <w:rPr>
                <w:rFonts w:hint="default"/>
                <w:vertAlign w:val="baseline"/>
                <w:lang w:val="en-US" w:eastAsia="zh-CN"/>
              </w:rPr>
            </w:pPr>
          </w:p>
        </w:tc>
        <w:tc>
          <w:tcPr>
            <w:tcW w:w="2377" w:type="dxa"/>
          </w:tcPr>
          <w:p w14:paraId="11CABD95">
            <w:pPr>
              <w:rPr>
                <w:rFonts w:hint="default"/>
                <w:vertAlign w:val="baseline"/>
                <w:lang w:val="en-US" w:eastAsia="zh-CN"/>
              </w:rPr>
            </w:pPr>
          </w:p>
        </w:tc>
        <w:tc>
          <w:tcPr>
            <w:tcW w:w="1033" w:type="dxa"/>
          </w:tcPr>
          <w:p w14:paraId="1729D60A">
            <w:pPr>
              <w:rPr>
                <w:rFonts w:hint="default"/>
                <w:vertAlign w:val="baseline"/>
                <w:lang w:val="en-US" w:eastAsia="zh-CN"/>
              </w:rPr>
            </w:pPr>
            <w:r>
              <w:rPr>
                <w:rFonts w:hint="eastAsia" w:ascii="仿宋_GB2312" w:hAnsi="仿宋_GB2312" w:eastAsia="仿宋_GB2312" w:cs="仿宋_GB2312"/>
                <w:sz w:val="32"/>
                <w:szCs w:val="32"/>
                <w:vertAlign w:val="baseline"/>
                <w:lang w:val="en-US" w:eastAsia="zh-CN"/>
              </w:rPr>
              <w:t>本条删除</w:t>
            </w:r>
          </w:p>
        </w:tc>
      </w:tr>
      <w:tr w14:paraId="1D6D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068C352C">
            <w:pPr>
              <w:rPr>
                <w:rFonts w:hint="default"/>
                <w:vertAlign w:val="baseline"/>
                <w:lang w:val="en-US" w:eastAsia="zh-CN"/>
              </w:rPr>
            </w:pPr>
            <w:r>
              <w:rPr>
                <w:rFonts w:ascii="Times New Roman" w:hAnsi="Times New Roman" w:eastAsia="仿宋_GB2312" w:cs="Times New Roman"/>
                <w:sz w:val="32"/>
                <w:szCs w:val="32"/>
              </w:rPr>
              <w:t>第四十条</w:t>
            </w:r>
          </w:p>
        </w:tc>
        <w:tc>
          <w:tcPr>
            <w:tcW w:w="2415" w:type="dxa"/>
          </w:tcPr>
          <w:p w14:paraId="38332D18">
            <w:pPr>
              <w:ind w:firstLine="640" w:firstLineChars="200"/>
              <w:rPr>
                <w:rFonts w:hint="default"/>
                <w:vertAlign w:val="baseline"/>
                <w:lang w:val="en-US" w:eastAsia="zh-CN"/>
              </w:rPr>
            </w:pPr>
            <w:r>
              <w:rPr>
                <w:rFonts w:ascii="Times New Roman" w:hAnsi="Times New Roman" w:eastAsia="仿宋_GB2312" w:cs="Times New Roman"/>
                <w:sz w:val="32"/>
                <w:szCs w:val="32"/>
              </w:rPr>
              <w:t>本办法自2022年6月1日起施行。</w:t>
            </w:r>
          </w:p>
        </w:tc>
        <w:tc>
          <w:tcPr>
            <w:tcW w:w="1394" w:type="dxa"/>
          </w:tcPr>
          <w:p w14:paraId="21EB068A">
            <w:pPr>
              <w:rPr>
                <w:rFonts w:hint="default"/>
                <w:vertAlign w:val="baseline"/>
                <w:lang w:val="en-US" w:eastAsia="zh-CN"/>
              </w:rPr>
            </w:pPr>
            <w:r>
              <w:rPr>
                <w:rFonts w:ascii="Times New Roman" w:hAnsi="Times New Roman" w:eastAsia="仿宋_GB2312" w:cs="Times New Roman"/>
                <w:color w:val="C00000"/>
                <w:sz w:val="32"/>
                <w:szCs w:val="32"/>
              </w:rPr>
              <w:t>第</w:t>
            </w:r>
            <w:r>
              <w:rPr>
                <w:rFonts w:hint="eastAsia" w:ascii="Times New Roman" w:hAnsi="Times New Roman" w:eastAsia="仿宋_GB2312" w:cs="Times New Roman"/>
                <w:color w:val="C00000"/>
                <w:sz w:val="32"/>
                <w:szCs w:val="32"/>
                <w:lang w:val="en-US" w:eastAsia="zh-CN"/>
              </w:rPr>
              <w:t>五十二</w:t>
            </w:r>
            <w:r>
              <w:rPr>
                <w:rFonts w:ascii="Times New Roman" w:hAnsi="Times New Roman" w:eastAsia="仿宋_GB2312" w:cs="Times New Roman"/>
                <w:color w:val="C00000"/>
                <w:sz w:val="32"/>
                <w:szCs w:val="32"/>
              </w:rPr>
              <w:t>条</w:t>
            </w:r>
          </w:p>
        </w:tc>
        <w:tc>
          <w:tcPr>
            <w:tcW w:w="2377" w:type="dxa"/>
          </w:tcPr>
          <w:p w14:paraId="2D87E7FD">
            <w:pPr>
              <w:ind w:firstLine="640" w:firstLineChars="200"/>
              <w:rPr>
                <w:rFonts w:hint="default"/>
                <w:vertAlign w:val="baseline"/>
                <w:lang w:val="en-US" w:eastAsia="zh-CN"/>
              </w:rPr>
            </w:pPr>
            <w:r>
              <w:rPr>
                <w:rFonts w:hint="eastAsia" w:ascii="Times New Roman" w:hAnsi="Times New Roman" w:eastAsia="仿宋_GB2312" w:cs="Times New Roman"/>
                <w:color w:val="C00000"/>
                <w:sz w:val="32"/>
                <w:szCs w:val="32"/>
                <w:lang w:eastAsia="zh-CN"/>
              </w:rPr>
              <w:t>【</w:t>
            </w:r>
            <w:r>
              <w:rPr>
                <w:rFonts w:hint="eastAsia" w:ascii="Times New Roman" w:hAnsi="Times New Roman" w:eastAsia="仿宋_GB2312" w:cs="Times New Roman"/>
                <w:color w:val="C00000"/>
                <w:sz w:val="32"/>
                <w:szCs w:val="32"/>
                <w:lang w:val="en-US" w:eastAsia="zh-CN"/>
              </w:rPr>
              <w:t>生效日期与有效期</w:t>
            </w:r>
            <w:r>
              <w:rPr>
                <w:rFonts w:hint="eastAsia" w:ascii="Times New Roman" w:hAnsi="Times New Roman" w:eastAsia="仿宋_GB2312" w:cs="Times New Roman"/>
                <w:color w:val="C00000"/>
                <w:sz w:val="32"/>
                <w:szCs w:val="32"/>
                <w:lang w:eastAsia="zh-CN"/>
              </w:rPr>
              <w:t>】</w:t>
            </w:r>
            <w:r>
              <w:rPr>
                <w:rFonts w:ascii="Times New Roman" w:hAnsi="Times New Roman" w:eastAsia="仿宋_GB2312" w:cs="Times New Roman"/>
                <w:color w:val="C00000"/>
                <w:sz w:val="32"/>
                <w:szCs w:val="32"/>
              </w:rPr>
              <w:t>本办法自202</w:t>
            </w:r>
            <w:r>
              <w:rPr>
                <w:rFonts w:hint="eastAsia" w:ascii="Times New Roman" w:hAnsi="Times New Roman" w:eastAsia="仿宋_GB2312" w:cs="Times New Roman"/>
                <w:color w:val="C00000"/>
                <w:sz w:val="32"/>
                <w:szCs w:val="32"/>
                <w:lang w:val="en-US" w:eastAsia="zh-CN"/>
              </w:rPr>
              <w:t>5</w:t>
            </w:r>
            <w:r>
              <w:rPr>
                <w:rFonts w:ascii="Times New Roman" w:hAnsi="Times New Roman" w:eastAsia="仿宋_GB2312" w:cs="Times New Roman"/>
                <w:color w:val="C00000"/>
                <w:sz w:val="32"/>
                <w:szCs w:val="32"/>
              </w:rPr>
              <w:t>年</w:t>
            </w:r>
            <w:r>
              <w:rPr>
                <w:rFonts w:hint="eastAsia" w:ascii="Times New Roman" w:hAnsi="Times New Roman" w:eastAsia="仿宋_GB2312" w:cs="Times New Roman"/>
                <w:color w:val="C00000"/>
                <w:sz w:val="32"/>
                <w:szCs w:val="32"/>
                <w:lang w:val="en-US" w:eastAsia="zh-CN"/>
              </w:rPr>
              <w:t>1</w:t>
            </w:r>
            <w:r>
              <w:rPr>
                <w:rFonts w:ascii="Times New Roman" w:hAnsi="Times New Roman" w:eastAsia="仿宋_GB2312" w:cs="Times New Roman"/>
                <w:color w:val="C00000"/>
                <w:sz w:val="32"/>
                <w:szCs w:val="32"/>
              </w:rPr>
              <w:t>月1日起施行</w:t>
            </w:r>
            <w:r>
              <w:rPr>
                <w:rFonts w:hint="eastAsia" w:ascii="Times New Roman" w:hAnsi="Times New Roman" w:eastAsia="仿宋_GB2312" w:cs="Times New Roman"/>
                <w:color w:val="C00000"/>
                <w:sz w:val="32"/>
                <w:szCs w:val="32"/>
                <w:lang w:eastAsia="zh-CN"/>
              </w:rPr>
              <w:t>，</w:t>
            </w:r>
            <w:r>
              <w:rPr>
                <w:rFonts w:hint="eastAsia" w:ascii="Times New Roman" w:hAnsi="Times New Roman" w:eastAsia="仿宋_GB2312" w:cs="Times New Roman"/>
                <w:color w:val="C00000"/>
                <w:sz w:val="32"/>
                <w:szCs w:val="32"/>
                <w:lang w:val="en-US" w:eastAsia="zh-CN"/>
              </w:rPr>
              <w:t>有效期5年</w:t>
            </w:r>
            <w:r>
              <w:rPr>
                <w:rFonts w:ascii="Times New Roman" w:hAnsi="Times New Roman" w:eastAsia="仿宋_GB2312" w:cs="Times New Roman"/>
                <w:color w:val="C00000"/>
                <w:sz w:val="32"/>
                <w:szCs w:val="32"/>
              </w:rPr>
              <w:t>。</w:t>
            </w:r>
          </w:p>
        </w:tc>
        <w:tc>
          <w:tcPr>
            <w:tcW w:w="1033" w:type="dxa"/>
          </w:tcPr>
          <w:p w14:paraId="0842BB96">
            <w:pPr>
              <w:rPr>
                <w:rFonts w:hint="default"/>
                <w:vertAlign w:val="baseline"/>
                <w:lang w:val="en-US" w:eastAsia="zh-CN"/>
              </w:rPr>
            </w:pPr>
            <w:r>
              <w:rPr>
                <w:rFonts w:hint="eastAsia" w:ascii="仿宋_GB2312" w:hAnsi="仿宋_GB2312" w:eastAsia="仿宋_GB2312" w:cs="仿宋_GB2312"/>
                <w:color w:val="C00000"/>
                <w:sz w:val="32"/>
                <w:szCs w:val="32"/>
                <w:vertAlign w:val="baseline"/>
                <w:lang w:val="en-US" w:eastAsia="zh-CN"/>
              </w:rPr>
              <w:t>红字部分为新增内容</w:t>
            </w:r>
          </w:p>
        </w:tc>
      </w:tr>
      <w:tr w14:paraId="400A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198A8037">
            <w:pPr>
              <w:rPr>
                <w:rFonts w:hint="default"/>
                <w:vertAlign w:val="baseline"/>
                <w:lang w:val="en-US" w:eastAsia="zh-CN"/>
              </w:rPr>
            </w:pPr>
          </w:p>
        </w:tc>
        <w:tc>
          <w:tcPr>
            <w:tcW w:w="2415" w:type="dxa"/>
          </w:tcPr>
          <w:p w14:paraId="0A06D63A">
            <w:pPr>
              <w:spacing w:line="560" w:lineRule="exact"/>
              <w:jc w:val="left"/>
              <w:outlineLvl w:val="0"/>
              <w:rPr>
                <w:rFonts w:hint="eastAsia" w:ascii="Times New Roman" w:hAnsi="Times New Roman" w:eastAsia="仿宋"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附件</w:t>
            </w:r>
            <w:r>
              <w:rPr>
                <w:rFonts w:hint="eastAsia" w:ascii="Times New Roman" w:hAnsi="Times New Roman" w:eastAsia="仿宋" w:cs="Times New Roman"/>
                <w:color w:val="000000" w:themeColor="text1"/>
                <w:sz w:val="32"/>
                <w:szCs w:val="32"/>
                <w14:textFill>
                  <w14:solidFill>
                    <w14:schemeClr w14:val="tx1"/>
                  </w14:solidFill>
                </w14:textFill>
              </w:rPr>
              <w:t>：</w:t>
            </w:r>
          </w:p>
          <w:p w14:paraId="36DC8933">
            <w:pPr>
              <w:spacing w:line="560" w:lineRule="exact"/>
              <w:jc w:val="left"/>
              <w:outlineLvl w:val="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1.黑龙江省医疗保障信用异议信息处理申请表</w:t>
            </w:r>
          </w:p>
          <w:p w14:paraId="7F5A1528">
            <w:pPr>
              <w:spacing w:line="560" w:lineRule="exact"/>
              <w:jc w:val="left"/>
              <w:outlineLvl w:val="0"/>
              <w:rPr>
                <w:rFonts w:ascii="Times New Roman" w:hAnsi="Times New Roman" w:eastAsia="仿宋_GB2312" w:cs="Times New Roman"/>
                <w:color w:val="000000" w:themeColor="text1"/>
                <w:spacing w:val="-11"/>
                <w:sz w:val="32"/>
                <w:szCs w:val="32"/>
                <w14:textFill>
                  <w14:solidFill>
                    <w14:schemeClr w14:val="tx1"/>
                  </w14:solidFill>
                </w14:textFill>
              </w:rPr>
            </w:pPr>
            <w:r>
              <w:rPr>
                <w:rFonts w:ascii="Times New Roman" w:hAnsi="Times New Roman" w:eastAsia="仿宋_GB2312" w:cs="Times New Roman"/>
                <w:color w:val="000000" w:themeColor="text1"/>
                <w:spacing w:val="-11"/>
                <w:sz w:val="32"/>
                <w:szCs w:val="32"/>
                <w14:textFill>
                  <w14:solidFill>
                    <w14:schemeClr w14:val="tx1"/>
                  </w14:solidFill>
                </w14:textFill>
              </w:rPr>
              <w:t>2.黑龙江省医疗保障信用异议信息处理结果反馈单</w:t>
            </w:r>
          </w:p>
          <w:p w14:paraId="5E0FAD4C">
            <w:pPr>
              <w:spacing w:line="560" w:lineRule="exact"/>
              <w:jc w:val="left"/>
              <w:outlineLvl w:val="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3.黑龙江省医疗保障信用修复申请表</w:t>
            </w:r>
          </w:p>
          <w:p w14:paraId="69D22378">
            <w:pPr>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4.不予信用修复告知书</w:t>
            </w:r>
          </w:p>
          <w:p w14:paraId="209115B2">
            <w:pPr>
              <w:spacing w:line="560" w:lineRule="exact"/>
              <w:jc w:val="left"/>
              <w:outlineLvl w:val="0"/>
              <w:rPr>
                <w:rFonts w:hint="default"/>
                <w:vertAlign w:val="baseline"/>
                <w:lang w:val="en-US" w:eastAsia="zh-CN"/>
              </w:rPr>
            </w:pPr>
            <w:r>
              <w:rPr>
                <w:rFonts w:ascii="Times New Roman" w:hAnsi="Times New Roman" w:eastAsia="仿宋_GB2312" w:cs="Times New Roman"/>
                <w:color w:val="000000" w:themeColor="text1"/>
                <w:sz w:val="32"/>
                <w:szCs w:val="32"/>
                <w14:textFill>
                  <w14:solidFill>
                    <w14:schemeClr w14:val="tx1"/>
                  </w14:solidFill>
                </w14:textFill>
              </w:rPr>
              <w:t>5.黑龙江省医疗保障信用修复确认通知书</w:t>
            </w:r>
          </w:p>
        </w:tc>
        <w:tc>
          <w:tcPr>
            <w:tcW w:w="1394" w:type="dxa"/>
          </w:tcPr>
          <w:p w14:paraId="144FA5AD">
            <w:pPr>
              <w:rPr>
                <w:rFonts w:hint="default"/>
                <w:vertAlign w:val="baseline"/>
                <w:lang w:val="en-US" w:eastAsia="zh-CN"/>
              </w:rPr>
            </w:pPr>
          </w:p>
        </w:tc>
        <w:tc>
          <w:tcPr>
            <w:tcW w:w="2377" w:type="dxa"/>
          </w:tcPr>
          <w:p w14:paraId="332ACF0B">
            <w:pPr>
              <w:spacing w:line="560" w:lineRule="exact"/>
              <w:jc w:val="left"/>
              <w:outlineLvl w:val="0"/>
              <w:rPr>
                <w:rFonts w:hint="eastAsia" w:ascii="Times New Roman" w:hAnsi="Times New Roman" w:eastAsia="仿宋"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附件</w:t>
            </w:r>
            <w:r>
              <w:rPr>
                <w:rFonts w:hint="eastAsia" w:ascii="Times New Roman" w:hAnsi="Times New Roman" w:eastAsia="仿宋" w:cs="Times New Roman"/>
                <w:color w:val="000000" w:themeColor="text1"/>
                <w:sz w:val="32"/>
                <w:szCs w:val="32"/>
                <w14:textFill>
                  <w14:solidFill>
                    <w14:schemeClr w14:val="tx1"/>
                  </w14:solidFill>
                </w14:textFill>
              </w:rPr>
              <w:t>：</w:t>
            </w:r>
          </w:p>
          <w:p w14:paraId="6A6B8E23">
            <w:pPr>
              <w:spacing w:line="560" w:lineRule="exact"/>
              <w:jc w:val="left"/>
              <w:outlineLvl w:val="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1.黑龙江省医疗保障信用异议信息处理申请表</w:t>
            </w:r>
          </w:p>
          <w:p w14:paraId="419607EE">
            <w:pPr>
              <w:spacing w:line="560" w:lineRule="exact"/>
              <w:jc w:val="left"/>
              <w:outlineLvl w:val="0"/>
              <w:rPr>
                <w:rFonts w:ascii="Times New Roman" w:hAnsi="Times New Roman" w:eastAsia="仿宋_GB2312" w:cs="Times New Roman"/>
                <w:color w:val="000000" w:themeColor="text1"/>
                <w:spacing w:val="-11"/>
                <w:sz w:val="32"/>
                <w:szCs w:val="32"/>
                <w14:textFill>
                  <w14:solidFill>
                    <w14:schemeClr w14:val="tx1"/>
                  </w14:solidFill>
                </w14:textFill>
              </w:rPr>
            </w:pPr>
            <w:r>
              <w:rPr>
                <w:rFonts w:ascii="Times New Roman" w:hAnsi="Times New Roman" w:eastAsia="仿宋_GB2312" w:cs="Times New Roman"/>
                <w:color w:val="000000" w:themeColor="text1"/>
                <w:spacing w:val="-11"/>
                <w:sz w:val="32"/>
                <w:szCs w:val="32"/>
                <w14:textFill>
                  <w14:solidFill>
                    <w14:schemeClr w14:val="tx1"/>
                  </w14:solidFill>
                </w14:textFill>
              </w:rPr>
              <w:t>2.黑龙江省医疗保障信用异议信息处理结果反馈单</w:t>
            </w:r>
          </w:p>
          <w:p w14:paraId="709886EA">
            <w:pPr>
              <w:spacing w:line="560" w:lineRule="exact"/>
              <w:jc w:val="left"/>
              <w:outlineLvl w:val="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3.黑龙江省医疗保障信用修复申请表</w:t>
            </w:r>
          </w:p>
          <w:p w14:paraId="46AEB339">
            <w:pPr>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4.不予信用修复告知书</w:t>
            </w:r>
          </w:p>
          <w:p w14:paraId="181E5CD5">
            <w:pPr>
              <w:rPr>
                <w:rFonts w:hint="default"/>
                <w:vertAlign w:val="baseline"/>
                <w:lang w:val="en-US" w:eastAsia="zh-CN"/>
              </w:rPr>
            </w:pPr>
            <w:r>
              <w:rPr>
                <w:rFonts w:ascii="Times New Roman" w:hAnsi="Times New Roman" w:eastAsia="仿宋_GB2312" w:cs="Times New Roman"/>
                <w:color w:val="000000" w:themeColor="text1"/>
                <w:sz w:val="32"/>
                <w:szCs w:val="32"/>
                <w14:textFill>
                  <w14:solidFill>
                    <w14:schemeClr w14:val="tx1"/>
                  </w14:solidFill>
                </w14:textFill>
              </w:rPr>
              <w:t>5.黑龙江省医疗保障信用修复确认通知书</w:t>
            </w:r>
          </w:p>
        </w:tc>
        <w:tc>
          <w:tcPr>
            <w:tcW w:w="1033" w:type="dxa"/>
          </w:tcPr>
          <w:p w14:paraId="3A1FA8E2">
            <w:pPr>
              <w:rPr>
                <w:rFonts w:hint="default"/>
                <w:vertAlign w:val="baseline"/>
                <w:lang w:val="en-US" w:eastAsia="zh-CN"/>
              </w:rPr>
            </w:pPr>
          </w:p>
        </w:tc>
      </w:tr>
    </w:tbl>
    <w:p w14:paraId="23CDB009">
      <w:pPr>
        <w:rPr>
          <w:rFonts w:hint="default"/>
          <w:lang w:val="en-US" w:eastAsia="zh-CN"/>
        </w:rPr>
      </w:pPr>
    </w:p>
    <w:p w14:paraId="1D51B80C">
      <w:pPr>
        <w:pStyle w:val="11"/>
        <w:rPr>
          <w:rFonts w:hint="default"/>
          <w:lang w:val="en-US" w:eastAsia="zh-CN"/>
        </w:rPr>
      </w:pPr>
    </w:p>
    <w:p w14:paraId="7ABA7D03">
      <w:pPr>
        <w:rPr>
          <w:rFonts w:hint="default"/>
          <w:lang w:val="en-US" w:eastAsia="zh-CN"/>
        </w:rPr>
      </w:pPr>
    </w:p>
    <w:p w14:paraId="422A16E1">
      <w:pPr>
        <w:pStyle w:val="2"/>
        <w:rPr>
          <w:rFonts w:hint="default"/>
          <w:lang w:val="en-US" w:eastAsia="zh-CN"/>
        </w:rPr>
      </w:pPr>
    </w:p>
    <w:p w14:paraId="32C26C79">
      <w:pPr>
        <w:rPr>
          <w:rFonts w:hint="default"/>
          <w:lang w:val="en-US" w:eastAsia="zh-CN"/>
        </w:rPr>
      </w:pPr>
    </w:p>
    <w:p w14:paraId="4A27525E">
      <w:pPr>
        <w:pStyle w:val="2"/>
        <w:rPr>
          <w:rFonts w:hint="default"/>
          <w:lang w:val="en-US" w:eastAsia="zh-CN"/>
        </w:rPr>
      </w:pPr>
    </w:p>
    <w:p w14:paraId="17108B8D">
      <w:pPr>
        <w:rPr>
          <w:rFonts w:hint="default"/>
          <w:lang w:val="en-US" w:eastAsia="zh-CN"/>
        </w:rPr>
      </w:pPr>
    </w:p>
    <w:p w14:paraId="79634C4D">
      <w:pPr>
        <w:pStyle w:val="2"/>
        <w:rPr>
          <w:rFonts w:hint="default"/>
          <w:lang w:val="en-US" w:eastAsia="zh-CN"/>
        </w:rPr>
      </w:pPr>
    </w:p>
    <w:p w14:paraId="490F845F">
      <w:pPr>
        <w:rPr>
          <w:rFonts w:hint="default"/>
          <w:lang w:val="en-US" w:eastAsia="zh-CN"/>
        </w:rPr>
      </w:pPr>
    </w:p>
    <w:p w14:paraId="6E96549E">
      <w:pPr>
        <w:pStyle w:val="2"/>
        <w:rPr>
          <w:rFonts w:hint="default"/>
          <w:lang w:val="en-US" w:eastAsia="zh-CN"/>
        </w:rPr>
      </w:pPr>
    </w:p>
    <w:p w14:paraId="01CF990E">
      <w:pPr>
        <w:rPr>
          <w:rFonts w:hint="default"/>
          <w:lang w:val="en-US" w:eastAsia="zh-CN"/>
        </w:rPr>
      </w:pPr>
    </w:p>
    <w:p w14:paraId="6EC561BD">
      <w:pPr>
        <w:pStyle w:val="2"/>
        <w:rPr>
          <w:rFonts w:hint="default"/>
          <w:lang w:val="en-US" w:eastAsia="zh-CN"/>
        </w:rPr>
      </w:pPr>
    </w:p>
    <w:p w14:paraId="2CF0D5FE">
      <w:pPr>
        <w:rPr>
          <w:rFonts w:hint="default"/>
          <w:lang w:val="en-US" w:eastAsia="zh-CN"/>
        </w:rPr>
      </w:pPr>
    </w:p>
    <w:p w14:paraId="4A598ABB">
      <w:pPr>
        <w:pStyle w:val="2"/>
        <w:rPr>
          <w:rFonts w:hint="default"/>
          <w:lang w:val="en-US" w:eastAsia="zh-CN"/>
        </w:rPr>
      </w:pPr>
    </w:p>
    <w:p w14:paraId="24633661">
      <w:pPr>
        <w:rPr>
          <w:rFonts w:hint="default"/>
          <w:lang w:val="en-US" w:eastAsia="zh-CN"/>
        </w:rPr>
      </w:pPr>
    </w:p>
    <w:p w14:paraId="28536FBE">
      <w:pPr>
        <w:pStyle w:val="2"/>
        <w:rPr>
          <w:rFonts w:hint="default"/>
          <w:lang w:val="en-US" w:eastAsia="zh-CN"/>
        </w:rPr>
      </w:pPr>
    </w:p>
    <w:p w14:paraId="161BFEC7">
      <w:pPr>
        <w:rPr>
          <w:rFonts w:hint="default"/>
          <w:lang w:val="en-US" w:eastAsia="zh-CN"/>
        </w:rPr>
      </w:pPr>
    </w:p>
    <w:p w14:paraId="0DAF484E">
      <w:pPr>
        <w:pStyle w:val="2"/>
        <w:rPr>
          <w:rFonts w:hint="default"/>
          <w:lang w:val="en-US" w:eastAsia="zh-CN"/>
        </w:rPr>
      </w:pPr>
    </w:p>
    <w:p w14:paraId="54324818">
      <w:pPr>
        <w:rPr>
          <w:rFonts w:hint="default"/>
          <w:lang w:val="en-US" w:eastAsia="zh-CN"/>
        </w:rPr>
      </w:pPr>
    </w:p>
    <w:p w14:paraId="3FB3611A">
      <w:pPr>
        <w:pStyle w:val="2"/>
        <w:rPr>
          <w:rFonts w:hint="default"/>
          <w:lang w:val="en-US" w:eastAsia="zh-CN"/>
        </w:rPr>
      </w:pPr>
    </w:p>
    <w:p w14:paraId="65C142BB">
      <w:pPr>
        <w:rPr>
          <w:rFonts w:hint="default"/>
          <w:lang w:val="en-US" w:eastAsia="zh-CN"/>
        </w:rPr>
      </w:pPr>
    </w:p>
    <w:p w14:paraId="02DF6D80">
      <w:pPr>
        <w:pStyle w:val="2"/>
        <w:rPr>
          <w:rFonts w:hint="default"/>
          <w:lang w:val="en-US" w:eastAsia="zh-CN"/>
        </w:rPr>
      </w:pPr>
    </w:p>
    <w:p w14:paraId="60CBF918">
      <w:pPr>
        <w:rPr>
          <w:rFonts w:hint="default"/>
          <w:lang w:val="en-US" w:eastAsia="zh-CN"/>
        </w:rPr>
      </w:pPr>
    </w:p>
    <w:p w14:paraId="0647067B">
      <w:pPr>
        <w:pStyle w:val="2"/>
        <w:rPr>
          <w:rFonts w:hint="default"/>
          <w:lang w:val="en-US" w:eastAsia="zh-CN"/>
        </w:rPr>
      </w:pPr>
    </w:p>
    <w:p w14:paraId="2658D05B">
      <w:pPr>
        <w:rPr>
          <w:rFonts w:hint="default"/>
          <w:lang w:val="en-US" w:eastAsia="zh-CN"/>
        </w:rPr>
      </w:pPr>
    </w:p>
    <w:p w14:paraId="497EBC77">
      <w:pPr>
        <w:pStyle w:val="2"/>
        <w:rPr>
          <w:rFonts w:hint="default"/>
          <w:lang w:val="en-US" w:eastAsia="zh-CN"/>
        </w:rPr>
      </w:pPr>
    </w:p>
    <w:p w14:paraId="03578C1A">
      <w:pPr>
        <w:rPr>
          <w:rFonts w:hint="default"/>
          <w:lang w:val="en-US" w:eastAsia="zh-CN"/>
        </w:rPr>
      </w:pPr>
    </w:p>
    <w:p w14:paraId="541013F7">
      <w:pPr>
        <w:pStyle w:val="2"/>
        <w:rPr>
          <w:rFonts w:hint="default"/>
          <w:lang w:val="en-US" w:eastAsia="zh-CN"/>
        </w:rPr>
      </w:pPr>
    </w:p>
    <w:p w14:paraId="128F34B5">
      <w:pPr>
        <w:rPr>
          <w:rFonts w:hint="default"/>
          <w:lang w:val="en-US" w:eastAsia="zh-CN"/>
        </w:rPr>
      </w:pPr>
    </w:p>
    <w:p w14:paraId="6EA5EA73">
      <w:pPr>
        <w:pStyle w:val="2"/>
        <w:rPr>
          <w:rFonts w:hint="default"/>
          <w:lang w:val="en-US" w:eastAsia="zh-CN"/>
        </w:rPr>
      </w:pPr>
    </w:p>
    <w:p w14:paraId="650FCE57">
      <w:pPr>
        <w:rPr>
          <w:rFonts w:hint="default"/>
          <w:lang w:val="en-US" w:eastAsia="zh-CN"/>
        </w:rPr>
      </w:pPr>
    </w:p>
    <w:p w14:paraId="40978633">
      <w:pPr>
        <w:rPr>
          <w:rFonts w:hint="default"/>
          <w:lang w:val="en-US" w:eastAsia="zh-CN"/>
        </w:rPr>
      </w:pPr>
    </w:p>
    <w:p w14:paraId="4EBCC68E">
      <w:pPr>
        <w:widowControl/>
        <w:shd w:val="clear" w:color="auto" w:fill="FFFFFF"/>
        <w:spacing w:line="560" w:lineRule="exact"/>
        <w:jc w:val="left"/>
        <w:rPr>
          <w:rFonts w:ascii="Times New Roman" w:hAnsi="Times New Roman" w:eastAsia="黑体" w:cs="Times New Roman"/>
          <w:color w:val="000000" w:themeColor="text1"/>
          <w:kern w:val="0"/>
          <w:sz w:val="32"/>
          <w:szCs w:val="32"/>
          <w14:textFill>
            <w14:solidFill>
              <w14:schemeClr w14:val="tx1"/>
            </w14:solidFill>
          </w14:textFill>
        </w:rPr>
      </w:pPr>
    </w:p>
    <w:p w14:paraId="655A5CE0">
      <w:pPr>
        <w:widowControl/>
        <w:shd w:val="clear" w:color="auto" w:fill="FFFFFF"/>
        <w:spacing w:line="560" w:lineRule="exact"/>
        <w:jc w:val="left"/>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附件1</w:t>
      </w:r>
    </w:p>
    <w:p w14:paraId="3E484014">
      <w:pPr>
        <w:pStyle w:val="2"/>
        <w:spacing w:line="560" w:lineRule="exact"/>
      </w:pPr>
    </w:p>
    <w:p w14:paraId="1C72C6B7">
      <w:pPr>
        <w:spacing w:line="560" w:lineRule="exact"/>
        <w:jc w:val="center"/>
        <w:outlineLvl w:val="0"/>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黑龙江省医疗保障信用异议信息处理申请表</w:t>
      </w:r>
    </w:p>
    <w:p w14:paraId="710804A6">
      <w:pPr>
        <w:pStyle w:val="3"/>
        <w:spacing w:line="560" w:lineRule="exact"/>
        <w:rPr>
          <w:rFonts w:ascii="Times New Roman" w:hAnsi="Times New Roman" w:cs="Times New Roman"/>
          <w:color w:val="000000" w:themeColor="text1"/>
          <w14:textFill>
            <w14:solidFill>
              <w14:schemeClr w14:val="tx1"/>
            </w14:solidFill>
          </w14:textFill>
        </w:rPr>
      </w:pPr>
    </w:p>
    <w:tbl>
      <w:tblPr>
        <w:tblStyle w:val="7"/>
        <w:tblW w:w="8719" w:type="dxa"/>
        <w:jc w:val="center"/>
        <w:shd w:val="clear" w:color="auto" w:fill="FFFFFF"/>
        <w:tblLayout w:type="fixed"/>
        <w:tblCellMar>
          <w:top w:w="0" w:type="dxa"/>
          <w:left w:w="0" w:type="dxa"/>
          <w:bottom w:w="0" w:type="dxa"/>
          <w:right w:w="0" w:type="dxa"/>
        </w:tblCellMar>
      </w:tblPr>
      <w:tblGrid>
        <w:gridCol w:w="1903"/>
        <w:gridCol w:w="1826"/>
        <w:gridCol w:w="1103"/>
        <w:gridCol w:w="3887"/>
      </w:tblGrid>
      <w:tr w14:paraId="10514BAD">
        <w:tblPrEx>
          <w:shd w:val="clear" w:color="auto" w:fill="FFFFFF"/>
          <w:tblCellMar>
            <w:top w:w="0" w:type="dxa"/>
            <w:left w:w="0" w:type="dxa"/>
            <w:bottom w:w="0" w:type="dxa"/>
            <w:right w:w="0" w:type="dxa"/>
          </w:tblCellMar>
        </w:tblPrEx>
        <w:trPr>
          <w:trHeight w:val="874" w:hRule="atLeast"/>
          <w:jc w:val="center"/>
        </w:trPr>
        <w:tc>
          <w:tcPr>
            <w:tcW w:w="1903" w:type="dxa"/>
            <w:tcBorders>
              <w:top w:val="single" w:color="auto" w:sz="8" w:space="0"/>
              <w:left w:val="single" w:color="auto" w:sz="8" w:space="0"/>
              <w:bottom w:val="single" w:color="auto" w:sz="8" w:space="0"/>
              <w:right w:val="single" w:color="auto" w:sz="8" w:space="0"/>
            </w:tcBorders>
            <w:shd w:val="clear" w:color="auto" w:fill="FFFFFF"/>
            <w:vAlign w:val="center"/>
          </w:tcPr>
          <w:p w14:paraId="62F0C5FF">
            <w:pPr>
              <w:widowControl/>
              <w:spacing w:line="560" w:lineRule="exact"/>
              <w:jc w:val="center"/>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申请单位（人）</w:t>
            </w:r>
          </w:p>
        </w:tc>
        <w:tc>
          <w:tcPr>
            <w:tcW w:w="6816" w:type="dxa"/>
            <w:gridSpan w:val="3"/>
            <w:tcBorders>
              <w:top w:val="single" w:color="auto" w:sz="8" w:space="0"/>
              <w:left w:val="nil"/>
              <w:bottom w:val="single" w:color="auto" w:sz="8" w:space="0"/>
              <w:right w:val="single" w:color="000000" w:sz="6" w:space="0"/>
            </w:tcBorders>
            <w:shd w:val="clear" w:color="auto" w:fill="FFFFFF"/>
            <w:vAlign w:val="center"/>
          </w:tcPr>
          <w:p w14:paraId="204AFDF0">
            <w:pPr>
              <w:widowControl/>
              <w:spacing w:line="560" w:lineRule="exact"/>
              <w:jc w:val="left"/>
              <w:rPr>
                <w:rFonts w:ascii="Times New Roman" w:hAnsi="Times New Roman" w:eastAsia="仿宋_GB2312" w:cs="Times New Roman"/>
                <w:color w:val="000000" w:themeColor="text1"/>
                <w:kern w:val="0"/>
                <w:sz w:val="24"/>
                <w14:textFill>
                  <w14:solidFill>
                    <w14:schemeClr w14:val="tx1"/>
                  </w14:solidFill>
                </w14:textFill>
              </w:rPr>
            </w:pPr>
          </w:p>
        </w:tc>
      </w:tr>
      <w:tr w14:paraId="3AB275D8">
        <w:tblPrEx>
          <w:tblCellMar>
            <w:top w:w="0" w:type="dxa"/>
            <w:left w:w="0" w:type="dxa"/>
            <w:bottom w:w="0" w:type="dxa"/>
            <w:right w:w="0" w:type="dxa"/>
          </w:tblCellMar>
        </w:tblPrEx>
        <w:trPr>
          <w:trHeight w:val="533" w:hRule="atLeast"/>
          <w:jc w:val="center"/>
        </w:trPr>
        <w:tc>
          <w:tcPr>
            <w:tcW w:w="1903" w:type="dxa"/>
            <w:tcBorders>
              <w:top w:val="nil"/>
              <w:left w:val="single" w:color="auto" w:sz="8" w:space="0"/>
              <w:bottom w:val="single" w:color="auto" w:sz="8" w:space="0"/>
              <w:right w:val="single" w:color="auto" w:sz="8" w:space="0"/>
            </w:tcBorders>
            <w:shd w:val="clear" w:color="auto" w:fill="FFFFFF"/>
            <w:vAlign w:val="center"/>
          </w:tcPr>
          <w:p w14:paraId="24F6686B">
            <w:pPr>
              <w:widowControl/>
              <w:spacing w:line="240" w:lineRule="atLeast"/>
              <w:jc w:val="center"/>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联系人</w:t>
            </w:r>
          </w:p>
        </w:tc>
        <w:tc>
          <w:tcPr>
            <w:tcW w:w="1826" w:type="dxa"/>
            <w:tcBorders>
              <w:top w:val="nil"/>
              <w:left w:val="nil"/>
              <w:bottom w:val="single" w:color="auto" w:sz="8" w:space="0"/>
              <w:right w:val="single" w:color="auto" w:sz="8" w:space="0"/>
            </w:tcBorders>
            <w:shd w:val="clear" w:color="auto" w:fill="FFFFFF"/>
            <w:vAlign w:val="center"/>
          </w:tcPr>
          <w:p w14:paraId="006C3B33">
            <w:pPr>
              <w:widowControl/>
              <w:spacing w:line="240" w:lineRule="atLeast"/>
              <w:jc w:val="center"/>
              <w:rPr>
                <w:rFonts w:ascii="Times New Roman" w:hAnsi="Times New Roman" w:eastAsia="仿宋_GB2312" w:cs="Times New Roman"/>
                <w:color w:val="000000" w:themeColor="text1"/>
                <w:kern w:val="0"/>
                <w:sz w:val="24"/>
                <w14:textFill>
                  <w14:solidFill>
                    <w14:schemeClr w14:val="tx1"/>
                  </w14:solidFill>
                </w14:textFill>
              </w:rPr>
            </w:pPr>
          </w:p>
        </w:tc>
        <w:tc>
          <w:tcPr>
            <w:tcW w:w="1103" w:type="dxa"/>
            <w:tcBorders>
              <w:top w:val="nil"/>
              <w:left w:val="nil"/>
              <w:bottom w:val="single" w:color="auto" w:sz="8" w:space="0"/>
              <w:right w:val="single" w:color="auto" w:sz="8" w:space="0"/>
            </w:tcBorders>
            <w:shd w:val="clear" w:color="auto" w:fill="FFFFFF"/>
            <w:vAlign w:val="center"/>
          </w:tcPr>
          <w:p w14:paraId="57262017">
            <w:pPr>
              <w:widowControl/>
              <w:spacing w:line="240" w:lineRule="atLeast"/>
              <w:jc w:val="center"/>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联系方式</w:t>
            </w:r>
          </w:p>
        </w:tc>
        <w:tc>
          <w:tcPr>
            <w:tcW w:w="3887" w:type="dxa"/>
            <w:tcBorders>
              <w:top w:val="nil"/>
              <w:left w:val="nil"/>
              <w:bottom w:val="single" w:color="auto" w:sz="8" w:space="0"/>
              <w:right w:val="single" w:color="auto" w:sz="8" w:space="0"/>
            </w:tcBorders>
            <w:shd w:val="clear" w:color="auto" w:fill="FFFFFF"/>
            <w:vAlign w:val="center"/>
          </w:tcPr>
          <w:p w14:paraId="51F5B7B9">
            <w:pPr>
              <w:widowControl/>
              <w:spacing w:line="240" w:lineRule="atLeast"/>
              <w:jc w:val="center"/>
              <w:rPr>
                <w:rFonts w:ascii="Times New Roman" w:hAnsi="Times New Roman" w:eastAsia="仿宋_GB2312" w:cs="Times New Roman"/>
                <w:color w:val="000000" w:themeColor="text1"/>
                <w:kern w:val="0"/>
                <w:sz w:val="24"/>
                <w14:textFill>
                  <w14:solidFill>
                    <w14:schemeClr w14:val="tx1"/>
                  </w14:solidFill>
                </w14:textFill>
              </w:rPr>
            </w:pPr>
          </w:p>
        </w:tc>
      </w:tr>
      <w:tr w14:paraId="37716ACB">
        <w:tblPrEx>
          <w:tblCellMar>
            <w:top w:w="0" w:type="dxa"/>
            <w:left w:w="0" w:type="dxa"/>
            <w:bottom w:w="0" w:type="dxa"/>
            <w:right w:w="0" w:type="dxa"/>
          </w:tblCellMar>
        </w:tblPrEx>
        <w:trPr>
          <w:trHeight w:val="975" w:hRule="atLeast"/>
          <w:jc w:val="center"/>
        </w:trPr>
        <w:tc>
          <w:tcPr>
            <w:tcW w:w="1903" w:type="dxa"/>
            <w:tcBorders>
              <w:top w:val="nil"/>
              <w:left w:val="single" w:color="auto" w:sz="8" w:space="0"/>
              <w:bottom w:val="single" w:color="auto" w:sz="8" w:space="0"/>
              <w:right w:val="single" w:color="auto" w:sz="8" w:space="0"/>
            </w:tcBorders>
            <w:shd w:val="clear" w:color="auto" w:fill="FFFFFF"/>
            <w:vAlign w:val="center"/>
          </w:tcPr>
          <w:p w14:paraId="0B48522F">
            <w:pPr>
              <w:widowControl/>
              <w:spacing w:line="560" w:lineRule="exact"/>
              <w:jc w:val="center"/>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异议信息描述</w:t>
            </w:r>
          </w:p>
        </w:tc>
        <w:tc>
          <w:tcPr>
            <w:tcW w:w="6816" w:type="dxa"/>
            <w:gridSpan w:val="3"/>
            <w:tcBorders>
              <w:top w:val="single" w:color="auto" w:sz="8" w:space="0"/>
              <w:left w:val="nil"/>
              <w:bottom w:val="single" w:color="auto" w:sz="8" w:space="0"/>
              <w:right w:val="single" w:color="000000" w:sz="6" w:space="0"/>
            </w:tcBorders>
            <w:shd w:val="clear" w:color="auto" w:fill="FFFFFF"/>
            <w:vAlign w:val="center"/>
          </w:tcPr>
          <w:p w14:paraId="08226D66">
            <w:pPr>
              <w:widowControl/>
              <w:spacing w:line="560" w:lineRule="exact"/>
              <w:jc w:val="left"/>
              <w:rPr>
                <w:rFonts w:ascii="Times New Roman" w:hAnsi="Times New Roman" w:eastAsia="仿宋_GB2312" w:cs="Times New Roman"/>
                <w:color w:val="000000" w:themeColor="text1"/>
                <w:kern w:val="0"/>
                <w:sz w:val="24"/>
                <w14:textFill>
                  <w14:solidFill>
                    <w14:schemeClr w14:val="tx1"/>
                  </w14:solidFill>
                </w14:textFill>
              </w:rPr>
            </w:pPr>
          </w:p>
        </w:tc>
      </w:tr>
      <w:tr w14:paraId="454B7BE8">
        <w:tblPrEx>
          <w:tblCellMar>
            <w:top w:w="0" w:type="dxa"/>
            <w:left w:w="0" w:type="dxa"/>
            <w:bottom w:w="0" w:type="dxa"/>
            <w:right w:w="0" w:type="dxa"/>
          </w:tblCellMar>
        </w:tblPrEx>
        <w:trPr>
          <w:trHeight w:val="691" w:hRule="atLeast"/>
          <w:jc w:val="center"/>
        </w:trPr>
        <w:tc>
          <w:tcPr>
            <w:tcW w:w="1903" w:type="dxa"/>
            <w:tcBorders>
              <w:top w:val="nil"/>
              <w:left w:val="single" w:color="auto" w:sz="8" w:space="0"/>
              <w:bottom w:val="nil"/>
              <w:right w:val="single" w:color="auto" w:sz="8" w:space="0"/>
            </w:tcBorders>
            <w:shd w:val="clear" w:color="auto" w:fill="FFFFFF"/>
            <w:vAlign w:val="center"/>
          </w:tcPr>
          <w:p w14:paraId="2929A5E6">
            <w:pPr>
              <w:widowControl/>
              <w:spacing w:line="560" w:lineRule="exact"/>
              <w:jc w:val="center"/>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申请理由</w:t>
            </w:r>
          </w:p>
        </w:tc>
        <w:tc>
          <w:tcPr>
            <w:tcW w:w="6816" w:type="dxa"/>
            <w:gridSpan w:val="3"/>
            <w:tcBorders>
              <w:top w:val="single" w:color="auto" w:sz="8" w:space="0"/>
              <w:left w:val="nil"/>
              <w:bottom w:val="nil"/>
              <w:right w:val="single" w:color="000000" w:sz="6" w:space="0"/>
            </w:tcBorders>
            <w:shd w:val="clear" w:color="auto" w:fill="FFFFFF"/>
            <w:vAlign w:val="center"/>
          </w:tcPr>
          <w:p w14:paraId="2981F782">
            <w:pPr>
              <w:widowControl/>
              <w:spacing w:line="560" w:lineRule="exact"/>
              <w:jc w:val="right"/>
              <w:rPr>
                <w:rFonts w:ascii="Times New Roman" w:hAnsi="Times New Roman" w:eastAsia="仿宋_GB2312" w:cs="Times New Roman"/>
                <w:color w:val="000000" w:themeColor="text1"/>
                <w:kern w:val="0"/>
                <w:sz w:val="24"/>
                <w14:textFill>
                  <w14:solidFill>
                    <w14:schemeClr w14:val="tx1"/>
                  </w14:solidFill>
                </w14:textFill>
              </w:rPr>
            </w:pPr>
          </w:p>
        </w:tc>
      </w:tr>
      <w:tr w14:paraId="71D25940">
        <w:tblPrEx>
          <w:tblCellMar>
            <w:top w:w="0" w:type="dxa"/>
            <w:left w:w="0" w:type="dxa"/>
            <w:bottom w:w="0" w:type="dxa"/>
            <w:right w:w="0" w:type="dxa"/>
          </w:tblCellMar>
        </w:tblPrEx>
        <w:trPr>
          <w:trHeight w:val="1000" w:hRule="atLeast"/>
          <w:jc w:val="center"/>
        </w:trPr>
        <w:tc>
          <w:tcPr>
            <w:tcW w:w="1903" w:type="dxa"/>
            <w:tcBorders>
              <w:top w:val="nil"/>
              <w:left w:val="single" w:color="auto" w:sz="8" w:space="0"/>
              <w:bottom w:val="nil"/>
              <w:right w:val="single" w:color="auto" w:sz="8" w:space="0"/>
            </w:tcBorders>
            <w:shd w:val="clear" w:color="auto" w:fill="FFFFFF"/>
            <w:vAlign w:val="center"/>
          </w:tcPr>
          <w:p w14:paraId="50F7166D">
            <w:pPr>
              <w:widowControl/>
              <w:spacing w:line="560" w:lineRule="exact"/>
              <w:jc w:val="center"/>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（可附页）</w:t>
            </w:r>
          </w:p>
        </w:tc>
        <w:tc>
          <w:tcPr>
            <w:tcW w:w="6816" w:type="dxa"/>
            <w:gridSpan w:val="3"/>
            <w:tcBorders>
              <w:top w:val="nil"/>
              <w:left w:val="nil"/>
              <w:bottom w:val="nil"/>
              <w:right w:val="single" w:color="000000" w:sz="6" w:space="0"/>
            </w:tcBorders>
            <w:shd w:val="clear" w:color="auto" w:fill="FFFFFF"/>
            <w:vAlign w:val="center"/>
          </w:tcPr>
          <w:p w14:paraId="73D6AF51">
            <w:pPr>
              <w:widowControl/>
              <w:spacing w:line="560" w:lineRule="exact"/>
              <w:jc w:val="right"/>
              <w:rPr>
                <w:rFonts w:ascii="Times New Roman" w:hAnsi="Times New Roman" w:eastAsia="仿宋_GB2312" w:cs="Times New Roman"/>
                <w:color w:val="000000" w:themeColor="text1"/>
                <w:kern w:val="0"/>
                <w:sz w:val="24"/>
                <w14:textFill>
                  <w14:solidFill>
                    <w14:schemeClr w14:val="tx1"/>
                  </w14:solidFill>
                </w14:textFill>
              </w:rPr>
            </w:pPr>
          </w:p>
        </w:tc>
      </w:tr>
      <w:tr w14:paraId="0AEBB6A7">
        <w:tblPrEx>
          <w:tblCellMar>
            <w:top w:w="0" w:type="dxa"/>
            <w:left w:w="0" w:type="dxa"/>
            <w:bottom w:w="0" w:type="dxa"/>
            <w:right w:w="0" w:type="dxa"/>
          </w:tblCellMar>
        </w:tblPrEx>
        <w:trPr>
          <w:trHeight w:val="661" w:hRule="atLeast"/>
          <w:jc w:val="center"/>
        </w:trPr>
        <w:tc>
          <w:tcPr>
            <w:tcW w:w="1903" w:type="dxa"/>
            <w:tcBorders>
              <w:top w:val="nil"/>
              <w:left w:val="single" w:color="auto" w:sz="8" w:space="0"/>
              <w:bottom w:val="nil"/>
              <w:right w:val="single" w:color="auto" w:sz="8" w:space="0"/>
            </w:tcBorders>
            <w:shd w:val="clear" w:color="auto" w:fill="FFFFFF"/>
            <w:vAlign w:val="center"/>
          </w:tcPr>
          <w:p w14:paraId="1F0E4565">
            <w:pPr>
              <w:widowControl/>
              <w:spacing w:line="560" w:lineRule="exact"/>
              <w:jc w:val="left"/>
              <w:rPr>
                <w:rFonts w:ascii="Times New Roman" w:hAnsi="Times New Roman" w:eastAsia="仿宋_GB2312" w:cs="Times New Roman"/>
                <w:color w:val="000000" w:themeColor="text1"/>
                <w:kern w:val="0"/>
                <w:sz w:val="24"/>
                <w14:textFill>
                  <w14:solidFill>
                    <w14:schemeClr w14:val="tx1"/>
                  </w14:solidFill>
                </w14:textFill>
              </w:rPr>
            </w:pPr>
          </w:p>
        </w:tc>
        <w:tc>
          <w:tcPr>
            <w:tcW w:w="6816" w:type="dxa"/>
            <w:gridSpan w:val="3"/>
            <w:tcBorders>
              <w:top w:val="nil"/>
              <w:left w:val="nil"/>
              <w:bottom w:val="nil"/>
              <w:right w:val="single" w:color="000000" w:sz="6" w:space="0"/>
            </w:tcBorders>
            <w:shd w:val="clear" w:color="auto" w:fill="FFFFFF"/>
            <w:vAlign w:val="center"/>
          </w:tcPr>
          <w:p w14:paraId="41C3A80B">
            <w:pPr>
              <w:widowControl/>
              <w:tabs>
                <w:tab w:val="left" w:pos="883"/>
              </w:tabs>
              <w:spacing w:line="560" w:lineRule="exact"/>
              <w:jc w:val="left"/>
              <w:rPr>
                <w:rFonts w:ascii="Times New Roman" w:hAnsi="Times New Roman" w:eastAsia="仿宋_GB2312" w:cs="Times New Roman"/>
                <w:color w:val="000000" w:themeColor="text1"/>
                <w:kern w:val="0"/>
                <w:sz w:val="24"/>
                <w14:textFill>
                  <w14:solidFill>
                    <w14:schemeClr w14:val="tx1"/>
                  </w14:solidFill>
                </w14:textFill>
              </w:rPr>
            </w:pPr>
          </w:p>
        </w:tc>
      </w:tr>
      <w:tr w14:paraId="43CF75F4">
        <w:tblPrEx>
          <w:tblCellMar>
            <w:top w:w="0" w:type="dxa"/>
            <w:left w:w="0" w:type="dxa"/>
            <w:bottom w:w="0" w:type="dxa"/>
            <w:right w:w="0" w:type="dxa"/>
          </w:tblCellMar>
        </w:tblPrEx>
        <w:trPr>
          <w:trHeight w:val="686" w:hRule="atLeast"/>
          <w:jc w:val="center"/>
        </w:trPr>
        <w:tc>
          <w:tcPr>
            <w:tcW w:w="1903" w:type="dxa"/>
            <w:tcBorders>
              <w:top w:val="nil"/>
              <w:left w:val="single" w:color="auto" w:sz="8" w:space="0"/>
              <w:bottom w:val="nil"/>
              <w:right w:val="single" w:color="auto" w:sz="8" w:space="0"/>
            </w:tcBorders>
            <w:shd w:val="clear" w:color="auto" w:fill="FFFFFF"/>
            <w:vAlign w:val="center"/>
          </w:tcPr>
          <w:p w14:paraId="0551314E">
            <w:pPr>
              <w:widowControl/>
              <w:spacing w:line="560" w:lineRule="exact"/>
              <w:jc w:val="left"/>
              <w:rPr>
                <w:rFonts w:ascii="Times New Roman" w:hAnsi="Times New Roman" w:eastAsia="仿宋_GB2312" w:cs="Times New Roman"/>
                <w:color w:val="000000" w:themeColor="text1"/>
                <w:kern w:val="0"/>
                <w:sz w:val="24"/>
                <w14:textFill>
                  <w14:solidFill>
                    <w14:schemeClr w14:val="tx1"/>
                  </w14:solidFill>
                </w14:textFill>
              </w:rPr>
            </w:pPr>
          </w:p>
        </w:tc>
        <w:tc>
          <w:tcPr>
            <w:tcW w:w="6816" w:type="dxa"/>
            <w:gridSpan w:val="3"/>
            <w:tcBorders>
              <w:top w:val="nil"/>
              <w:left w:val="nil"/>
              <w:bottom w:val="nil"/>
              <w:right w:val="single" w:color="000000" w:sz="6" w:space="0"/>
            </w:tcBorders>
            <w:shd w:val="clear" w:color="auto" w:fill="FFFFFF"/>
            <w:vAlign w:val="center"/>
          </w:tcPr>
          <w:p w14:paraId="1FFF083C">
            <w:pPr>
              <w:widowControl/>
              <w:spacing w:line="560" w:lineRule="exact"/>
              <w:jc w:val="right"/>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年   月   日 </w:t>
            </w:r>
          </w:p>
        </w:tc>
      </w:tr>
      <w:tr w14:paraId="3E4A12E7">
        <w:tblPrEx>
          <w:tblCellMar>
            <w:top w:w="0" w:type="dxa"/>
            <w:left w:w="0" w:type="dxa"/>
            <w:bottom w:w="0" w:type="dxa"/>
            <w:right w:w="0" w:type="dxa"/>
          </w:tblCellMar>
        </w:tblPrEx>
        <w:trPr>
          <w:trHeight w:val="90" w:hRule="atLeast"/>
          <w:jc w:val="center"/>
        </w:trPr>
        <w:tc>
          <w:tcPr>
            <w:tcW w:w="1903" w:type="dxa"/>
            <w:tcBorders>
              <w:top w:val="nil"/>
              <w:left w:val="single" w:color="auto" w:sz="8" w:space="0"/>
              <w:bottom w:val="single" w:color="auto" w:sz="8" w:space="0"/>
              <w:right w:val="single" w:color="auto" w:sz="8" w:space="0"/>
            </w:tcBorders>
            <w:shd w:val="clear" w:color="auto" w:fill="FFFFFF"/>
            <w:vAlign w:val="center"/>
          </w:tcPr>
          <w:p w14:paraId="7A8BA8CA">
            <w:pPr>
              <w:widowControl/>
              <w:spacing w:line="560" w:lineRule="exact"/>
              <w:jc w:val="left"/>
              <w:rPr>
                <w:rFonts w:ascii="Times New Roman" w:hAnsi="Times New Roman" w:eastAsia="仿宋_GB2312" w:cs="Times New Roman"/>
                <w:color w:val="000000" w:themeColor="text1"/>
                <w:kern w:val="0"/>
                <w:sz w:val="24"/>
                <w14:textFill>
                  <w14:solidFill>
                    <w14:schemeClr w14:val="tx1"/>
                  </w14:solidFill>
                </w14:textFill>
              </w:rPr>
            </w:pPr>
          </w:p>
        </w:tc>
        <w:tc>
          <w:tcPr>
            <w:tcW w:w="6816" w:type="dxa"/>
            <w:gridSpan w:val="3"/>
            <w:tcBorders>
              <w:top w:val="nil"/>
              <w:left w:val="nil"/>
              <w:bottom w:val="single" w:color="auto" w:sz="8" w:space="0"/>
              <w:right w:val="single" w:color="000000" w:sz="6" w:space="0"/>
            </w:tcBorders>
            <w:shd w:val="clear" w:color="auto" w:fill="FFFFFF"/>
            <w:vAlign w:val="center"/>
          </w:tcPr>
          <w:p w14:paraId="075054B3">
            <w:pPr>
              <w:widowControl/>
              <w:spacing w:line="560" w:lineRule="exact"/>
              <w:jc w:val="right"/>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（盖章）</w:t>
            </w:r>
          </w:p>
        </w:tc>
      </w:tr>
      <w:tr w14:paraId="455C4CE1">
        <w:tblPrEx>
          <w:tblCellMar>
            <w:top w:w="0" w:type="dxa"/>
            <w:left w:w="0" w:type="dxa"/>
            <w:bottom w:w="0" w:type="dxa"/>
            <w:right w:w="0" w:type="dxa"/>
          </w:tblCellMar>
        </w:tblPrEx>
        <w:trPr>
          <w:trHeight w:val="543" w:hRule="atLeast"/>
          <w:jc w:val="center"/>
        </w:trPr>
        <w:tc>
          <w:tcPr>
            <w:tcW w:w="1903" w:type="dxa"/>
            <w:vMerge w:val="restart"/>
            <w:tcBorders>
              <w:top w:val="nil"/>
              <w:left w:val="single" w:color="auto" w:sz="8" w:space="0"/>
              <w:bottom w:val="single" w:color="000000" w:sz="6" w:space="0"/>
              <w:right w:val="single" w:color="auto" w:sz="8" w:space="0"/>
            </w:tcBorders>
            <w:shd w:val="clear" w:color="auto" w:fill="FFFFFF"/>
            <w:vAlign w:val="center"/>
          </w:tcPr>
          <w:p w14:paraId="4B112768">
            <w:pPr>
              <w:widowControl/>
              <w:spacing w:line="560" w:lineRule="exact"/>
              <w:jc w:val="center"/>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信用承诺</w:t>
            </w:r>
          </w:p>
        </w:tc>
        <w:tc>
          <w:tcPr>
            <w:tcW w:w="6816" w:type="dxa"/>
            <w:gridSpan w:val="3"/>
            <w:tcBorders>
              <w:top w:val="single" w:color="auto" w:sz="8" w:space="0"/>
              <w:left w:val="nil"/>
              <w:bottom w:val="nil"/>
              <w:right w:val="single" w:color="000000" w:sz="6" w:space="0"/>
            </w:tcBorders>
            <w:shd w:val="clear" w:color="auto" w:fill="FFFFFF"/>
            <w:tcMar>
              <w:top w:w="0" w:type="dxa"/>
              <w:left w:w="810" w:type="dxa"/>
              <w:bottom w:w="0" w:type="dxa"/>
              <w:right w:w="0" w:type="dxa"/>
            </w:tcMar>
            <w:vAlign w:val="center"/>
          </w:tcPr>
          <w:p w14:paraId="27E74F12">
            <w:pPr>
              <w:widowControl/>
              <w:spacing w:line="560" w:lineRule="exact"/>
              <w:jc w:val="left"/>
              <w:rPr>
                <w:rFonts w:ascii="Times New Roman" w:hAnsi="Times New Roman" w:eastAsia="仿宋_GB2312" w:cs="Times New Roman"/>
                <w:color w:val="000000" w:themeColor="text1"/>
                <w:kern w:val="0"/>
                <w:sz w:val="24"/>
                <w14:textFill>
                  <w14:solidFill>
                    <w14:schemeClr w14:val="tx1"/>
                  </w14:solidFill>
                </w14:textFill>
              </w:rPr>
            </w:pPr>
          </w:p>
        </w:tc>
      </w:tr>
      <w:tr w14:paraId="7FAD7C5F">
        <w:tblPrEx>
          <w:tblCellMar>
            <w:top w:w="0" w:type="dxa"/>
            <w:left w:w="0" w:type="dxa"/>
            <w:bottom w:w="0" w:type="dxa"/>
            <w:right w:w="0" w:type="dxa"/>
          </w:tblCellMar>
        </w:tblPrEx>
        <w:trPr>
          <w:trHeight w:val="1530" w:hRule="atLeast"/>
          <w:jc w:val="center"/>
        </w:trPr>
        <w:tc>
          <w:tcPr>
            <w:tcW w:w="1903" w:type="dxa"/>
            <w:vMerge w:val="continue"/>
            <w:tcBorders>
              <w:top w:val="nil"/>
              <w:left w:val="single" w:color="auto" w:sz="8" w:space="0"/>
              <w:bottom w:val="single" w:color="000000" w:sz="6" w:space="0"/>
              <w:right w:val="single" w:color="auto" w:sz="8" w:space="0"/>
            </w:tcBorders>
            <w:shd w:val="clear" w:color="auto" w:fill="FFFFFF"/>
            <w:vAlign w:val="center"/>
          </w:tcPr>
          <w:p w14:paraId="062AE9C2">
            <w:pPr>
              <w:widowControl/>
              <w:spacing w:line="560" w:lineRule="exact"/>
              <w:jc w:val="left"/>
              <w:rPr>
                <w:rFonts w:ascii="Times New Roman" w:hAnsi="Times New Roman" w:eastAsia="仿宋_GB2312" w:cs="Times New Roman"/>
                <w:color w:val="000000" w:themeColor="text1"/>
                <w:kern w:val="0"/>
                <w:sz w:val="24"/>
                <w14:textFill>
                  <w14:solidFill>
                    <w14:schemeClr w14:val="tx1"/>
                  </w14:solidFill>
                </w14:textFill>
              </w:rPr>
            </w:pPr>
          </w:p>
        </w:tc>
        <w:tc>
          <w:tcPr>
            <w:tcW w:w="6816" w:type="dxa"/>
            <w:gridSpan w:val="3"/>
            <w:tcBorders>
              <w:top w:val="nil"/>
              <w:left w:val="nil"/>
              <w:bottom w:val="nil"/>
              <w:right w:val="single" w:color="000000" w:sz="6" w:space="0"/>
            </w:tcBorders>
            <w:shd w:val="clear" w:color="auto" w:fill="FFFFFF"/>
            <w:tcMar>
              <w:top w:w="0" w:type="dxa"/>
              <w:left w:w="810" w:type="dxa"/>
              <w:bottom w:w="0" w:type="dxa"/>
              <w:right w:w="0" w:type="dxa"/>
            </w:tcMar>
            <w:vAlign w:val="center"/>
          </w:tcPr>
          <w:p w14:paraId="23359FCA">
            <w:pPr>
              <w:widowControl/>
              <w:spacing w:line="560" w:lineRule="exact"/>
              <w:ind w:left="-506" w:leftChars="-241" w:right="275" w:rightChars="131" w:firstLine="480" w:firstLineChars="200"/>
              <w:jc w:val="left"/>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本单位（人）承诺所填写内容和提交的相关材料真实准确，否则由此产生的相应后果自负。</w:t>
            </w:r>
          </w:p>
        </w:tc>
      </w:tr>
      <w:tr w14:paraId="6D73EE4D">
        <w:tblPrEx>
          <w:tblCellMar>
            <w:top w:w="0" w:type="dxa"/>
            <w:left w:w="0" w:type="dxa"/>
            <w:bottom w:w="0" w:type="dxa"/>
            <w:right w:w="0" w:type="dxa"/>
          </w:tblCellMar>
        </w:tblPrEx>
        <w:trPr>
          <w:trHeight w:val="345" w:hRule="atLeast"/>
          <w:jc w:val="center"/>
        </w:trPr>
        <w:tc>
          <w:tcPr>
            <w:tcW w:w="1903" w:type="dxa"/>
            <w:vMerge w:val="continue"/>
            <w:tcBorders>
              <w:top w:val="nil"/>
              <w:left w:val="single" w:color="auto" w:sz="8" w:space="0"/>
              <w:bottom w:val="single" w:color="000000" w:sz="6" w:space="0"/>
              <w:right w:val="single" w:color="auto" w:sz="8" w:space="0"/>
            </w:tcBorders>
            <w:shd w:val="clear" w:color="auto" w:fill="FFFFFF"/>
            <w:vAlign w:val="center"/>
          </w:tcPr>
          <w:p w14:paraId="266C3B2B">
            <w:pPr>
              <w:widowControl/>
              <w:spacing w:line="560" w:lineRule="exact"/>
              <w:jc w:val="left"/>
              <w:rPr>
                <w:rFonts w:ascii="Times New Roman" w:hAnsi="Times New Roman" w:eastAsia="仿宋_GB2312" w:cs="Times New Roman"/>
                <w:color w:val="000000" w:themeColor="text1"/>
                <w:kern w:val="0"/>
                <w:sz w:val="24"/>
                <w14:textFill>
                  <w14:solidFill>
                    <w14:schemeClr w14:val="tx1"/>
                  </w14:solidFill>
                </w14:textFill>
              </w:rPr>
            </w:pPr>
          </w:p>
        </w:tc>
        <w:tc>
          <w:tcPr>
            <w:tcW w:w="6816" w:type="dxa"/>
            <w:gridSpan w:val="3"/>
            <w:tcBorders>
              <w:top w:val="nil"/>
              <w:left w:val="nil"/>
              <w:bottom w:val="single" w:color="auto" w:sz="8" w:space="0"/>
              <w:right w:val="single" w:color="000000" w:sz="6" w:space="0"/>
            </w:tcBorders>
            <w:shd w:val="clear" w:color="auto" w:fill="FFFFFF"/>
            <w:tcMar>
              <w:top w:w="0" w:type="dxa"/>
              <w:left w:w="3645" w:type="dxa"/>
              <w:bottom w:w="0" w:type="dxa"/>
              <w:right w:w="0" w:type="dxa"/>
            </w:tcMar>
            <w:vAlign w:val="center"/>
          </w:tcPr>
          <w:p w14:paraId="7F51909B">
            <w:pPr>
              <w:widowControl/>
              <w:spacing w:line="560" w:lineRule="exact"/>
              <w:jc w:val="left"/>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签字：       （盖章）</w:t>
            </w:r>
          </w:p>
        </w:tc>
      </w:tr>
      <w:tr w14:paraId="5878DBA8">
        <w:tblPrEx>
          <w:tblCellMar>
            <w:top w:w="0" w:type="dxa"/>
            <w:left w:w="0" w:type="dxa"/>
            <w:bottom w:w="0" w:type="dxa"/>
            <w:right w:w="0" w:type="dxa"/>
          </w:tblCellMar>
        </w:tblPrEx>
        <w:trPr>
          <w:trHeight w:val="672" w:hRule="atLeast"/>
          <w:jc w:val="center"/>
        </w:trPr>
        <w:tc>
          <w:tcPr>
            <w:tcW w:w="1903" w:type="dxa"/>
            <w:tcBorders>
              <w:top w:val="nil"/>
              <w:left w:val="single" w:color="auto" w:sz="8" w:space="0"/>
              <w:bottom w:val="single" w:color="auto" w:sz="8" w:space="0"/>
              <w:right w:val="single" w:color="auto" w:sz="8" w:space="0"/>
            </w:tcBorders>
            <w:shd w:val="clear" w:color="auto" w:fill="FFFFFF"/>
            <w:vAlign w:val="center"/>
          </w:tcPr>
          <w:p w14:paraId="139C9179">
            <w:pPr>
              <w:widowControl/>
              <w:spacing w:line="560" w:lineRule="exact"/>
              <w:jc w:val="center"/>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备注</w:t>
            </w:r>
          </w:p>
        </w:tc>
        <w:tc>
          <w:tcPr>
            <w:tcW w:w="6816" w:type="dxa"/>
            <w:gridSpan w:val="3"/>
            <w:tcBorders>
              <w:top w:val="single" w:color="auto" w:sz="8" w:space="0"/>
              <w:left w:val="nil"/>
              <w:bottom w:val="single" w:color="auto" w:sz="8" w:space="0"/>
              <w:right w:val="single" w:color="000000" w:sz="6" w:space="0"/>
            </w:tcBorders>
            <w:shd w:val="clear" w:color="auto" w:fill="FFFFFF"/>
            <w:vAlign w:val="center"/>
          </w:tcPr>
          <w:p w14:paraId="08B0DD33">
            <w:pPr>
              <w:widowControl/>
              <w:spacing w:line="560" w:lineRule="exact"/>
              <w:jc w:val="left"/>
              <w:rPr>
                <w:rFonts w:ascii="Times New Roman" w:hAnsi="Times New Roman" w:eastAsia="仿宋_GB2312" w:cs="Times New Roman"/>
                <w:color w:val="000000" w:themeColor="text1"/>
                <w:kern w:val="0"/>
                <w:sz w:val="24"/>
                <w14:textFill>
                  <w14:solidFill>
                    <w14:schemeClr w14:val="tx1"/>
                  </w14:solidFill>
                </w14:textFill>
              </w:rPr>
            </w:pPr>
          </w:p>
        </w:tc>
      </w:tr>
    </w:tbl>
    <w:p w14:paraId="49FFD044">
      <w:pPr>
        <w:pStyle w:val="11"/>
        <w:rPr>
          <w:rFonts w:ascii="Times New Roman" w:hAnsi="Times New Roman" w:eastAsia="黑体" w:cs="Times New Roman"/>
          <w:color w:val="000000" w:themeColor="text1"/>
          <w:kern w:val="0"/>
          <w:sz w:val="32"/>
          <w:szCs w:val="32"/>
          <w14:textFill>
            <w14:solidFill>
              <w14:schemeClr w14:val="tx1"/>
            </w14:solidFill>
          </w14:textFill>
        </w:rPr>
      </w:pPr>
    </w:p>
    <w:p w14:paraId="292DFB6B">
      <w:pPr>
        <w:rPr>
          <w:rFonts w:ascii="Times New Roman" w:hAnsi="Times New Roman" w:eastAsia="黑体" w:cs="Times New Roman"/>
          <w:color w:val="000000" w:themeColor="text1"/>
          <w:kern w:val="0"/>
          <w:sz w:val="32"/>
          <w:szCs w:val="32"/>
          <w14:textFill>
            <w14:solidFill>
              <w14:schemeClr w14:val="tx1"/>
            </w14:solidFill>
          </w14:textFill>
        </w:rPr>
      </w:pPr>
    </w:p>
    <w:p w14:paraId="003B2888">
      <w:pPr>
        <w:widowControl/>
        <w:shd w:val="clear" w:color="auto" w:fill="FFFFFF"/>
        <w:spacing w:line="560" w:lineRule="exact"/>
        <w:jc w:val="left"/>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附件2</w:t>
      </w:r>
    </w:p>
    <w:p w14:paraId="5F684B5C">
      <w:pPr>
        <w:pStyle w:val="2"/>
      </w:pPr>
    </w:p>
    <w:p w14:paraId="208BCCD8">
      <w:pPr>
        <w:spacing w:line="560" w:lineRule="exact"/>
        <w:jc w:val="center"/>
        <w:outlineLvl w:val="0"/>
        <w:rPr>
          <w:rFonts w:hint="eastAsia" w:ascii="方正小标宋简体" w:hAnsi="方正小标宋简体" w:eastAsia="方正小标宋简体" w:cs="方正小标宋简体"/>
          <w:color w:val="000000" w:themeColor="text1"/>
          <w:spacing w:val="-1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pacing w:val="-11"/>
          <w:sz w:val="36"/>
          <w:szCs w:val="36"/>
          <w14:textFill>
            <w14:solidFill>
              <w14:schemeClr w14:val="tx1"/>
            </w14:solidFill>
          </w14:textFill>
        </w:rPr>
        <w:t>黑龙江省医疗保障信用异议信息处理结果反馈单</w:t>
      </w:r>
    </w:p>
    <w:p w14:paraId="45436D51">
      <w:pPr>
        <w:pStyle w:val="3"/>
        <w:spacing w:line="560" w:lineRule="exact"/>
        <w:rPr>
          <w:rFonts w:ascii="Times New Roman" w:hAnsi="Times New Roman" w:cs="Times New Roman"/>
          <w:color w:val="000000" w:themeColor="text1"/>
          <w14:textFill>
            <w14:solidFill>
              <w14:schemeClr w14:val="tx1"/>
            </w14:solidFill>
          </w14:textFill>
        </w:rPr>
      </w:pPr>
    </w:p>
    <w:tbl>
      <w:tblPr>
        <w:tblStyle w:val="7"/>
        <w:tblW w:w="8744" w:type="dxa"/>
        <w:jc w:val="center"/>
        <w:shd w:val="clear" w:color="auto" w:fill="FFFFFF"/>
        <w:tblLayout w:type="fixed"/>
        <w:tblCellMar>
          <w:top w:w="0" w:type="dxa"/>
          <w:left w:w="0" w:type="dxa"/>
          <w:bottom w:w="0" w:type="dxa"/>
          <w:right w:w="0" w:type="dxa"/>
        </w:tblCellMar>
      </w:tblPr>
      <w:tblGrid>
        <w:gridCol w:w="1920"/>
        <w:gridCol w:w="6824"/>
      </w:tblGrid>
      <w:tr w14:paraId="157B4E1D">
        <w:tblPrEx>
          <w:shd w:val="clear" w:color="auto" w:fill="FFFFFF"/>
          <w:tblCellMar>
            <w:top w:w="0" w:type="dxa"/>
            <w:left w:w="0" w:type="dxa"/>
            <w:bottom w:w="0" w:type="dxa"/>
            <w:right w:w="0" w:type="dxa"/>
          </w:tblCellMar>
        </w:tblPrEx>
        <w:trPr>
          <w:trHeight w:val="698" w:hRule="atLeast"/>
          <w:jc w:val="center"/>
        </w:trPr>
        <w:tc>
          <w:tcPr>
            <w:tcW w:w="1920" w:type="dxa"/>
            <w:tcBorders>
              <w:top w:val="single" w:color="auto" w:sz="8" w:space="0"/>
              <w:left w:val="single" w:color="auto" w:sz="8" w:space="0"/>
              <w:bottom w:val="single" w:color="auto" w:sz="8" w:space="0"/>
              <w:right w:val="single" w:color="auto" w:sz="8" w:space="0"/>
            </w:tcBorders>
            <w:shd w:val="clear" w:color="auto" w:fill="FFFFFF"/>
            <w:vAlign w:val="center"/>
          </w:tcPr>
          <w:p w14:paraId="4407A83A">
            <w:pPr>
              <w:widowControl/>
              <w:spacing w:line="560" w:lineRule="exact"/>
              <w:jc w:val="center"/>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申请单位（人）</w:t>
            </w:r>
          </w:p>
        </w:tc>
        <w:tc>
          <w:tcPr>
            <w:tcW w:w="6824" w:type="dxa"/>
            <w:tcBorders>
              <w:top w:val="single" w:color="auto" w:sz="8" w:space="0"/>
              <w:left w:val="nil"/>
              <w:bottom w:val="single" w:color="auto" w:sz="8" w:space="0"/>
              <w:right w:val="single" w:color="auto" w:sz="8" w:space="0"/>
            </w:tcBorders>
            <w:shd w:val="clear" w:color="auto" w:fill="FFFFFF"/>
            <w:vAlign w:val="center"/>
          </w:tcPr>
          <w:p w14:paraId="15A28784">
            <w:pPr>
              <w:widowControl/>
              <w:spacing w:line="560" w:lineRule="exact"/>
              <w:jc w:val="left"/>
              <w:rPr>
                <w:rFonts w:ascii="Times New Roman" w:hAnsi="Times New Roman" w:eastAsia="仿宋_GB2312" w:cs="Times New Roman"/>
                <w:color w:val="000000" w:themeColor="text1"/>
                <w:kern w:val="0"/>
                <w:sz w:val="24"/>
                <w14:textFill>
                  <w14:solidFill>
                    <w14:schemeClr w14:val="tx1"/>
                  </w14:solidFill>
                </w14:textFill>
              </w:rPr>
            </w:pPr>
          </w:p>
        </w:tc>
      </w:tr>
      <w:tr w14:paraId="73439115">
        <w:tblPrEx>
          <w:tblCellMar>
            <w:top w:w="0" w:type="dxa"/>
            <w:left w:w="0" w:type="dxa"/>
            <w:bottom w:w="0" w:type="dxa"/>
            <w:right w:w="0" w:type="dxa"/>
          </w:tblCellMar>
        </w:tblPrEx>
        <w:trPr>
          <w:trHeight w:val="624" w:hRule="atLeast"/>
          <w:jc w:val="center"/>
        </w:trPr>
        <w:tc>
          <w:tcPr>
            <w:tcW w:w="1920" w:type="dxa"/>
            <w:vMerge w:val="restart"/>
            <w:tcBorders>
              <w:top w:val="nil"/>
              <w:left w:val="single" w:color="auto" w:sz="8" w:space="0"/>
              <w:bottom w:val="single" w:color="000000" w:sz="6" w:space="0"/>
              <w:right w:val="single" w:color="auto" w:sz="8" w:space="0"/>
            </w:tcBorders>
            <w:shd w:val="clear" w:color="auto" w:fill="FFFFFF"/>
            <w:vAlign w:val="center"/>
          </w:tcPr>
          <w:p w14:paraId="052A9535">
            <w:pPr>
              <w:widowControl/>
              <w:spacing w:line="560" w:lineRule="exact"/>
              <w:jc w:val="center"/>
              <w:rPr>
                <w:rFonts w:ascii="Times New Roman" w:hAnsi="Times New Roman" w:eastAsia="仿宋_GB2312" w:cs="Times New Roman"/>
                <w:color w:val="000000" w:themeColor="text1"/>
                <w:kern w:val="0"/>
                <w:sz w:val="24"/>
                <w14:textFill>
                  <w14:solidFill>
                    <w14:schemeClr w14:val="tx1"/>
                  </w14:solidFill>
                </w14:textFill>
              </w:rPr>
            </w:pPr>
          </w:p>
          <w:p w14:paraId="11B57B81">
            <w:pPr>
              <w:widowControl/>
              <w:spacing w:line="560" w:lineRule="exact"/>
              <w:jc w:val="center"/>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异议信息</w:t>
            </w:r>
            <w:r>
              <w:rPr>
                <w:rFonts w:ascii="Times New Roman" w:hAnsi="Times New Roman" w:eastAsia="仿宋_GB2312" w:cs="Times New Roman"/>
                <w:color w:val="000000" w:themeColor="text1"/>
                <w:kern w:val="0"/>
                <w:sz w:val="24"/>
                <w14:textFill>
                  <w14:solidFill>
                    <w14:schemeClr w14:val="tx1"/>
                  </w14:solidFill>
                </w14:textFill>
              </w:rPr>
              <w:br w:type="textWrapping"/>
            </w:r>
            <w:r>
              <w:rPr>
                <w:rFonts w:ascii="Times New Roman" w:hAnsi="Times New Roman" w:eastAsia="仿宋_GB2312" w:cs="Times New Roman"/>
                <w:color w:val="000000" w:themeColor="text1"/>
                <w:kern w:val="0"/>
                <w:sz w:val="24"/>
                <w14:textFill>
                  <w14:solidFill>
                    <w14:schemeClr w14:val="tx1"/>
                  </w14:solidFill>
                </w14:textFill>
              </w:rPr>
              <w:t>申请内容</w:t>
            </w:r>
          </w:p>
        </w:tc>
        <w:tc>
          <w:tcPr>
            <w:tcW w:w="6824" w:type="dxa"/>
            <w:vMerge w:val="restart"/>
            <w:tcBorders>
              <w:top w:val="nil"/>
              <w:left w:val="single" w:color="auto" w:sz="8" w:space="0"/>
              <w:bottom w:val="single" w:color="000000" w:sz="6" w:space="0"/>
              <w:right w:val="single" w:color="auto" w:sz="8" w:space="0"/>
            </w:tcBorders>
            <w:shd w:val="clear" w:color="auto" w:fill="FFFFFF"/>
            <w:vAlign w:val="center"/>
          </w:tcPr>
          <w:p w14:paraId="01C7570B">
            <w:pPr>
              <w:widowControl/>
              <w:spacing w:line="560" w:lineRule="exact"/>
              <w:jc w:val="left"/>
              <w:rPr>
                <w:rFonts w:ascii="Times New Roman" w:hAnsi="Times New Roman" w:eastAsia="仿宋_GB2312" w:cs="Times New Roman"/>
                <w:color w:val="000000" w:themeColor="text1"/>
                <w:kern w:val="0"/>
                <w:sz w:val="24"/>
                <w14:textFill>
                  <w14:solidFill>
                    <w14:schemeClr w14:val="tx1"/>
                  </w14:solidFill>
                </w14:textFill>
              </w:rPr>
            </w:pPr>
          </w:p>
        </w:tc>
      </w:tr>
      <w:tr w14:paraId="5ED10EAE">
        <w:tblPrEx>
          <w:tblCellMar>
            <w:top w:w="0" w:type="dxa"/>
            <w:left w:w="0" w:type="dxa"/>
            <w:bottom w:w="0" w:type="dxa"/>
            <w:right w:w="0" w:type="dxa"/>
          </w:tblCellMar>
        </w:tblPrEx>
        <w:trPr>
          <w:trHeight w:val="2160" w:hRule="atLeast"/>
          <w:jc w:val="center"/>
        </w:trPr>
        <w:tc>
          <w:tcPr>
            <w:tcW w:w="1920" w:type="dxa"/>
            <w:vMerge w:val="continue"/>
            <w:tcBorders>
              <w:top w:val="nil"/>
              <w:left w:val="single" w:color="auto" w:sz="8" w:space="0"/>
              <w:bottom w:val="single" w:color="000000" w:sz="6" w:space="0"/>
              <w:right w:val="single" w:color="auto" w:sz="8" w:space="0"/>
            </w:tcBorders>
            <w:shd w:val="clear" w:color="auto" w:fill="FFFFFF"/>
            <w:vAlign w:val="center"/>
          </w:tcPr>
          <w:p w14:paraId="5A77C125">
            <w:pPr>
              <w:widowControl/>
              <w:spacing w:line="560" w:lineRule="exact"/>
              <w:jc w:val="left"/>
              <w:rPr>
                <w:rFonts w:ascii="Times New Roman" w:hAnsi="Times New Roman" w:eastAsia="仿宋_GB2312" w:cs="Times New Roman"/>
                <w:color w:val="000000" w:themeColor="text1"/>
                <w:kern w:val="0"/>
                <w:sz w:val="24"/>
                <w14:textFill>
                  <w14:solidFill>
                    <w14:schemeClr w14:val="tx1"/>
                  </w14:solidFill>
                </w14:textFill>
              </w:rPr>
            </w:pPr>
          </w:p>
        </w:tc>
        <w:tc>
          <w:tcPr>
            <w:tcW w:w="6824" w:type="dxa"/>
            <w:vMerge w:val="continue"/>
            <w:tcBorders>
              <w:top w:val="nil"/>
              <w:left w:val="single" w:color="auto" w:sz="8" w:space="0"/>
              <w:bottom w:val="single" w:color="000000" w:sz="6" w:space="0"/>
              <w:right w:val="single" w:color="auto" w:sz="8" w:space="0"/>
            </w:tcBorders>
            <w:shd w:val="clear" w:color="auto" w:fill="FFFFFF"/>
            <w:vAlign w:val="center"/>
          </w:tcPr>
          <w:p w14:paraId="5EC19DEC">
            <w:pPr>
              <w:widowControl/>
              <w:spacing w:line="560" w:lineRule="exact"/>
              <w:jc w:val="left"/>
              <w:rPr>
                <w:rFonts w:ascii="Times New Roman" w:hAnsi="Times New Roman" w:eastAsia="仿宋_GB2312" w:cs="Times New Roman"/>
                <w:color w:val="000000" w:themeColor="text1"/>
                <w:kern w:val="0"/>
                <w:sz w:val="24"/>
                <w14:textFill>
                  <w14:solidFill>
                    <w14:schemeClr w14:val="tx1"/>
                  </w14:solidFill>
                </w14:textFill>
              </w:rPr>
            </w:pPr>
          </w:p>
        </w:tc>
      </w:tr>
      <w:tr w14:paraId="2EF52E01">
        <w:tblPrEx>
          <w:tblCellMar>
            <w:top w:w="0" w:type="dxa"/>
            <w:left w:w="0" w:type="dxa"/>
            <w:bottom w:w="0" w:type="dxa"/>
            <w:right w:w="0" w:type="dxa"/>
          </w:tblCellMar>
        </w:tblPrEx>
        <w:trPr>
          <w:trHeight w:val="624" w:hRule="atLeast"/>
          <w:jc w:val="center"/>
        </w:trPr>
        <w:tc>
          <w:tcPr>
            <w:tcW w:w="1920" w:type="dxa"/>
            <w:vMerge w:val="restart"/>
            <w:tcBorders>
              <w:top w:val="nil"/>
              <w:left w:val="single" w:color="auto" w:sz="8" w:space="0"/>
              <w:bottom w:val="single" w:color="000000" w:sz="6" w:space="0"/>
              <w:right w:val="single" w:color="auto" w:sz="8" w:space="0"/>
            </w:tcBorders>
            <w:shd w:val="clear" w:color="auto" w:fill="FFFFFF"/>
            <w:vAlign w:val="center"/>
          </w:tcPr>
          <w:p w14:paraId="1EF331EB">
            <w:pPr>
              <w:widowControl/>
              <w:spacing w:line="560" w:lineRule="exact"/>
              <w:jc w:val="center"/>
              <w:rPr>
                <w:rFonts w:ascii="Times New Roman" w:hAnsi="Times New Roman" w:eastAsia="仿宋_GB2312" w:cs="Times New Roman"/>
                <w:color w:val="000000" w:themeColor="text1"/>
                <w:kern w:val="0"/>
                <w:sz w:val="24"/>
                <w14:textFill>
                  <w14:solidFill>
                    <w14:schemeClr w14:val="tx1"/>
                  </w14:solidFill>
                </w14:textFill>
              </w:rPr>
            </w:pPr>
          </w:p>
          <w:p w14:paraId="6A010C8D">
            <w:pPr>
              <w:widowControl/>
              <w:spacing w:line="560" w:lineRule="exact"/>
              <w:jc w:val="center"/>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异议信息</w:t>
            </w:r>
            <w:r>
              <w:rPr>
                <w:rFonts w:ascii="Times New Roman" w:hAnsi="Times New Roman" w:eastAsia="仿宋_GB2312" w:cs="Times New Roman"/>
                <w:color w:val="000000" w:themeColor="text1"/>
                <w:kern w:val="0"/>
                <w:sz w:val="24"/>
                <w14:textFill>
                  <w14:solidFill>
                    <w14:schemeClr w14:val="tx1"/>
                  </w14:solidFill>
                </w14:textFill>
              </w:rPr>
              <w:br w:type="textWrapping"/>
            </w:r>
            <w:r>
              <w:rPr>
                <w:rFonts w:ascii="Times New Roman" w:hAnsi="Times New Roman" w:eastAsia="仿宋_GB2312" w:cs="Times New Roman"/>
                <w:color w:val="000000" w:themeColor="text1"/>
                <w:kern w:val="0"/>
                <w:sz w:val="24"/>
                <w14:textFill>
                  <w14:solidFill>
                    <w14:schemeClr w14:val="tx1"/>
                  </w14:solidFill>
                </w14:textFill>
              </w:rPr>
              <w:t>处理结果</w:t>
            </w:r>
          </w:p>
        </w:tc>
        <w:tc>
          <w:tcPr>
            <w:tcW w:w="6824" w:type="dxa"/>
            <w:vMerge w:val="restart"/>
            <w:tcBorders>
              <w:top w:val="nil"/>
              <w:left w:val="single" w:color="auto" w:sz="8" w:space="0"/>
              <w:bottom w:val="single" w:color="000000" w:sz="6" w:space="0"/>
              <w:right w:val="single" w:color="auto" w:sz="8" w:space="0"/>
            </w:tcBorders>
            <w:shd w:val="clear" w:color="auto" w:fill="FFFFFF"/>
            <w:vAlign w:val="bottom"/>
          </w:tcPr>
          <w:p w14:paraId="670C3FBB">
            <w:pPr>
              <w:widowControl/>
              <w:spacing w:line="560" w:lineRule="exact"/>
              <w:jc w:val="right"/>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XX医疗保障局   </w:t>
            </w:r>
            <w:r>
              <w:rPr>
                <w:rFonts w:ascii="Times New Roman" w:hAnsi="Times New Roman" w:eastAsia="仿宋_GB2312" w:cs="Times New Roman"/>
                <w:color w:val="000000" w:themeColor="text1"/>
                <w:kern w:val="0"/>
                <w:sz w:val="24"/>
                <w14:textFill>
                  <w14:solidFill>
                    <w14:schemeClr w14:val="tx1"/>
                  </w14:solidFill>
                </w14:textFill>
              </w:rPr>
              <w:br w:type="textWrapping"/>
            </w:r>
            <w:r>
              <w:rPr>
                <w:rFonts w:ascii="Times New Roman" w:hAnsi="Times New Roman" w:eastAsia="仿宋_GB2312" w:cs="Times New Roman"/>
                <w:color w:val="000000" w:themeColor="text1"/>
                <w:kern w:val="0"/>
                <w:sz w:val="24"/>
                <w14:textFill>
                  <w14:solidFill>
                    <w14:schemeClr w14:val="tx1"/>
                  </w14:solidFill>
                </w14:textFill>
              </w:rPr>
              <w:t>     年  月  日  （盖章）    </w:t>
            </w:r>
          </w:p>
        </w:tc>
      </w:tr>
      <w:tr w14:paraId="4F6FA6A4">
        <w:tblPrEx>
          <w:tblCellMar>
            <w:top w:w="0" w:type="dxa"/>
            <w:left w:w="0" w:type="dxa"/>
            <w:bottom w:w="0" w:type="dxa"/>
            <w:right w:w="0" w:type="dxa"/>
          </w:tblCellMar>
        </w:tblPrEx>
        <w:trPr>
          <w:trHeight w:val="3690" w:hRule="atLeast"/>
          <w:jc w:val="center"/>
        </w:trPr>
        <w:tc>
          <w:tcPr>
            <w:tcW w:w="1920" w:type="dxa"/>
            <w:vMerge w:val="continue"/>
            <w:tcBorders>
              <w:top w:val="nil"/>
              <w:left w:val="single" w:color="auto" w:sz="8" w:space="0"/>
              <w:bottom w:val="single" w:color="000000" w:sz="6" w:space="0"/>
              <w:right w:val="single" w:color="auto" w:sz="8" w:space="0"/>
            </w:tcBorders>
            <w:shd w:val="clear" w:color="auto" w:fill="FFFFFF"/>
            <w:vAlign w:val="center"/>
          </w:tcPr>
          <w:p w14:paraId="4F0D85C5">
            <w:pPr>
              <w:widowControl/>
              <w:spacing w:line="560" w:lineRule="exact"/>
              <w:jc w:val="left"/>
              <w:rPr>
                <w:rFonts w:ascii="Times New Roman" w:hAnsi="Times New Roman" w:eastAsia="仿宋_GB2312" w:cs="Times New Roman"/>
                <w:color w:val="000000" w:themeColor="text1"/>
                <w:kern w:val="0"/>
                <w:sz w:val="24"/>
                <w14:textFill>
                  <w14:solidFill>
                    <w14:schemeClr w14:val="tx1"/>
                  </w14:solidFill>
                </w14:textFill>
              </w:rPr>
            </w:pPr>
          </w:p>
        </w:tc>
        <w:tc>
          <w:tcPr>
            <w:tcW w:w="6824" w:type="dxa"/>
            <w:vMerge w:val="continue"/>
            <w:tcBorders>
              <w:top w:val="nil"/>
              <w:left w:val="single" w:color="auto" w:sz="8" w:space="0"/>
              <w:bottom w:val="single" w:color="000000" w:sz="6" w:space="0"/>
              <w:right w:val="single" w:color="auto" w:sz="8" w:space="0"/>
            </w:tcBorders>
            <w:shd w:val="clear" w:color="auto" w:fill="FFFFFF"/>
            <w:vAlign w:val="center"/>
          </w:tcPr>
          <w:p w14:paraId="6F611315">
            <w:pPr>
              <w:widowControl/>
              <w:spacing w:line="560" w:lineRule="exact"/>
              <w:jc w:val="left"/>
              <w:rPr>
                <w:rFonts w:ascii="Times New Roman" w:hAnsi="Times New Roman" w:eastAsia="仿宋_GB2312" w:cs="Times New Roman"/>
                <w:color w:val="000000" w:themeColor="text1"/>
                <w:kern w:val="0"/>
                <w:sz w:val="24"/>
                <w14:textFill>
                  <w14:solidFill>
                    <w14:schemeClr w14:val="tx1"/>
                  </w14:solidFill>
                </w14:textFill>
              </w:rPr>
            </w:pPr>
          </w:p>
        </w:tc>
      </w:tr>
      <w:tr w14:paraId="528D186C">
        <w:tblPrEx>
          <w:tblCellMar>
            <w:top w:w="0" w:type="dxa"/>
            <w:left w:w="0" w:type="dxa"/>
            <w:bottom w:w="0" w:type="dxa"/>
            <w:right w:w="0" w:type="dxa"/>
          </w:tblCellMar>
        </w:tblPrEx>
        <w:trPr>
          <w:trHeight w:val="890" w:hRule="atLeast"/>
          <w:jc w:val="center"/>
        </w:trPr>
        <w:tc>
          <w:tcPr>
            <w:tcW w:w="1920" w:type="dxa"/>
            <w:tcBorders>
              <w:top w:val="nil"/>
              <w:left w:val="single" w:color="auto" w:sz="8" w:space="0"/>
              <w:bottom w:val="single" w:color="auto" w:sz="8" w:space="0"/>
              <w:right w:val="single" w:color="auto" w:sz="8" w:space="0"/>
            </w:tcBorders>
            <w:shd w:val="clear" w:color="auto" w:fill="FFFFFF"/>
            <w:vAlign w:val="center"/>
          </w:tcPr>
          <w:p w14:paraId="1D2FC64B">
            <w:pPr>
              <w:widowControl/>
              <w:spacing w:line="560" w:lineRule="exact"/>
              <w:jc w:val="center"/>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备注</w:t>
            </w:r>
          </w:p>
        </w:tc>
        <w:tc>
          <w:tcPr>
            <w:tcW w:w="6824" w:type="dxa"/>
            <w:tcBorders>
              <w:top w:val="nil"/>
              <w:left w:val="nil"/>
              <w:bottom w:val="single" w:color="auto" w:sz="8" w:space="0"/>
              <w:right w:val="single" w:color="auto" w:sz="8" w:space="0"/>
            </w:tcBorders>
            <w:shd w:val="clear" w:color="auto" w:fill="FFFFFF"/>
            <w:vAlign w:val="center"/>
          </w:tcPr>
          <w:p w14:paraId="3F4380CB">
            <w:pPr>
              <w:widowControl/>
              <w:spacing w:line="560" w:lineRule="exact"/>
              <w:jc w:val="left"/>
              <w:rPr>
                <w:rFonts w:ascii="Times New Roman" w:hAnsi="Times New Roman" w:eastAsia="仿宋_GB2312" w:cs="Times New Roman"/>
                <w:color w:val="000000" w:themeColor="text1"/>
                <w:kern w:val="0"/>
                <w:sz w:val="24"/>
                <w14:textFill>
                  <w14:solidFill>
                    <w14:schemeClr w14:val="tx1"/>
                  </w14:solidFill>
                </w14:textFill>
              </w:rPr>
            </w:pPr>
          </w:p>
        </w:tc>
      </w:tr>
    </w:tbl>
    <w:p w14:paraId="469F5B78">
      <w:pPr>
        <w:widowControl/>
        <w:shd w:val="clear" w:color="auto" w:fill="FFFFFF"/>
        <w:spacing w:line="560" w:lineRule="exact"/>
        <w:jc w:val="left"/>
        <w:rPr>
          <w:rFonts w:ascii="Times New Roman" w:hAnsi="Times New Roman" w:eastAsia="黑体" w:cs="Times New Roman"/>
          <w:color w:val="000000" w:themeColor="text1"/>
          <w:kern w:val="0"/>
          <w:sz w:val="32"/>
          <w:szCs w:val="32"/>
          <w14:textFill>
            <w14:solidFill>
              <w14:schemeClr w14:val="tx1"/>
            </w14:solidFill>
          </w14:textFill>
        </w:rPr>
      </w:pPr>
    </w:p>
    <w:p w14:paraId="5300CFCE">
      <w:pPr>
        <w:widowControl/>
        <w:shd w:val="clear" w:color="auto" w:fill="FFFFFF"/>
        <w:spacing w:line="560" w:lineRule="exact"/>
        <w:jc w:val="left"/>
        <w:rPr>
          <w:rFonts w:ascii="Times New Roman" w:hAnsi="Times New Roman" w:eastAsia="黑体" w:cs="Times New Roman"/>
          <w:color w:val="000000" w:themeColor="text1"/>
          <w:kern w:val="0"/>
          <w:sz w:val="32"/>
          <w:szCs w:val="32"/>
          <w14:textFill>
            <w14:solidFill>
              <w14:schemeClr w14:val="tx1"/>
            </w14:solidFill>
          </w14:textFill>
        </w:rPr>
      </w:pPr>
    </w:p>
    <w:p w14:paraId="1CBE1D08">
      <w:pPr>
        <w:widowControl/>
        <w:shd w:val="clear" w:color="auto" w:fill="FFFFFF"/>
        <w:spacing w:line="560" w:lineRule="exact"/>
        <w:jc w:val="left"/>
        <w:rPr>
          <w:rFonts w:ascii="Times New Roman" w:hAnsi="Times New Roman" w:eastAsia="黑体" w:cs="Times New Roman"/>
          <w:color w:val="000000" w:themeColor="text1"/>
          <w:kern w:val="0"/>
          <w:sz w:val="32"/>
          <w:szCs w:val="32"/>
          <w14:textFill>
            <w14:solidFill>
              <w14:schemeClr w14:val="tx1"/>
            </w14:solidFill>
          </w14:textFill>
        </w:rPr>
      </w:pPr>
    </w:p>
    <w:p w14:paraId="57718558">
      <w:pPr>
        <w:widowControl/>
        <w:shd w:val="clear" w:color="auto" w:fill="FFFFFF"/>
        <w:spacing w:line="560" w:lineRule="exact"/>
        <w:jc w:val="left"/>
        <w:rPr>
          <w:rFonts w:ascii="Times New Roman" w:hAnsi="Times New Roman" w:eastAsia="黑体" w:cs="Times New Roman"/>
          <w:color w:val="000000" w:themeColor="text1"/>
          <w:kern w:val="0"/>
          <w:sz w:val="32"/>
          <w:szCs w:val="32"/>
          <w14:textFill>
            <w14:solidFill>
              <w14:schemeClr w14:val="tx1"/>
            </w14:solidFill>
          </w14:textFill>
        </w:rPr>
      </w:pPr>
    </w:p>
    <w:p w14:paraId="6C4FC437">
      <w:pPr>
        <w:widowControl/>
        <w:shd w:val="clear" w:color="auto" w:fill="FFFFFF"/>
        <w:spacing w:line="560" w:lineRule="exact"/>
        <w:jc w:val="left"/>
        <w:rPr>
          <w:rFonts w:ascii="Times New Roman" w:hAnsi="Times New Roman" w:eastAsia="黑体" w:cs="Times New Roman"/>
          <w:color w:val="000000" w:themeColor="text1"/>
          <w:kern w:val="0"/>
          <w:sz w:val="32"/>
          <w:szCs w:val="32"/>
          <w14:textFill>
            <w14:solidFill>
              <w14:schemeClr w14:val="tx1"/>
            </w14:solidFill>
          </w14:textFill>
        </w:rPr>
      </w:pPr>
    </w:p>
    <w:p w14:paraId="35365547">
      <w:pPr>
        <w:widowControl/>
        <w:shd w:val="clear" w:color="auto" w:fill="FFFFFF"/>
        <w:spacing w:line="560" w:lineRule="exact"/>
        <w:jc w:val="left"/>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附件3</w:t>
      </w:r>
    </w:p>
    <w:p w14:paraId="55813421">
      <w:pPr>
        <w:spacing w:line="560" w:lineRule="exact"/>
        <w:jc w:val="center"/>
        <w:outlineLvl w:val="0"/>
        <w:rPr>
          <w:rFonts w:ascii="Times New Roman" w:hAnsi="Times New Roman" w:eastAsia="方正小标宋简体" w:cs="Times New Roman"/>
          <w:color w:val="000000" w:themeColor="text1"/>
          <w:sz w:val="44"/>
          <w:szCs w:val="44"/>
          <w14:textFill>
            <w14:solidFill>
              <w14:schemeClr w14:val="tx1"/>
            </w14:solidFill>
          </w14:textFill>
        </w:rPr>
      </w:pPr>
    </w:p>
    <w:p w14:paraId="65EA0968">
      <w:pPr>
        <w:spacing w:line="560" w:lineRule="exact"/>
        <w:jc w:val="center"/>
        <w:outlineLvl w:val="0"/>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黑龙江省医疗保障信用修复申请表</w:t>
      </w:r>
    </w:p>
    <w:p w14:paraId="5E3BEA53">
      <w:pPr>
        <w:pStyle w:val="3"/>
        <w:spacing w:line="560" w:lineRule="exact"/>
        <w:rPr>
          <w:rFonts w:ascii="Times New Roman" w:hAnsi="Times New Roman" w:cs="Times New Roman"/>
          <w:color w:val="000000" w:themeColor="text1"/>
          <w14:textFill>
            <w14:solidFill>
              <w14:schemeClr w14:val="tx1"/>
            </w14:solidFill>
          </w14:textFill>
        </w:rPr>
      </w:pPr>
    </w:p>
    <w:tbl>
      <w:tblPr>
        <w:tblStyle w:val="7"/>
        <w:tblW w:w="8338" w:type="dxa"/>
        <w:jc w:val="center"/>
        <w:shd w:val="clear" w:color="auto" w:fill="FFFFFF"/>
        <w:tblLayout w:type="fixed"/>
        <w:tblCellMar>
          <w:top w:w="0" w:type="dxa"/>
          <w:left w:w="0" w:type="dxa"/>
          <w:bottom w:w="0" w:type="dxa"/>
          <w:right w:w="0" w:type="dxa"/>
        </w:tblCellMar>
      </w:tblPr>
      <w:tblGrid>
        <w:gridCol w:w="1497"/>
        <w:gridCol w:w="2408"/>
        <w:gridCol w:w="4433"/>
      </w:tblGrid>
      <w:tr w14:paraId="06EC2AFD">
        <w:tblPrEx>
          <w:shd w:val="clear" w:color="auto" w:fill="FFFFFF"/>
          <w:tblCellMar>
            <w:top w:w="0" w:type="dxa"/>
            <w:left w:w="0" w:type="dxa"/>
            <w:bottom w:w="0" w:type="dxa"/>
            <w:right w:w="0" w:type="dxa"/>
          </w:tblCellMar>
        </w:tblPrEx>
        <w:trPr>
          <w:trHeight w:val="788" w:hRule="atLeast"/>
          <w:jc w:val="center"/>
        </w:trPr>
        <w:tc>
          <w:tcPr>
            <w:tcW w:w="1497" w:type="dxa"/>
            <w:vMerge w:val="restart"/>
            <w:tcBorders>
              <w:top w:val="single" w:color="auto" w:sz="8" w:space="0"/>
              <w:left w:val="single" w:color="auto" w:sz="8" w:space="0"/>
              <w:bottom w:val="single" w:color="000000" w:sz="6" w:space="0"/>
              <w:right w:val="single" w:color="auto" w:sz="8" w:space="0"/>
            </w:tcBorders>
            <w:shd w:val="clear" w:color="auto" w:fill="FFFFFF"/>
            <w:vAlign w:val="center"/>
          </w:tcPr>
          <w:p w14:paraId="00530A01">
            <w:pPr>
              <w:widowControl/>
              <w:spacing w:line="56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失信主体基本情况</w:t>
            </w:r>
          </w:p>
        </w:tc>
        <w:tc>
          <w:tcPr>
            <w:tcW w:w="2408" w:type="dxa"/>
            <w:tcBorders>
              <w:top w:val="single" w:color="auto" w:sz="8" w:space="0"/>
              <w:left w:val="nil"/>
              <w:bottom w:val="single" w:color="auto" w:sz="8" w:space="0"/>
              <w:right w:val="single" w:color="auto" w:sz="8" w:space="0"/>
            </w:tcBorders>
            <w:shd w:val="clear" w:color="auto" w:fill="FFFFFF"/>
            <w:vAlign w:val="center"/>
          </w:tcPr>
          <w:p w14:paraId="13B4ED5B">
            <w:pPr>
              <w:widowControl/>
              <w:spacing w:line="56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名称</w:t>
            </w:r>
          </w:p>
        </w:tc>
        <w:tc>
          <w:tcPr>
            <w:tcW w:w="4433" w:type="dxa"/>
            <w:tcBorders>
              <w:top w:val="single" w:color="auto" w:sz="8" w:space="0"/>
              <w:left w:val="nil"/>
              <w:bottom w:val="single" w:color="auto" w:sz="8" w:space="0"/>
              <w:right w:val="single" w:color="auto" w:sz="8" w:space="0"/>
            </w:tcBorders>
            <w:shd w:val="clear" w:color="auto" w:fill="FFFFFF"/>
            <w:vAlign w:val="center"/>
          </w:tcPr>
          <w:p w14:paraId="631B9BFC">
            <w:pPr>
              <w:widowControl/>
              <w:spacing w:line="56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（填写法人单位名称或自然人名称）</w:t>
            </w:r>
          </w:p>
        </w:tc>
      </w:tr>
      <w:tr w14:paraId="4C88D8EF">
        <w:tblPrEx>
          <w:tblCellMar>
            <w:top w:w="0" w:type="dxa"/>
            <w:left w:w="0" w:type="dxa"/>
            <w:bottom w:w="0" w:type="dxa"/>
            <w:right w:w="0" w:type="dxa"/>
          </w:tblCellMar>
        </w:tblPrEx>
        <w:trPr>
          <w:trHeight w:val="881" w:hRule="atLeast"/>
          <w:jc w:val="center"/>
        </w:trPr>
        <w:tc>
          <w:tcPr>
            <w:tcW w:w="1497" w:type="dxa"/>
            <w:vMerge w:val="continue"/>
            <w:tcBorders>
              <w:top w:val="single" w:color="auto" w:sz="8" w:space="0"/>
              <w:left w:val="single" w:color="auto" w:sz="8" w:space="0"/>
              <w:bottom w:val="single" w:color="000000" w:sz="6" w:space="0"/>
              <w:right w:val="single" w:color="auto" w:sz="8" w:space="0"/>
            </w:tcBorders>
            <w:shd w:val="clear" w:color="auto" w:fill="FFFFFF"/>
            <w:vAlign w:val="center"/>
          </w:tcPr>
          <w:p w14:paraId="75567869">
            <w:pPr>
              <w:widowControl/>
              <w:spacing w:line="560" w:lineRule="exact"/>
              <w:jc w:val="center"/>
              <w:rPr>
                <w:rFonts w:ascii="Times New Roman" w:hAnsi="Times New Roman" w:eastAsia="仿宋_GB2312" w:cs="Times New Roman"/>
                <w:color w:val="000000" w:themeColor="text1"/>
                <w:kern w:val="0"/>
                <w:szCs w:val="21"/>
                <w14:textFill>
                  <w14:solidFill>
                    <w14:schemeClr w14:val="tx1"/>
                  </w14:solidFill>
                </w14:textFill>
              </w:rPr>
            </w:pPr>
          </w:p>
        </w:tc>
        <w:tc>
          <w:tcPr>
            <w:tcW w:w="2408" w:type="dxa"/>
            <w:tcBorders>
              <w:top w:val="nil"/>
              <w:left w:val="nil"/>
              <w:bottom w:val="single" w:color="auto" w:sz="8" w:space="0"/>
              <w:right w:val="single" w:color="auto" w:sz="8" w:space="0"/>
            </w:tcBorders>
            <w:shd w:val="clear" w:color="auto" w:fill="FFFFFF"/>
            <w:vAlign w:val="center"/>
          </w:tcPr>
          <w:p w14:paraId="3CE11062">
            <w:pPr>
              <w:widowControl/>
              <w:spacing w:line="56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统一社会信用代码</w:t>
            </w:r>
          </w:p>
        </w:tc>
        <w:tc>
          <w:tcPr>
            <w:tcW w:w="4433" w:type="dxa"/>
            <w:tcBorders>
              <w:top w:val="nil"/>
              <w:left w:val="nil"/>
              <w:bottom w:val="single" w:color="auto" w:sz="8" w:space="0"/>
              <w:right w:val="single" w:color="auto" w:sz="8" w:space="0"/>
            </w:tcBorders>
            <w:shd w:val="clear" w:color="auto" w:fill="FFFFFF"/>
            <w:vAlign w:val="center"/>
          </w:tcPr>
          <w:p w14:paraId="30296509">
            <w:pPr>
              <w:widowControl/>
              <w:spacing w:line="56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（自然人填写身份证号）</w:t>
            </w:r>
          </w:p>
        </w:tc>
      </w:tr>
      <w:tr w14:paraId="3CB78119">
        <w:tblPrEx>
          <w:tblCellMar>
            <w:top w:w="0" w:type="dxa"/>
            <w:left w:w="0" w:type="dxa"/>
            <w:bottom w:w="0" w:type="dxa"/>
            <w:right w:w="0" w:type="dxa"/>
          </w:tblCellMar>
        </w:tblPrEx>
        <w:trPr>
          <w:trHeight w:val="781" w:hRule="atLeast"/>
          <w:jc w:val="center"/>
        </w:trPr>
        <w:tc>
          <w:tcPr>
            <w:tcW w:w="1497" w:type="dxa"/>
            <w:vMerge w:val="continue"/>
            <w:tcBorders>
              <w:top w:val="single" w:color="auto" w:sz="8" w:space="0"/>
              <w:left w:val="single" w:color="auto" w:sz="8" w:space="0"/>
              <w:bottom w:val="single" w:color="000000" w:sz="6" w:space="0"/>
              <w:right w:val="single" w:color="auto" w:sz="8" w:space="0"/>
            </w:tcBorders>
            <w:shd w:val="clear" w:color="auto" w:fill="FFFFFF"/>
            <w:vAlign w:val="center"/>
          </w:tcPr>
          <w:p w14:paraId="0C2D65FA">
            <w:pPr>
              <w:widowControl/>
              <w:spacing w:line="560" w:lineRule="exact"/>
              <w:jc w:val="center"/>
              <w:rPr>
                <w:rFonts w:ascii="Times New Roman" w:hAnsi="Times New Roman" w:eastAsia="仿宋_GB2312" w:cs="Times New Roman"/>
                <w:color w:val="000000" w:themeColor="text1"/>
                <w:kern w:val="0"/>
                <w:szCs w:val="21"/>
                <w14:textFill>
                  <w14:solidFill>
                    <w14:schemeClr w14:val="tx1"/>
                  </w14:solidFill>
                </w14:textFill>
              </w:rPr>
            </w:pPr>
          </w:p>
        </w:tc>
        <w:tc>
          <w:tcPr>
            <w:tcW w:w="2408" w:type="dxa"/>
            <w:tcBorders>
              <w:top w:val="nil"/>
              <w:left w:val="nil"/>
              <w:bottom w:val="single" w:color="auto" w:sz="8" w:space="0"/>
              <w:right w:val="single" w:color="auto" w:sz="8" w:space="0"/>
            </w:tcBorders>
            <w:shd w:val="clear" w:color="auto" w:fill="FFFFFF"/>
            <w:vAlign w:val="center"/>
          </w:tcPr>
          <w:p w14:paraId="46BDFDFF">
            <w:pPr>
              <w:widowControl/>
              <w:spacing w:line="56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联系方式</w:t>
            </w:r>
          </w:p>
        </w:tc>
        <w:tc>
          <w:tcPr>
            <w:tcW w:w="4433" w:type="dxa"/>
            <w:tcBorders>
              <w:top w:val="nil"/>
              <w:left w:val="nil"/>
              <w:bottom w:val="single" w:color="auto" w:sz="8" w:space="0"/>
              <w:right w:val="single" w:color="auto" w:sz="8" w:space="0"/>
            </w:tcBorders>
            <w:shd w:val="clear" w:color="auto" w:fill="FFFFFF"/>
            <w:vAlign w:val="center"/>
          </w:tcPr>
          <w:p w14:paraId="678CD428">
            <w:pPr>
              <w:widowControl/>
              <w:spacing w:line="560" w:lineRule="exact"/>
              <w:jc w:val="center"/>
              <w:rPr>
                <w:rFonts w:ascii="Times New Roman" w:hAnsi="Times New Roman" w:eastAsia="仿宋_GB2312" w:cs="Times New Roman"/>
                <w:color w:val="000000" w:themeColor="text1"/>
                <w:kern w:val="0"/>
                <w:sz w:val="44"/>
                <w:szCs w:val="44"/>
                <w14:textFill>
                  <w14:solidFill>
                    <w14:schemeClr w14:val="tx1"/>
                  </w14:solidFill>
                </w14:textFill>
              </w:rPr>
            </w:pPr>
          </w:p>
        </w:tc>
      </w:tr>
      <w:tr w14:paraId="1A024820">
        <w:tblPrEx>
          <w:tblCellMar>
            <w:top w:w="0" w:type="dxa"/>
            <w:left w:w="0" w:type="dxa"/>
            <w:bottom w:w="0" w:type="dxa"/>
            <w:right w:w="0" w:type="dxa"/>
          </w:tblCellMar>
        </w:tblPrEx>
        <w:trPr>
          <w:trHeight w:val="2456" w:hRule="atLeast"/>
          <w:jc w:val="center"/>
        </w:trPr>
        <w:tc>
          <w:tcPr>
            <w:tcW w:w="1497" w:type="dxa"/>
            <w:tcBorders>
              <w:top w:val="nil"/>
              <w:left w:val="single" w:color="auto" w:sz="8" w:space="0"/>
              <w:bottom w:val="single" w:color="auto" w:sz="8" w:space="0"/>
              <w:right w:val="single" w:color="auto" w:sz="8" w:space="0"/>
            </w:tcBorders>
            <w:shd w:val="clear" w:color="auto" w:fill="FFFFFF"/>
            <w:vAlign w:val="center"/>
          </w:tcPr>
          <w:p w14:paraId="2B0D3408">
            <w:pPr>
              <w:widowControl/>
              <w:spacing w:line="560" w:lineRule="exact"/>
              <w:jc w:val="center"/>
              <w:rPr>
                <w:rFonts w:ascii="Times New Roman" w:hAnsi="Times New Roman" w:eastAsia="仿宋_GB2312" w:cs="Times New Roman"/>
                <w:color w:val="000000" w:themeColor="text1"/>
                <w:kern w:val="0"/>
                <w:sz w:val="30"/>
                <w:szCs w:val="30"/>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申请修复的失信信息内容</w:t>
            </w:r>
          </w:p>
        </w:tc>
        <w:tc>
          <w:tcPr>
            <w:tcW w:w="2408" w:type="dxa"/>
            <w:tcBorders>
              <w:top w:val="nil"/>
              <w:left w:val="nil"/>
              <w:bottom w:val="single" w:color="auto" w:sz="8" w:space="0"/>
              <w:right w:val="single" w:color="auto" w:sz="8" w:space="0"/>
            </w:tcBorders>
            <w:shd w:val="clear" w:color="auto" w:fill="FFFFFF"/>
            <w:vAlign w:val="center"/>
          </w:tcPr>
          <w:p w14:paraId="287286D8">
            <w:pPr>
              <w:widowControl/>
              <w:spacing w:line="560" w:lineRule="exact"/>
              <w:jc w:val="center"/>
              <w:rPr>
                <w:rFonts w:ascii="Times New Roman" w:hAnsi="Times New Roman" w:eastAsia="仿宋_GB2312" w:cs="Times New Roman"/>
                <w:color w:val="000000" w:themeColor="text1"/>
                <w:kern w:val="0"/>
                <w:sz w:val="30"/>
                <w:szCs w:val="30"/>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失信信息内容描述</w:t>
            </w:r>
          </w:p>
        </w:tc>
        <w:tc>
          <w:tcPr>
            <w:tcW w:w="4433" w:type="dxa"/>
            <w:tcBorders>
              <w:top w:val="nil"/>
              <w:left w:val="nil"/>
              <w:bottom w:val="single" w:color="auto" w:sz="8" w:space="0"/>
              <w:right w:val="single" w:color="auto" w:sz="8" w:space="0"/>
            </w:tcBorders>
            <w:shd w:val="clear" w:color="auto" w:fill="FFFFFF"/>
            <w:vAlign w:val="center"/>
          </w:tcPr>
          <w:p w14:paraId="79861474">
            <w:pPr>
              <w:widowControl/>
              <w:spacing w:line="560" w:lineRule="exact"/>
              <w:ind w:left="94" w:leftChars="45" w:right="84" w:rightChars="4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xxxx 年 xx 月 xx   日，因****行为被处以***罚款或者解除协议等（可提供页面打印件或复印件）</w:t>
            </w:r>
          </w:p>
        </w:tc>
      </w:tr>
      <w:tr w14:paraId="0E3ECEB4">
        <w:tblPrEx>
          <w:tblCellMar>
            <w:top w:w="0" w:type="dxa"/>
            <w:left w:w="0" w:type="dxa"/>
            <w:bottom w:w="0" w:type="dxa"/>
            <w:right w:w="0" w:type="dxa"/>
          </w:tblCellMar>
        </w:tblPrEx>
        <w:trPr>
          <w:trHeight w:val="1472" w:hRule="atLeast"/>
          <w:jc w:val="center"/>
        </w:trPr>
        <w:tc>
          <w:tcPr>
            <w:tcW w:w="1497" w:type="dxa"/>
            <w:tcBorders>
              <w:top w:val="nil"/>
              <w:left w:val="single" w:color="auto" w:sz="8" w:space="0"/>
              <w:bottom w:val="single" w:color="auto" w:sz="8" w:space="0"/>
              <w:right w:val="single" w:color="auto" w:sz="8" w:space="0"/>
            </w:tcBorders>
            <w:shd w:val="clear" w:color="auto" w:fill="FFFFFF"/>
            <w:vAlign w:val="center"/>
          </w:tcPr>
          <w:p w14:paraId="34373D46">
            <w:pPr>
              <w:widowControl/>
              <w:spacing w:line="560" w:lineRule="exact"/>
              <w:jc w:val="center"/>
              <w:rPr>
                <w:rFonts w:ascii="Times New Roman" w:hAnsi="Times New Roman" w:eastAsia="仿宋_GB2312" w:cs="Times New Roman"/>
                <w:color w:val="000000" w:themeColor="text1"/>
                <w:kern w:val="0"/>
                <w:sz w:val="30"/>
                <w:szCs w:val="30"/>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申请信用修复的理由</w:t>
            </w:r>
          </w:p>
        </w:tc>
        <w:tc>
          <w:tcPr>
            <w:tcW w:w="2408" w:type="dxa"/>
            <w:tcBorders>
              <w:top w:val="nil"/>
              <w:left w:val="nil"/>
              <w:bottom w:val="single" w:color="auto" w:sz="8" w:space="0"/>
              <w:right w:val="single" w:color="auto" w:sz="8" w:space="0"/>
            </w:tcBorders>
            <w:shd w:val="clear" w:color="auto" w:fill="FFFFFF"/>
            <w:vAlign w:val="center"/>
          </w:tcPr>
          <w:p w14:paraId="4A8A2150">
            <w:pPr>
              <w:widowControl/>
              <w:spacing w:line="560" w:lineRule="exact"/>
              <w:ind w:left="92" w:leftChars="44" w:right="189" w:rightChars="9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符合《黑龙江省医疗保障信用管理暂行办法》规定</w:t>
            </w:r>
          </w:p>
        </w:tc>
        <w:tc>
          <w:tcPr>
            <w:tcW w:w="4433" w:type="dxa"/>
            <w:tcBorders>
              <w:top w:val="nil"/>
              <w:left w:val="nil"/>
              <w:bottom w:val="single" w:color="auto" w:sz="8" w:space="0"/>
              <w:right w:val="single" w:color="auto" w:sz="8" w:space="0"/>
            </w:tcBorders>
            <w:shd w:val="clear" w:color="auto" w:fill="FFFFFF"/>
            <w:tcMar>
              <w:top w:w="0" w:type="dxa"/>
              <w:left w:w="405" w:type="dxa"/>
              <w:bottom w:w="0" w:type="dxa"/>
              <w:right w:w="0" w:type="dxa"/>
            </w:tcMar>
            <w:vAlign w:val="center"/>
          </w:tcPr>
          <w:p w14:paraId="620D3AD5">
            <w:pPr>
              <w:widowControl/>
              <w:spacing w:line="560" w:lineRule="exact"/>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第三十五条规定：符合□ 不符合□</w:t>
            </w:r>
          </w:p>
        </w:tc>
      </w:tr>
      <w:tr w14:paraId="0AD33E64">
        <w:tblPrEx>
          <w:tblCellMar>
            <w:top w:w="0" w:type="dxa"/>
            <w:left w:w="0" w:type="dxa"/>
            <w:bottom w:w="0" w:type="dxa"/>
            <w:right w:w="0" w:type="dxa"/>
          </w:tblCellMar>
        </w:tblPrEx>
        <w:trPr>
          <w:trHeight w:val="788" w:hRule="atLeast"/>
          <w:jc w:val="center"/>
        </w:trPr>
        <w:tc>
          <w:tcPr>
            <w:tcW w:w="8338" w:type="dxa"/>
            <w:gridSpan w:val="3"/>
            <w:tcBorders>
              <w:top w:val="single" w:color="auto" w:sz="8" w:space="0"/>
              <w:left w:val="single" w:color="auto" w:sz="8" w:space="0"/>
              <w:bottom w:val="nil"/>
              <w:right w:val="single" w:color="000000" w:sz="6" w:space="0"/>
            </w:tcBorders>
            <w:shd w:val="clear" w:color="auto" w:fill="FFFFFF"/>
            <w:tcMar>
              <w:top w:w="0" w:type="dxa"/>
              <w:left w:w="1215" w:type="dxa"/>
              <w:bottom w:w="0" w:type="dxa"/>
              <w:right w:w="0" w:type="dxa"/>
            </w:tcMar>
            <w:vAlign w:val="center"/>
          </w:tcPr>
          <w:p w14:paraId="030BB9B4">
            <w:pPr>
              <w:widowControl/>
              <w:spacing w:line="560" w:lineRule="exact"/>
              <w:jc w:val="center"/>
              <w:rPr>
                <w:rFonts w:ascii="Times New Roman" w:hAnsi="Times New Roman" w:eastAsia="仿宋_GB2312" w:cs="Times New Roman"/>
                <w:color w:val="000000" w:themeColor="text1"/>
                <w:kern w:val="0"/>
                <w:sz w:val="32"/>
                <w:szCs w:val="32"/>
                <w14:textFill>
                  <w14:solidFill>
                    <w14:schemeClr w14:val="tx1"/>
                  </w14:solidFill>
                </w14:textFill>
              </w:rPr>
            </w:pPr>
          </w:p>
        </w:tc>
      </w:tr>
      <w:tr w14:paraId="5EB088B4">
        <w:tblPrEx>
          <w:tblCellMar>
            <w:top w:w="0" w:type="dxa"/>
            <w:left w:w="0" w:type="dxa"/>
            <w:bottom w:w="0" w:type="dxa"/>
            <w:right w:w="0" w:type="dxa"/>
          </w:tblCellMar>
        </w:tblPrEx>
        <w:trPr>
          <w:trHeight w:val="721" w:hRule="atLeast"/>
          <w:jc w:val="center"/>
        </w:trPr>
        <w:tc>
          <w:tcPr>
            <w:tcW w:w="8338" w:type="dxa"/>
            <w:gridSpan w:val="3"/>
            <w:tcBorders>
              <w:top w:val="nil"/>
              <w:left w:val="single" w:color="auto" w:sz="8" w:space="0"/>
              <w:bottom w:val="nil"/>
              <w:right w:val="single" w:color="000000" w:sz="6" w:space="0"/>
            </w:tcBorders>
            <w:shd w:val="clear" w:color="auto" w:fill="FFFFFF"/>
            <w:tcMar>
              <w:top w:w="0" w:type="dxa"/>
              <w:left w:w="1215" w:type="dxa"/>
              <w:bottom w:w="0" w:type="dxa"/>
              <w:right w:w="0" w:type="dxa"/>
            </w:tcMar>
            <w:vAlign w:val="center"/>
          </w:tcPr>
          <w:p w14:paraId="4B23B9E6">
            <w:pPr>
              <w:widowControl/>
              <w:spacing w:line="56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本单位（本人）声明，提交的材料真实有效。</w:t>
            </w:r>
          </w:p>
        </w:tc>
      </w:tr>
      <w:tr w14:paraId="4CF85D99">
        <w:tblPrEx>
          <w:tblCellMar>
            <w:top w:w="0" w:type="dxa"/>
            <w:left w:w="0" w:type="dxa"/>
            <w:bottom w:w="0" w:type="dxa"/>
            <w:right w:w="0" w:type="dxa"/>
          </w:tblCellMar>
        </w:tblPrEx>
        <w:trPr>
          <w:trHeight w:val="697" w:hRule="atLeast"/>
          <w:jc w:val="center"/>
        </w:trPr>
        <w:tc>
          <w:tcPr>
            <w:tcW w:w="8338" w:type="dxa"/>
            <w:gridSpan w:val="3"/>
            <w:tcBorders>
              <w:top w:val="nil"/>
              <w:left w:val="single" w:color="auto" w:sz="8" w:space="0"/>
              <w:bottom w:val="nil"/>
              <w:right w:val="single" w:color="000000" w:sz="6" w:space="0"/>
            </w:tcBorders>
            <w:shd w:val="clear" w:color="auto" w:fill="FFFFFF"/>
            <w:tcMar>
              <w:top w:w="0" w:type="dxa"/>
              <w:left w:w="2835" w:type="dxa"/>
              <w:bottom w:w="0" w:type="dxa"/>
              <w:right w:w="0" w:type="dxa"/>
            </w:tcMar>
            <w:vAlign w:val="center"/>
          </w:tcPr>
          <w:p w14:paraId="7183F5C6">
            <w:pPr>
              <w:widowControl/>
              <w:spacing w:line="56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法定代表人（自然人）签字： （盖章）</w:t>
            </w:r>
          </w:p>
        </w:tc>
      </w:tr>
      <w:tr w14:paraId="1E894B68">
        <w:tblPrEx>
          <w:tblCellMar>
            <w:top w:w="0" w:type="dxa"/>
            <w:left w:w="0" w:type="dxa"/>
            <w:bottom w:w="0" w:type="dxa"/>
            <w:right w:w="0" w:type="dxa"/>
          </w:tblCellMar>
        </w:tblPrEx>
        <w:trPr>
          <w:trHeight w:val="732" w:hRule="atLeast"/>
          <w:jc w:val="center"/>
        </w:trPr>
        <w:tc>
          <w:tcPr>
            <w:tcW w:w="8338" w:type="dxa"/>
            <w:gridSpan w:val="3"/>
            <w:tcBorders>
              <w:top w:val="nil"/>
              <w:left w:val="single" w:color="auto" w:sz="8" w:space="0"/>
              <w:bottom w:val="single" w:color="auto" w:sz="8" w:space="0"/>
              <w:right w:val="single" w:color="000000" w:sz="6" w:space="0"/>
            </w:tcBorders>
            <w:shd w:val="clear" w:color="auto" w:fill="FFFFFF"/>
            <w:tcMar>
              <w:top w:w="0" w:type="dxa"/>
              <w:left w:w="6075" w:type="dxa"/>
              <w:bottom w:w="0" w:type="dxa"/>
              <w:right w:w="0" w:type="dxa"/>
            </w:tcMar>
            <w:vAlign w:val="center"/>
          </w:tcPr>
          <w:p w14:paraId="7A33F58B">
            <w:pPr>
              <w:widowControl/>
              <w:spacing w:line="560" w:lineRule="exac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申请日期：</w:t>
            </w:r>
          </w:p>
        </w:tc>
      </w:tr>
    </w:tbl>
    <w:p w14:paraId="751F9CAB">
      <w:pPr>
        <w:rPr>
          <w:rFonts w:ascii="黑体" w:hAnsi="黑体" w:eastAsia="黑体" w:cs="黑体"/>
          <w:sz w:val="32"/>
          <w:szCs w:val="32"/>
        </w:rPr>
      </w:pPr>
    </w:p>
    <w:p w14:paraId="1DF00B73">
      <w:pPr>
        <w:rPr>
          <w:rFonts w:ascii="仿宋_GB2312" w:hAnsi="仿宋_GB2312" w:eastAsia="仿宋_GB2312" w:cs="仿宋_GB2312"/>
          <w:sz w:val="32"/>
          <w:szCs w:val="32"/>
        </w:rPr>
      </w:pPr>
    </w:p>
    <w:p w14:paraId="0F3B319A">
      <w:pPr>
        <w:pStyle w:val="2"/>
      </w:pPr>
    </w:p>
    <w:p w14:paraId="4A75D8FC">
      <w:pPr>
        <w:rPr>
          <w:rFonts w:ascii="黑体" w:hAnsi="黑体" w:eastAsia="黑体" w:cs="黑体"/>
          <w:sz w:val="32"/>
          <w:szCs w:val="32"/>
        </w:rPr>
      </w:pPr>
      <w:r>
        <w:rPr>
          <w:rFonts w:hint="eastAsia" w:ascii="黑体" w:hAnsi="黑体" w:eastAsia="黑体" w:cs="黑体"/>
          <w:sz w:val="32"/>
          <w:szCs w:val="32"/>
        </w:rPr>
        <w:t>附件4</w:t>
      </w:r>
    </w:p>
    <w:p w14:paraId="44C10C45">
      <w:pPr>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sz w:val="44"/>
          <w:szCs w:val="44"/>
        </w:rPr>
        <w:t>不予信用修复告知书</w:t>
      </w:r>
    </w:p>
    <w:p w14:paraId="50AE8EFD">
      <w:pPr>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14:paraId="3FFCF44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我局于*年*月*日收到你（单位）提出的申请，经审查，不符合《黑龙江省医疗保障信用管理办法》规定，决定不予信用修复。</w:t>
      </w:r>
    </w:p>
    <w:p w14:paraId="57D1AC5C">
      <w:pPr>
        <w:pStyle w:val="3"/>
        <w:spacing w:line="56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如不服本决定，可以自收到本告知书之日起5个工作日内，向***提出异议申请。</w:t>
      </w:r>
    </w:p>
    <w:p w14:paraId="08D0B0BC">
      <w:pPr>
        <w:pStyle w:val="11"/>
      </w:pPr>
    </w:p>
    <w:p w14:paraId="6F95F7E7">
      <w:pPr>
        <w:pStyle w:val="3"/>
        <w:spacing w:line="560" w:lineRule="exact"/>
        <w:jc w:val="righ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 xml:space="preserve">                              单位名称（盖章）</w:t>
      </w:r>
    </w:p>
    <w:p w14:paraId="1B4DF717">
      <w:pPr>
        <w:pStyle w:val="3"/>
        <w:spacing w:line="560" w:lineRule="exact"/>
        <w:jc w:val="right"/>
        <w:rPr>
          <w:rFonts w:ascii="Times New Roman" w:hAnsi="Times New Roman" w:eastAsia="仿宋_GB2312" w:cs="Times New Roman"/>
          <w:color w:val="000000" w:themeColor="text1"/>
          <w:kern w:val="0"/>
          <w:sz w:val="32"/>
          <w:szCs w:val="32"/>
          <w14:textFill>
            <w14:solidFill>
              <w14:schemeClr w14:val="tx1"/>
            </w14:solidFill>
          </w14:textFill>
        </w:rPr>
      </w:pPr>
    </w:p>
    <w:p w14:paraId="4853973C">
      <w:pPr>
        <w:pStyle w:val="3"/>
        <w:spacing w:line="560" w:lineRule="exact"/>
        <w:jc w:val="righ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 xml:space="preserve">                                年  月  日</w:t>
      </w:r>
    </w:p>
    <w:p w14:paraId="78770FB2">
      <w:pPr>
        <w:pStyle w:val="3"/>
        <w:spacing w:line="560" w:lineRule="exact"/>
        <w:jc w:val="right"/>
        <w:rPr>
          <w:rFonts w:ascii="Times New Roman" w:hAnsi="Times New Roman" w:eastAsia="仿宋_GB2312" w:cs="Times New Roman"/>
          <w:color w:val="000000" w:themeColor="text1"/>
          <w:kern w:val="0"/>
          <w:sz w:val="32"/>
          <w:szCs w:val="32"/>
          <w14:textFill>
            <w14:solidFill>
              <w14:schemeClr w14:val="tx1"/>
            </w14:solidFill>
          </w14:textFill>
        </w:rPr>
      </w:pPr>
    </w:p>
    <w:p w14:paraId="10305186">
      <w:pPr>
        <w:pStyle w:val="3"/>
        <w:spacing w:line="56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经办人：                           经办人电话：</w:t>
      </w:r>
    </w:p>
    <w:p w14:paraId="7B058CB2">
      <w:pPr>
        <w:widowControl/>
        <w:shd w:val="clear" w:color="auto" w:fill="FFFFFF"/>
        <w:spacing w:line="560" w:lineRule="exact"/>
        <w:jc w:val="left"/>
        <w:rPr>
          <w:rFonts w:ascii="Times New Roman" w:hAnsi="Times New Roman" w:eastAsia="仿宋_GB2312" w:cs="Times New Roman"/>
          <w:color w:val="000000" w:themeColor="text1"/>
          <w:kern w:val="0"/>
          <w:sz w:val="32"/>
          <w:szCs w:val="32"/>
          <w14:textFill>
            <w14:solidFill>
              <w14:schemeClr w14:val="tx1"/>
            </w14:solidFill>
          </w14:textFill>
        </w:rPr>
      </w:pPr>
    </w:p>
    <w:p w14:paraId="2219DD2F">
      <w:pPr>
        <w:widowControl/>
        <w:shd w:val="clear" w:color="auto" w:fill="FFFFFF"/>
        <w:spacing w:line="560" w:lineRule="exact"/>
        <w:jc w:val="left"/>
        <w:rPr>
          <w:rFonts w:ascii="Times New Roman" w:hAnsi="Times New Roman" w:eastAsia="黑体" w:cs="Times New Roman"/>
          <w:color w:val="000000" w:themeColor="text1"/>
          <w:kern w:val="0"/>
          <w:sz w:val="32"/>
          <w:szCs w:val="32"/>
          <w14:textFill>
            <w14:solidFill>
              <w14:schemeClr w14:val="tx1"/>
            </w14:solidFill>
          </w14:textFill>
        </w:rPr>
      </w:pPr>
    </w:p>
    <w:p w14:paraId="07E4841F">
      <w:pPr>
        <w:widowControl/>
        <w:shd w:val="clear" w:color="auto" w:fill="FFFFFF"/>
        <w:spacing w:line="560" w:lineRule="exact"/>
        <w:jc w:val="left"/>
        <w:rPr>
          <w:rFonts w:ascii="Times New Roman" w:hAnsi="Times New Roman" w:eastAsia="黑体" w:cs="Times New Roman"/>
          <w:color w:val="000000" w:themeColor="text1"/>
          <w:kern w:val="0"/>
          <w:sz w:val="32"/>
          <w:szCs w:val="32"/>
          <w14:textFill>
            <w14:solidFill>
              <w14:schemeClr w14:val="tx1"/>
            </w14:solidFill>
          </w14:textFill>
        </w:rPr>
      </w:pPr>
    </w:p>
    <w:p w14:paraId="665307A0">
      <w:pPr>
        <w:widowControl/>
        <w:shd w:val="clear" w:color="auto" w:fill="FFFFFF"/>
        <w:spacing w:line="560" w:lineRule="exact"/>
        <w:jc w:val="left"/>
        <w:rPr>
          <w:rFonts w:ascii="Times New Roman" w:hAnsi="Times New Roman" w:eastAsia="黑体" w:cs="Times New Roman"/>
          <w:color w:val="000000" w:themeColor="text1"/>
          <w:kern w:val="0"/>
          <w:sz w:val="32"/>
          <w:szCs w:val="32"/>
          <w14:textFill>
            <w14:solidFill>
              <w14:schemeClr w14:val="tx1"/>
            </w14:solidFill>
          </w14:textFill>
        </w:rPr>
      </w:pPr>
    </w:p>
    <w:p w14:paraId="66CFDD10">
      <w:pPr>
        <w:widowControl/>
        <w:shd w:val="clear" w:color="auto" w:fill="FFFFFF"/>
        <w:spacing w:line="560" w:lineRule="exact"/>
        <w:jc w:val="left"/>
        <w:rPr>
          <w:rFonts w:ascii="Times New Roman" w:hAnsi="Times New Roman" w:eastAsia="黑体" w:cs="Times New Roman"/>
          <w:color w:val="000000" w:themeColor="text1"/>
          <w:kern w:val="0"/>
          <w:sz w:val="32"/>
          <w:szCs w:val="32"/>
          <w14:textFill>
            <w14:solidFill>
              <w14:schemeClr w14:val="tx1"/>
            </w14:solidFill>
          </w14:textFill>
        </w:rPr>
      </w:pPr>
    </w:p>
    <w:p w14:paraId="220750A1">
      <w:pPr>
        <w:widowControl/>
        <w:shd w:val="clear" w:color="auto" w:fill="FFFFFF"/>
        <w:spacing w:line="560" w:lineRule="exact"/>
        <w:jc w:val="left"/>
        <w:rPr>
          <w:rFonts w:ascii="Times New Roman" w:hAnsi="Times New Roman" w:eastAsia="黑体" w:cs="Times New Roman"/>
          <w:color w:val="000000" w:themeColor="text1"/>
          <w:kern w:val="0"/>
          <w:sz w:val="32"/>
          <w:szCs w:val="32"/>
          <w14:textFill>
            <w14:solidFill>
              <w14:schemeClr w14:val="tx1"/>
            </w14:solidFill>
          </w14:textFill>
        </w:rPr>
      </w:pPr>
    </w:p>
    <w:p w14:paraId="7A959ACB">
      <w:pPr>
        <w:widowControl/>
        <w:shd w:val="clear" w:color="auto" w:fill="FFFFFF"/>
        <w:spacing w:line="560" w:lineRule="exact"/>
        <w:jc w:val="left"/>
        <w:rPr>
          <w:rFonts w:ascii="Times New Roman" w:hAnsi="Times New Roman" w:eastAsia="黑体" w:cs="Times New Roman"/>
          <w:color w:val="000000" w:themeColor="text1"/>
          <w:kern w:val="0"/>
          <w:sz w:val="32"/>
          <w:szCs w:val="32"/>
          <w14:textFill>
            <w14:solidFill>
              <w14:schemeClr w14:val="tx1"/>
            </w14:solidFill>
          </w14:textFill>
        </w:rPr>
      </w:pPr>
    </w:p>
    <w:p w14:paraId="209C254A">
      <w:pPr>
        <w:widowControl/>
        <w:shd w:val="clear" w:color="auto" w:fill="FFFFFF"/>
        <w:spacing w:line="560" w:lineRule="exact"/>
        <w:jc w:val="left"/>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附件5</w:t>
      </w:r>
    </w:p>
    <w:p w14:paraId="74EEA846">
      <w:pPr>
        <w:spacing w:line="560" w:lineRule="exact"/>
        <w:outlineLvl w:val="0"/>
        <w:rPr>
          <w:rFonts w:ascii="Times New Roman" w:hAnsi="Times New Roman" w:eastAsia="方正小标宋简体" w:cs="Times New Roman"/>
          <w:color w:val="000000" w:themeColor="text1"/>
          <w:sz w:val="44"/>
          <w:szCs w:val="44"/>
          <w14:textFill>
            <w14:solidFill>
              <w14:schemeClr w14:val="tx1"/>
            </w14:solidFill>
          </w14:textFill>
        </w:rPr>
      </w:pPr>
    </w:p>
    <w:p w14:paraId="5CBF7676">
      <w:pPr>
        <w:spacing w:line="560" w:lineRule="exact"/>
        <w:jc w:val="center"/>
        <w:outlineLvl w:val="0"/>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黑龙江省医疗保障信用修复确认通知书</w:t>
      </w:r>
    </w:p>
    <w:p w14:paraId="6039A3CC">
      <w:pPr>
        <w:spacing w:line="560" w:lineRule="exact"/>
        <w:jc w:val="center"/>
        <w:outlineLvl w:val="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0"/>
          <w:szCs w:val="30"/>
          <w14:textFill>
            <w14:solidFill>
              <w14:schemeClr w14:val="tx1"/>
            </w14:solidFill>
          </w14:textFill>
        </w:rPr>
        <w:t xml:space="preserve">                        </w:t>
      </w:r>
      <w:r>
        <w:rPr>
          <w:rFonts w:ascii="Times New Roman" w:hAnsi="Times New Roman" w:eastAsia="黑体" w:cs="Times New Roman"/>
          <w:color w:val="000000" w:themeColor="text1"/>
          <w:sz w:val="32"/>
          <w:szCs w:val="32"/>
          <w14:textFill>
            <w14:solidFill>
              <w14:schemeClr w14:val="tx1"/>
            </w14:solidFill>
          </w14:textFill>
        </w:rPr>
        <w:t>编号：</w:t>
      </w:r>
    </w:p>
    <w:tbl>
      <w:tblPr>
        <w:tblStyle w:val="7"/>
        <w:tblW w:w="9056" w:type="dxa"/>
        <w:tblInd w:w="0" w:type="dxa"/>
        <w:shd w:val="clear" w:color="auto" w:fill="FFFFFF"/>
        <w:tblLayout w:type="fixed"/>
        <w:tblCellMar>
          <w:top w:w="0" w:type="dxa"/>
          <w:left w:w="0" w:type="dxa"/>
          <w:bottom w:w="0" w:type="dxa"/>
          <w:right w:w="0" w:type="dxa"/>
        </w:tblCellMar>
      </w:tblPr>
      <w:tblGrid>
        <w:gridCol w:w="1360"/>
        <w:gridCol w:w="2125"/>
        <w:gridCol w:w="1696"/>
        <w:gridCol w:w="1208"/>
        <w:gridCol w:w="2667"/>
      </w:tblGrid>
      <w:tr w14:paraId="59086CB1">
        <w:tblPrEx>
          <w:shd w:val="clear" w:color="auto" w:fill="FFFFFF"/>
          <w:tblCellMar>
            <w:top w:w="0" w:type="dxa"/>
            <w:left w:w="0" w:type="dxa"/>
            <w:bottom w:w="0" w:type="dxa"/>
            <w:right w:w="0" w:type="dxa"/>
          </w:tblCellMar>
        </w:tblPrEx>
        <w:trPr>
          <w:trHeight w:val="660" w:hRule="atLeast"/>
        </w:trPr>
        <w:tc>
          <w:tcPr>
            <w:tcW w:w="1360" w:type="dxa"/>
            <w:vMerge w:val="restart"/>
            <w:tcBorders>
              <w:top w:val="single" w:color="auto" w:sz="8" w:space="0"/>
              <w:left w:val="single" w:color="auto" w:sz="8" w:space="0"/>
              <w:bottom w:val="single" w:color="000000" w:sz="6" w:space="0"/>
              <w:right w:val="single" w:color="auto" w:sz="8" w:space="0"/>
            </w:tcBorders>
            <w:shd w:val="clear" w:color="auto" w:fill="FFFFFF"/>
            <w:vAlign w:val="center"/>
          </w:tcPr>
          <w:p w14:paraId="29A46FF2">
            <w:pPr>
              <w:widowControl/>
              <w:spacing w:line="56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申请修复的失信主体</w:t>
            </w:r>
          </w:p>
        </w:tc>
        <w:tc>
          <w:tcPr>
            <w:tcW w:w="2125" w:type="dxa"/>
            <w:tcBorders>
              <w:top w:val="single" w:color="auto" w:sz="8" w:space="0"/>
              <w:left w:val="nil"/>
              <w:bottom w:val="single" w:color="auto" w:sz="8" w:space="0"/>
              <w:right w:val="single" w:color="auto" w:sz="8" w:space="0"/>
            </w:tcBorders>
            <w:shd w:val="clear" w:color="auto" w:fill="FFFFFF"/>
            <w:vAlign w:val="center"/>
          </w:tcPr>
          <w:p w14:paraId="41031DA5">
            <w:pPr>
              <w:widowControl/>
              <w:spacing w:line="56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名称</w:t>
            </w:r>
          </w:p>
        </w:tc>
        <w:tc>
          <w:tcPr>
            <w:tcW w:w="5571" w:type="dxa"/>
            <w:gridSpan w:val="3"/>
            <w:tcBorders>
              <w:top w:val="single" w:color="auto" w:sz="8" w:space="0"/>
              <w:left w:val="nil"/>
              <w:bottom w:val="single" w:color="auto" w:sz="8" w:space="0"/>
              <w:right w:val="single" w:color="000000" w:sz="6" w:space="0"/>
            </w:tcBorders>
            <w:shd w:val="clear" w:color="auto" w:fill="FFFFFF"/>
            <w:vAlign w:val="center"/>
          </w:tcPr>
          <w:p w14:paraId="13DDB36F">
            <w:pPr>
              <w:widowControl/>
              <w:spacing w:line="560" w:lineRule="exact"/>
              <w:ind w:firstLine="240" w:firstLineChars="100"/>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（填写法人单位名称或自然人名称）</w:t>
            </w:r>
          </w:p>
        </w:tc>
      </w:tr>
      <w:tr w14:paraId="5D52C49B">
        <w:tblPrEx>
          <w:tblCellMar>
            <w:top w:w="0" w:type="dxa"/>
            <w:left w:w="0" w:type="dxa"/>
            <w:bottom w:w="0" w:type="dxa"/>
            <w:right w:w="0" w:type="dxa"/>
          </w:tblCellMar>
        </w:tblPrEx>
        <w:trPr>
          <w:trHeight w:val="692" w:hRule="atLeast"/>
        </w:trPr>
        <w:tc>
          <w:tcPr>
            <w:tcW w:w="1360" w:type="dxa"/>
            <w:vMerge w:val="continue"/>
            <w:tcBorders>
              <w:top w:val="single" w:color="auto" w:sz="8" w:space="0"/>
              <w:left w:val="single" w:color="auto" w:sz="8" w:space="0"/>
              <w:bottom w:val="single" w:color="000000" w:sz="6" w:space="0"/>
              <w:right w:val="single" w:color="auto" w:sz="8" w:space="0"/>
            </w:tcBorders>
            <w:shd w:val="clear" w:color="auto" w:fill="FFFFFF"/>
            <w:vAlign w:val="center"/>
          </w:tcPr>
          <w:p w14:paraId="07EEEA06">
            <w:pPr>
              <w:widowControl/>
              <w:spacing w:line="560" w:lineRule="exact"/>
              <w:jc w:val="left"/>
              <w:rPr>
                <w:rFonts w:ascii="仿宋_GB2312" w:hAnsi="仿宋_GB2312" w:eastAsia="仿宋_GB2312" w:cs="仿宋_GB2312"/>
                <w:color w:val="000000" w:themeColor="text1"/>
                <w:kern w:val="0"/>
                <w:sz w:val="24"/>
                <w14:textFill>
                  <w14:solidFill>
                    <w14:schemeClr w14:val="tx1"/>
                  </w14:solidFill>
                </w14:textFill>
              </w:rPr>
            </w:pPr>
          </w:p>
        </w:tc>
        <w:tc>
          <w:tcPr>
            <w:tcW w:w="2125" w:type="dxa"/>
            <w:tcBorders>
              <w:top w:val="nil"/>
              <w:left w:val="nil"/>
              <w:bottom w:val="single" w:color="auto" w:sz="8" w:space="0"/>
              <w:right w:val="single" w:color="auto" w:sz="8" w:space="0"/>
            </w:tcBorders>
            <w:shd w:val="clear" w:color="auto" w:fill="FFFFFF"/>
            <w:vAlign w:val="center"/>
          </w:tcPr>
          <w:p w14:paraId="6D43C332">
            <w:pPr>
              <w:widowControl/>
              <w:spacing w:line="56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统一社会信用代码</w:t>
            </w:r>
          </w:p>
        </w:tc>
        <w:tc>
          <w:tcPr>
            <w:tcW w:w="5571" w:type="dxa"/>
            <w:gridSpan w:val="3"/>
            <w:tcBorders>
              <w:top w:val="single" w:color="auto" w:sz="8" w:space="0"/>
              <w:left w:val="nil"/>
              <w:bottom w:val="single" w:color="auto" w:sz="8" w:space="0"/>
              <w:right w:val="single" w:color="000000" w:sz="6" w:space="0"/>
            </w:tcBorders>
            <w:shd w:val="clear" w:color="auto" w:fill="FFFFFF"/>
            <w:vAlign w:val="center"/>
          </w:tcPr>
          <w:p w14:paraId="5387A9F7">
            <w:pPr>
              <w:widowControl/>
              <w:spacing w:line="56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（自然人填写身份证号）</w:t>
            </w:r>
          </w:p>
        </w:tc>
      </w:tr>
      <w:tr w14:paraId="73516898">
        <w:tblPrEx>
          <w:tblCellMar>
            <w:top w:w="0" w:type="dxa"/>
            <w:left w:w="0" w:type="dxa"/>
            <w:bottom w:w="0" w:type="dxa"/>
            <w:right w:w="0" w:type="dxa"/>
          </w:tblCellMar>
        </w:tblPrEx>
        <w:trPr>
          <w:trHeight w:val="684" w:hRule="atLeast"/>
        </w:trPr>
        <w:tc>
          <w:tcPr>
            <w:tcW w:w="1360" w:type="dxa"/>
            <w:vMerge w:val="continue"/>
            <w:tcBorders>
              <w:top w:val="single" w:color="auto" w:sz="8" w:space="0"/>
              <w:left w:val="single" w:color="auto" w:sz="8" w:space="0"/>
              <w:bottom w:val="single" w:color="000000" w:sz="6" w:space="0"/>
              <w:right w:val="single" w:color="auto" w:sz="8" w:space="0"/>
            </w:tcBorders>
            <w:shd w:val="clear" w:color="auto" w:fill="FFFFFF"/>
            <w:vAlign w:val="center"/>
          </w:tcPr>
          <w:p w14:paraId="75C8E4A8">
            <w:pPr>
              <w:widowControl/>
              <w:spacing w:line="560" w:lineRule="exact"/>
              <w:jc w:val="left"/>
              <w:rPr>
                <w:rFonts w:ascii="仿宋_GB2312" w:hAnsi="仿宋_GB2312" w:eastAsia="仿宋_GB2312" w:cs="仿宋_GB2312"/>
                <w:color w:val="000000" w:themeColor="text1"/>
                <w:kern w:val="0"/>
                <w:sz w:val="24"/>
                <w14:textFill>
                  <w14:solidFill>
                    <w14:schemeClr w14:val="tx1"/>
                  </w14:solidFill>
                </w14:textFill>
              </w:rPr>
            </w:pPr>
          </w:p>
        </w:tc>
        <w:tc>
          <w:tcPr>
            <w:tcW w:w="2125" w:type="dxa"/>
            <w:tcBorders>
              <w:top w:val="nil"/>
              <w:left w:val="nil"/>
              <w:bottom w:val="single" w:color="auto" w:sz="8" w:space="0"/>
              <w:right w:val="single" w:color="auto" w:sz="8" w:space="0"/>
            </w:tcBorders>
            <w:shd w:val="clear" w:color="auto" w:fill="FFFFFF"/>
            <w:vAlign w:val="center"/>
          </w:tcPr>
          <w:p w14:paraId="7A13B6F3">
            <w:pPr>
              <w:widowControl/>
              <w:spacing w:line="56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法定代表人</w:t>
            </w:r>
          </w:p>
        </w:tc>
        <w:tc>
          <w:tcPr>
            <w:tcW w:w="1696" w:type="dxa"/>
            <w:tcBorders>
              <w:top w:val="nil"/>
              <w:left w:val="nil"/>
              <w:bottom w:val="single" w:color="auto" w:sz="8" w:space="0"/>
              <w:right w:val="single" w:color="auto" w:sz="8" w:space="0"/>
            </w:tcBorders>
            <w:shd w:val="clear" w:color="auto" w:fill="FFFFFF"/>
            <w:vAlign w:val="center"/>
          </w:tcPr>
          <w:p w14:paraId="28EE791F">
            <w:pPr>
              <w:widowControl/>
              <w:spacing w:line="560" w:lineRule="exact"/>
              <w:jc w:val="center"/>
              <w:rPr>
                <w:rFonts w:ascii="仿宋_GB2312" w:hAnsi="仿宋_GB2312" w:eastAsia="仿宋_GB2312" w:cs="仿宋_GB2312"/>
                <w:color w:val="000000" w:themeColor="text1"/>
                <w:kern w:val="0"/>
                <w:sz w:val="24"/>
                <w14:textFill>
                  <w14:solidFill>
                    <w14:schemeClr w14:val="tx1"/>
                  </w14:solidFill>
                </w14:textFill>
              </w:rPr>
            </w:pPr>
          </w:p>
        </w:tc>
        <w:tc>
          <w:tcPr>
            <w:tcW w:w="1208" w:type="dxa"/>
            <w:tcBorders>
              <w:top w:val="nil"/>
              <w:left w:val="nil"/>
              <w:bottom w:val="single" w:color="auto" w:sz="8" w:space="0"/>
              <w:right w:val="single" w:color="auto" w:sz="8" w:space="0"/>
            </w:tcBorders>
            <w:shd w:val="clear" w:color="auto" w:fill="FFFFFF"/>
            <w:vAlign w:val="center"/>
          </w:tcPr>
          <w:p w14:paraId="3DA04CC7">
            <w:pPr>
              <w:widowControl/>
              <w:spacing w:line="56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联系方式</w:t>
            </w:r>
          </w:p>
        </w:tc>
        <w:tc>
          <w:tcPr>
            <w:tcW w:w="2667" w:type="dxa"/>
            <w:tcBorders>
              <w:top w:val="nil"/>
              <w:left w:val="nil"/>
              <w:bottom w:val="single" w:color="auto" w:sz="8" w:space="0"/>
              <w:right w:val="single" w:color="auto" w:sz="8" w:space="0"/>
            </w:tcBorders>
            <w:shd w:val="clear" w:color="auto" w:fill="FFFFFF"/>
            <w:vAlign w:val="center"/>
          </w:tcPr>
          <w:p w14:paraId="36EC8355">
            <w:pPr>
              <w:widowControl/>
              <w:spacing w:line="560" w:lineRule="exact"/>
              <w:jc w:val="left"/>
              <w:rPr>
                <w:rFonts w:ascii="仿宋_GB2312" w:hAnsi="仿宋_GB2312" w:eastAsia="仿宋_GB2312" w:cs="仿宋_GB2312"/>
                <w:color w:val="000000" w:themeColor="text1"/>
                <w:kern w:val="0"/>
                <w:sz w:val="24"/>
                <w14:textFill>
                  <w14:solidFill>
                    <w14:schemeClr w14:val="tx1"/>
                  </w14:solidFill>
                </w14:textFill>
              </w:rPr>
            </w:pPr>
          </w:p>
        </w:tc>
      </w:tr>
      <w:tr w14:paraId="3CC7CF94">
        <w:tblPrEx>
          <w:tblCellMar>
            <w:top w:w="0" w:type="dxa"/>
            <w:left w:w="0" w:type="dxa"/>
            <w:bottom w:w="0" w:type="dxa"/>
            <w:right w:w="0" w:type="dxa"/>
          </w:tblCellMar>
        </w:tblPrEx>
        <w:trPr>
          <w:trHeight w:val="778" w:hRule="atLeast"/>
        </w:trPr>
        <w:tc>
          <w:tcPr>
            <w:tcW w:w="1360" w:type="dxa"/>
            <w:vMerge w:val="continue"/>
            <w:tcBorders>
              <w:top w:val="single" w:color="auto" w:sz="8" w:space="0"/>
              <w:left w:val="single" w:color="auto" w:sz="8" w:space="0"/>
              <w:bottom w:val="single" w:color="000000" w:sz="6" w:space="0"/>
              <w:right w:val="single" w:color="auto" w:sz="8" w:space="0"/>
            </w:tcBorders>
            <w:shd w:val="clear" w:color="auto" w:fill="FFFFFF"/>
            <w:vAlign w:val="center"/>
          </w:tcPr>
          <w:p w14:paraId="71EEB8FE">
            <w:pPr>
              <w:widowControl/>
              <w:spacing w:line="560" w:lineRule="exact"/>
              <w:jc w:val="left"/>
              <w:rPr>
                <w:rFonts w:ascii="仿宋_GB2312" w:hAnsi="仿宋_GB2312" w:eastAsia="仿宋_GB2312" w:cs="仿宋_GB2312"/>
                <w:color w:val="000000" w:themeColor="text1"/>
                <w:kern w:val="0"/>
                <w:sz w:val="24"/>
                <w14:textFill>
                  <w14:solidFill>
                    <w14:schemeClr w14:val="tx1"/>
                  </w14:solidFill>
                </w14:textFill>
              </w:rPr>
            </w:pPr>
          </w:p>
        </w:tc>
        <w:tc>
          <w:tcPr>
            <w:tcW w:w="2125" w:type="dxa"/>
            <w:tcBorders>
              <w:top w:val="nil"/>
              <w:left w:val="nil"/>
              <w:bottom w:val="single" w:color="auto" w:sz="8" w:space="0"/>
              <w:right w:val="single" w:color="auto" w:sz="8" w:space="0"/>
            </w:tcBorders>
            <w:shd w:val="clear" w:color="auto" w:fill="FFFFFF"/>
            <w:vAlign w:val="center"/>
          </w:tcPr>
          <w:p w14:paraId="78A5A48C">
            <w:pPr>
              <w:widowControl/>
              <w:spacing w:line="56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失信信息内容</w:t>
            </w:r>
          </w:p>
        </w:tc>
        <w:tc>
          <w:tcPr>
            <w:tcW w:w="5571" w:type="dxa"/>
            <w:gridSpan w:val="3"/>
            <w:tcBorders>
              <w:top w:val="single" w:color="auto" w:sz="8" w:space="0"/>
              <w:left w:val="nil"/>
              <w:bottom w:val="single" w:color="auto" w:sz="8" w:space="0"/>
              <w:right w:val="single" w:color="000000" w:sz="6" w:space="0"/>
            </w:tcBorders>
            <w:shd w:val="clear" w:color="auto" w:fill="FFFFFF"/>
            <w:vAlign w:val="center"/>
          </w:tcPr>
          <w:p w14:paraId="7AC853E3">
            <w:pPr>
              <w:widowControl/>
              <w:spacing w:line="560" w:lineRule="exact"/>
              <w:jc w:val="left"/>
              <w:rPr>
                <w:rFonts w:ascii="仿宋_GB2312" w:hAnsi="仿宋_GB2312" w:eastAsia="仿宋_GB2312" w:cs="仿宋_GB2312"/>
                <w:color w:val="000000" w:themeColor="text1"/>
                <w:kern w:val="0"/>
                <w:sz w:val="24"/>
                <w14:textFill>
                  <w14:solidFill>
                    <w14:schemeClr w14:val="tx1"/>
                  </w14:solidFill>
                </w14:textFill>
              </w:rPr>
            </w:pPr>
          </w:p>
        </w:tc>
      </w:tr>
      <w:tr w14:paraId="069D02EF">
        <w:tblPrEx>
          <w:tblCellMar>
            <w:top w:w="0" w:type="dxa"/>
            <w:left w:w="0" w:type="dxa"/>
            <w:bottom w:w="0" w:type="dxa"/>
            <w:right w:w="0" w:type="dxa"/>
          </w:tblCellMar>
        </w:tblPrEx>
        <w:trPr>
          <w:trHeight w:val="988" w:hRule="atLeast"/>
        </w:trPr>
        <w:tc>
          <w:tcPr>
            <w:tcW w:w="1360" w:type="dxa"/>
            <w:vMerge w:val="restart"/>
            <w:tcBorders>
              <w:top w:val="nil"/>
              <w:left w:val="single" w:color="auto" w:sz="8" w:space="0"/>
              <w:bottom w:val="single" w:color="000000" w:sz="6" w:space="0"/>
              <w:right w:val="single" w:color="auto" w:sz="8" w:space="0"/>
            </w:tcBorders>
            <w:shd w:val="clear" w:color="auto" w:fill="FFFFFF"/>
            <w:vAlign w:val="center"/>
          </w:tcPr>
          <w:p w14:paraId="541D0A25">
            <w:pPr>
              <w:widowControl/>
              <w:spacing w:line="56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医疗保障</w:t>
            </w:r>
          </w:p>
          <w:p w14:paraId="1F9B4FE0">
            <w:pPr>
              <w:widowControl/>
              <w:spacing w:line="56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部门意见</w:t>
            </w:r>
          </w:p>
        </w:tc>
        <w:tc>
          <w:tcPr>
            <w:tcW w:w="2125" w:type="dxa"/>
            <w:vMerge w:val="restart"/>
            <w:tcBorders>
              <w:top w:val="nil"/>
              <w:left w:val="single" w:color="auto" w:sz="8" w:space="0"/>
              <w:bottom w:val="single" w:color="000000" w:sz="6" w:space="0"/>
              <w:right w:val="single" w:color="auto" w:sz="8" w:space="0"/>
            </w:tcBorders>
            <w:shd w:val="clear" w:color="auto" w:fill="FFFFFF"/>
            <w:vAlign w:val="center"/>
          </w:tcPr>
          <w:p w14:paraId="16552DD9">
            <w:pPr>
              <w:widowControl/>
              <w:spacing w:line="56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修复条件</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认定情况</w:t>
            </w:r>
          </w:p>
        </w:tc>
        <w:tc>
          <w:tcPr>
            <w:tcW w:w="5571" w:type="dxa"/>
            <w:gridSpan w:val="3"/>
            <w:vMerge w:val="restart"/>
            <w:tcBorders>
              <w:top w:val="single" w:color="auto" w:sz="8" w:space="0"/>
              <w:left w:val="single" w:color="auto" w:sz="8" w:space="0"/>
              <w:bottom w:val="single" w:color="000000" w:sz="6" w:space="0"/>
              <w:right w:val="single" w:color="000000" w:sz="6" w:space="0"/>
            </w:tcBorders>
            <w:shd w:val="clear" w:color="auto" w:fill="FFFFFF"/>
            <w:tcMar>
              <w:top w:w="0" w:type="dxa"/>
              <w:left w:w="810" w:type="dxa"/>
              <w:bottom w:w="0" w:type="dxa"/>
              <w:right w:w="0" w:type="dxa"/>
            </w:tcMar>
            <w:vAlign w:val="center"/>
          </w:tcPr>
          <w:p w14:paraId="32C4DCAA">
            <w:pPr>
              <w:widowControl/>
              <w:spacing w:line="560" w:lineRule="exact"/>
              <w:ind w:left="-598" w:leftChars="-285" w:right="256" w:rightChars="122"/>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经核实，已履行法定责任和义务，社会不良影响基本消除。至申请日，失信信息已披露x年x个月，期间未产生新的记入信用档案的同类失信信息。</w:t>
            </w:r>
          </w:p>
        </w:tc>
      </w:tr>
      <w:tr w14:paraId="506D5D3A">
        <w:tblPrEx>
          <w:tblCellMar>
            <w:top w:w="0" w:type="dxa"/>
            <w:left w:w="0" w:type="dxa"/>
            <w:bottom w:w="0" w:type="dxa"/>
            <w:right w:w="0" w:type="dxa"/>
          </w:tblCellMar>
        </w:tblPrEx>
        <w:trPr>
          <w:trHeight w:val="1549" w:hRule="atLeast"/>
        </w:trPr>
        <w:tc>
          <w:tcPr>
            <w:tcW w:w="1360" w:type="dxa"/>
            <w:vMerge w:val="continue"/>
            <w:tcBorders>
              <w:top w:val="nil"/>
              <w:left w:val="single" w:color="auto" w:sz="8" w:space="0"/>
              <w:bottom w:val="single" w:color="000000" w:sz="6" w:space="0"/>
              <w:right w:val="single" w:color="auto" w:sz="8" w:space="0"/>
            </w:tcBorders>
            <w:shd w:val="clear" w:color="auto" w:fill="FFFFFF"/>
            <w:vAlign w:val="center"/>
          </w:tcPr>
          <w:p w14:paraId="4037BB4C">
            <w:pPr>
              <w:widowControl/>
              <w:spacing w:line="560" w:lineRule="exact"/>
              <w:jc w:val="left"/>
              <w:rPr>
                <w:rFonts w:ascii="仿宋_GB2312" w:hAnsi="仿宋_GB2312" w:eastAsia="仿宋_GB2312" w:cs="仿宋_GB2312"/>
                <w:color w:val="000000" w:themeColor="text1"/>
                <w:kern w:val="0"/>
                <w:sz w:val="24"/>
                <w14:textFill>
                  <w14:solidFill>
                    <w14:schemeClr w14:val="tx1"/>
                  </w14:solidFill>
                </w14:textFill>
              </w:rPr>
            </w:pPr>
          </w:p>
        </w:tc>
        <w:tc>
          <w:tcPr>
            <w:tcW w:w="2125" w:type="dxa"/>
            <w:vMerge w:val="continue"/>
            <w:tcBorders>
              <w:top w:val="nil"/>
              <w:left w:val="single" w:color="auto" w:sz="8" w:space="0"/>
              <w:bottom w:val="single" w:color="000000" w:sz="6" w:space="0"/>
              <w:right w:val="single" w:color="auto" w:sz="8" w:space="0"/>
            </w:tcBorders>
            <w:shd w:val="clear" w:color="auto" w:fill="FFFFFF"/>
            <w:vAlign w:val="center"/>
          </w:tcPr>
          <w:p w14:paraId="4F4C2E5D">
            <w:pPr>
              <w:widowControl/>
              <w:spacing w:line="560" w:lineRule="exact"/>
              <w:jc w:val="left"/>
              <w:rPr>
                <w:rFonts w:ascii="仿宋_GB2312" w:hAnsi="仿宋_GB2312" w:eastAsia="仿宋_GB2312" w:cs="仿宋_GB2312"/>
                <w:color w:val="000000" w:themeColor="text1"/>
                <w:kern w:val="0"/>
                <w:sz w:val="24"/>
                <w14:textFill>
                  <w14:solidFill>
                    <w14:schemeClr w14:val="tx1"/>
                  </w14:solidFill>
                </w14:textFill>
              </w:rPr>
            </w:pPr>
          </w:p>
        </w:tc>
        <w:tc>
          <w:tcPr>
            <w:tcW w:w="5571" w:type="dxa"/>
            <w:gridSpan w:val="3"/>
            <w:vMerge w:val="continue"/>
            <w:tcBorders>
              <w:top w:val="single" w:color="auto" w:sz="8" w:space="0"/>
              <w:left w:val="single" w:color="auto" w:sz="8" w:space="0"/>
              <w:bottom w:val="single" w:color="000000" w:sz="6" w:space="0"/>
              <w:right w:val="single" w:color="000000" w:sz="6" w:space="0"/>
            </w:tcBorders>
            <w:shd w:val="clear" w:color="auto" w:fill="FFFFFF"/>
            <w:vAlign w:val="center"/>
          </w:tcPr>
          <w:p w14:paraId="491B6488">
            <w:pPr>
              <w:widowControl/>
              <w:spacing w:line="560" w:lineRule="exact"/>
              <w:jc w:val="left"/>
              <w:rPr>
                <w:rFonts w:ascii="仿宋_GB2312" w:hAnsi="仿宋_GB2312" w:eastAsia="仿宋_GB2312" w:cs="仿宋_GB2312"/>
                <w:color w:val="000000" w:themeColor="text1"/>
                <w:kern w:val="0"/>
                <w:sz w:val="24"/>
                <w14:textFill>
                  <w14:solidFill>
                    <w14:schemeClr w14:val="tx1"/>
                  </w14:solidFill>
                </w14:textFill>
              </w:rPr>
            </w:pPr>
          </w:p>
        </w:tc>
      </w:tr>
      <w:tr w14:paraId="610E17D6">
        <w:tblPrEx>
          <w:tblCellMar>
            <w:top w:w="0" w:type="dxa"/>
            <w:left w:w="0" w:type="dxa"/>
            <w:bottom w:w="0" w:type="dxa"/>
            <w:right w:w="0" w:type="dxa"/>
          </w:tblCellMar>
        </w:tblPrEx>
        <w:trPr>
          <w:trHeight w:val="1236" w:hRule="atLeast"/>
        </w:trPr>
        <w:tc>
          <w:tcPr>
            <w:tcW w:w="1360" w:type="dxa"/>
            <w:vMerge w:val="restart"/>
            <w:tcBorders>
              <w:top w:val="nil"/>
              <w:left w:val="single" w:color="auto" w:sz="8" w:space="0"/>
              <w:bottom w:val="single" w:color="000000" w:sz="6" w:space="0"/>
              <w:right w:val="single" w:color="auto" w:sz="8" w:space="0"/>
            </w:tcBorders>
            <w:shd w:val="clear" w:color="auto" w:fill="FFFFFF"/>
            <w:vAlign w:val="center"/>
          </w:tcPr>
          <w:p w14:paraId="7C0D8ECB">
            <w:pPr>
              <w:widowControl/>
              <w:spacing w:line="56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修复处理</w:t>
            </w:r>
          </w:p>
          <w:p w14:paraId="29D00160">
            <w:pPr>
              <w:widowControl/>
              <w:spacing w:line="56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意见</w:t>
            </w:r>
          </w:p>
        </w:tc>
        <w:tc>
          <w:tcPr>
            <w:tcW w:w="7696" w:type="dxa"/>
            <w:gridSpan w:val="4"/>
            <w:tcBorders>
              <w:top w:val="single" w:color="auto" w:sz="8" w:space="0"/>
              <w:left w:val="nil"/>
              <w:bottom w:val="nil"/>
              <w:right w:val="single" w:color="000000" w:sz="6" w:space="0"/>
            </w:tcBorders>
            <w:shd w:val="clear" w:color="auto" w:fill="FFFFFF"/>
            <w:tcMar>
              <w:top w:w="0" w:type="dxa"/>
              <w:left w:w="0" w:type="dxa"/>
              <w:bottom w:w="0" w:type="dxa"/>
              <w:right w:w="810" w:type="dxa"/>
            </w:tcMar>
            <w:vAlign w:val="center"/>
          </w:tcPr>
          <w:p w14:paraId="4262480F">
            <w:pPr>
              <w:widowControl/>
              <w:spacing w:line="56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予以修复</w:t>
            </w:r>
          </w:p>
        </w:tc>
      </w:tr>
      <w:tr w14:paraId="6753D3E9">
        <w:tblPrEx>
          <w:tblCellMar>
            <w:top w:w="0" w:type="dxa"/>
            <w:left w:w="0" w:type="dxa"/>
            <w:bottom w:w="0" w:type="dxa"/>
            <w:right w:w="0" w:type="dxa"/>
          </w:tblCellMar>
        </w:tblPrEx>
        <w:trPr>
          <w:trHeight w:val="804" w:hRule="atLeast"/>
        </w:trPr>
        <w:tc>
          <w:tcPr>
            <w:tcW w:w="1360" w:type="dxa"/>
            <w:vMerge w:val="continue"/>
            <w:tcBorders>
              <w:top w:val="nil"/>
              <w:left w:val="single" w:color="auto" w:sz="8" w:space="0"/>
              <w:bottom w:val="single" w:color="000000" w:sz="6" w:space="0"/>
              <w:right w:val="single" w:color="auto" w:sz="8" w:space="0"/>
            </w:tcBorders>
            <w:shd w:val="clear" w:color="auto" w:fill="FFFFFF"/>
            <w:vAlign w:val="center"/>
          </w:tcPr>
          <w:p w14:paraId="7F3D0349">
            <w:pPr>
              <w:widowControl/>
              <w:spacing w:line="560" w:lineRule="exact"/>
              <w:jc w:val="left"/>
              <w:rPr>
                <w:rFonts w:ascii="仿宋_GB2312" w:hAnsi="仿宋_GB2312" w:eastAsia="仿宋_GB2312" w:cs="仿宋_GB2312"/>
                <w:color w:val="000000" w:themeColor="text1"/>
                <w:kern w:val="0"/>
                <w:sz w:val="24"/>
                <w14:textFill>
                  <w14:solidFill>
                    <w14:schemeClr w14:val="tx1"/>
                  </w14:solidFill>
                </w14:textFill>
              </w:rPr>
            </w:pPr>
          </w:p>
        </w:tc>
        <w:tc>
          <w:tcPr>
            <w:tcW w:w="7696" w:type="dxa"/>
            <w:gridSpan w:val="4"/>
            <w:tcBorders>
              <w:top w:val="nil"/>
              <w:left w:val="nil"/>
              <w:bottom w:val="nil"/>
              <w:right w:val="single" w:color="000000" w:sz="6" w:space="0"/>
            </w:tcBorders>
            <w:shd w:val="clear" w:color="auto" w:fill="FFFFFF"/>
            <w:tcMar>
              <w:top w:w="0" w:type="dxa"/>
              <w:left w:w="0" w:type="dxa"/>
              <w:bottom w:w="0" w:type="dxa"/>
              <w:right w:w="810" w:type="dxa"/>
            </w:tcMar>
            <w:vAlign w:val="center"/>
          </w:tcPr>
          <w:p w14:paraId="602DCB7C">
            <w:pPr>
              <w:widowControl/>
              <w:spacing w:line="560" w:lineRule="exact"/>
              <w:jc w:val="right"/>
              <w:rPr>
                <w:rFonts w:ascii="仿宋_GB2312" w:hAnsi="仿宋_GB2312" w:eastAsia="仿宋_GB2312" w:cs="仿宋_GB2312"/>
                <w:color w:val="000000" w:themeColor="text1"/>
                <w:kern w:val="0"/>
                <w:sz w:val="24"/>
                <w14:textFill>
                  <w14:solidFill>
                    <w14:schemeClr w14:val="tx1"/>
                  </w14:solidFill>
                </w14:textFill>
              </w:rPr>
            </w:pPr>
          </w:p>
        </w:tc>
      </w:tr>
      <w:tr w14:paraId="6046F352">
        <w:tblPrEx>
          <w:tblCellMar>
            <w:top w:w="0" w:type="dxa"/>
            <w:left w:w="0" w:type="dxa"/>
            <w:bottom w:w="0" w:type="dxa"/>
            <w:right w:w="0" w:type="dxa"/>
          </w:tblCellMar>
        </w:tblPrEx>
        <w:trPr>
          <w:trHeight w:val="888" w:hRule="atLeast"/>
        </w:trPr>
        <w:tc>
          <w:tcPr>
            <w:tcW w:w="1360" w:type="dxa"/>
            <w:vMerge w:val="continue"/>
            <w:tcBorders>
              <w:top w:val="nil"/>
              <w:left w:val="single" w:color="auto" w:sz="8" w:space="0"/>
              <w:bottom w:val="single" w:color="000000" w:sz="6" w:space="0"/>
              <w:right w:val="single" w:color="auto" w:sz="8" w:space="0"/>
            </w:tcBorders>
            <w:shd w:val="clear" w:color="auto" w:fill="FFFFFF"/>
            <w:vAlign w:val="center"/>
          </w:tcPr>
          <w:p w14:paraId="0BCED670">
            <w:pPr>
              <w:widowControl/>
              <w:spacing w:line="560" w:lineRule="exact"/>
              <w:jc w:val="left"/>
              <w:rPr>
                <w:rFonts w:ascii="仿宋_GB2312" w:hAnsi="仿宋_GB2312" w:eastAsia="仿宋_GB2312" w:cs="仿宋_GB2312"/>
                <w:color w:val="000000" w:themeColor="text1"/>
                <w:kern w:val="0"/>
                <w:sz w:val="24"/>
                <w14:textFill>
                  <w14:solidFill>
                    <w14:schemeClr w14:val="tx1"/>
                  </w14:solidFill>
                </w14:textFill>
              </w:rPr>
            </w:pPr>
          </w:p>
        </w:tc>
        <w:tc>
          <w:tcPr>
            <w:tcW w:w="7696" w:type="dxa"/>
            <w:gridSpan w:val="4"/>
            <w:tcBorders>
              <w:top w:val="nil"/>
              <w:left w:val="nil"/>
              <w:bottom w:val="nil"/>
              <w:right w:val="single" w:color="000000" w:sz="6" w:space="0"/>
            </w:tcBorders>
            <w:shd w:val="clear" w:color="auto" w:fill="FFFFFF"/>
            <w:vAlign w:val="center"/>
          </w:tcPr>
          <w:p w14:paraId="1DFE4606">
            <w:pPr>
              <w:widowControl/>
              <w:spacing w:line="56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经办人：          单位（盖章） </w:t>
            </w:r>
          </w:p>
        </w:tc>
      </w:tr>
      <w:tr w14:paraId="696C00EB">
        <w:tblPrEx>
          <w:tblCellMar>
            <w:top w:w="0" w:type="dxa"/>
            <w:left w:w="0" w:type="dxa"/>
            <w:bottom w:w="0" w:type="dxa"/>
            <w:right w:w="0" w:type="dxa"/>
          </w:tblCellMar>
        </w:tblPrEx>
        <w:trPr>
          <w:trHeight w:val="888" w:hRule="atLeast"/>
        </w:trPr>
        <w:tc>
          <w:tcPr>
            <w:tcW w:w="1360" w:type="dxa"/>
            <w:vMerge w:val="continue"/>
            <w:tcBorders>
              <w:top w:val="nil"/>
              <w:left w:val="single" w:color="auto" w:sz="8" w:space="0"/>
              <w:bottom w:val="single" w:color="000000" w:sz="6" w:space="0"/>
              <w:right w:val="single" w:color="auto" w:sz="8" w:space="0"/>
            </w:tcBorders>
            <w:shd w:val="clear" w:color="auto" w:fill="FFFFFF"/>
            <w:vAlign w:val="center"/>
          </w:tcPr>
          <w:p w14:paraId="19017BE4">
            <w:pPr>
              <w:widowControl/>
              <w:spacing w:line="560" w:lineRule="exact"/>
              <w:jc w:val="left"/>
              <w:rPr>
                <w:rFonts w:ascii="仿宋_GB2312" w:hAnsi="仿宋_GB2312" w:eastAsia="仿宋_GB2312" w:cs="仿宋_GB2312"/>
                <w:color w:val="000000" w:themeColor="text1"/>
                <w:kern w:val="0"/>
                <w:sz w:val="24"/>
                <w14:textFill>
                  <w14:solidFill>
                    <w14:schemeClr w14:val="tx1"/>
                  </w14:solidFill>
                </w14:textFill>
              </w:rPr>
            </w:pPr>
          </w:p>
        </w:tc>
        <w:tc>
          <w:tcPr>
            <w:tcW w:w="7696" w:type="dxa"/>
            <w:gridSpan w:val="4"/>
            <w:tcBorders>
              <w:top w:val="nil"/>
              <w:left w:val="nil"/>
              <w:bottom w:val="single" w:color="auto" w:sz="8" w:space="0"/>
              <w:right w:val="single" w:color="000000" w:sz="6" w:space="0"/>
            </w:tcBorders>
            <w:shd w:val="clear" w:color="auto" w:fill="FFFFFF"/>
            <w:tcMar>
              <w:top w:w="0" w:type="dxa"/>
              <w:left w:w="0" w:type="dxa"/>
              <w:bottom w:w="0" w:type="dxa"/>
              <w:right w:w="810" w:type="dxa"/>
            </w:tcMar>
            <w:vAlign w:val="center"/>
          </w:tcPr>
          <w:p w14:paraId="42EC735D">
            <w:pPr>
              <w:widowControl/>
              <w:spacing w:line="56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年  月    日 </w:t>
            </w:r>
          </w:p>
        </w:tc>
      </w:tr>
    </w:tbl>
    <w:p w14:paraId="2F125FBD">
      <w:pPr>
        <w:spacing w:line="560" w:lineRule="exact"/>
        <w:rPr>
          <w:rFonts w:ascii="Times New Roman" w:hAnsi="Times New Roman" w:cs="Times New Roman"/>
        </w:rPr>
      </w:pPr>
    </w:p>
    <w:p w14:paraId="14748936">
      <w:pPr>
        <w:pStyle w:val="11"/>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F2D1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A9C4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8A9C4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4MjM0YjI2Y2U3MTUwYWI4YjhkZTEzOTdlY2ZmMDAifQ=="/>
  </w:docVars>
  <w:rsids>
    <w:rsidRoot w:val="1FD571A4"/>
    <w:rsid w:val="00DB1B01"/>
    <w:rsid w:val="01F40F97"/>
    <w:rsid w:val="026B5152"/>
    <w:rsid w:val="0284056C"/>
    <w:rsid w:val="034F46D6"/>
    <w:rsid w:val="03F366C1"/>
    <w:rsid w:val="0401516C"/>
    <w:rsid w:val="04194CE4"/>
    <w:rsid w:val="049525BD"/>
    <w:rsid w:val="04AB0032"/>
    <w:rsid w:val="08510EF1"/>
    <w:rsid w:val="095F6316"/>
    <w:rsid w:val="09772BD9"/>
    <w:rsid w:val="0A312D88"/>
    <w:rsid w:val="0A682522"/>
    <w:rsid w:val="0ADB2CF4"/>
    <w:rsid w:val="0ADF4592"/>
    <w:rsid w:val="0D6B4803"/>
    <w:rsid w:val="0D701E19"/>
    <w:rsid w:val="0D766D04"/>
    <w:rsid w:val="0D815DD4"/>
    <w:rsid w:val="0D847672"/>
    <w:rsid w:val="0DC83A03"/>
    <w:rsid w:val="0E207F6A"/>
    <w:rsid w:val="0EF34AB0"/>
    <w:rsid w:val="0F09099C"/>
    <w:rsid w:val="0F601A19"/>
    <w:rsid w:val="0F9C6EF5"/>
    <w:rsid w:val="10535DBD"/>
    <w:rsid w:val="10E50428"/>
    <w:rsid w:val="110C65E6"/>
    <w:rsid w:val="111F7DDE"/>
    <w:rsid w:val="11904838"/>
    <w:rsid w:val="11E84EED"/>
    <w:rsid w:val="12176D07"/>
    <w:rsid w:val="13A709C0"/>
    <w:rsid w:val="141F1EA3"/>
    <w:rsid w:val="155F4A23"/>
    <w:rsid w:val="15AA1C40"/>
    <w:rsid w:val="16430098"/>
    <w:rsid w:val="16704C38"/>
    <w:rsid w:val="173D69BF"/>
    <w:rsid w:val="176866ED"/>
    <w:rsid w:val="17BA0860"/>
    <w:rsid w:val="17D71F9E"/>
    <w:rsid w:val="17D944BE"/>
    <w:rsid w:val="17FB26DE"/>
    <w:rsid w:val="18502F73"/>
    <w:rsid w:val="186C4518"/>
    <w:rsid w:val="188C1835"/>
    <w:rsid w:val="188D1AD1"/>
    <w:rsid w:val="1A03169F"/>
    <w:rsid w:val="1A5D2D71"/>
    <w:rsid w:val="1C24274C"/>
    <w:rsid w:val="1DD65774"/>
    <w:rsid w:val="1E7D6144"/>
    <w:rsid w:val="1F141E74"/>
    <w:rsid w:val="1F4F6C0D"/>
    <w:rsid w:val="1FD571A4"/>
    <w:rsid w:val="201A79C2"/>
    <w:rsid w:val="20BA367F"/>
    <w:rsid w:val="20E95D13"/>
    <w:rsid w:val="2120725A"/>
    <w:rsid w:val="225B1499"/>
    <w:rsid w:val="230C5CE8"/>
    <w:rsid w:val="23867849"/>
    <w:rsid w:val="2466690B"/>
    <w:rsid w:val="246F652F"/>
    <w:rsid w:val="24DB0068"/>
    <w:rsid w:val="25496D80"/>
    <w:rsid w:val="25CB59E7"/>
    <w:rsid w:val="27567836"/>
    <w:rsid w:val="27AE3812"/>
    <w:rsid w:val="28480D9A"/>
    <w:rsid w:val="285E0D94"/>
    <w:rsid w:val="29A547A1"/>
    <w:rsid w:val="2A9D36CA"/>
    <w:rsid w:val="2AC51163"/>
    <w:rsid w:val="2AE01F34"/>
    <w:rsid w:val="2C2B2448"/>
    <w:rsid w:val="2D233F72"/>
    <w:rsid w:val="2E105D41"/>
    <w:rsid w:val="2E4F2F2D"/>
    <w:rsid w:val="305D5DD5"/>
    <w:rsid w:val="3143351C"/>
    <w:rsid w:val="31B96317"/>
    <w:rsid w:val="335A484E"/>
    <w:rsid w:val="33682772"/>
    <w:rsid w:val="34525525"/>
    <w:rsid w:val="348E0C53"/>
    <w:rsid w:val="34C81A12"/>
    <w:rsid w:val="34D7695E"/>
    <w:rsid w:val="34EC3BCC"/>
    <w:rsid w:val="34FA0097"/>
    <w:rsid w:val="357716E7"/>
    <w:rsid w:val="37983B97"/>
    <w:rsid w:val="392A6A70"/>
    <w:rsid w:val="3952772A"/>
    <w:rsid w:val="3A176FF5"/>
    <w:rsid w:val="3A185D27"/>
    <w:rsid w:val="3A856654"/>
    <w:rsid w:val="3A8B56C6"/>
    <w:rsid w:val="3B0A6B5A"/>
    <w:rsid w:val="3BDC50CC"/>
    <w:rsid w:val="3C0C5227"/>
    <w:rsid w:val="3C3E4D0D"/>
    <w:rsid w:val="3C4D6CFE"/>
    <w:rsid w:val="3CEF24AB"/>
    <w:rsid w:val="3D6E1622"/>
    <w:rsid w:val="3D8A3F82"/>
    <w:rsid w:val="3D8F1598"/>
    <w:rsid w:val="3DB86D41"/>
    <w:rsid w:val="3E6D18D9"/>
    <w:rsid w:val="3E962478"/>
    <w:rsid w:val="3EDC25BB"/>
    <w:rsid w:val="3F8073EA"/>
    <w:rsid w:val="3FBF6165"/>
    <w:rsid w:val="402666D3"/>
    <w:rsid w:val="40B01F51"/>
    <w:rsid w:val="419D7B57"/>
    <w:rsid w:val="42241BCF"/>
    <w:rsid w:val="42AD78EA"/>
    <w:rsid w:val="42D24401"/>
    <w:rsid w:val="446217B4"/>
    <w:rsid w:val="451F3201"/>
    <w:rsid w:val="45213C77"/>
    <w:rsid w:val="45C51FFB"/>
    <w:rsid w:val="45C70E31"/>
    <w:rsid w:val="45E21C42"/>
    <w:rsid w:val="460A5A6B"/>
    <w:rsid w:val="460C5E7C"/>
    <w:rsid w:val="46DC584E"/>
    <w:rsid w:val="47017063"/>
    <w:rsid w:val="4720548E"/>
    <w:rsid w:val="48517B76"/>
    <w:rsid w:val="48535524"/>
    <w:rsid w:val="4BB57ADD"/>
    <w:rsid w:val="4CE23492"/>
    <w:rsid w:val="4D2770F7"/>
    <w:rsid w:val="4D363C33"/>
    <w:rsid w:val="4DCB3F26"/>
    <w:rsid w:val="4DDA23BB"/>
    <w:rsid w:val="4EFD0A57"/>
    <w:rsid w:val="4F5148FF"/>
    <w:rsid w:val="4FC357FD"/>
    <w:rsid w:val="50302767"/>
    <w:rsid w:val="5043693E"/>
    <w:rsid w:val="505A0D92"/>
    <w:rsid w:val="50EF5725"/>
    <w:rsid w:val="511F5364"/>
    <w:rsid w:val="516A3A56"/>
    <w:rsid w:val="51F51A37"/>
    <w:rsid w:val="5216696D"/>
    <w:rsid w:val="53DD6E1E"/>
    <w:rsid w:val="543640C4"/>
    <w:rsid w:val="54A656ED"/>
    <w:rsid w:val="559B2D78"/>
    <w:rsid w:val="55BB6F76"/>
    <w:rsid w:val="577719C6"/>
    <w:rsid w:val="59091DA7"/>
    <w:rsid w:val="592A069B"/>
    <w:rsid w:val="593001D6"/>
    <w:rsid w:val="593908DE"/>
    <w:rsid w:val="59486D73"/>
    <w:rsid w:val="59AA36DA"/>
    <w:rsid w:val="5A9B455E"/>
    <w:rsid w:val="5B8257ED"/>
    <w:rsid w:val="5BAD55B3"/>
    <w:rsid w:val="5CE2303B"/>
    <w:rsid w:val="5CE76DCB"/>
    <w:rsid w:val="5D600B2F"/>
    <w:rsid w:val="5D647EF4"/>
    <w:rsid w:val="5D6B1282"/>
    <w:rsid w:val="5DFA2675"/>
    <w:rsid w:val="5F886833"/>
    <w:rsid w:val="61356E08"/>
    <w:rsid w:val="615A3AE7"/>
    <w:rsid w:val="61B81D75"/>
    <w:rsid w:val="629848C7"/>
    <w:rsid w:val="636E387A"/>
    <w:rsid w:val="63FC2C34"/>
    <w:rsid w:val="644D7933"/>
    <w:rsid w:val="64B928D3"/>
    <w:rsid w:val="65522B29"/>
    <w:rsid w:val="6578453C"/>
    <w:rsid w:val="66CC6657"/>
    <w:rsid w:val="66E04A8F"/>
    <w:rsid w:val="66E0683D"/>
    <w:rsid w:val="66E92A73"/>
    <w:rsid w:val="67D068B1"/>
    <w:rsid w:val="68A038D6"/>
    <w:rsid w:val="69966816"/>
    <w:rsid w:val="69C67F6C"/>
    <w:rsid w:val="69EB2391"/>
    <w:rsid w:val="6A002D52"/>
    <w:rsid w:val="6A575068"/>
    <w:rsid w:val="6ACF2E50"/>
    <w:rsid w:val="6B4A697B"/>
    <w:rsid w:val="6B864E88"/>
    <w:rsid w:val="6BEC358E"/>
    <w:rsid w:val="6CE1330F"/>
    <w:rsid w:val="6D667370"/>
    <w:rsid w:val="6DBE4ECE"/>
    <w:rsid w:val="6E2214E9"/>
    <w:rsid w:val="6EF15F6C"/>
    <w:rsid w:val="6FEF6DAE"/>
    <w:rsid w:val="6FFB6495"/>
    <w:rsid w:val="700D7F77"/>
    <w:rsid w:val="70AD3C34"/>
    <w:rsid w:val="71ED62B2"/>
    <w:rsid w:val="73397A01"/>
    <w:rsid w:val="73555EBD"/>
    <w:rsid w:val="73910787"/>
    <w:rsid w:val="73B71A79"/>
    <w:rsid w:val="747B1953"/>
    <w:rsid w:val="75194BC3"/>
    <w:rsid w:val="75DF4163"/>
    <w:rsid w:val="76191423"/>
    <w:rsid w:val="762D3121"/>
    <w:rsid w:val="76571F4C"/>
    <w:rsid w:val="76B271D9"/>
    <w:rsid w:val="78175E36"/>
    <w:rsid w:val="7820118F"/>
    <w:rsid w:val="783267CC"/>
    <w:rsid w:val="78DF5D5C"/>
    <w:rsid w:val="7A025050"/>
    <w:rsid w:val="7ABC69C5"/>
    <w:rsid w:val="7B0408F4"/>
    <w:rsid w:val="7B936189"/>
    <w:rsid w:val="7BA97278"/>
    <w:rsid w:val="7BFAAC29"/>
    <w:rsid w:val="7C1E59E5"/>
    <w:rsid w:val="7C815B81"/>
    <w:rsid w:val="7D7D2BE0"/>
    <w:rsid w:val="7D8F0D0D"/>
    <w:rsid w:val="7EF8A042"/>
    <w:rsid w:val="7F364DF4"/>
    <w:rsid w:val="7FF32CE5"/>
    <w:rsid w:val="DEF7EDD4"/>
    <w:rsid w:val="F4F77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章节题目"/>
    <w:basedOn w:val="12"/>
    <w:next w:val="1"/>
    <w:qFormat/>
    <w:uiPriority w:val="0"/>
    <w:pPr>
      <w:spacing w:before="720" w:after="400" w:line="540" w:lineRule="atLeast"/>
      <w:ind w:right="2160"/>
    </w:pPr>
    <w:rPr>
      <w:rFonts w:ascii="Times New Roman" w:hAnsi="Times New Roman"/>
      <w:spacing w:val="-40"/>
      <w:sz w:val="60"/>
    </w:rPr>
  </w:style>
  <w:style w:type="paragraph" w:customStyle="1" w:styleId="12">
    <w:name w:val="基准标题"/>
    <w:basedOn w:val="1"/>
    <w:next w:val="3"/>
    <w:qFormat/>
    <w:uiPriority w:val="0"/>
    <w:pPr>
      <w:keepNext/>
      <w:keepLines/>
      <w:spacing w:before="140" w:line="220" w:lineRule="atLeast"/>
    </w:pPr>
    <w:rPr>
      <w:rFonts w:ascii="Arial" w:hAnsi="Arial"/>
      <w:spacing w:val="-4"/>
      <w:kern w:val="28"/>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737</Words>
  <Characters>816</Characters>
  <Lines>0</Lines>
  <Paragraphs>0</Paragraphs>
  <TotalTime>13</TotalTime>
  <ScaleCrop>false</ScaleCrop>
  <LinksUpToDate>false</LinksUpToDate>
  <CharactersWithSpaces>831</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2024-09-05T08:43:00Z</dcterms:created>
  <dc:creator>19385</dc:creator>
  <cp:lastModifiedBy>小米</cp:lastModifiedBy>
  <cp:lastPrinted>2024-11-07T14:32:00Z</cp:lastPrinted>
  <dcterms:modified xsi:type="dcterms:W3CDTF">2024-11-11T02:08:14Z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20B19800DD7D4F02BCD0BD73593F70C9_13</vt:lpwstr>
  </property>
</Properties>
</file>