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b w:val="0"/>
          <w:bCs w:val="0"/>
          <w:color w:val="212121"/>
          <w:kern w:val="0"/>
          <w:sz w:val="32"/>
          <w:szCs w:val="32"/>
          <w:shd w:val="clear" w:color="auto" w:fill="FFFFFF"/>
          <w:lang w:val="en-US" w:eastAsia="zh-CN"/>
        </w:rPr>
      </w:pPr>
      <w:r>
        <w:rPr>
          <w:rFonts w:hint="eastAsia" w:ascii="黑体" w:hAnsi="黑体" w:eastAsia="黑体" w:cs="黑体"/>
          <w:b w:val="0"/>
          <w:bCs w:val="0"/>
          <w:color w:val="212121"/>
          <w:kern w:val="0"/>
          <w:sz w:val="32"/>
          <w:szCs w:val="32"/>
          <w:shd w:val="clear" w:color="auto" w:fill="FFFFFF"/>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212121"/>
          <w:kern w:val="0"/>
          <w:sz w:val="44"/>
          <w:szCs w:val="44"/>
          <w:shd w:val="clear" w:color="auto" w:fill="FFFFFF"/>
        </w:rPr>
      </w:pPr>
      <w:r>
        <w:rPr>
          <w:rFonts w:hint="eastAsia" w:ascii="方正小标宋_GBK" w:hAnsi="方正小标宋_GBK" w:eastAsia="方正小标宋_GBK" w:cs="方正小标宋_GBK"/>
          <w:b w:val="0"/>
          <w:bCs w:val="0"/>
          <w:color w:val="212121"/>
          <w:kern w:val="0"/>
          <w:sz w:val="44"/>
          <w:szCs w:val="44"/>
          <w:shd w:val="clear" w:color="auto" w:fill="FFFFFF"/>
        </w:rPr>
        <w:t>山东省药品</w:t>
      </w:r>
      <w:r>
        <w:rPr>
          <w:rFonts w:hint="eastAsia" w:ascii="方正小标宋_GBK" w:hAnsi="方正小标宋_GBK" w:eastAsia="方正小标宋_GBK" w:cs="方正小标宋_GBK"/>
          <w:b w:val="0"/>
          <w:bCs w:val="0"/>
          <w:color w:val="212121"/>
          <w:kern w:val="0"/>
          <w:sz w:val="44"/>
          <w:szCs w:val="44"/>
          <w:shd w:val="clear" w:color="auto" w:fill="FFFFFF"/>
          <w:lang w:val="en-US" w:eastAsia="zh-CN"/>
        </w:rPr>
        <w:t>经营监督管理</w:t>
      </w:r>
      <w:r>
        <w:rPr>
          <w:rFonts w:hint="eastAsia" w:ascii="方正小标宋_GBK" w:hAnsi="方正小标宋_GBK" w:eastAsia="方正小标宋_GBK" w:cs="方正小标宋_GBK"/>
          <w:b w:val="0"/>
          <w:bCs w:val="0"/>
          <w:color w:val="212121"/>
          <w:kern w:val="0"/>
          <w:sz w:val="44"/>
          <w:szCs w:val="44"/>
          <w:shd w:val="clear" w:color="auto" w:fill="FFFFFF"/>
        </w:rPr>
        <w:t>办法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华文楷体" w:hAnsi="华文楷体" w:eastAsia="华文楷体" w:cs="华文楷体"/>
          <w:color w:val="212121"/>
          <w:kern w:val="0"/>
          <w:sz w:val="44"/>
          <w:szCs w:val="44"/>
          <w:shd w:val="clear" w:color="auto" w:fill="FFFFFF"/>
        </w:rPr>
      </w:pPr>
      <w:r>
        <w:rPr>
          <w:rFonts w:hint="eastAsia" w:ascii="华文楷体" w:hAnsi="华文楷体" w:eastAsia="华文楷体" w:cs="华文楷体"/>
          <w:color w:val="212121"/>
          <w:kern w:val="0"/>
          <w:sz w:val="32"/>
          <w:szCs w:val="32"/>
          <w:shd w:val="clear" w:color="auto" w:fill="FFFFFF"/>
        </w:rPr>
        <w:t>（</w:t>
      </w:r>
      <w:r>
        <w:rPr>
          <w:rFonts w:hint="eastAsia" w:ascii="华文楷体" w:hAnsi="华文楷体" w:eastAsia="华文楷体" w:cs="华文楷体"/>
          <w:color w:val="212121"/>
          <w:kern w:val="0"/>
          <w:sz w:val="32"/>
          <w:szCs w:val="32"/>
          <w:shd w:val="clear" w:color="auto" w:fill="FFFFFF"/>
          <w:lang w:eastAsia="zh-CN"/>
        </w:rPr>
        <w:t>征求意见</w:t>
      </w:r>
      <w:r>
        <w:rPr>
          <w:rFonts w:hint="eastAsia" w:ascii="华文楷体" w:hAnsi="华文楷体" w:eastAsia="华文楷体" w:cs="华文楷体"/>
          <w:color w:val="212121"/>
          <w:kern w:val="0"/>
          <w:sz w:val="32"/>
          <w:szCs w:val="32"/>
          <w:shd w:val="clear" w:color="auto" w:fill="FFFFFF"/>
        </w:rPr>
        <w:t>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jc w:val="center"/>
        <w:rPr>
          <w:rFonts w:hint="eastAsia" w:ascii="微软雅黑" w:hAnsi="微软雅黑" w:eastAsia="微软雅黑" w:cs="微软雅黑"/>
          <w:color w:val="auto"/>
          <w:sz w:val="32"/>
          <w:szCs w:val="32"/>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3200" w:firstLineChars="1000"/>
        <w:jc w:val="both"/>
        <w:textAlignment w:val="auto"/>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第一章  总则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第一条【目的与依据】</w:t>
      </w:r>
      <w:r>
        <w:rPr>
          <w:rFonts w:hint="eastAsia" w:ascii="黑体" w:hAnsi="黑体" w:eastAsia="黑体" w:cs="黑体"/>
          <w:color w:val="auto"/>
          <w:sz w:val="32"/>
          <w:szCs w:val="32"/>
          <w:shd w:val="clear" w:color="auto" w:fill="FFFFFF"/>
          <w:lang w:val="en-US" w:eastAsia="zh-CN"/>
          <w14:textFill>
            <w14:gradFill>
              <w14:gsLst>
                <w14:gs w14:pos="0">
                  <w14:srgbClr w14:val="14CD68"/>
                </w14:gs>
                <w14:gs w14:pos="100000">
                  <w14:srgbClr w14:val="035C7D"/>
                </w14:gs>
              </w14:gsLst>
              <w14:lin w14:scaled="0"/>
            </w14:gradFill>
          </w14:textFill>
        </w:rPr>
        <w:t xml:space="preserve"> </w:t>
      </w:r>
      <w:r>
        <w:rPr>
          <w:rFonts w:hint="eastAsia" w:ascii="仿宋_GB2312" w:hAnsi="仿宋_GB2312" w:eastAsia="仿宋_GB2312" w:cs="仿宋_GB2312"/>
          <w:color w:val="auto"/>
          <w:kern w:val="0"/>
          <w:sz w:val="32"/>
          <w:szCs w:val="32"/>
          <w:vertAlign w:val="baseline"/>
          <w:lang w:val="en-US" w:eastAsia="zh-CN" w:bidi="ar-SA"/>
        </w:rPr>
        <w:t>为加强药品经营监督管理，规范药品经营行为，保障人民群众用药安全，根据《中华人民共和国药品管理法》</w:t>
      </w:r>
      <w:r>
        <w:rPr>
          <w:rFonts w:hint="eastAsia" w:ascii="仿宋_GB2312" w:eastAsia="仿宋_GB2312"/>
          <w:color w:val="auto"/>
          <w:kern w:val="0"/>
          <w:sz w:val="32"/>
          <w:szCs w:val="32"/>
        </w:rPr>
        <w:t>《药品经营和使用质量监督管理办法》</w:t>
      </w:r>
      <w:r>
        <w:rPr>
          <w:rFonts w:hint="eastAsia" w:ascii="仿宋_GB2312" w:hAnsi="仿宋_GB2312" w:eastAsia="仿宋_GB2312" w:cs="仿宋_GB2312"/>
          <w:color w:val="auto"/>
          <w:kern w:val="0"/>
          <w:sz w:val="32"/>
          <w:szCs w:val="32"/>
          <w:vertAlign w:val="baseline"/>
          <w:lang w:val="en-US" w:eastAsia="zh-CN" w:bidi="ar-SA"/>
        </w:rPr>
        <w:t>等有关法律法规的规定，结合我省实际，制定本办法。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rPr>
          <w:rFonts w:hint="eastAsia" w:ascii="微软雅黑" w:hAnsi="微软雅黑" w:eastAsia="微软雅黑" w:cs="微软雅黑"/>
          <w:color w:val="0000FF"/>
          <w:kern w:val="0"/>
          <w:sz w:val="32"/>
          <w:szCs w:val="32"/>
          <w:vertAlign w:val="baseline"/>
          <w:lang w:val="en-US" w:eastAsia="zh-CN" w:bidi="ar-SA"/>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eastAsia="黑体"/>
          <w:color w:val="auto"/>
          <w:sz w:val="32"/>
          <w:szCs w:val="32"/>
        </w:rPr>
        <w:t>【适用范围】</w:t>
      </w:r>
      <w:r>
        <w:rPr>
          <w:rFonts w:hint="eastAsia" w:eastAsia="黑体"/>
          <w:color w:val="auto"/>
          <w:sz w:val="32"/>
          <w:szCs w:val="32"/>
          <w:lang w:val="en-US" w:eastAsia="zh-CN"/>
        </w:rPr>
        <w:t xml:space="preserve"> </w:t>
      </w:r>
      <w:r>
        <w:rPr>
          <w:rFonts w:hint="eastAsia" w:ascii="微软雅黑" w:hAnsi="微软雅黑" w:eastAsia="微软雅黑" w:cs="微软雅黑"/>
          <w:color w:val="auto"/>
          <w:sz w:val="32"/>
          <w:szCs w:val="32"/>
        </w:rPr>
        <w:t> </w:t>
      </w:r>
      <w:r>
        <w:rPr>
          <w:rFonts w:hint="eastAsia" w:ascii="仿宋_GB2312" w:hAnsi="仿宋_GB2312" w:eastAsia="仿宋_GB2312" w:cs="仿宋_GB2312"/>
          <w:color w:val="auto"/>
          <w:kern w:val="0"/>
          <w:sz w:val="32"/>
          <w:szCs w:val="32"/>
          <w:vertAlign w:val="baseline"/>
          <w:lang w:val="en-US" w:eastAsia="zh-CN" w:bidi="ar-SA"/>
        </w:rPr>
        <w:t>山东省行政区域内药品经营管理及其监督管理活动，适用本办法。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Autospacing="0" w:line="560" w:lineRule="exact"/>
        <w:ind w:firstLine="645" w:firstLineChars="0"/>
        <w:rPr>
          <w:rFonts w:hint="eastAsia" w:ascii="仿宋_GB2312" w:hAnsi="仿宋" w:eastAsia="仿宋_GB2312" w:cs="仿宋"/>
          <w:color w:val="auto"/>
          <w:kern w:val="0"/>
          <w:sz w:val="32"/>
          <w:szCs w:val="32"/>
          <w:lang w:val="en-US" w:eastAsia="zh-CN"/>
        </w:rPr>
      </w:pPr>
      <w:r>
        <w:rPr>
          <w:rFonts w:hint="eastAsia" w:ascii="黑体" w:hAnsi="黑体" w:eastAsia="黑体" w:cs="黑体"/>
          <w:color w:val="auto"/>
          <w:kern w:val="2"/>
          <w:sz w:val="32"/>
          <w:szCs w:val="32"/>
          <w:shd w:val="clear" w:color="auto" w:fill="FFFFFF"/>
          <w:lang w:val="en-US" w:eastAsia="zh-CN" w:bidi="ar-SA"/>
        </w:rPr>
        <w:t>第三</w:t>
      </w:r>
      <w:r>
        <w:rPr>
          <w:rFonts w:hint="eastAsia" w:eastAsia="黑体"/>
          <w:color w:val="auto"/>
          <w:sz w:val="32"/>
          <w:szCs w:val="32"/>
          <w:lang w:val="en-US" w:eastAsia="zh-CN"/>
        </w:rPr>
        <w:t xml:space="preserve">条 </w:t>
      </w:r>
      <w:r>
        <w:rPr>
          <w:rFonts w:eastAsia="黑体"/>
          <w:color w:val="auto"/>
          <w:sz w:val="32"/>
          <w:szCs w:val="32"/>
        </w:rPr>
        <w:t>【</w:t>
      </w:r>
      <w:r>
        <w:rPr>
          <w:rFonts w:hint="eastAsia" w:eastAsia="黑体"/>
          <w:color w:val="auto"/>
          <w:sz w:val="32"/>
          <w:szCs w:val="32"/>
          <w:lang w:val="en-US" w:eastAsia="zh-CN"/>
        </w:rPr>
        <w:t>总体要求</w:t>
      </w:r>
      <w:r>
        <w:rPr>
          <w:rFonts w:eastAsia="黑体"/>
          <w:color w:val="auto"/>
          <w:sz w:val="32"/>
          <w:szCs w:val="32"/>
        </w:rPr>
        <w:t>】</w:t>
      </w:r>
      <w:r>
        <w:rPr>
          <w:rFonts w:hint="eastAsia" w:ascii="仿宋_GB2312" w:hAnsi="仿宋_GB2312" w:eastAsia="仿宋_GB2312" w:cs="仿宋_GB2312"/>
          <w:color w:val="auto"/>
          <w:kern w:val="0"/>
          <w:sz w:val="32"/>
          <w:szCs w:val="32"/>
          <w:lang w:val="en-US" w:eastAsia="zh-CN"/>
        </w:rPr>
        <w:t>从事药品经营活动，应当遵守法律、法规、规章、标准和规范，</w:t>
      </w:r>
      <w:r>
        <w:rPr>
          <w:rFonts w:hint="eastAsia" w:ascii="仿宋_GB2312" w:hAnsi="仿宋_GB2312" w:eastAsia="仿宋_GB2312" w:cs="仿宋_GB2312"/>
          <w:color w:val="auto"/>
          <w:sz w:val="32"/>
          <w:szCs w:val="32"/>
          <w:lang w:bidi="ar-SA"/>
        </w:rPr>
        <w:t>建立健全药品经营质量管理体系，保证药品经营全过程持续符合法定要求。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四条</w:t>
      </w:r>
      <w:r>
        <w:rPr>
          <w:rFonts w:hint="eastAsia" w:eastAsia="黑体"/>
          <w:color w:val="auto"/>
          <w:sz w:val="32"/>
          <w:szCs w:val="32"/>
          <w:lang w:val="en-US" w:eastAsia="zh-CN"/>
        </w:rPr>
        <w:t xml:space="preserve">【监督监管定义】 </w:t>
      </w:r>
      <w:r>
        <w:rPr>
          <w:rFonts w:hint="eastAsia" w:ascii="仿宋_GB2312" w:hAnsi="仿宋_GB2312" w:eastAsia="仿宋_GB2312" w:cs="仿宋_GB2312"/>
          <w:color w:val="auto"/>
          <w:sz w:val="32"/>
          <w:szCs w:val="32"/>
          <w:lang w:val="en-US" w:eastAsia="zh-CN"/>
        </w:rPr>
        <w:t>本办法所称药品经营监督管理，是指药品监督管理部门对药品经营单位的经营条件、经营过程和质量管理等，依法履行监管职责所进行的监督检查、</w:t>
      </w:r>
      <w:r>
        <w:rPr>
          <w:rFonts w:hint="eastAsia" w:ascii="仿宋_GB2312" w:hAnsi="仿宋_GB2312" w:eastAsia="仿宋_GB2312" w:cs="仿宋_GB2312"/>
          <w:color w:val="auto"/>
          <w:sz w:val="32"/>
          <w:szCs w:val="32"/>
          <w:highlight w:val="none"/>
          <w:lang w:val="en-US" w:eastAsia="zh-CN"/>
        </w:rPr>
        <w:t>抽检、</w:t>
      </w:r>
      <w:r>
        <w:rPr>
          <w:rFonts w:hint="eastAsia" w:ascii="仿宋_GB2312" w:hAnsi="仿宋_GB2312" w:eastAsia="仿宋_GB2312" w:cs="仿宋_GB2312"/>
          <w:color w:val="auto"/>
          <w:sz w:val="32"/>
          <w:szCs w:val="32"/>
          <w:lang w:val="en-US" w:eastAsia="zh-CN"/>
        </w:rPr>
        <w:t>行政处罚等监督管理活动。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五条</w:t>
      </w:r>
      <w:r>
        <w:rPr>
          <w:rFonts w:hint="eastAsia" w:ascii="黑体" w:hAnsi="黑体" w:eastAsia="黑体" w:cs="黑体"/>
          <w:color w:val="auto"/>
          <w:kern w:val="2"/>
          <w:sz w:val="32"/>
          <w:szCs w:val="32"/>
          <w:shd w:val="clear" w:color="auto" w:fill="FFFFFF"/>
          <w:lang w:val="en-US" w:eastAsia="zh-CN" w:bidi="ar-SA"/>
        </w:rPr>
        <w:t>【监管原则】</w:t>
      </w:r>
      <w:r>
        <w:rPr>
          <w:rFonts w:hint="eastAsia" w:ascii="微软雅黑" w:hAnsi="微软雅黑" w:eastAsia="微软雅黑" w:cs="微软雅黑"/>
          <w:color w:val="auto"/>
          <w:kern w:val="0"/>
          <w:sz w:val="32"/>
          <w:szCs w:val="32"/>
          <w:vertAlign w:val="baseline"/>
          <w:lang w:val="en-US" w:eastAsia="zh-CN" w:bidi="ar-SA"/>
        </w:rPr>
        <w:t xml:space="preserve"> </w:t>
      </w:r>
      <w:r>
        <w:rPr>
          <w:rFonts w:hint="eastAsia" w:ascii="仿宋_GB2312" w:hAnsi="仿宋_GB2312" w:eastAsia="仿宋_GB2312" w:cs="仿宋_GB2312"/>
          <w:color w:val="auto"/>
          <w:kern w:val="0"/>
          <w:sz w:val="32"/>
          <w:szCs w:val="32"/>
          <w:vertAlign w:val="baseline"/>
          <w:lang w:val="en-US" w:eastAsia="zh-CN" w:bidi="ar-SA"/>
        </w:rPr>
        <w:t>药品经营监督管理应当以人民健康为中心，遵循问题导向、风险管理、全程管控、社会共治理念，坚持权责法定、依法行政、属地管理、分级负责、上下联动、闭环管理原则，落实药品经营企业主体责任，消除药品质量安全风险隐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kern w:val="2"/>
          <w:sz w:val="32"/>
          <w:szCs w:val="32"/>
          <w:shd w:val="clear" w:color="auto" w:fill="FFFFFF"/>
          <w:lang w:val="en-US" w:eastAsia="zh-CN" w:bidi="ar-SA"/>
        </w:rPr>
        <w:t>第六条</w:t>
      </w:r>
      <w:r>
        <w:rPr>
          <w:rFonts w:hint="eastAsia" w:ascii="黑体" w:hAnsi="黑体" w:eastAsia="黑体" w:cs="黑体"/>
          <w:color w:val="auto"/>
          <w:kern w:val="0"/>
          <w:sz w:val="32"/>
          <w:szCs w:val="32"/>
          <w:shd w:val="clear" w:color="auto" w:fill="FFFFFF"/>
          <w:lang w:val="en-US" w:eastAsia="zh-CN" w:bidi="ar-SA"/>
        </w:rPr>
        <w:t>【事权划分】</w:t>
      </w:r>
      <w:r>
        <w:rPr>
          <w:rFonts w:hint="eastAsia" w:ascii="仿宋_GB2312" w:hAnsi="仿宋_GB2312" w:eastAsia="仿宋_GB2312" w:cs="仿宋_GB2312"/>
          <w:color w:val="auto"/>
          <w:kern w:val="0"/>
          <w:sz w:val="32"/>
          <w:szCs w:val="32"/>
          <w:vertAlign w:val="baseline"/>
          <w:lang w:val="en-US" w:eastAsia="zh-CN" w:bidi="ar-SA"/>
        </w:rPr>
        <w:t>山东省药品监督管理局（以下简称省药监局）负责全省药品经营的监督管理工作。负责</w:t>
      </w:r>
      <w:r>
        <w:rPr>
          <w:rFonts w:hint="eastAsia" w:ascii="仿宋" w:hAnsi="仿宋" w:eastAsia="仿宋" w:cs="仿宋"/>
          <w:color w:val="auto"/>
          <w:sz w:val="32"/>
          <w:szCs w:val="32"/>
        </w:rPr>
        <w:t>药品批发企业、药品零售连锁总部的</w:t>
      </w:r>
      <w:r>
        <w:rPr>
          <w:rFonts w:hint="eastAsia" w:ascii="仿宋" w:hAnsi="仿宋" w:eastAsia="仿宋" w:cs="仿宋"/>
          <w:color w:val="auto"/>
          <w:sz w:val="32"/>
          <w:szCs w:val="32"/>
          <w:lang w:val="en-US" w:eastAsia="zh-CN"/>
        </w:rPr>
        <w:t>监督管理；</w:t>
      </w:r>
      <w:r>
        <w:rPr>
          <w:rFonts w:hint="eastAsia" w:ascii="仿宋_GB2312" w:hAnsi="仿宋_GB2312" w:eastAsia="仿宋_GB2312" w:cs="仿宋_GB2312"/>
          <w:color w:val="auto"/>
          <w:kern w:val="0"/>
          <w:sz w:val="32"/>
          <w:szCs w:val="32"/>
          <w:vertAlign w:val="baseline"/>
          <w:lang w:val="en-US" w:eastAsia="zh-CN" w:bidi="ar-SA"/>
        </w:rPr>
        <w:t>指导各地开展药品经营监督管理工作。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SA"/>
        </w:rPr>
        <w:t>省药监局区域检查分局</w:t>
      </w:r>
      <w:r>
        <w:rPr>
          <w:rFonts w:hint="eastAsia" w:ascii="仿宋_GB2312" w:hAnsi="仿宋_GB2312" w:eastAsia="仿宋_GB2312" w:cs="仿宋_GB2312"/>
          <w:color w:val="auto"/>
          <w:kern w:val="0"/>
          <w:sz w:val="32"/>
          <w:szCs w:val="32"/>
          <w:highlight w:val="none"/>
          <w:vertAlign w:val="baseline"/>
          <w:lang w:val="en-US" w:eastAsia="zh-CN" w:bidi="ar-SA"/>
        </w:rPr>
        <w:t>、</w:t>
      </w:r>
      <w:r>
        <w:rPr>
          <w:rFonts w:hint="eastAsia" w:ascii="仿宋_GB2312" w:hAnsi="仿宋_GB2312" w:eastAsia="仿宋_GB2312" w:cs="仿宋_GB2312"/>
          <w:color w:val="auto"/>
          <w:sz w:val="32"/>
          <w:szCs w:val="32"/>
        </w:rPr>
        <w:t>执法监察局、省食品药品检验研究院、省食品药品审评查验中心、省药品不良反应监测中心依职责和有关事权划分规定，做好药品</w:t>
      </w:r>
      <w:r>
        <w:rPr>
          <w:rFonts w:hint="eastAsia" w:ascii="仿宋_GB2312" w:hAnsi="仿宋_GB2312" w:eastAsia="仿宋_GB2312" w:cs="仿宋_GB2312"/>
          <w:color w:val="auto"/>
          <w:sz w:val="32"/>
          <w:szCs w:val="32"/>
          <w:lang w:val="en-US" w:eastAsia="zh-CN"/>
        </w:rPr>
        <w:t>经营</w:t>
      </w:r>
      <w:r>
        <w:rPr>
          <w:rFonts w:hint="eastAsia" w:ascii="仿宋_GB2312" w:hAnsi="仿宋_GB2312" w:eastAsia="仿宋_GB2312" w:cs="仿宋_GB2312"/>
          <w:color w:val="auto"/>
          <w:sz w:val="32"/>
          <w:szCs w:val="32"/>
        </w:rPr>
        <w:t>监管相关工作。</w:t>
      </w:r>
    </w:p>
    <w:p>
      <w:pPr>
        <w:keepNext w:val="0"/>
        <w:keepLines w:val="0"/>
        <w:pageBreakBefore w:val="0"/>
        <w:numPr>
          <w:ilvl w:val="0"/>
          <w:numId w:val="0"/>
        </w:numPr>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设区的市、县(市、区)人民政府承担药品监督管理职责的部门(以下统称药品监督管理部门）负责对本行政区域内药品零售企业的监督管理，配合省药监局开展药品经营监督管理工作。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七</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kern w:val="0"/>
          <w:sz w:val="32"/>
          <w:szCs w:val="32"/>
          <w:shd w:val="clear" w:color="auto" w:fill="FFFFFF"/>
          <w:lang w:val="en-US" w:eastAsia="zh-CN" w:bidi="ar-SA"/>
        </w:rPr>
        <w:t>【</w:t>
      </w:r>
      <w:r>
        <w:rPr>
          <w:rFonts w:hint="eastAsia" w:ascii="黑体" w:hAnsi="黑体" w:eastAsia="黑体" w:cs="黑体"/>
          <w:color w:val="auto"/>
          <w:sz w:val="32"/>
          <w:szCs w:val="32"/>
          <w:shd w:val="clear" w:color="auto" w:fill="FFFFFF"/>
          <w:lang w:val="en-US" w:eastAsia="zh-CN"/>
        </w:rPr>
        <w:t>协同</w:t>
      </w:r>
      <w:r>
        <w:rPr>
          <w:rFonts w:hint="eastAsia" w:ascii="黑体" w:hAnsi="黑体" w:eastAsia="黑体" w:cs="黑体"/>
          <w:color w:val="auto"/>
          <w:kern w:val="0"/>
          <w:sz w:val="32"/>
          <w:szCs w:val="32"/>
          <w:shd w:val="clear" w:color="auto" w:fill="FFFFFF"/>
          <w:lang w:val="en-US" w:eastAsia="zh-CN" w:bidi="ar-SA"/>
        </w:rPr>
        <w:t>监管机制】</w:t>
      </w:r>
      <w:r>
        <w:rPr>
          <w:rFonts w:hint="eastAsia" w:ascii="仿宋_GB2312" w:hAnsi="仿宋_GB2312" w:eastAsia="仿宋_GB2312" w:cs="仿宋_GB2312"/>
          <w:color w:val="auto"/>
          <w:kern w:val="0"/>
          <w:sz w:val="32"/>
          <w:szCs w:val="32"/>
          <w:vertAlign w:val="baseline"/>
          <w:lang w:val="en-US" w:eastAsia="zh-CN" w:bidi="ar-SA"/>
        </w:rPr>
        <w:t>省、市、县三级药品监督管理部门应当建立健全协同监管、信息共享、联动执法等</w:t>
      </w:r>
      <w:r>
        <w:rPr>
          <w:rFonts w:hint="eastAsia" w:ascii="仿宋_GB2312" w:hAnsi="仿宋_GB2312" w:eastAsia="仿宋_GB2312" w:cs="仿宋_GB2312"/>
          <w:strike w:val="0"/>
          <w:color w:val="auto"/>
          <w:kern w:val="0"/>
          <w:sz w:val="32"/>
          <w:szCs w:val="32"/>
          <w:vertAlign w:val="baseline"/>
          <w:lang w:val="en-US" w:eastAsia="zh-CN" w:bidi="ar-SA"/>
        </w:rPr>
        <w:t>工作</w:t>
      </w:r>
      <w:r>
        <w:rPr>
          <w:rFonts w:hint="eastAsia" w:ascii="仿宋_GB2312" w:hAnsi="仿宋_GB2312" w:eastAsia="仿宋_GB2312" w:cs="仿宋_GB2312"/>
          <w:color w:val="auto"/>
          <w:kern w:val="0"/>
          <w:sz w:val="32"/>
          <w:szCs w:val="32"/>
          <w:vertAlign w:val="baseline"/>
          <w:lang w:val="en-US" w:eastAsia="zh-CN" w:bidi="ar-SA"/>
        </w:rPr>
        <w:t>机制，提升监管的统一性、协调性、精准性和有效性。</w:t>
      </w:r>
    </w:p>
    <w:p>
      <w:pPr>
        <w:pStyle w:val="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黑体" w:hAnsi="黑体" w:eastAsia="黑体" w:cs="黑体"/>
          <w:color w:val="auto"/>
          <w:kern w:val="0"/>
          <w:sz w:val="32"/>
          <w:szCs w:val="32"/>
          <w:shd w:val="clear" w:color="auto" w:fill="FFFFFF"/>
          <w:vertAlign w:val="baseline"/>
          <w:lang w:val="en-US" w:eastAsia="zh-CN" w:bidi="ar-SA"/>
        </w:rPr>
        <w:t>第八条</w:t>
      </w:r>
      <w:r>
        <w:rPr>
          <w:rFonts w:hint="eastAsia" w:ascii="黑体" w:hAnsi="黑体" w:eastAsia="黑体" w:cs="黑体"/>
          <w:color w:val="auto"/>
          <w:kern w:val="0"/>
          <w:sz w:val="32"/>
          <w:szCs w:val="32"/>
          <w:shd w:val="clear" w:color="auto" w:fill="FFFFFF"/>
          <w:lang w:val="en-US" w:eastAsia="zh-CN" w:bidi="ar-SA"/>
        </w:rPr>
        <w:t xml:space="preserve">【社会共治】 </w:t>
      </w:r>
      <w:r>
        <w:rPr>
          <w:rFonts w:hint="eastAsia" w:ascii="仿宋_GB2312" w:hAnsi="仿宋_GB2312" w:eastAsia="仿宋_GB2312" w:cs="仿宋_GB2312"/>
          <w:color w:val="auto"/>
          <w:kern w:val="0"/>
          <w:sz w:val="32"/>
          <w:szCs w:val="32"/>
          <w:shd w:val="clear" w:color="auto" w:fill="auto"/>
          <w:lang w:val="en-US" w:eastAsia="zh-CN" w:bidi="ar-SA"/>
        </w:rPr>
        <w:t>药品监督管理部门应当加强与行业协会、新闻媒体等相关单位的协作，</w:t>
      </w:r>
      <w:r>
        <w:rPr>
          <w:rFonts w:hint="eastAsia" w:ascii="仿宋_GB2312" w:hAnsi="仿宋_GB2312" w:eastAsia="仿宋_GB2312" w:cs="仿宋_GB2312"/>
          <w:color w:val="auto"/>
          <w:kern w:val="0"/>
          <w:sz w:val="32"/>
          <w:szCs w:val="32"/>
          <w:shd w:val="clear"/>
          <w:lang w:val="en-US" w:eastAsia="zh-CN" w:bidi="ar-SA"/>
        </w:rPr>
        <w:t>推进</w:t>
      </w:r>
      <w:r>
        <w:rPr>
          <w:rFonts w:hint="eastAsia" w:ascii="仿宋_GB2312" w:hAnsi="仿宋_GB2312" w:eastAsia="仿宋_GB2312" w:cs="仿宋_GB2312"/>
          <w:color w:val="auto"/>
          <w:kern w:val="0"/>
          <w:sz w:val="32"/>
          <w:szCs w:val="32"/>
          <w:shd w:val="clear" w:color="auto" w:fill="auto"/>
          <w:lang w:val="en-US" w:eastAsia="zh-CN" w:bidi="ar-SA"/>
        </w:rPr>
        <w:t>药品安全法律法规宣传</w:t>
      </w:r>
      <w:r>
        <w:rPr>
          <w:rFonts w:hint="eastAsia" w:ascii="仿宋_GB2312" w:hAnsi="仿宋_GB2312" w:eastAsia="仿宋_GB2312" w:cs="仿宋_GB2312"/>
          <w:color w:val="auto"/>
          <w:kern w:val="0"/>
          <w:sz w:val="32"/>
          <w:szCs w:val="32"/>
          <w:shd w:val="clear"/>
          <w:lang w:val="en-US" w:eastAsia="zh-CN" w:bidi="ar-SA"/>
        </w:rPr>
        <w:t>、</w:t>
      </w:r>
      <w:r>
        <w:rPr>
          <w:rFonts w:hint="eastAsia" w:ascii="仿宋_GB2312" w:hAnsi="仿宋_GB2312" w:eastAsia="仿宋_GB2312" w:cs="仿宋_GB2312"/>
          <w:color w:val="auto"/>
          <w:kern w:val="0"/>
          <w:sz w:val="32"/>
          <w:szCs w:val="32"/>
          <w:shd w:val="clear" w:color="auto" w:fill="auto"/>
          <w:lang w:val="en-US" w:eastAsia="zh-CN" w:bidi="ar-SA"/>
        </w:rPr>
        <w:t>行业自律</w:t>
      </w:r>
      <w:r>
        <w:rPr>
          <w:rFonts w:hint="eastAsia" w:ascii="仿宋_GB2312" w:hAnsi="仿宋_GB2312" w:eastAsia="仿宋_GB2312" w:cs="仿宋_GB2312"/>
          <w:color w:val="auto"/>
          <w:kern w:val="0"/>
          <w:sz w:val="32"/>
          <w:szCs w:val="32"/>
          <w:shd w:val="clear"/>
          <w:lang w:val="en-US" w:eastAsia="zh-CN" w:bidi="ar-SA"/>
        </w:rPr>
        <w:t>、</w:t>
      </w:r>
      <w:r>
        <w:rPr>
          <w:rFonts w:hint="eastAsia" w:ascii="仿宋_GB2312" w:hAnsi="仿宋_GB2312" w:eastAsia="仿宋_GB2312" w:cs="仿宋_GB2312"/>
          <w:color w:val="auto"/>
          <w:kern w:val="0"/>
          <w:sz w:val="32"/>
          <w:szCs w:val="32"/>
          <w:shd w:val="clear" w:color="auto" w:fill="auto"/>
          <w:lang w:val="en-US" w:eastAsia="zh-CN" w:bidi="ar-SA"/>
        </w:rPr>
        <w:t>社会监督等工作。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baseline"/>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药品经营行业协会应当加强行业自律，建立健全行业规范，推动行业诚信体系建设，引导和督促会员依法开展药品经营活动；加强药品安全知识宣传，开展药品安全法律法规普及工作。</w:t>
      </w:r>
    </w:p>
    <w:p>
      <w:pPr>
        <w:pStyle w:val="2"/>
        <w:keepNext w:val="0"/>
        <w:keepLines w:val="0"/>
        <w:pageBreakBefore w:val="0"/>
        <w:kinsoku/>
        <w:wordWrap/>
        <w:topLinePunct w:val="0"/>
        <w:autoSpaceDE/>
        <w:autoSpaceDN/>
        <w:bidi w:val="0"/>
        <w:spacing w:after="0" w:line="560" w:lineRule="exact"/>
        <w:ind w:firstLineChars="200"/>
        <w:rPr>
          <w:rFonts w:hint="eastAsia" w:ascii="仿宋_GB2312" w:hAnsi="仿宋_GB2312" w:eastAsia="仿宋_GB2312" w:cs="仿宋_GB2312"/>
          <w:color w:val="auto"/>
          <w:kern w:val="0"/>
          <w:sz w:val="32"/>
          <w:szCs w:val="32"/>
          <w:vertAlign w:val="baseline"/>
          <w:lang w:val="en-US" w:eastAsia="zh-CN" w:bidi="ar-SA"/>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200" w:right="0" w:rightChars="0" w:firstLine="0" w:firstLineChars="0"/>
        <w:jc w:val="center"/>
        <w:textAlignment w:val="auto"/>
        <w:rPr>
          <w:rFonts w:hint="eastAsia" w:ascii="黑体" w:hAnsi="黑体" w:eastAsia="黑体" w:cs="黑体"/>
          <w:color w:val="auto"/>
          <w:kern w:val="0"/>
          <w:sz w:val="32"/>
          <w:szCs w:val="32"/>
          <w:vertAlign w:val="baseline"/>
          <w:lang w:val="en-US" w:eastAsia="zh-CN" w:bidi="ar-SA"/>
        </w:rPr>
      </w:pPr>
      <w:r>
        <w:rPr>
          <w:rFonts w:hint="eastAsia" w:ascii="黑体" w:hAnsi="黑体" w:eastAsia="黑体" w:cs="黑体"/>
          <w:color w:val="auto"/>
          <w:kern w:val="0"/>
          <w:sz w:val="32"/>
          <w:szCs w:val="32"/>
          <w:vertAlign w:val="baseline"/>
          <w:lang w:val="en-US" w:eastAsia="zh-CN" w:bidi="ar-SA"/>
        </w:rPr>
        <w:t>第二章 药品经营企业主体责任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rPr>
      </w:pPr>
      <w:r>
        <w:rPr>
          <w:rFonts w:hint="eastAsia" w:ascii="黑体" w:hAnsi="黑体" w:eastAsia="黑体" w:cs="黑体"/>
          <w:color w:val="auto"/>
          <w:kern w:val="0"/>
          <w:sz w:val="32"/>
          <w:szCs w:val="32"/>
          <w:shd w:val="clear" w:color="auto" w:fill="FFFFFF"/>
          <w:lang w:val="en-US" w:eastAsia="zh-CN"/>
        </w:rPr>
        <w:t>第九条【许可条件管理】</w:t>
      </w:r>
      <w:r>
        <w:rPr>
          <w:rFonts w:hint="eastAsia" w:ascii="仿宋_GB2312" w:hAnsi="仿宋_GB2312" w:eastAsia="仿宋_GB2312" w:cs="仿宋_GB2312"/>
          <w:i w:val="0"/>
          <w:iCs w:val="0"/>
          <w:caps w:val="0"/>
          <w:color w:val="auto"/>
          <w:spacing w:val="0"/>
          <w:kern w:val="0"/>
          <w:sz w:val="32"/>
          <w:szCs w:val="32"/>
          <w:shd w:val="clear" w:fill="auto"/>
        </w:rPr>
        <w:t>从事药品</w:t>
      </w:r>
      <w:r>
        <w:rPr>
          <w:rFonts w:hint="eastAsia" w:ascii="仿宋_GB2312" w:hAnsi="仿宋_GB2312" w:eastAsia="仿宋_GB2312" w:cs="仿宋_GB2312"/>
          <w:i w:val="0"/>
          <w:iCs w:val="0"/>
          <w:caps w:val="0"/>
          <w:color w:val="auto"/>
          <w:spacing w:val="0"/>
          <w:kern w:val="0"/>
          <w:sz w:val="32"/>
          <w:szCs w:val="32"/>
          <w:shd w:val="clear"/>
          <w:lang w:val="en-US" w:eastAsia="zh-CN"/>
        </w:rPr>
        <w:t>经营</w:t>
      </w:r>
      <w:r>
        <w:rPr>
          <w:rFonts w:hint="eastAsia" w:ascii="仿宋_GB2312" w:hAnsi="仿宋_GB2312" w:eastAsia="仿宋_GB2312" w:cs="仿宋_GB2312"/>
          <w:i w:val="0"/>
          <w:iCs w:val="0"/>
          <w:caps w:val="0"/>
          <w:color w:val="auto"/>
          <w:spacing w:val="0"/>
          <w:kern w:val="0"/>
          <w:sz w:val="32"/>
          <w:szCs w:val="32"/>
          <w:shd w:val="clear" w:fill="auto"/>
        </w:rPr>
        <w:t>活动，应当</w:t>
      </w:r>
      <w:r>
        <w:rPr>
          <w:rFonts w:hint="eastAsia" w:ascii="仿宋_GB2312" w:hAnsi="仿宋_GB2312" w:eastAsia="仿宋_GB2312" w:cs="仿宋_GB2312"/>
          <w:i w:val="0"/>
          <w:iCs w:val="0"/>
          <w:caps w:val="0"/>
          <w:color w:val="auto"/>
          <w:spacing w:val="0"/>
          <w:kern w:val="0"/>
          <w:sz w:val="32"/>
          <w:szCs w:val="32"/>
          <w:shd w:val="clear"/>
          <w:lang w:val="en-US" w:eastAsia="zh-CN"/>
        </w:rPr>
        <w:t>经批准</w:t>
      </w:r>
      <w:r>
        <w:rPr>
          <w:rFonts w:hint="eastAsia" w:ascii="仿宋_GB2312" w:hAnsi="仿宋_GB2312" w:eastAsia="仿宋_GB2312" w:cs="仿宋_GB2312"/>
          <w:i w:val="0"/>
          <w:iCs w:val="0"/>
          <w:caps w:val="0"/>
          <w:color w:val="auto"/>
          <w:spacing w:val="0"/>
          <w:kern w:val="0"/>
          <w:sz w:val="32"/>
          <w:szCs w:val="32"/>
          <w:shd w:val="clear" w:fill="auto"/>
        </w:rPr>
        <w:t>取得</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i w:val="0"/>
          <w:iCs w:val="0"/>
          <w:caps w:val="0"/>
          <w:color w:val="auto"/>
          <w:spacing w:val="0"/>
          <w:kern w:val="0"/>
          <w:sz w:val="32"/>
          <w:szCs w:val="32"/>
          <w:shd w:val="clear" w:fill="auto"/>
        </w:rPr>
        <w:t>药品经营许可证</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i w:val="0"/>
          <w:iCs w:val="0"/>
          <w:caps w:val="0"/>
          <w:color w:val="auto"/>
          <w:spacing w:val="0"/>
          <w:kern w:val="0"/>
          <w:sz w:val="32"/>
          <w:szCs w:val="32"/>
          <w:shd w:val="clear" w:fill="auto"/>
        </w:rPr>
        <w:t>无</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i w:val="0"/>
          <w:iCs w:val="0"/>
          <w:caps w:val="0"/>
          <w:color w:val="auto"/>
          <w:spacing w:val="0"/>
          <w:kern w:val="0"/>
          <w:sz w:val="32"/>
          <w:szCs w:val="32"/>
          <w:shd w:val="clear" w:fill="auto"/>
        </w:rPr>
        <w:t>药品经营许可证</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i w:val="0"/>
          <w:iCs w:val="0"/>
          <w:caps w:val="0"/>
          <w:color w:val="auto"/>
          <w:spacing w:val="0"/>
          <w:kern w:val="0"/>
          <w:sz w:val="32"/>
          <w:szCs w:val="32"/>
          <w:shd w:val="clear" w:fill="auto"/>
        </w:rPr>
        <w:t>的不得经营药品。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药品经营企业应当</w:t>
      </w:r>
      <w:r>
        <w:rPr>
          <w:rFonts w:hint="eastAsia" w:ascii="仿宋_GB2312" w:hAnsi="仿宋_GB2312" w:eastAsia="仿宋_GB2312" w:cs="仿宋_GB2312"/>
          <w:color w:val="auto"/>
          <w:sz w:val="32"/>
          <w:szCs w:val="32"/>
        </w:rPr>
        <w:t>按照药品经营许可证载明的经营方式和经营范围，在药品监督管理部门核准的地址销售、储存药品，</w:t>
      </w:r>
      <w:r>
        <w:rPr>
          <w:rFonts w:hint="eastAsia" w:ascii="仿宋_GB2312" w:hAnsi="仿宋_GB2312" w:eastAsia="仿宋_GB2312" w:cs="仿宋_GB2312"/>
          <w:color w:val="auto"/>
          <w:kern w:val="0"/>
          <w:sz w:val="32"/>
          <w:szCs w:val="32"/>
          <w:vertAlign w:val="baseline"/>
          <w:lang w:val="en-US" w:eastAsia="zh-CN" w:bidi="ar-SA"/>
        </w:rPr>
        <w:t>不得擅自</w:t>
      </w:r>
      <w:r>
        <w:rPr>
          <w:rFonts w:hint="eastAsia" w:ascii="仿宋_GB2312" w:hAnsi="仿宋_GB2312" w:eastAsia="仿宋_GB2312" w:cs="仿宋_GB2312"/>
          <w:strike w:val="0"/>
          <w:color w:val="auto"/>
          <w:kern w:val="0"/>
          <w:sz w:val="32"/>
          <w:szCs w:val="32"/>
          <w:vertAlign w:val="baseline"/>
          <w:lang w:val="en-US" w:eastAsia="zh-CN" w:bidi="ar-SA"/>
        </w:rPr>
        <w:t>降低许可条件</w:t>
      </w:r>
      <w:r>
        <w:rPr>
          <w:rFonts w:hint="eastAsia" w:ascii="仿宋_GB2312" w:hAnsi="仿宋_GB2312" w:eastAsia="仿宋_GB2312" w:cs="仿宋_GB2312"/>
          <w:color w:val="auto"/>
          <w:kern w:val="0"/>
          <w:sz w:val="32"/>
          <w:szCs w:val="32"/>
          <w:vertAlign w:val="baseli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w:t>
      </w:r>
      <w:r>
        <w:rPr>
          <w:rFonts w:hint="eastAsia" w:ascii="黑体" w:hAnsi="黑体" w:eastAsia="黑体" w:cs="黑体"/>
          <w:color w:val="auto"/>
          <w:kern w:val="0"/>
          <w:sz w:val="32"/>
          <w:szCs w:val="32"/>
          <w:shd w:val="clear" w:color="auto" w:fill="FFFFFF"/>
        </w:rPr>
        <w:t>条</w:t>
      </w:r>
      <w:r>
        <w:rPr>
          <w:rFonts w:hint="eastAsia" w:ascii="仿宋" w:hAnsi="仿宋" w:eastAsia="仿宋" w:cs="仿宋"/>
          <w:color w:val="auto"/>
          <w:sz w:val="32"/>
          <w:szCs w:val="32"/>
          <w:lang w:eastAsia="zh-CN"/>
        </w:rPr>
        <w:t>　</w:t>
      </w:r>
      <w:r>
        <w:rPr>
          <w:rFonts w:hint="eastAsia" w:ascii="黑体" w:hAnsi="黑体" w:eastAsia="黑体" w:cs="黑体"/>
          <w:color w:val="auto"/>
          <w:kern w:val="0"/>
          <w:sz w:val="32"/>
          <w:szCs w:val="32"/>
          <w:shd w:val="clear" w:color="auto" w:fill="FFFFFF"/>
          <w:lang w:val="en-US" w:eastAsia="zh-CN"/>
        </w:rPr>
        <w:t>【药品批发经营条件】</w:t>
      </w:r>
      <w:r>
        <w:rPr>
          <w:rFonts w:hint="eastAsia" w:ascii="仿宋_GB2312" w:hAnsi="仿宋_GB2312" w:eastAsia="仿宋_GB2312" w:cs="仿宋_GB2312"/>
          <w:color w:val="auto"/>
          <w:sz w:val="32"/>
          <w:szCs w:val="32"/>
        </w:rPr>
        <w:t>从事药品批发活动的，应当具备以下条件：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（一）有与</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经营范围相适应的质量管理机构和人员；企业法定代表人、主要负责人、质量负责人、质量管理部门负责人等符合规定的条件；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（二）有依法经过资格认定的药师或者其他药学技术人员；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（三）有与其经营品种和规模相适应的自营仓库、营业场所和设施设备，仓库具备实现药品入库、传送、分拣、上架、出库等操作的现代物流设施设备；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（四）有保证药品质量的质量管理制度以及覆盖药品经营、质量控制和追溯全过程的信息管理系统，并符合药品经营质量管理规范要求。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eastAsia="zh-CN"/>
        </w:rPr>
        <w:t>　　第</w:t>
      </w:r>
      <w:r>
        <w:rPr>
          <w:rFonts w:hint="eastAsia" w:ascii="黑体" w:hAnsi="黑体" w:eastAsia="黑体" w:cs="黑体"/>
          <w:color w:val="auto"/>
          <w:sz w:val="32"/>
          <w:szCs w:val="32"/>
          <w:lang w:val="en-US" w:eastAsia="zh-CN"/>
        </w:rPr>
        <w:t>十一</w:t>
      </w:r>
      <w:r>
        <w:rPr>
          <w:rFonts w:hint="eastAsia" w:ascii="黑体" w:hAnsi="黑体" w:eastAsia="黑体" w:cs="黑体"/>
          <w:color w:val="auto"/>
          <w:sz w:val="32"/>
          <w:szCs w:val="32"/>
        </w:rPr>
        <w:t>条</w:t>
      </w:r>
      <w:r>
        <w:rPr>
          <w:rFonts w:hint="eastAsia" w:ascii="仿宋" w:hAnsi="仿宋" w:eastAsia="仿宋" w:cs="仿宋"/>
          <w:color w:val="auto"/>
          <w:sz w:val="32"/>
          <w:szCs w:val="32"/>
          <w:lang w:eastAsia="zh-CN"/>
        </w:rPr>
        <w:t>　</w:t>
      </w:r>
      <w:r>
        <w:rPr>
          <w:rFonts w:hint="eastAsia" w:ascii="黑体" w:hAnsi="黑体" w:eastAsia="黑体" w:cs="黑体"/>
          <w:color w:val="auto"/>
          <w:kern w:val="0"/>
          <w:sz w:val="32"/>
          <w:szCs w:val="32"/>
          <w:shd w:val="clear" w:color="auto" w:fill="FFFFFF"/>
          <w:lang w:val="en-US" w:eastAsia="zh-CN"/>
        </w:rPr>
        <w:t>【药品零售连锁总部条件】</w:t>
      </w: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从事药品零售连锁经营活动的，应当设立药品零售连锁总部，对零售门店进行统一管理。药品零售连锁总部应当具备本办法</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条第一项、第二项、第四项规定的条件，并具备能够保证药品质量、与其经营品种和规模相适应的仓库、配送场所和设施设备。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　　第</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 w:hAnsi="仿宋" w:eastAsia="仿宋" w:cs="仿宋"/>
          <w:color w:val="auto"/>
          <w:sz w:val="32"/>
          <w:szCs w:val="32"/>
          <w:lang w:eastAsia="zh-CN"/>
        </w:rPr>
        <w:t>　</w:t>
      </w:r>
      <w:r>
        <w:rPr>
          <w:rFonts w:hint="eastAsia" w:ascii="黑体" w:hAnsi="黑体" w:eastAsia="黑体" w:cs="黑体"/>
          <w:color w:val="auto"/>
          <w:kern w:val="0"/>
          <w:sz w:val="32"/>
          <w:szCs w:val="32"/>
          <w:shd w:val="clear" w:color="auto" w:fill="FFFFFF"/>
          <w:lang w:val="en-US" w:eastAsia="zh-CN"/>
        </w:rPr>
        <w:t>【药品零售活动条件】</w:t>
      </w:r>
      <w:r>
        <w:rPr>
          <w:rFonts w:hint="eastAsia" w:ascii="仿宋_GB2312" w:hAnsi="仿宋_GB2312" w:eastAsia="仿宋_GB2312" w:cs="仿宋_GB2312"/>
          <w:color w:val="auto"/>
          <w:kern w:val="0"/>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从事药品零售活动的，应当具备以下条件：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一）经营处方药、甲类非处方药的，应当按规定配备与经营范围和品种相适应的依法经过资格认定的药师或者其他药学技术人员。只经营乙类非处方药的，可以配备经设区的市级药品监督管理部门组织考核合格的药品销售业务人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（二）有与所经营药品相适应的营业场所、设备、陈列、仓储设施以及卫生环境；同时经营其他商品（非药品）的，陈列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仓储设施应当与药品分开设置；在超市等其他场所从事药品零售活动的，应当具有独立的经营区域；</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 xml:space="preserve">（三）有与所经营药品相适应的质量管理机构或者人员，企业法定代表人、主要负责人、质量负责人等符合规定的条件；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（四）有保证药品质量的质量管理制度、符合质量管理与追溯要求的信息管理系统，符合药品经营质量管理规范要求。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关键人员职责</w:t>
      </w:r>
      <w:r>
        <w:rPr>
          <w:rFonts w:hint="eastAsia" w:ascii="黑体" w:hAnsi="黑体" w:eastAsia="黑体" w:cs="黑体"/>
          <w:color w:val="auto"/>
          <w:kern w:val="0"/>
          <w:sz w:val="32"/>
          <w:szCs w:val="32"/>
          <w:shd w:val="clear" w:color="auto" w:fill="FFFFFF"/>
          <w:lang w:eastAsia="zh-CN"/>
        </w:rPr>
        <w:t>】</w:t>
      </w:r>
      <w:r>
        <w:rPr>
          <w:rFonts w:hint="eastAsia" w:ascii="仿宋" w:hAnsi="仿宋" w:eastAsia="仿宋" w:cs="仿宋"/>
          <w:color w:val="auto"/>
          <w:sz w:val="32"/>
          <w:szCs w:val="32"/>
          <w:lang w:eastAsia="zh-CN"/>
        </w:rPr>
        <w:t>　</w:t>
      </w:r>
      <w:r>
        <w:rPr>
          <w:rFonts w:hint="eastAsia" w:ascii="仿宋_GB2312" w:hAnsi="仿宋_GB2312" w:eastAsia="仿宋_GB2312" w:cs="仿宋_GB2312"/>
          <w:color w:val="auto"/>
          <w:sz w:val="32"/>
          <w:szCs w:val="32"/>
        </w:rPr>
        <w:t>药品经营企业的法定代表人、主要负责人对药品经营活动全面负责。</w:t>
      </w:r>
    </w:p>
    <w:p>
      <w:pPr>
        <w:pStyle w:val="8"/>
        <w:spacing w:line="560" w:lineRule="exact"/>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sz w:val="32"/>
          <w:szCs w:val="32"/>
        </w:rPr>
        <w:t>药品经营企业的主要负责人、质量负责人应当符合药品经营质量管理规范规定的条件。主要负责人全面负责企业日常管理，负责配备专门的质量负责人；质量负责人全面负责药品质量管理工作，保证药品质量。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十四条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执行经营规范要求</w:t>
      </w:r>
      <w:r>
        <w:rPr>
          <w:rFonts w:hint="eastAsia" w:ascii="黑体" w:hAnsi="黑体" w:eastAsia="黑体" w:cs="黑体"/>
          <w:color w:val="auto"/>
          <w:kern w:val="0"/>
          <w:sz w:val="32"/>
          <w:szCs w:val="32"/>
          <w:shd w:val="clear" w:color="auto" w:fill="FFFFFF"/>
          <w:lang w:eastAsia="zh-CN"/>
        </w:rPr>
        <w:t>】</w:t>
      </w:r>
      <w:r>
        <w:rPr>
          <w:rFonts w:ascii="黑体" w:hAnsi="黑体" w:eastAsia="黑体" w:cs="黑体"/>
          <w:color w:val="auto"/>
          <w:kern w:val="0"/>
          <w:sz w:val="32"/>
          <w:szCs w:val="32"/>
          <w:shd w:val="clear" w:color="auto" w:fill="FFFFFF"/>
        </w:rPr>
        <w:t xml:space="preserve"> </w:t>
      </w:r>
      <w:r>
        <w:rPr>
          <w:rFonts w:hint="eastAsia" w:ascii="黑体" w:hAnsi="黑体" w:eastAsia="黑体" w:cs="黑体"/>
          <w:color w:val="auto"/>
          <w:kern w:val="0"/>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药品经营企业应当遵守药品经营质量管理规范，建立覆盖药品经营全过程的质量管理体系。购销记录以及储存条件、运输过程、质量控制等记录应当完整准确，不得编造和篡改。</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十五</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【委托储运】</w:t>
      </w:r>
      <w:r>
        <w:rPr>
          <w:rFonts w:ascii="黑体" w:hAnsi="黑体" w:eastAsia="黑体" w:cs="黑体"/>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vertAlign w:val="baseline"/>
          <w:lang w:val="en-US" w:eastAsia="zh-CN" w:bidi="ar-SA"/>
        </w:rPr>
        <w:t>药品批发企业</w:t>
      </w:r>
      <w:r>
        <w:rPr>
          <w:rFonts w:hint="eastAsia" w:ascii="仿宋_GB2312" w:hAnsi="仿宋_GB2312" w:eastAsia="仿宋_GB2312" w:cs="仿宋_GB2312"/>
          <w:color w:val="auto"/>
          <w:sz w:val="32"/>
          <w:szCs w:val="32"/>
        </w:rPr>
        <w:t>可以根据自身需求，在可追溯</w:t>
      </w:r>
      <w:r>
        <w:rPr>
          <w:rFonts w:hint="eastAsia" w:ascii="仿宋_GB2312" w:hAnsi="仿宋_GB2312" w:eastAsia="仿宋_GB2312" w:cs="仿宋_GB2312"/>
          <w:color w:val="auto"/>
          <w:sz w:val="32"/>
          <w:szCs w:val="32"/>
          <w:lang w:val="en-US" w:eastAsia="zh-CN"/>
        </w:rPr>
        <w:t>及保留自营仓库</w:t>
      </w:r>
      <w:r>
        <w:rPr>
          <w:rFonts w:hint="eastAsia" w:ascii="仿宋_GB2312" w:hAnsi="仿宋_GB2312" w:eastAsia="仿宋_GB2312" w:cs="仿宋_GB2312"/>
          <w:color w:val="auto"/>
          <w:sz w:val="32"/>
          <w:szCs w:val="32"/>
        </w:rPr>
        <w:t>的前提下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w w:val="100"/>
          <w:sz w:val="32"/>
          <w:szCs w:val="32"/>
          <w:shd w:val="clear"/>
          <w:vertAlign w:val="baseline"/>
          <w:lang w:val="en-US" w:eastAsia="zh-CN"/>
        </w:rPr>
        <w:t>将药品储存、配送业务委托给省内</w:t>
      </w:r>
      <w:r>
        <w:rPr>
          <w:rFonts w:hint="eastAsia" w:ascii="仿宋_GB2312" w:hAnsi="仿宋_GB2312" w:eastAsia="仿宋_GB2312" w:cs="仿宋_GB2312"/>
          <w:color w:val="auto"/>
          <w:sz w:val="32"/>
          <w:szCs w:val="32"/>
        </w:rPr>
        <w:t>具备现代物流条件的</w:t>
      </w:r>
      <w:r>
        <w:rPr>
          <w:rFonts w:hint="eastAsia" w:ascii="仿宋_GB2312" w:hAnsi="仿宋_GB2312" w:eastAsia="仿宋_GB2312" w:cs="仿宋_GB2312"/>
          <w:color w:val="auto"/>
          <w:sz w:val="32"/>
          <w:szCs w:val="32"/>
          <w:lang w:val="en-US" w:eastAsia="zh-CN"/>
        </w:rPr>
        <w:t>药品</w:t>
      </w:r>
      <w:r>
        <w:rPr>
          <w:rFonts w:hint="eastAsia" w:ascii="仿宋_GB2312" w:hAnsi="仿宋_GB2312" w:eastAsia="仿宋_GB2312" w:cs="仿宋_GB2312"/>
          <w:color w:val="auto"/>
          <w:sz w:val="32"/>
          <w:szCs w:val="32"/>
        </w:rPr>
        <w:t>批发企业</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按品种、配送区域进行</w:t>
      </w:r>
      <w:r>
        <w:rPr>
          <w:rFonts w:hint="eastAsia" w:ascii="仿宋_GB2312" w:hAnsi="仿宋_GB2312" w:eastAsia="仿宋_GB2312" w:cs="仿宋_GB2312"/>
          <w:color w:val="auto"/>
          <w:sz w:val="32"/>
          <w:szCs w:val="32"/>
          <w:lang w:val="en-US" w:eastAsia="zh-CN"/>
        </w:rPr>
        <w:t>部分委托。</w:t>
      </w:r>
    </w:p>
    <w:p>
      <w:pPr>
        <w:overflowPunct w:val="0"/>
        <w:snapToGrid/>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bidi="ar"/>
        </w:rPr>
        <w:t>连锁企业</w:t>
      </w:r>
      <w:r>
        <w:rPr>
          <w:rFonts w:hint="eastAsia" w:ascii="仿宋_GB2312" w:hAnsi="仿宋_GB2312" w:eastAsia="仿宋_GB2312" w:cs="仿宋_GB2312"/>
          <w:color w:val="auto"/>
          <w:kern w:val="2"/>
          <w:sz w:val="32"/>
          <w:szCs w:val="32"/>
          <w:highlight w:val="none"/>
          <w:lang w:val="en-US" w:eastAsia="zh-CN" w:bidi="ar-SA"/>
        </w:rPr>
        <w:t>可以委托同一企业集团的药品批发企业或委托一家</w:t>
      </w:r>
      <w:r>
        <w:rPr>
          <w:rFonts w:hint="eastAsia" w:ascii="仿宋_GB2312" w:hAnsi="仿宋_GB2312" w:eastAsia="仿宋_GB2312" w:cs="仿宋_GB2312"/>
          <w:i w:val="0"/>
          <w:iCs w:val="0"/>
          <w:caps w:val="0"/>
          <w:color w:val="auto"/>
          <w:spacing w:val="0"/>
          <w:sz w:val="32"/>
          <w:szCs w:val="32"/>
          <w:highlight w:val="none"/>
          <w:lang w:val="en-US" w:eastAsia="zh-CN"/>
        </w:rPr>
        <w:t>具备现代物流条件的</w:t>
      </w:r>
      <w:r>
        <w:rPr>
          <w:rFonts w:hint="eastAsia" w:ascii="仿宋_GB2312" w:hAnsi="仿宋_GB2312" w:eastAsia="仿宋_GB2312" w:cs="仿宋_GB2312"/>
          <w:color w:val="auto"/>
          <w:kern w:val="2"/>
          <w:sz w:val="32"/>
          <w:szCs w:val="32"/>
          <w:highlight w:val="none"/>
          <w:lang w:val="en-US" w:eastAsia="zh-CN" w:bidi="ar-SA"/>
        </w:rPr>
        <w:t>药品批发企业储存配送药品。</w:t>
      </w:r>
    </w:p>
    <w:p>
      <w:pPr>
        <w:keepNext w:val="0"/>
        <w:keepLines w:val="0"/>
        <w:pageBreakBefore w:val="0"/>
        <w:widowControl/>
        <w:suppressLineNumbers w:val="0"/>
        <w:pBdr>
          <w:top w:val="none" w:color="auto" w:sz="0" w:space="0"/>
          <w:left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rPr>
        <w:t>药品经营企业委托储存药品的，</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rPr>
        <w:t>应</w:t>
      </w:r>
      <w:r>
        <w:rPr>
          <w:rFonts w:hint="eastAsia" w:ascii="仿宋_GB2312" w:hAnsi="仿宋_GB2312" w:eastAsia="仿宋_GB2312" w:cs="仿宋_GB2312"/>
          <w:b w:val="0"/>
          <w:bCs w:val="0"/>
          <w:i w:val="0"/>
          <w:iCs w:val="0"/>
          <w:caps w:val="0"/>
          <w:color w:val="auto"/>
          <w:spacing w:val="0"/>
          <w:kern w:val="0"/>
          <w:sz w:val="32"/>
          <w:szCs w:val="32"/>
          <w:shd w:val="clear" w:fill="FFFFFF"/>
        </w:rPr>
        <w:t>按照变更仓库地址办理。</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十六</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【委托储运</w:t>
      </w:r>
      <w:r>
        <w:rPr>
          <w:rFonts w:hint="eastAsia" w:ascii="黑体" w:hAnsi="黑体" w:eastAsia="黑体" w:cs="黑体"/>
          <w:color w:val="auto"/>
          <w:kern w:val="0"/>
          <w:sz w:val="32"/>
          <w:szCs w:val="32"/>
          <w:shd w:val="clear" w:color="auto" w:fill="FFFFFF"/>
          <w:lang w:val="en-US" w:eastAsia="zh-CN"/>
        </w:rPr>
        <w:t>质量管理</w:t>
      </w:r>
      <w:r>
        <w:rPr>
          <w:rFonts w:hint="eastAsia" w:ascii="黑体" w:hAnsi="黑体" w:eastAsia="黑体" w:cs="黑体"/>
          <w:color w:val="auto"/>
          <w:kern w:val="0"/>
          <w:sz w:val="32"/>
          <w:szCs w:val="32"/>
          <w:shd w:val="clear" w:color="auto" w:fill="FFFFFF"/>
          <w:lang w:eastAsia="zh-CN"/>
        </w:rPr>
        <w:t>】</w:t>
      </w:r>
      <w:r>
        <w:rPr>
          <w:rFonts w:hint="eastAsia" w:ascii="仿宋_GB2312" w:hAnsi="仿宋_GB2312" w:eastAsia="仿宋_GB2312" w:cs="仿宋_GB2312"/>
          <w:color w:val="auto"/>
          <w:sz w:val="32"/>
          <w:szCs w:val="32"/>
          <w:highlight w:val="none"/>
          <w:lang w:val="en-US" w:eastAsia="zh-CN"/>
        </w:rPr>
        <w:t>委托方</w:t>
      </w:r>
      <w:r>
        <w:rPr>
          <w:rFonts w:hint="eastAsia" w:ascii="仿宋_GB2312" w:hAnsi="仿宋_GB2312" w:eastAsia="仿宋_GB2312" w:cs="仿宋_GB2312"/>
          <w:color w:val="auto"/>
          <w:sz w:val="32"/>
          <w:szCs w:val="32"/>
          <w:highlight w:val="none"/>
        </w:rPr>
        <w:t>应当对受托方质量保证能力和风险管理能力进行评估，与其签订委托协议，约定药品质量责任、操作规程等内容，委托方药品经营的计算机系统与受托方仓储物流系统应当实现必要数据对接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对受托方进行监督，并开展定期检查。</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十七</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【委托储</w:t>
      </w:r>
      <w:r>
        <w:rPr>
          <w:rFonts w:hint="eastAsia" w:ascii="黑体" w:hAnsi="黑体" w:eastAsia="黑体" w:cs="黑体"/>
          <w:color w:val="auto"/>
          <w:kern w:val="0"/>
          <w:sz w:val="32"/>
          <w:szCs w:val="32"/>
          <w:shd w:val="clear" w:color="auto" w:fill="FFFFFF"/>
          <w:lang w:val="en-US" w:eastAsia="zh-CN"/>
        </w:rPr>
        <w:t>存禁止</w:t>
      </w:r>
      <w:r>
        <w:rPr>
          <w:rFonts w:hint="eastAsia" w:ascii="黑体" w:hAnsi="黑体" w:eastAsia="黑体" w:cs="黑体"/>
          <w:color w:val="auto"/>
          <w:kern w:val="0"/>
          <w:sz w:val="32"/>
          <w:szCs w:val="32"/>
          <w:shd w:val="clear" w:color="auto" w:fill="FFFFFF"/>
          <w:lang w:eastAsia="zh-CN"/>
        </w:rPr>
        <w:t>】</w:t>
      </w:r>
      <w:r>
        <w:rPr>
          <w:rFonts w:hint="eastAsia" w:ascii="微软雅黑" w:hAnsi="微软雅黑" w:eastAsia="微软雅黑" w:cs="微软雅黑"/>
          <w:color w:val="auto"/>
          <w:kern w:val="0"/>
          <w:sz w:val="32"/>
          <w:szCs w:val="32"/>
          <w:vertAlign w:val="baseline"/>
          <w:lang w:val="en-US" w:eastAsia="zh-CN" w:bidi="ar-SA"/>
        </w:rPr>
        <w:t xml:space="preserve"> </w:t>
      </w:r>
      <w:r>
        <w:rPr>
          <w:rFonts w:hint="eastAsia" w:ascii="仿宋_GB2312" w:hAnsi="仿宋_GB2312" w:eastAsia="仿宋_GB2312" w:cs="仿宋_GB2312"/>
          <w:color w:val="auto"/>
          <w:kern w:val="0"/>
          <w:sz w:val="32"/>
          <w:szCs w:val="32"/>
          <w:vertAlign w:val="baseline"/>
          <w:lang w:val="en-US" w:eastAsia="zh-CN" w:bidi="ar-SA"/>
        </w:rPr>
        <w:t>委托储存药品不得超出受托方的经营范围。</w:t>
      </w:r>
      <w:r>
        <w:rPr>
          <w:rFonts w:hint="eastAsia" w:ascii="仿宋_GB2312" w:hAnsi="仿宋_GB2312" w:eastAsia="仿宋_GB2312" w:cs="仿宋_GB2312"/>
          <w:color w:val="auto"/>
          <w:sz w:val="32"/>
          <w:szCs w:val="32"/>
        </w:rPr>
        <w:t>特殊药品、</w:t>
      </w:r>
      <w:r>
        <w:rPr>
          <w:rFonts w:hint="eastAsia" w:ascii="仿宋_GB2312" w:hAnsi="仿宋_GB2312" w:eastAsia="仿宋_GB2312" w:cs="仿宋_GB2312"/>
          <w:color w:val="auto"/>
          <w:sz w:val="32"/>
          <w:szCs w:val="32"/>
          <w:lang w:eastAsia="zh-CN"/>
        </w:rPr>
        <w:t>药品类</w:t>
      </w:r>
      <w:r>
        <w:rPr>
          <w:rFonts w:hint="eastAsia" w:ascii="仿宋_GB2312" w:hAnsi="仿宋_GB2312" w:eastAsia="仿宋_GB2312" w:cs="仿宋_GB2312"/>
          <w:color w:val="auto"/>
          <w:sz w:val="32"/>
          <w:szCs w:val="32"/>
        </w:rPr>
        <w:t>诊断试剂专营企业委托配送按照国家有关规定执行。</w:t>
      </w:r>
    </w:p>
    <w:p>
      <w:pPr>
        <w:spacing w:line="560" w:lineRule="exact"/>
        <w:ind w:firstLine="640" w:firstLineChars="200"/>
        <w:rPr>
          <w:rFonts w:hint="default" w:ascii="黑体" w:hAnsi="黑体" w:eastAsia="黑体" w:cs="黑体"/>
          <w:color w:val="auto"/>
          <w:kern w:val="0"/>
          <w:sz w:val="32"/>
          <w:szCs w:val="32"/>
          <w:highlight w:val="yellow"/>
          <w:shd w:val="clear" w:color="auto" w:fill="FFFFFF"/>
          <w:lang w:val="en-US" w:eastAsia="zh-CN"/>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十八</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【药品零售管理】</w:t>
      </w:r>
      <w:r>
        <w:rPr>
          <w:rFonts w:ascii="黑体" w:hAnsi="黑体" w:eastAsia="黑体" w:cs="黑体"/>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lang w:val="en-US" w:eastAsia="zh-CN"/>
        </w:rPr>
        <w:t>药品零售企业应当按照</w:t>
      </w:r>
      <w:r>
        <w:rPr>
          <w:rFonts w:hint="eastAsia" w:ascii="仿宋_GB2312" w:hAnsi="仿宋_GB2312" w:eastAsia="仿宋_GB2312" w:cs="仿宋_GB2312"/>
          <w:color w:val="auto"/>
          <w:kern w:val="0"/>
          <w:sz w:val="32"/>
          <w:szCs w:val="32"/>
          <w:lang w:eastAsia="zh-CN"/>
        </w:rPr>
        <w:t>《山东省药品零售连锁企业管理办法》《</w:t>
      </w:r>
      <w:r>
        <w:rPr>
          <w:rFonts w:hint="eastAsia" w:ascii="仿宋_GB2312" w:hAnsi="仿宋_GB2312" w:eastAsia="仿宋_GB2312" w:cs="仿宋_GB2312"/>
          <w:color w:val="auto"/>
          <w:kern w:val="0"/>
          <w:sz w:val="32"/>
          <w:szCs w:val="32"/>
        </w:rPr>
        <w:t>山东省药品零售企业分级分类管理办法</w:t>
      </w:r>
      <w:r>
        <w:rPr>
          <w:rFonts w:hint="eastAsia" w:ascii="仿宋_GB2312" w:hAnsi="仿宋_GB2312" w:eastAsia="仿宋_GB2312" w:cs="仿宋_GB2312"/>
          <w:color w:val="auto"/>
          <w:kern w:val="0"/>
          <w:sz w:val="32"/>
          <w:szCs w:val="32"/>
          <w:lang w:val="en-US" w:eastAsia="zh-CN"/>
        </w:rPr>
        <w:t>》等有关规定开展经营活动。</w:t>
      </w:r>
    </w:p>
    <w:p>
      <w:pPr>
        <w:overflowPunct w:val="0"/>
        <w:snapToGrid/>
        <w:spacing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十九</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零售连锁管理一</w:t>
      </w:r>
      <w:r>
        <w:rPr>
          <w:rFonts w:hint="eastAsia" w:ascii="黑体" w:hAnsi="黑体" w:eastAsia="黑体" w:cs="黑体"/>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lang w:bidi="ar-SA"/>
        </w:rPr>
        <w:t>连锁企业总部应当</w:t>
      </w:r>
      <w:r>
        <w:rPr>
          <w:rFonts w:hint="eastAsia" w:ascii="仿宋_GB2312" w:hAnsi="仿宋_GB2312" w:eastAsia="仿宋_GB2312" w:cs="仿宋_GB2312"/>
          <w:color w:val="auto"/>
          <w:kern w:val="0"/>
          <w:sz w:val="32"/>
          <w:szCs w:val="32"/>
          <w:lang w:val="en-US" w:eastAsia="zh-CN" w:bidi="ar-SA"/>
        </w:rPr>
        <w:t>建立健全质量管理体系，</w:t>
      </w:r>
      <w:r>
        <w:rPr>
          <w:rFonts w:hint="eastAsia" w:ascii="仿宋_GB2312" w:hAnsi="仿宋_GB2312" w:eastAsia="仿宋_GB2312" w:cs="仿宋_GB2312"/>
          <w:color w:val="auto"/>
          <w:kern w:val="0"/>
          <w:sz w:val="32"/>
          <w:szCs w:val="32"/>
          <w:lang w:bidi="ar-SA"/>
        </w:rPr>
        <w:t>实行统一企业标识</w:t>
      </w:r>
      <w:r>
        <w:rPr>
          <w:rFonts w:hint="eastAsia" w:ascii="仿宋_GB2312" w:hAnsi="仿宋_GB2312" w:eastAsia="仿宋_GB2312" w:cs="仿宋_GB2312"/>
          <w:color w:val="auto"/>
          <w:kern w:val="0"/>
          <w:sz w:val="32"/>
          <w:szCs w:val="32"/>
          <w:lang w:eastAsia="zh-CN" w:bidi="ar-SA"/>
        </w:rPr>
        <w:t>、</w:t>
      </w:r>
      <w:r>
        <w:rPr>
          <w:rFonts w:hint="eastAsia" w:ascii="仿宋_GB2312" w:hAnsi="仿宋_GB2312" w:eastAsia="仿宋_GB2312" w:cs="仿宋_GB2312"/>
          <w:color w:val="auto"/>
          <w:kern w:val="0"/>
          <w:sz w:val="32"/>
          <w:szCs w:val="32"/>
          <w:lang w:val="en-US" w:eastAsia="zh-CN" w:bidi="ar-SA"/>
        </w:rPr>
        <w:t>规章制度</w:t>
      </w:r>
      <w:r>
        <w:rPr>
          <w:rFonts w:hint="eastAsia" w:ascii="仿宋_GB2312" w:hAnsi="仿宋_GB2312" w:eastAsia="仿宋_GB2312" w:cs="仿宋_GB2312"/>
          <w:color w:val="auto"/>
          <w:kern w:val="0"/>
          <w:sz w:val="32"/>
          <w:szCs w:val="32"/>
          <w:lang w:bidi="ar-SA"/>
        </w:rPr>
        <w:t>、计算机管理系统、人员培训、采购配送</w:t>
      </w:r>
      <w:r>
        <w:rPr>
          <w:rFonts w:hint="eastAsia" w:ascii="仿宋_GB2312" w:hAnsi="仿宋_GB2312" w:eastAsia="仿宋_GB2312" w:cs="仿宋_GB2312"/>
          <w:color w:val="auto"/>
          <w:kern w:val="0"/>
          <w:sz w:val="32"/>
          <w:szCs w:val="32"/>
          <w:lang w:eastAsia="zh-CN" w:bidi="ar-SA"/>
        </w:rPr>
        <w:t>、</w:t>
      </w:r>
      <w:r>
        <w:rPr>
          <w:rFonts w:hint="eastAsia" w:ascii="仿宋_GB2312" w:hAnsi="仿宋_GB2312" w:eastAsia="仿宋_GB2312" w:cs="仿宋_GB2312"/>
          <w:color w:val="auto"/>
          <w:kern w:val="0"/>
          <w:sz w:val="32"/>
          <w:szCs w:val="32"/>
          <w:lang w:bidi="ar-SA"/>
        </w:rPr>
        <w:t>票据管理、药学服务标准</w:t>
      </w:r>
      <w:r>
        <w:rPr>
          <w:rFonts w:hint="eastAsia" w:ascii="仿宋_GB2312" w:hAnsi="仿宋_GB2312" w:eastAsia="仿宋_GB2312" w:cs="仿宋_GB2312"/>
          <w:color w:val="auto"/>
          <w:kern w:val="0"/>
          <w:sz w:val="32"/>
          <w:szCs w:val="32"/>
          <w:lang w:val="en-US" w:eastAsia="zh-CN" w:bidi="ar-SA"/>
        </w:rPr>
        <w:t>规范等，</w:t>
      </w:r>
      <w:r>
        <w:rPr>
          <w:rFonts w:hint="eastAsia" w:ascii="仿宋_GB2312" w:hAnsi="仿宋_GB2312" w:eastAsia="仿宋_GB2312" w:cs="仿宋_GB2312"/>
          <w:color w:val="auto"/>
          <w:kern w:val="0"/>
          <w:sz w:val="32"/>
          <w:szCs w:val="32"/>
          <w:lang w:bidi="ar-SA"/>
        </w:rPr>
        <w:t>对所属连锁门店</w:t>
      </w:r>
      <w:r>
        <w:rPr>
          <w:rFonts w:hint="eastAsia" w:ascii="仿宋_GB2312" w:hAnsi="仿宋_GB2312" w:eastAsia="仿宋_GB2312" w:cs="仿宋_GB2312"/>
          <w:color w:val="auto"/>
          <w:kern w:val="0"/>
          <w:sz w:val="32"/>
          <w:szCs w:val="32"/>
          <w:lang w:val="en-US" w:eastAsia="zh-CN" w:bidi="ar-SA"/>
        </w:rPr>
        <w:t>的经营活动履行管理责任。</w:t>
      </w:r>
    </w:p>
    <w:p>
      <w:pPr>
        <w:overflowPunct w:val="0"/>
        <w:snapToGrid/>
        <w:spacing w:line="56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bidi="ar-SA"/>
        </w:rPr>
        <w:t>连锁企业总部所属连锁门店</w:t>
      </w:r>
      <w:r>
        <w:rPr>
          <w:rFonts w:hint="eastAsia" w:ascii="仿宋_GB2312" w:hAnsi="仿宋_GB2312" w:eastAsia="仿宋_GB2312" w:cs="仿宋_GB2312"/>
          <w:color w:val="auto"/>
          <w:kern w:val="0"/>
          <w:sz w:val="32"/>
          <w:szCs w:val="32"/>
          <w:lang w:val="en-US" w:eastAsia="zh-CN" w:bidi="ar-SA"/>
        </w:rPr>
        <w:t>应当按照总部统一质量管理体系要求开展药品零售活动。</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零售</w:t>
      </w:r>
      <w:r>
        <w:rPr>
          <w:rFonts w:hint="eastAsia" w:ascii="黑体" w:hAnsi="黑体" w:eastAsia="黑体" w:cs="黑体"/>
          <w:color w:val="auto"/>
          <w:kern w:val="0"/>
          <w:sz w:val="32"/>
          <w:szCs w:val="32"/>
          <w:shd w:val="clear" w:color="auto" w:fill="FFFFFF"/>
          <w:lang w:eastAsia="zh-CN"/>
        </w:rPr>
        <w:t>连锁</w:t>
      </w:r>
      <w:r>
        <w:rPr>
          <w:rFonts w:hint="eastAsia" w:ascii="黑体" w:hAnsi="黑体" w:eastAsia="黑体" w:cs="黑体"/>
          <w:color w:val="auto"/>
          <w:kern w:val="0"/>
          <w:sz w:val="32"/>
          <w:szCs w:val="32"/>
          <w:shd w:val="clear" w:color="auto" w:fill="FFFFFF"/>
          <w:lang w:val="en-US" w:eastAsia="zh-CN"/>
        </w:rPr>
        <w:t>管理二</w:t>
      </w:r>
      <w:r>
        <w:rPr>
          <w:rFonts w:hint="eastAsia" w:ascii="黑体" w:hAnsi="黑体" w:eastAsia="黑体" w:cs="黑体"/>
          <w:color w:val="auto"/>
          <w:kern w:val="0"/>
          <w:sz w:val="32"/>
          <w:szCs w:val="32"/>
          <w:shd w:val="clear" w:color="auto" w:fill="FFFFFF"/>
          <w:lang w:eastAsia="zh-CN"/>
        </w:rPr>
        <w:t>】</w:t>
      </w:r>
      <w:r>
        <w:rPr>
          <w:rFonts w:hint="eastAsia" w:ascii="仿宋" w:hAnsi="仿宋" w:eastAsia="仿宋" w:cs="仿宋"/>
          <w:color w:val="auto"/>
          <w:sz w:val="32"/>
          <w:szCs w:val="32"/>
        </w:rPr>
        <w:t>药品零售连锁总部应当加强对所属零售门店的管理，保证其持续符合药品经营质量管理规范和统一的质量管理体系要求。发现所属零售门店经营的药品存在质量问题或者其他安全隐患的，应当及时采取风险控制措施。</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二十一</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零售</w:t>
      </w:r>
      <w:r>
        <w:rPr>
          <w:rFonts w:hint="eastAsia" w:ascii="黑体" w:hAnsi="黑体" w:eastAsia="黑体" w:cs="黑体"/>
          <w:color w:val="auto"/>
          <w:kern w:val="0"/>
          <w:sz w:val="32"/>
          <w:szCs w:val="32"/>
          <w:shd w:val="clear" w:color="auto" w:fill="FFFFFF"/>
          <w:lang w:eastAsia="zh-CN"/>
        </w:rPr>
        <w:t>连锁</w:t>
      </w:r>
      <w:r>
        <w:rPr>
          <w:rFonts w:hint="eastAsia" w:ascii="黑体" w:hAnsi="黑体" w:eastAsia="黑体" w:cs="黑体"/>
          <w:color w:val="auto"/>
          <w:kern w:val="0"/>
          <w:sz w:val="32"/>
          <w:szCs w:val="32"/>
          <w:shd w:val="clear" w:color="auto" w:fill="FFFFFF"/>
          <w:lang w:val="en-US" w:eastAsia="zh-CN"/>
        </w:rPr>
        <w:t>企业</w:t>
      </w:r>
      <w:r>
        <w:rPr>
          <w:rFonts w:hint="eastAsia" w:ascii="黑体" w:hAnsi="黑体" w:eastAsia="黑体" w:cs="黑体"/>
          <w:color w:val="auto"/>
          <w:kern w:val="0"/>
          <w:sz w:val="32"/>
          <w:szCs w:val="32"/>
          <w:shd w:val="clear" w:color="auto" w:fill="FFFFFF"/>
          <w:lang w:eastAsia="zh-CN"/>
        </w:rPr>
        <w:t>药品采购】</w:t>
      </w:r>
      <w:r>
        <w:rPr>
          <w:rFonts w:hint="eastAsia" w:ascii="黑体" w:hAnsi="黑体" w:eastAsia="黑体" w:cs="黑体"/>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vertAlign w:val="baseline"/>
          <w:lang w:val="en-US" w:eastAsia="zh-CN" w:bidi="ar-SA"/>
        </w:rPr>
        <w:t>药品零售连锁企业总部不得向本连锁企业以外药品零售企业、医疗机构销售药品，</w:t>
      </w:r>
      <w:r>
        <w:rPr>
          <w:rFonts w:hint="eastAsia" w:ascii="仿宋_GB2312" w:hAnsi="仿宋_GB2312" w:eastAsia="仿宋_GB2312" w:cs="仿宋_GB2312"/>
          <w:color w:val="auto"/>
          <w:kern w:val="0"/>
          <w:sz w:val="32"/>
          <w:szCs w:val="32"/>
          <w:highlight w:val="none"/>
          <w:vertAlign w:val="baseline"/>
          <w:lang w:val="en-US" w:eastAsia="zh-CN" w:bidi="ar-SA"/>
        </w:rPr>
        <w:t>零售连锁门店不得从总部以外的药品生产、批发企业购进药品。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二十二</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【批零一体化】</w:t>
      </w:r>
      <w:r>
        <w:rPr>
          <w:rFonts w:ascii="黑体" w:hAnsi="黑体" w:eastAsia="黑体" w:cs="黑体"/>
          <w:color w:val="auto"/>
          <w:kern w:val="0"/>
          <w:sz w:val="32"/>
          <w:szCs w:val="32"/>
          <w:shd w:val="clear" w:color="auto" w:fill="FFFFFF"/>
        </w:rPr>
        <w:t xml:space="preserve"> </w:t>
      </w:r>
      <w:r>
        <w:rPr>
          <w:rFonts w:ascii="Times New Roman" w:hAnsi="Times New Roman" w:eastAsia="仿宋_GB2312"/>
          <w:color w:val="auto"/>
          <w:sz w:val="32"/>
          <w:szCs w:val="32"/>
        </w:rPr>
        <w:t>同一法人主体的药品批发企业和药品零售连锁企业应当依据药品经营质量管理规范，分别建立药品批发和零售质量管理体系，配备符合药品经营全过程管理和质量控制要求的计算机系统，设置可满足批发和零售连锁经营实际需求的仓库</w:t>
      </w:r>
      <w:r>
        <w:rPr>
          <w:rFonts w:hint="eastAsia" w:ascii="Times New Roman" w:hAnsi="Times New Roman" w:eastAsia="仿宋_GB2312"/>
          <w:color w:val="auto"/>
          <w:sz w:val="32"/>
          <w:szCs w:val="32"/>
        </w:rPr>
        <w:t>，并采取有效措施防止药品混淆与差错</w:t>
      </w:r>
      <w:r>
        <w:rPr>
          <w:rFonts w:ascii="Times New Roman" w:hAnsi="Times New Roman" w:eastAsia="仿宋_GB2312"/>
          <w:color w:val="auto"/>
          <w:sz w:val="32"/>
          <w:szCs w:val="32"/>
        </w:rPr>
        <w:t>。</w:t>
      </w:r>
      <w:r>
        <w:rPr>
          <w:rFonts w:hint="eastAsia" w:ascii="仿宋_GB2312" w:hAnsi="仿宋_GB2312" w:eastAsia="仿宋_GB2312" w:cs="仿宋_GB2312"/>
          <w:color w:val="auto"/>
          <w:sz w:val="32"/>
          <w:szCs w:val="32"/>
        </w:rPr>
        <w:t>质量管理部门要</w:t>
      </w:r>
      <w:r>
        <w:rPr>
          <w:rFonts w:hint="eastAsia" w:ascii="仿宋_GB2312" w:hAnsi="仿宋_GB2312" w:eastAsia="仿宋_GB2312" w:cs="仿宋_GB2312"/>
          <w:color w:val="auto"/>
          <w:sz w:val="32"/>
          <w:szCs w:val="32"/>
          <w:lang w:eastAsia="zh-CN"/>
        </w:rPr>
        <w:t>明确</w:t>
      </w:r>
      <w:r>
        <w:rPr>
          <w:rFonts w:hint="eastAsia" w:ascii="仿宋_GB2312" w:hAnsi="仿宋_GB2312" w:eastAsia="仿宋_GB2312" w:cs="仿宋_GB2312"/>
          <w:color w:val="auto"/>
          <w:sz w:val="32"/>
          <w:szCs w:val="32"/>
        </w:rPr>
        <w:t>专人负责</w:t>
      </w:r>
      <w:r>
        <w:rPr>
          <w:rFonts w:hint="eastAsia" w:ascii="仿宋_GB2312" w:hAnsi="仿宋_GB2312" w:eastAsia="仿宋_GB2312" w:cs="仿宋_GB2312"/>
          <w:color w:val="auto"/>
          <w:sz w:val="32"/>
          <w:szCs w:val="32"/>
          <w:lang w:eastAsia="zh-CN"/>
        </w:rPr>
        <w:t>药品批发或</w:t>
      </w:r>
      <w:r>
        <w:rPr>
          <w:rFonts w:hint="eastAsia" w:ascii="仿宋_GB2312" w:hAnsi="仿宋_GB2312" w:eastAsia="仿宋_GB2312" w:cs="仿宋_GB2312"/>
          <w:color w:val="auto"/>
          <w:sz w:val="32"/>
          <w:szCs w:val="32"/>
        </w:rPr>
        <w:t>零售连锁的质量管理工作。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零售管理</w:t>
      </w:r>
      <w:r>
        <w:rPr>
          <w:rFonts w:hint="eastAsia" w:ascii="黑体" w:hAnsi="黑体" w:eastAsia="黑体" w:cs="黑体"/>
          <w:color w:val="auto"/>
          <w:kern w:val="0"/>
          <w:sz w:val="32"/>
          <w:szCs w:val="32"/>
          <w:shd w:val="clear" w:color="auto" w:fill="FFFFFF"/>
          <w:lang w:eastAsia="zh-CN"/>
        </w:rPr>
        <w:t>】</w:t>
      </w:r>
      <w:r>
        <w:rPr>
          <w:rFonts w:hint="eastAsia" w:ascii="仿宋" w:hAnsi="仿宋" w:eastAsia="仿宋" w:cs="仿宋"/>
          <w:color w:val="auto"/>
          <w:sz w:val="32"/>
          <w:szCs w:val="32"/>
          <w:lang w:eastAsia="zh-CN"/>
        </w:rPr>
        <w:t>　</w:t>
      </w:r>
      <w:r>
        <w:rPr>
          <w:rFonts w:hint="eastAsia" w:ascii="仿宋_GB2312" w:hAnsi="仿宋_GB2312" w:eastAsia="仿宋_GB2312" w:cs="仿宋_GB2312"/>
          <w:color w:val="auto"/>
          <w:sz w:val="32"/>
          <w:szCs w:val="32"/>
        </w:rPr>
        <w:t>药品零售企业应当遵守国家处方药与非处方药分类管理制度，按规定凭处方销售处方药，处方保留不少于五年。</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药品零售企业不得以买药品赠药品或者买商品赠药品等方式向公众赠送处方药、甲类非处方药。处方药不得开架销售。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药品零售企业销售药品时，应当开具标明药品通用名称、药品上市许可持有人（中药饮片标明生产企业、产地）、产品批号、剂型、规格、销售数量、销售价格、销售日期、销售企业名称等内容的凭证。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药品零售企业</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配备依法经过资格认定的药师或者其他药学技术人员，负责药品质量管理、处方审核和调配、合理用药指导以及不良反应信息收集与报告等工作。</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color w:val="auto"/>
          <w:kern w:val="0"/>
          <w:sz w:val="32"/>
          <w:szCs w:val="32"/>
          <w:shd w:val="clear" w:color="auto" w:fill="FFFFFF"/>
        </w:rPr>
      </w:pPr>
      <w:r>
        <w:rPr>
          <w:rFonts w:hint="eastAsia" w:ascii="仿宋_GB2312" w:hAnsi="仿宋_GB2312" w:eastAsia="仿宋_GB2312" w:cs="仿宋_GB2312"/>
          <w:color w:val="auto"/>
          <w:sz w:val="32"/>
          <w:szCs w:val="32"/>
        </w:rPr>
        <w:t>药品零售企业营业时间内，依法经过资格认定的药师或者其他药学技术人员不在岗时，应当挂牌告知。未经依法经过资格认定的药师或者其他药学技术人员审核，不得销售处方药。</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二十四</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【远程审方】</w:t>
      </w:r>
      <w:r>
        <w:rPr>
          <w:rFonts w:ascii="黑体" w:hAnsi="黑体" w:eastAsia="黑体" w:cs="黑体"/>
          <w:color w:val="auto"/>
          <w:kern w:val="0"/>
          <w:sz w:val="32"/>
          <w:szCs w:val="32"/>
          <w:shd w:val="clear" w:color="auto" w:fill="FFFFFF"/>
        </w:rPr>
        <w:t xml:space="preserve"> </w:t>
      </w:r>
      <w:r>
        <w:rPr>
          <w:rFonts w:hint="eastAsia" w:ascii="仿宋_GB2312" w:hAnsi="仿宋_GB2312" w:eastAsia="仿宋_GB2312" w:cs="仿宋_GB2312"/>
          <w:color w:val="auto"/>
          <w:kern w:val="0"/>
          <w:sz w:val="32"/>
          <w:szCs w:val="32"/>
          <w:vertAlign w:val="baseline"/>
          <w:lang w:val="en-US" w:eastAsia="zh-CN" w:bidi="ar-SA"/>
        </w:rPr>
        <w:t>药品零售企业可使用符合《山东省药品零售企业远程审核处方服务平台指导原则》要求的第三方平台审核处方，作为执业药师临时不在岗时处方审核的补充。</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kern w:val="0"/>
          <w:sz w:val="32"/>
          <w:szCs w:val="32"/>
          <w:shd w:val="clear" w:color="auto" w:fill="FFFFFF"/>
          <w:lang w:eastAsia="zh-CN"/>
        </w:rPr>
        <w:t>第二十</w:t>
      </w:r>
      <w:r>
        <w:rPr>
          <w:rFonts w:hint="eastAsia" w:ascii="黑体" w:hAnsi="黑体" w:eastAsia="黑体" w:cs="黑体"/>
          <w:color w:val="auto"/>
          <w:kern w:val="0"/>
          <w:sz w:val="32"/>
          <w:szCs w:val="32"/>
          <w:shd w:val="clear" w:color="auto" w:fill="FFFFFF"/>
          <w:lang w:val="en-US" w:eastAsia="zh-CN"/>
        </w:rPr>
        <w:t>五</w:t>
      </w:r>
      <w:r>
        <w:rPr>
          <w:rFonts w:hint="eastAsia" w:ascii="黑体" w:hAnsi="黑体" w:eastAsia="黑体" w:cs="黑体"/>
          <w:color w:val="auto"/>
          <w:kern w:val="0"/>
          <w:sz w:val="32"/>
          <w:szCs w:val="32"/>
          <w:shd w:val="clear" w:color="auto" w:fill="FFFFFF"/>
          <w:lang w:eastAsia="zh-CN"/>
        </w:rPr>
        <w:t>条【特殊药品</w:t>
      </w:r>
      <w:r>
        <w:rPr>
          <w:rFonts w:hint="eastAsia" w:ascii="黑体" w:hAnsi="黑体" w:eastAsia="黑体" w:cs="黑体"/>
          <w:color w:val="auto"/>
          <w:kern w:val="0"/>
          <w:sz w:val="32"/>
          <w:szCs w:val="32"/>
          <w:shd w:val="clear" w:color="auto" w:fill="FFFFFF"/>
          <w:lang w:val="en-US" w:eastAsia="zh-CN"/>
        </w:rPr>
        <w:t>及</w:t>
      </w:r>
      <w:r>
        <w:rPr>
          <w:rFonts w:hint="eastAsia" w:ascii="黑体" w:hAnsi="黑体" w:eastAsia="黑体" w:cs="黑体"/>
          <w:color w:val="auto"/>
          <w:kern w:val="0"/>
          <w:sz w:val="32"/>
          <w:szCs w:val="32"/>
          <w:shd w:val="clear" w:color="auto" w:fill="FFFFFF"/>
          <w:lang w:eastAsia="zh-CN"/>
        </w:rPr>
        <w:t>复方制剂管理】</w:t>
      </w:r>
      <w:r>
        <w:rPr>
          <w:rFonts w:hint="eastAsia" w:ascii="仿宋_GB2312" w:hAnsi="仿宋_GB2312" w:eastAsia="仿宋_GB2312" w:cs="仿宋_GB2312"/>
          <w:color w:val="auto"/>
          <w:kern w:val="0"/>
          <w:sz w:val="32"/>
          <w:szCs w:val="32"/>
          <w:vertAlign w:val="baseline"/>
          <w:lang w:val="en-US" w:eastAsia="zh-CN" w:bidi="ar-SA"/>
        </w:rPr>
        <w:t>药品经营企业应当严格按照法律、法规、规章等规定经营麻醉药品、精神药品、医疗用毒性药品、药品类易制毒化学品以及含麻醉药品、精神药品复方制剂。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auto"/>
          <w:spacing w:val="0"/>
          <w:kern w:val="2"/>
          <w:sz w:val="32"/>
          <w:szCs w:val="32"/>
          <w:lang w:val="en-US" w:eastAsia="zh-CN" w:bidi="ar"/>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二十六</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网络</w:t>
      </w:r>
      <w:r>
        <w:rPr>
          <w:rFonts w:hint="eastAsia" w:ascii="黑体" w:hAnsi="黑体" w:eastAsia="黑体" w:cs="黑体"/>
          <w:color w:val="auto"/>
          <w:kern w:val="0"/>
          <w:sz w:val="32"/>
          <w:szCs w:val="32"/>
          <w:shd w:val="clear" w:color="auto" w:fill="FFFFFF"/>
          <w:lang w:eastAsia="zh-CN"/>
        </w:rPr>
        <w:t>销售管理】</w:t>
      </w:r>
      <w:r>
        <w:rPr>
          <w:rFonts w:ascii="黑体" w:hAnsi="黑体" w:eastAsia="黑体" w:cs="黑体"/>
          <w:color w:val="auto"/>
          <w:kern w:val="0"/>
          <w:sz w:val="32"/>
          <w:szCs w:val="32"/>
          <w:shd w:val="clear" w:color="auto" w:fill="FFFFFF"/>
        </w:rPr>
        <w:t xml:space="preserve"> </w:t>
      </w:r>
      <w:r>
        <w:rPr>
          <w:rFonts w:hint="eastAsia" w:ascii="Times New Roman" w:hAnsi="Times New Roman" w:eastAsia="仿宋_GB2312" w:cs="Times New Roman"/>
          <w:color w:val="auto"/>
          <w:spacing w:val="0"/>
          <w:kern w:val="2"/>
          <w:sz w:val="32"/>
          <w:szCs w:val="32"/>
          <w:lang w:val="en-US" w:eastAsia="zh-CN" w:bidi="ar"/>
        </w:rPr>
        <w:t>网络销售药品应当遵守国家及山东省药品网络销售监督管理有关规定。</w:t>
      </w:r>
    </w:p>
    <w:p>
      <w:pPr>
        <w:keepNext w:val="0"/>
        <w:keepLines w:val="0"/>
        <w:pageBreakBefore w:val="0"/>
        <w:widowControl w:val="0"/>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二十七</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药品</w:t>
      </w:r>
      <w:r>
        <w:rPr>
          <w:rFonts w:hint="eastAsia" w:ascii="黑体" w:hAnsi="黑体" w:eastAsia="黑体" w:cs="黑体"/>
          <w:color w:val="auto"/>
          <w:kern w:val="0"/>
          <w:sz w:val="32"/>
          <w:szCs w:val="32"/>
          <w:shd w:val="clear" w:color="auto" w:fill="FFFFFF"/>
          <w:lang w:eastAsia="zh-CN"/>
        </w:rPr>
        <w:t>信息</w:t>
      </w:r>
      <w:r>
        <w:rPr>
          <w:rFonts w:hint="eastAsia" w:ascii="黑体" w:hAnsi="黑体" w:eastAsia="黑体" w:cs="黑体"/>
          <w:color w:val="auto"/>
          <w:kern w:val="0"/>
          <w:sz w:val="32"/>
          <w:szCs w:val="32"/>
          <w:shd w:val="clear" w:color="auto" w:fill="FFFFFF"/>
          <w:lang w:val="en-US" w:eastAsia="zh-CN"/>
        </w:rPr>
        <w:t>化</w:t>
      </w:r>
      <w:r>
        <w:rPr>
          <w:rFonts w:hint="eastAsia" w:ascii="黑体" w:hAnsi="黑体" w:eastAsia="黑体" w:cs="黑体"/>
          <w:color w:val="auto"/>
          <w:kern w:val="0"/>
          <w:sz w:val="32"/>
          <w:szCs w:val="32"/>
          <w:shd w:val="clear" w:color="auto" w:fill="FFFFFF"/>
          <w:lang w:eastAsia="zh-CN"/>
        </w:rPr>
        <w:t>追溯】</w:t>
      </w:r>
      <w:r>
        <w:rPr>
          <w:rFonts w:ascii="黑体" w:hAnsi="黑体" w:eastAsia="黑体" w:cs="黑体"/>
          <w:color w:val="auto"/>
          <w:kern w:val="0"/>
          <w:sz w:val="32"/>
          <w:szCs w:val="32"/>
          <w:shd w:val="clear" w:color="auto" w:fill="FFFFFF"/>
        </w:rPr>
        <w:t xml:space="preserve"> </w:t>
      </w:r>
      <w:r>
        <w:rPr>
          <w:rFonts w:hint="eastAsia" w:ascii="仿宋_GB2312" w:hAnsi="仿宋_GB2312" w:eastAsia="仿宋_GB2312" w:cs="仿宋_GB2312"/>
          <w:b w:val="0"/>
          <w:bCs w:val="0"/>
          <w:i w:val="0"/>
          <w:iCs w:val="0"/>
          <w:caps w:val="0"/>
          <w:color w:val="auto"/>
          <w:spacing w:val="0"/>
          <w:kern w:val="0"/>
          <w:sz w:val="32"/>
          <w:szCs w:val="32"/>
          <w:shd w:val="clear"/>
        </w:rPr>
        <w:t>药品经营企业应当遵守国家药品监督管理局制定的统一药品追溯标准和规范，建立并实施药品追溯制度，按照规定</w:t>
      </w:r>
      <w:r>
        <w:rPr>
          <w:rFonts w:hint="eastAsia" w:ascii="仿宋_GB2312" w:hAnsi="仿宋_GB2312" w:eastAsia="仿宋_GB2312" w:cs="仿宋_GB2312"/>
          <w:color w:val="auto"/>
          <w:spacing w:val="0"/>
          <w:kern w:val="0"/>
          <w:sz w:val="32"/>
          <w:szCs w:val="32"/>
          <w:lang w:val="en-US" w:eastAsia="zh-CN" w:bidi="ar"/>
        </w:rPr>
        <w:t>开展追溯数据校验和采集，按规定提供药品追溯信息，保证药品可追溯。</w:t>
      </w:r>
    </w:p>
    <w:p>
      <w:pPr>
        <w:pStyle w:val="5"/>
        <w:keepNext w:val="0"/>
        <w:keepLines w:val="0"/>
        <w:pageBreakBefore w:val="0"/>
        <w:kinsoku/>
        <w:wordWrap/>
        <w:topLinePunct w:val="0"/>
        <w:autoSpaceDE/>
        <w:autoSpaceDN/>
        <w:bidi w:val="0"/>
        <w:spacing w:line="560" w:lineRule="exact"/>
        <w:ind w:firstLine="640"/>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二十八</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val="en-US" w:eastAsia="zh-CN" w:bidi="ar-SA"/>
        </w:rPr>
        <w:t>【禁止行为】</w:t>
      </w:r>
      <w:r>
        <w:rPr>
          <w:rFonts w:hint="eastAsia" w:ascii="仿宋_GB2312" w:hAnsi="仿宋_GB2312" w:eastAsia="仿宋_GB2312" w:cs="仿宋_GB2312"/>
          <w:color w:val="auto"/>
          <w:kern w:val="0"/>
          <w:sz w:val="32"/>
          <w:szCs w:val="32"/>
          <w:vertAlign w:val="baseline"/>
          <w:lang w:val="en-US" w:eastAsia="zh-CN" w:bidi="ar-SA"/>
        </w:rPr>
        <w:t>药品经营企业不得有以下行为：</w:t>
      </w:r>
    </w:p>
    <w:p>
      <w:pPr>
        <w:pStyle w:val="5"/>
        <w:keepNext w:val="0"/>
        <w:keepLines w:val="0"/>
        <w:pageBreakBefore w:val="0"/>
        <w:numPr>
          <w:ilvl w:val="0"/>
          <w:numId w:val="0"/>
        </w:numPr>
        <w:kinsoku/>
        <w:wordWrap/>
        <w:topLinePunct w:val="0"/>
        <w:autoSpaceDE/>
        <w:autoSpaceDN/>
        <w:bidi w:val="0"/>
        <w:spacing w:line="560" w:lineRule="exact"/>
        <w:ind w:left="0" w:firstLine="640"/>
        <w:rPr>
          <w:rFonts w:hint="eastAsia" w:ascii="仿宋_GB2312" w:hAnsi="仿宋_GB2312" w:eastAsia="仿宋_GB2312" w:cs="仿宋_GB2312"/>
          <w:color w:val="auto"/>
          <w:kern w:val="0"/>
          <w:sz w:val="32"/>
          <w:szCs w:val="32"/>
          <w:vertAlign w:val="baseline"/>
          <w:lang w:val="en-US" w:eastAsia="zh-CN" w:bidi="ar-SA"/>
        </w:rPr>
      </w:pPr>
      <w:r>
        <w:rPr>
          <w:rFonts w:hint="eastAsia" w:hAnsi="仿宋_GB2312" w:cs="仿宋_GB2312"/>
          <w:color w:val="auto"/>
          <w:kern w:val="0"/>
          <w:sz w:val="32"/>
          <w:szCs w:val="32"/>
          <w:vertAlign w:val="baseline"/>
          <w:lang w:val="en-US" w:eastAsia="zh-CN" w:bidi="ar-SA"/>
        </w:rPr>
        <w:t>（一）</w:t>
      </w:r>
      <w:r>
        <w:rPr>
          <w:rFonts w:hint="eastAsia" w:ascii="仿宋_GB2312" w:hAnsi="仿宋_GB2312" w:eastAsia="仿宋_GB2312" w:cs="仿宋_GB2312"/>
          <w:color w:val="auto"/>
          <w:kern w:val="0"/>
          <w:sz w:val="32"/>
          <w:szCs w:val="32"/>
          <w:vertAlign w:val="baseline"/>
          <w:lang w:val="en-US" w:eastAsia="zh-CN" w:bidi="ar-SA"/>
        </w:rPr>
        <w:t>为他人违法经营药品提供场所、资质证明文件、票据等条件；</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hAnsi="仿宋_GB2312" w:cs="仿宋_GB2312"/>
          <w:color w:val="auto"/>
          <w:kern w:val="0"/>
          <w:sz w:val="32"/>
          <w:szCs w:val="32"/>
          <w:vertAlign w:val="baseline"/>
          <w:lang w:val="en-US" w:eastAsia="zh-CN" w:bidi="ar-SA"/>
        </w:rPr>
        <w:t>（二）</w:t>
      </w:r>
      <w:r>
        <w:rPr>
          <w:rFonts w:hint="eastAsia" w:ascii="仿宋_GB2312" w:hAnsi="仿宋_GB2312" w:eastAsia="仿宋_GB2312" w:cs="仿宋_GB2312"/>
          <w:color w:val="auto"/>
          <w:kern w:val="0"/>
          <w:sz w:val="32"/>
          <w:szCs w:val="32"/>
          <w:vertAlign w:val="baseline"/>
          <w:lang w:val="en-US" w:eastAsia="zh-CN" w:bidi="ar-SA"/>
        </w:rPr>
        <w:t>批发企业向无合法资质的单位或者个人销售药品；</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三</w:t>
      </w:r>
      <w:r>
        <w:rPr>
          <w:rFonts w:hint="eastAsia" w:ascii="仿宋_GB2312" w:hAnsi="仿宋_GB2312" w:eastAsia="仿宋_GB2312" w:cs="仿宋_GB2312"/>
          <w:color w:val="auto"/>
          <w:kern w:val="0"/>
          <w:sz w:val="32"/>
          <w:szCs w:val="32"/>
          <w:vertAlign w:val="baseline"/>
          <w:lang w:val="en-US" w:eastAsia="zh-CN" w:bidi="ar-SA"/>
        </w:rPr>
        <w:t>）</w:t>
      </w:r>
      <w:r>
        <w:rPr>
          <w:rFonts w:hint="eastAsia" w:ascii="仿宋_GB2312" w:hAnsi="仿宋_GB2312" w:eastAsia="仿宋_GB2312" w:cs="仿宋_GB2312"/>
          <w:b w:val="0"/>
          <w:bCs w:val="0"/>
          <w:i w:val="0"/>
          <w:caps w:val="0"/>
          <w:color w:val="auto"/>
          <w:spacing w:val="0"/>
          <w:kern w:val="0"/>
          <w:sz w:val="32"/>
          <w:szCs w:val="32"/>
          <w:lang w:val="en-US" w:eastAsia="zh-CN" w:bidi="ar-SA"/>
        </w:rPr>
        <w:t>未从药品上市许可持有人或者具有药品生产、经营资格的企业购进药品；</w:t>
      </w:r>
    </w:p>
    <w:p>
      <w:pPr>
        <w:pStyle w:val="5"/>
        <w:keepNext w:val="0"/>
        <w:keepLines w:val="0"/>
        <w:pageBreakBefore w:val="0"/>
        <w:numPr>
          <w:ilvl w:val="-1"/>
          <w:numId w:val="0"/>
        </w:numPr>
        <w:kinsoku/>
        <w:wordWrap/>
        <w:topLinePunct w:val="0"/>
        <w:autoSpaceDE/>
        <w:autoSpaceDN/>
        <w:bidi w:val="0"/>
        <w:spacing w:line="560" w:lineRule="exact"/>
        <w:ind w:firstLine="64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四</w:t>
      </w:r>
      <w:r>
        <w:rPr>
          <w:rFonts w:hint="eastAsia" w:ascii="仿宋_GB2312" w:hAnsi="仿宋_GB2312" w:eastAsia="仿宋_GB2312" w:cs="仿宋_GB2312"/>
          <w:color w:val="auto"/>
          <w:kern w:val="0"/>
          <w:sz w:val="32"/>
          <w:szCs w:val="32"/>
          <w:vertAlign w:val="baseline"/>
          <w:lang w:val="en-US" w:eastAsia="zh-CN" w:bidi="ar-SA"/>
        </w:rPr>
        <w:t>）零售企业出租出借柜台给他人从事药品销售活动；</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五</w:t>
      </w:r>
      <w:r>
        <w:rPr>
          <w:rFonts w:hint="eastAsia" w:ascii="仿宋_GB2312" w:hAnsi="仿宋_GB2312" w:eastAsia="仿宋_GB2312" w:cs="仿宋_GB2312"/>
          <w:color w:val="auto"/>
          <w:kern w:val="0"/>
          <w:sz w:val="32"/>
          <w:szCs w:val="32"/>
          <w:vertAlign w:val="baseline"/>
          <w:lang w:val="en-US" w:eastAsia="zh-CN" w:bidi="ar-SA"/>
        </w:rPr>
        <w:t>）药品购销存记录不完整、不真实</w:t>
      </w:r>
      <w:r>
        <w:rPr>
          <w:rFonts w:hint="eastAsia" w:hAnsi="仿宋_GB2312" w:cs="仿宋_GB2312"/>
          <w:color w:val="auto"/>
          <w:kern w:val="0"/>
          <w:sz w:val="32"/>
          <w:szCs w:val="32"/>
          <w:vertAlign w:val="baseline"/>
          <w:lang w:val="en-US" w:eastAsia="zh-CN" w:bidi="ar-SA"/>
        </w:rPr>
        <w:t>，</w:t>
      </w:r>
      <w:r>
        <w:rPr>
          <w:rFonts w:hint="eastAsia" w:ascii="仿宋_GB2312" w:hAnsi="仿宋_GB2312" w:eastAsia="仿宋_GB2312" w:cs="仿宋_GB2312"/>
          <w:color w:val="auto"/>
          <w:kern w:val="0"/>
          <w:sz w:val="32"/>
          <w:szCs w:val="32"/>
          <w:vertAlign w:val="baseline"/>
          <w:lang w:val="en-US" w:eastAsia="zh-CN" w:bidi="ar-SA"/>
        </w:rPr>
        <w:t>伪造药品采购来源，虚构销售流向，篡改计算机系统、温湿度监测系统数据，隐瞒真实药品购销存记录、票据、凭证、数据等；</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六</w:t>
      </w:r>
      <w:r>
        <w:rPr>
          <w:rFonts w:hint="eastAsia" w:ascii="仿宋_GB2312" w:hAnsi="仿宋_GB2312" w:eastAsia="仿宋_GB2312" w:cs="仿宋_GB2312"/>
          <w:color w:val="auto"/>
          <w:kern w:val="0"/>
          <w:sz w:val="32"/>
          <w:szCs w:val="32"/>
          <w:vertAlign w:val="baseline"/>
          <w:lang w:val="en-US" w:eastAsia="zh-CN" w:bidi="ar-SA"/>
        </w:rPr>
        <w:t>）不严格执行特殊药品复方制剂销售规定，导致其流入非法渠道；</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七</w:t>
      </w:r>
      <w:r>
        <w:rPr>
          <w:rFonts w:hint="eastAsia" w:ascii="仿宋_GB2312" w:hAnsi="仿宋_GB2312" w:eastAsia="仿宋_GB2312" w:cs="仿宋_GB2312"/>
          <w:color w:val="auto"/>
          <w:kern w:val="0"/>
          <w:sz w:val="32"/>
          <w:szCs w:val="32"/>
          <w:vertAlign w:val="baseline"/>
          <w:lang w:val="en-US" w:eastAsia="zh-CN" w:bidi="ar-SA"/>
        </w:rPr>
        <w:t>）擅自改变注册地址、经营方式、经营范围销售药品</w:t>
      </w:r>
      <w:r>
        <w:rPr>
          <w:rFonts w:hint="eastAsia" w:hAnsi="仿宋_GB2312" w:cs="仿宋_GB2312"/>
          <w:color w:val="auto"/>
          <w:kern w:val="0"/>
          <w:sz w:val="32"/>
          <w:szCs w:val="32"/>
          <w:vertAlign w:val="baseline"/>
          <w:lang w:val="en-US" w:eastAsia="zh-CN" w:bidi="ar-SA"/>
        </w:rPr>
        <w:t>，</w:t>
      </w:r>
      <w:r>
        <w:rPr>
          <w:rFonts w:hint="eastAsia" w:ascii="仿宋_GB2312" w:hAnsi="仿宋_GB2312" w:eastAsia="仿宋_GB2312" w:cs="仿宋_GB2312"/>
          <w:color w:val="auto"/>
          <w:kern w:val="0"/>
          <w:sz w:val="32"/>
          <w:szCs w:val="32"/>
          <w:vertAlign w:val="baseline"/>
          <w:lang w:val="en-US" w:eastAsia="zh-CN" w:bidi="ar-SA"/>
        </w:rPr>
        <w:t>在核准地址以外的场所储存药品；</w:t>
      </w:r>
    </w:p>
    <w:p>
      <w:pPr>
        <w:pStyle w:val="5"/>
        <w:keepNext w:val="0"/>
        <w:keepLines w:val="0"/>
        <w:pageBreakBefore w:val="0"/>
        <w:kinsoku/>
        <w:wordWrap/>
        <w:topLinePunct w:val="0"/>
        <w:autoSpaceDE/>
        <w:autoSpaceDN/>
        <w:bidi w:val="0"/>
        <w:spacing w:line="560" w:lineRule="exact"/>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（八）销售药品未按照规定开具销售</w:t>
      </w:r>
      <w:r>
        <w:rPr>
          <w:rFonts w:hint="eastAsia" w:hAnsi="仿宋_GB2312" w:cs="仿宋_GB2312"/>
          <w:color w:val="auto"/>
          <w:kern w:val="0"/>
          <w:sz w:val="32"/>
          <w:szCs w:val="32"/>
          <w:vertAlign w:val="baseline"/>
          <w:lang w:val="en-US" w:eastAsia="zh-CN" w:bidi="ar-SA"/>
        </w:rPr>
        <w:t>凭证</w:t>
      </w:r>
      <w:r>
        <w:rPr>
          <w:rFonts w:hint="eastAsia" w:ascii="仿宋_GB2312" w:hAnsi="仿宋_GB2312" w:eastAsia="仿宋_GB2312" w:cs="仿宋_GB2312"/>
          <w:color w:val="auto"/>
          <w:kern w:val="0"/>
          <w:sz w:val="32"/>
          <w:szCs w:val="32"/>
          <w:vertAlign w:val="baseline"/>
          <w:lang w:val="en-US" w:eastAsia="zh-CN" w:bidi="ar-SA"/>
        </w:rPr>
        <w:t>；</w:t>
      </w:r>
    </w:p>
    <w:p>
      <w:pPr>
        <w:pStyle w:val="5"/>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r>
        <w:rPr>
          <w:rFonts w:hint="eastAsia" w:hAnsi="仿宋_GB2312" w:cs="仿宋_GB2312"/>
          <w:color w:val="auto"/>
          <w:kern w:val="0"/>
          <w:sz w:val="32"/>
          <w:szCs w:val="32"/>
          <w:vertAlign w:val="baseline"/>
          <w:lang w:val="en-US" w:eastAsia="zh-CN" w:bidi="ar-SA"/>
        </w:rPr>
        <w:t>九</w:t>
      </w:r>
      <w:r>
        <w:rPr>
          <w:rFonts w:hint="eastAsia" w:ascii="仿宋_GB2312" w:hAnsi="仿宋_GB2312" w:eastAsia="仿宋_GB2312" w:cs="仿宋_GB2312"/>
          <w:color w:val="auto"/>
          <w:kern w:val="0"/>
          <w:sz w:val="32"/>
          <w:szCs w:val="32"/>
          <w:vertAlign w:val="baseline"/>
          <w:lang w:val="en-US" w:eastAsia="zh-CN" w:bidi="ar-SA"/>
        </w:rPr>
        <w:t>）批发企业使用现金进行特殊药品复方制剂交易等</w:t>
      </w:r>
      <w:r>
        <w:rPr>
          <w:rFonts w:hint="eastAsia" w:hAnsi="仿宋_GB2312" w:cs="仿宋_GB2312"/>
          <w:color w:val="auto"/>
          <w:kern w:val="0"/>
          <w:sz w:val="32"/>
          <w:szCs w:val="32"/>
          <w:vertAlign w:val="baseline"/>
          <w:lang w:val="en-US" w:eastAsia="zh-CN" w:bidi="ar-SA"/>
        </w:rPr>
        <w:t>；</w:t>
      </w:r>
    </w:p>
    <w:p>
      <w:pPr>
        <w:pStyle w:val="5"/>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color w:val="auto"/>
          <w:kern w:val="0"/>
          <w:sz w:val="32"/>
          <w:szCs w:val="32"/>
          <w:vertAlign w:val="baseline"/>
          <w:lang w:val="en-US" w:eastAsia="zh-CN" w:bidi="ar-SA"/>
        </w:rPr>
      </w:pPr>
      <w:r>
        <w:rPr>
          <w:rFonts w:hint="eastAsia" w:hAnsi="仿宋_GB2312" w:cs="仿宋_GB2312"/>
          <w:color w:val="auto"/>
          <w:kern w:val="0"/>
          <w:sz w:val="32"/>
          <w:szCs w:val="32"/>
          <w:vertAlign w:val="baseline"/>
          <w:lang w:val="en-US" w:eastAsia="zh-CN" w:bidi="ar-SA"/>
        </w:rPr>
        <w:t>（十）法律法规禁止的其他行为。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color w:val="auto"/>
          <w:kern w:val="0"/>
          <w:sz w:val="32"/>
          <w:szCs w:val="32"/>
          <w:shd w:val="clear" w:color="auto" w:fill="FFFFFF"/>
        </w:rPr>
        <w:t>第</w:t>
      </w:r>
      <w:r>
        <w:rPr>
          <w:rFonts w:hint="eastAsia" w:ascii="黑体" w:hAnsi="黑体" w:eastAsia="黑体" w:cs="黑体"/>
          <w:color w:val="auto"/>
          <w:kern w:val="0"/>
          <w:sz w:val="32"/>
          <w:szCs w:val="32"/>
          <w:shd w:val="clear" w:color="auto" w:fill="FFFFFF"/>
          <w:lang w:val="en-US" w:eastAsia="zh-CN"/>
        </w:rPr>
        <w:t>二十九</w:t>
      </w:r>
      <w:r>
        <w:rPr>
          <w:rFonts w:hint="eastAsia" w:ascii="黑体" w:hAnsi="黑体" w:eastAsia="黑体" w:cs="黑体"/>
          <w:color w:val="auto"/>
          <w:kern w:val="0"/>
          <w:sz w:val="32"/>
          <w:szCs w:val="32"/>
          <w:shd w:val="clear" w:color="auto" w:fill="FFFFFF"/>
        </w:rPr>
        <w:t>条</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禁止</w:t>
      </w:r>
      <w:r>
        <w:rPr>
          <w:rFonts w:hint="eastAsia" w:ascii="黑体" w:hAnsi="黑体" w:eastAsia="黑体" w:cs="黑体"/>
          <w:color w:val="auto"/>
          <w:kern w:val="0"/>
          <w:sz w:val="32"/>
          <w:szCs w:val="32"/>
          <w:shd w:val="clear" w:color="auto" w:fill="FFFFFF"/>
          <w:lang w:eastAsia="zh-CN"/>
        </w:rPr>
        <w:t>经营</w:t>
      </w:r>
      <w:r>
        <w:rPr>
          <w:rFonts w:hint="eastAsia" w:ascii="黑体" w:hAnsi="黑体" w:eastAsia="黑体" w:cs="黑体"/>
          <w:color w:val="auto"/>
          <w:kern w:val="0"/>
          <w:sz w:val="32"/>
          <w:szCs w:val="32"/>
          <w:shd w:val="clear" w:color="auto" w:fill="FFFFFF"/>
          <w:lang w:val="en-US" w:eastAsia="zh-CN"/>
        </w:rPr>
        <w:t>范围</w:t>
      </w:r>
      <w:r>
        <w:rPr>
          <w:rFonts w:hint="eastAsia" w:ascii="黑体" w:hAnsi="黑体" w:eastAsia="黑体" w:cs="黑体"/>
          <w:color w:val="auto"/>
          <w:kern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auto"/>
        </w:rPr>
        <w:t>药品经营企业不得经营疫苗、医疗机构制剂、中药配方颗粒等国家禁止药品经营企业经营的药品。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sz w:val="31"/>
          <w:szCs w:val="31"/>
        </w:rPr>
      </w:pPr>
      <w:r>
        <w:rPr>
          <w:rFonts w:hint="eastAsia" w:ascii="仿宋_GB2312" w:hAnsi="仿宋_GB2312" w:eastAsia="仿宋_GB2312" w:cs="仿宋_GB2312"/>
          <w:b w:val="0"/>
          <w:bCs w:val="0"/>
          <w:i w:val="0"/>
          <w:iCs w:val="0"/>
          <w:caps w:val="0"/>
          <w:color w:val="auto"/>
          <w:spacing w:val="0"/>
          <w:sz w:val="32"/>
          <w:szCs w:val="32"/>
          <w:shd w:val="clear" w:fill="auto"/>
        </w:rPr>
        <w:t>药品零售企业不得销售</w:t>
      </w:r>
      <w:r>
        <w:rPr>
          <w:rFonts w:hint="eastAsia" w:ascii="仿宋_GB2312" w:hAnsi="仿宋_GB2312" w:eastAsia="仿宋_GB2312" w:cs="仿宋_GB2312"/>
          <w:b w:val="0"/>
          <w:bCs w:val="0"/>
          <w:i w:val="0"/>
          <w:iCs w:val="0"/>
          <w:caps w:val="0"/>
          <w:color w:val="auto"/>
          <w:spacing w:val="0"/>
          <w:sz w:val="32"/>
          <w:szCs w:val="32"/>
          <w:u w:val="none"/>
          <w:shd w:val="clear" w:fill="auto"/>
        </w:rPr>
        <w:t>麻醉药品、第一类精神药品、放射性药品、药品类易制毒化学品、蛋白同化制剂、肽类激素（胰岛素除外）、终止妊娠药品等国家禁止零售的药品。</w:t>
      </w:r>
    </w:p>
    <w:p>
      <w:pPr>
        <w:keepNext w:val="0"/>
        <w:keepLines w:val="0"/>
        <w:pageBreakBefore w:val="0"/>
        <w:widowControl/>
        <w:numPr>
          <w:ilvl w:val="-1"/>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u w:val="none"/>
          <w:vertAlign w:val="baseline"/>
          <w:lang w:val="en-US" w:eastAsia="zh-CN" w:bidi="ar-SA"/>
        </w:rPr>
      </w:pPr>
      <w:r>
        <w:rPr>
          <w:rFonts w:hint="eastAsia" w:ascii="黑体" w:hAnsi="黑体" w:eastAsia="黑体" w:cs="黑体"/>
          <w:color w:val="auto"/>
          <w:kern w:val="0"/>
          <w:sz w:val="32"/>
          <w:szCs w:val="32"/>
          <w:highlight w:val="none"/>
          <w:shd w:val="clear" w:color="auto" w:fill="FFFFFF"/>
        </w:rPr>
        <w:t>第</w:t>
      </w:r>
      <w:r>
        <w:rPr>
          <w:rFonts w:hint="eastAsia" w:ascii="黑体" w:hAnsi="黑体" w:eastAsia="黑体" w:cs="黑体"/>
          <w:color w:val="auto"/>
          <w:kern w:val="0"/>
          <w:sz w:val="32"/>
          <w:szCs w:val="32"/>
          <w:highlight w:val="none"/>
          <w:shd w:val="clear" w:color="auto" w:fill="FFFFFF"/>
          <w:lang w:val="en-US" w:eastAsia="zh-CN"/>
        </w:rPr>
        <w:t>三</w:t>
      </w:r>
      <w:r>
        <w:rPr>
          <w:rFonts w:hint="eastAsia" w:ascii="黑体" w:hAnsi="黑体" w:eastAsia="黑体" w:cs="黑体"/>
          <w:color w:val="auto"/>
          <w:kern w:val="0"/>
          <w:sz w:val="32"/>
          <w:szCs w:val="32"/>
          <w:highlight w:val="none"/>
          <w:shd w:val="clear" w:color="auto" w:fill="FFFFFF"/>
          <w:lang w:eastAsia="zh-CN"/>
        </w:rPr>
        <w:t>十</w:t>
      </w:r>
      <w:r>
        <w:rPr>
          <w:rFonts w:hint="eastAsia" w:ascii="黑体" w:hAnsi="黑体" w:eastAsia="黑体" w:cs="黑体"/>
          <w:color w:val="auto"/>
          <w:kern w:val="0"/>
          <w:sz w:val="32"/>
          <w:szCs w:val="32"/>
          <w:highlight w:val="none"/>
          <w:shd w:val="clear" w:color="auto" w:fill="FFFFFF"/>
        </w:rPr>
        <w:t>条</w:t>
      </w:r>
      <w:r>
        <w:rPr>
          <w:rFonts w:hint="eastAsia" w:ascii="黑体" w:hAnsi="黑体" w:eastAsia="黑体" w:cs="黑体"/>
          <w:color w:val="auto"/>
          <w:kern w:val="0"/>
          <w:sz w:val="32"/>
          <w:szCs w:val="32"/>
          <w:highlight w:val="none"/>
          <w:shd w:val="clear" w:color="auto" w:fill="FFFFFF"/>
          <w:lang w:val="en-US" w:eastAsia="zh-CN"/>
        </w:rPr>
        <w:t xml:space="preserve">【风险管理】 </w:t>
      </w:r>
      <w:r>
        <w:rPr>
          <w:rFonts w:hint="eastAsia" w:ascii="仿宋_GB2312" w:hAnsi="仿宋_GB2312" w:eastAsia="仿宋_GB2312" w:cs="仿宋_GB2312"/>
          <w:color w:val="auto"/>
          <w:kern w:val="0"/>
          <w:sz w:val="32"/>
          <w:szCs w:val="32"/>
          <w:highlight w:val="none"/>
          <w:u w:val="none"/>
        </w:rPr>
        <w:t>药品</w:t>
      </w:r>
      <w:r>
        <w:rPr>
          <w:rFonts w:hint="eastAsia" w:ascii="仿宋_GB2312" w:hAnsi="仿宋_GB2312" w:eastAsia="仿宋_GB2312" w:cs="仿宋_GB2312"/>
          <w:color w:val="auto"/>
          <w:kern w:val="0"/>
          <w:sz w:val="32"/>
          <w:szCs w:val="32"/>
          <w:highlight w:val="none"/>
          <w:u w:val="none"/>
          <w:lang w:val="en-US" w:eastAsia="zh-CN"/>
        </w:rPr>
        <w:t>经营</w:t>
      </w:r>
      <w:r>
        <w:rPr>
          <w:rFonts w:hint="eastAsia" w:ascii="仿宋_GB2312" w:hAnsi="仿宋_GB2312" w:eastAsia="仿宋_GB2312" w:cs="仿宋_GB2312"/>
          <w:color w:val="auto"/>
          <w:kern w:val="0"/>
          <w:sz w:val="32"/>
          <w:szCs w:val="32"/>
          <w:highlight w:val="none"/>
          <w:u w:val="none"/>
        </w:rPr>
        <w:t>企业应当</w:t>
      </w:r>
      <w:r>
        <w:rPr>
          <w:rFonts w:hint="eastAsia" w:ascii="仿宋_GB2312" w:hAnsi="仿宋_GB2312" w:eastAsia="仿宋_GB2312" w:cs="仿宋_GB2312"/>
          <w:color w:val="auto"/>
          <w:kern w:val="0"/>
          <w:sz w:val="32"/>
          <w:szCs w:val="32"/>
          <w:highlight w:val="none"/>
          <w:u w:val="none"/>
          <w:lang w:eastAsia="zh-CN"/>
        </w:rPr>
        <w:t>按照</w:t>
      </w:r>
      <w:r>
        <w:rPr>
          <w:rFonts w:hint="eastAsia" w:ascii="仿宋_GB2312" w:hAnsi="仿宋_GB2312" w:eastAsia="仿宋_GB2312" w:cs="仿宋_GB2312"/>
          <w:i w:val="0"/>
          <w:caps w:val="0"/>
          <w:color w:val="auto"/>
          <w:spacing w:val="0"/>
          <w:kern w:val="0"/>
          <w:sz w:val="32"/>
          <w:szCs w:val="32"/>
          <w:shd w:val="clear" w:fill="auto"/>
          <w:lang w:val="en-US" w:eastAsia="zh-CN" w:bidi="ar-SA"/>
        </w:rPr>
        <w:t>山东省药品生产经营企业风险自查报告管理要求</w:t>
      </w:r>
      <w:r>
        <w:rPr>
          <w:rFonts w:hint="eastAsia" w:ascii="仿宋_GB2312" w:hAnsi="仿宋_GB2312" w:eastAsia="仿宋_GB2312" w:cs="仿宋_GB2312"/>
          <w:color w:val="auto"/>
          <w:kern w:val="0"/>
          <w:sz w:val="32"/>
          <w:szCs w:val="32"/>
          <w:highlight w:val="none"/>
          <w:u w:val="none"/>
        </w:rPr>
        <w:t>建立风险</w:t>
      </w:r>
      <w:r>
        <w:rPr>
          <w:rFonts w:hint="eastAsia" w:ascii="仿宋_GB2312" w:hAnsi="仿宋_GB2312" w:eastAsia="仿宋_GB2312" w:cs="仿宋_GB2312"/>
          <w:color w:val="auto"/>
          <w:kern w:val="0"/>
          <w:sz w:val="32"/>
          <w:szCs w:val="32"/>
          <w:highlight w:val="none"/>
          <w:u w:val="none"/>
          <w:lang w:eastAsia="zh-CN"/>
        </w:rPr>
        <w:t>定期</w:t>
      </w:r>
      <w:r>
        <w:rPr>
          <w:rFonts w:hint="eastAsia" w:ascii="仿宋_GB2312" w:hAnsi="仿宋_GB2312" w:eastAsia="仿宋_GB2312" w:cs="仿宋_GB2312"/>
          <w:color w:val="auto"/>
          <w:kern w:val="0"/>
          <w:sz w:val="32"/>
          <w:szCs w:val="32"/>
          <w:highlight w:val="none"/>
          <w:u w:val="none"/>
        </w:rPr>
        <w:t>自查报告制度。对发现重大质量安全风险隐患的，应当立即停止经营活动并向所在地</w:t>
      </w:r>
      <w:r>
        <w:rPr>
          <w:rFonts w:hint="eastAsia" w:ascii="仿宋_GB2312" w:hAnsi="仿宋_GB2312" w:eastAsia="仿宋_GB2312" w:cs="仿宋_GB2312"/>
          <w:color w:val="auto"/>
          <w:kern w:val="0"/>
          <w:sz w:val="32"/>
          <w:szCs w:val="32"/>
          <w:highlight w:val="none"/>
          <w:u w:val="none"/>
          <w:lang w:val="en-US" w:eastAsia="zh-CN"/>
        </w:rPr>
        <w:t>监管部门</w:t>
      </w:r>
      <w:r>
        <w:rPr>
          <w:rFonts w:hint="eastAsia" w:ascii="仿宋_GB2312" w:hAnsi="仿宋_GB2312" w:eastAsia="仿宋_GB2312" w:cs="仿宋_GB2312"/>
          <w:color w:val="auto"/>
          <w:kern w:val="0"/>
          <w:sz w:val="32"/>
          <w:szCs w:val="32"/>
          <w:highlight w:val="none"/>
          <w:u w:val="none"/>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lang w:eastAsia="zh-CN"/>
        </w:rPr>
      </w:pPr>
      <w:r>
        <w:rPr>
          <w:rFonts w:hint="eastAsia" w:ascii="黑体" w:hAnsi="黑体" w:eastAsia="黑体" w:cs="黑体"/>
          <w:color w:val="auto"/>
          <w:kern w:val="0"/>
          <w:sz w:val="32"/>
          <w:szCs w:val="32"/>
          <w:highlight w:val="none"/>
          <w:shd w:val="clear" w:color="auto" w:fill="FFFFFF"/>
        </w:rPr>
        <w:t>第</w:t>
      </w:r>
      <w:r>
        <w:rPr>
          <w:rFonts w:hint="eastAsia" w:ascii="黑体" w:hAnsi="黑体" w:eastAsia="黑体" w:cs="黑体"/>
          <w:color w:val="auto"/>
          <w:kern w:val="0"/>
          <w:sz w:val="32"/>
          <w:szCs w:val="32"/>
          <w:highlight w:val="none"/>
          <w:shd w:val="clear" w:color="auto" w:fill="FFFFFF"/>
          <w:lang w:val="en-US" w:eastAsia="zh-CN"/>
        </w:rPr>
        <w:t>三</w:t>
      </w:r>
      <w:r>
        <w:rPr>
          <w:rFonts w:hint="eastAsia" w:ascii="黑体" w:hAnsi="黑体" w:eastAsia="黑体" w:cs="黑体"/>
          <w:color w:val="auto"/>
          <w:kern w:val="0"/>
          <w:sz w:val="32"/>
          <w:szCs w:val="32"/>
          <w:highlight w:val="none"/>
          <w:shd w:val="clear" w:color="auto" w:fill="FFFFFF"/>
          <w:lang w:eastAsia="zh-CN"/>
        </w:rPr>
        <w:t>十</w:t>
      </w:r>
      <w:r>
        <w:rPr>
          <w:rFonts w:hint="eastAsia" w:ascii="黑体" w:hAnsi="黑体" w:eastAsia="黑体" w:cs="黑体"/>
          <w:color w:val="auto"/>
          <w:kern w:val="0"/>
          <w:sz w:val="32"/>
          <w:szCs w:val="32"/>
          <w:highlight w:val="none"/>
          <w:shd w:val="clear" w:color="auto" w:fill="FFFFFF"/>
          <w:lang w:val="en-US" w:eastAsia="zh-CN"/>
        </w:rPr>
        <w:t>一</w:t>
      </w:r>
      <w:r>
        <w:rPr>
          <w:rFonts w:hint="eastAsia" w:ascii="黑体" w:hAnsi="黑体" w:eastAsia="黑体" w:cs="黑体"/>
          <w:color w:val="auto"/>
          <w:kern w:val="0"/>
          <w:sz w:val="32"/>
          <w:szCs w:val="32"/>
          <w:highlight w:val="none"/>
          <w:shd w:val="clear" w:color="auto" w:fill="FFFFFF"/>
        </w:rPr>
        <w:t>条</w:t>
      </w:r>
      <w:r>
        <w:rPr>
          <w:rFonts w:hint="eastAsia" w:ascii="黑体" w:hAnsi="黑体" w:eastAsia="黑体" w:cs="黑体"/>
          <w:color w:val="auto"/>
          <w:kern w:val="0"/>
          <w:sz w:val="32"/>
          <w:szCs w:val="32"/>
          <w:highlight w:val="none"/>
          <w:shd w:val="clear" w:color="auto" w:fill="FFFFFF"/>
          <w:lang w:eastAsia="zh-CN"/>
        </w:rPr>
        <w:t>【</w:t>
      </w:r>
      <w:r>
        <w:rPr>
          <w:rFonts w:hint="eastAsia" w:ascii="黑体" w:hAnsi="黑体" w:eastAsia="黑体" w:cs="黑体"/>
          <w:color w:val="auto"/>
          <w:kern w:val="0"/>
          <w:sz w:val="32"/>
          <w:szCs w:val="32"/>
          <w:highlight w:val="none"/>
          <w:shd w:val="clear" w:color="auto" w:fill="FFFFFF"/>
          <w:lang w:val="en-US" w:eastAsia="zh-CN"/>
        </w:rPr>
        <w:t>长期停业</w:t>
      </w:r>
      <w:r>
        <w:rPr>
          <w:rFonts w:hint="eastAsia" w:ascii="黑体" w:hAnsi="黑体" w:eastAsia="黑体" w:cs="黑体"/>
          <w:color w:val="auto"/>
          <w:kern w:val="0"/>
          <w:sz w:val="32"/>
          <w:szCs w:val="32"/>
          <w:shd w:val="clear" w:color="auto" w:fill="FFFFFF"/>
          <w:lang w:val="en-US" w:eastAsia="zh-CN"/>
        </w:rPr>
        <w:t>报告</w:t>
      </w:r>
      <w:r>
        <w:rPr>
          <w:rFonts w:hint="eastAsia" w:ascii="黑体" w:hAnsi="黑体" w:eastAsia="黑体" w:cs="黑体"/>
          <w:color w:val="auto"/>
          <w:kern w:val="0"/>
          <w:sz w:val="32"/>
          <w:szCs w:val="32"/>
          <w:shd w:val="clear" w:color="auto" w:fill="FFFFFF"/>
          <w:lang w:eastAsia="zh-CN"/>
        </w:rPr>
        <w:t>】</w:t>
      </w:r>
      <w:r>
        <w:rPr>
          <w:rFonts w:hint="eastAsia" w:ascii="黑体" w:hAnsi="黑体" w:eastAsia="黑体" w:cs="黑体"/>
          <w:color w:val="auto"/>
          <w:kern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rPr>
        <w:t>药品经营</w:t>
      </w:r>
      <w:r>
        <w:rPr>
          <w:rFonts w:hint="eastAsia" w:ascii="仿宋_GB2312" w:hAnsi="仿宋_GB2312" w:eastAsia="仿宋_GB2312" w:cs="仿宋_GB2312"/>
          <w:i w:val="0"/>
          <w:iCs w:val="0"/>
          <w:caps w:val="0"/>
          <w:color w:val="auto"/>
          <w:spacing w:val="0"/>
          <w:kern w:val="0"/>
          <w:sz w:val="32"/>
          <w:szCs w:val="32"/>
          <w:shd w:val="clear" w:fill="auto"/>
        </w:rPr>
        <w:t>企业在《药品经营许可证》有效期内连续暂停药品经营超过6个月的</w:t>
      </w:r>
      <w:r>
        <w:rPr>
          <w:rFonts w:hint="eastAsia" w:ascii="仿宋_GB2312" w:hAnsi="仿宋_GB2312" w:eastAsia="仿宋_GB2312" w:cs="仿宋_GB2312"/>
          <w:i w:val="0"/>
          <w:iCs w:val="0"/>
          <w:caps w:val="0"/>
          <w:color w:val="auto"/>
          <w:spacing w:val="0"/>
          <w:kern w:val="0"/>
          <w:sz w:val="32"/>
          <w:szCs w:val="32"/>
          <w:shd w:val="clear"/>
          <w:lang w:eastAsia="zh-CN"/>
        </w:rPr>
        <w:t>，</w:t>
      </w:r>
      <w:r>
        <w:rPr>
          <w:rFonts w:hint="eastAsia" w:ascii="仿宋_GB2312" w:hAnsi="仿宋_GB2312" w:eastAsia="仿宋_GB2312" w:cs="仿宋_GB2312"/>
          <w:i w:val="0"/>
          <w:iCs w:val="0"/>
          <w:caps w:val="0"/>
          <w:color w:val="auto"/>
          <w:spacing w:val="0"/>
          <w:kern w:val="0"/>
          <w:sz w:val="32"/>
          <w:szCs w:val="32"/>
          <w:shd w:val="clear"/>
          <w:lang w:val="en-US" w:eastAsia="zh-CN"/>
        </w:rPr>
        <w:t>应当执行《</w:t>
      </w:r>
      <w:r>
        <w:rPr>
          <w:rFonts w:hint="eastAsia" w:ascii="仿宋_GB2312" w:hAnsi="仿宋_GB2312" w:eastAsia="仿宋_GB2312" w:cs="仿宋_GB2312"/>
          <w:b w:val="0"/>
          <w:bCs w:val="0"/>
          <w:i w:val="0"/>
          <w:iCs w:val="0"/>
          <w:caps w:val="0"/>
          <w:color w:val="auto"/>
          <w:spacing w:val="0"/>
          <w:kern w:val="0"/>
          <w:sz w:val="32"/>
          <w:szCs w:val="32"/>
          <w:shd w:val="clear"/>
        </w:rPr>
        <w:t>山东省药品经营企业长期停业和恢复经营监督管理规定</w:t>
      </w:r>
      <w:r>
        <w:rPr>
          <w:rFonts w:hint="eastAsia" w:ascii="仿宋_GB2312" w:hAnsi="仿宋_GB2312" w:eastAsia="仿宋_GB2312" w:cs="仿宋_GB2312"/>
          <w:i w:val="0"/>
          <w:iCs w:val="0"/>
          <w:caps w:val="0"/>
          <w:color w:val="auto"/>
          <w:spacing w:val="0"/>
          <w:kern w:val="0"/>
          <w:sz w:val="32"/>
          <w:szCs w:val="32"/>
          <w:shd w:val="clear"/>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w:t>
      </w:r>
      <w:r>
        <w:rPr>
          <w:rFonts w:hint="eastAsia" w:ascii="黑体" w:hAnsi="黑体" w:eastAsia="黑体" w:cs="黑体"/>
          <w:color w:val="auto"/>
          <w:sz w:val="32"/>
          <w:szCs w:val="32"/>
          <w:shd w:val="clear" w:color="auto" w:fill="FFFFFF"/>
          <w:lang w:val="en-US" w:eastAsia="zh-CN"/>
        </w:rPr>
        <w:t>三十二条</w:t>
      </w:r>
      <w:r>
        <w:rPr>
          <w:rFonts w:hint="eastAsia" w:ascii="黑体" w:hAnsi="黑体" w:eastAsia="黑体" w:cs="黑体"/>
          <w:color w:val="000000" w:themeColor="text1"/>
          <w:kern w:val="2"/>
          <w:sz w:val="32"/>
          <w:szCs w:val="32"/>
          <w:lang w:val="en-US" w:eastAsia="zh-CN" w:bidi="ar-SA"/>
          <w14:textFill>
            <w14:solidFill>
              <w14:schemeClr w14:val="tx1"/>
            </w14:solidFill>
          </w14:textFill>
        </w:rPr>
        <w:t>【注销或核减经营范围】</w:t>
      </w:r>
      <w:r>
        <w:rPr>
          <w:rFonts w:hint="eastAsia" w:ascii="仿宋_GB2312" w:hAnsi="仿宋_GB2312" w:eastAsia="仿宋_GB2312" w:cs="仿宋_GB2312"/>
          <w:color w:val="auto"/>
          <w:sz w:val="32"/>
          <w:szCs w:val="32"/>
        </w:rPr>
        <w:t>  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单位或者其部分</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范围不具备药品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条件的，药品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应当在</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日内向原发证机关申请注销《药品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许可证》或者核减相应</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范围。</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color w:val="auto"/>
          <w:sz w:val="32"/>
          <w:szCs w:val="32"/>
          <w:shd w:val="clear" w:color="auto" w:fill="FFFFFF"/>
          <w:lang w:val="en-US" w:eastAsia="zh-CN"/>
        </w:rPr>
        <w:t>第三十三条【配合检查】</w:t>
      </w:r>
      <w:r>
        <w:rPr>
          <w:rFonts w:hint="eastAsia" w:ascii="黑体" w:hAnsi="黑体" w:eastAsia="黑体" w:cs="黑体"/>
          <w:b/>
          <w:bCs w:val="0"/>
          <w:color w:val="auto"/>
          <w:sz w:val="32"/>
          <w:szCs w:val="32"/>
          <w:lang w:val="en-US" w:eastAsia="zh-CN"/>
        </w:rPr>
        <w:t xml:space="preserve"> </w:t>
      </w:r>
      <w:r>
        <w:rPr>
          <w:rFonts w:hint="eastAsia" w:ascii="仿宋_GB2312" w:hAnsi="仿宋_GB2312" w:eastAsia="仿宋_GB2312" w:cs="仿宋_GB2312"/>
          <w:color w:val="auto"/>
          <w:kern w:val="0"/>
          <w:sz w:val="32"/>
          <w:szCs w:val="32"/>
          <w:vertAlign w:val="baseline"/>
          <w:lang w:val="en-US" w:eastAsia="zh-CN" w:bidi="ar-SA"/>
        </w:rPr>
        <w:t>药品经营企业接受药品监督管理部门监督检查时，应当积极予以配合，并及时提供相关记录、票据、数据、信息等资料，不得以任何理由拒绝、逃避、拖延或阻碍检查。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baseline"/>
        <w:rPr>
          <w:rFonts w:hint="default" w:ascii="微软雅黑" w:hAnsi="微软雅黑" w:eastAsia="微软雅黑" w:cs="微软雅黑"/>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药品经营企业在接受监督检查时提供虚假材料或隐瞒违法违规经营行为，承担相应法律责任。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章</w:t>
      </w:r>
      <w:r>
        <w:rPr>
          <w:rFonts w:hint="eastAsia" w:eastAsia="仿宋_GB2312"/>
          <w:bCs/>
          <w:color w:val="auto"/>
          <w:sz w:val="32"/>
          <w:szCs w:val="32"/>
          <w:lang w:val="en-US" w:eastAsia="zh-CN"/>
        </w:rPr>
        <w:t xml:space="preserve">  </w:t>
      </w:r>
      <w:r>
        <w:rPr>
          <w:rFonts w:hint="eastAsia" w:ascii="黑体" w:hAnsi="黑体" w:eastAsia="黑体" w:cs="黑体"/>
          <w:color w:val="auto"/>
          <w:sz w:val="32"/>
          <w:szCs w:val="32"/>
          <w:u w:val="none"/>
          <w:lang w:val="en-US" w:eastAsia="zh-CN"/>
        </w:rPr>
        <w:t>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640" w:firstLineChars="200"/>
        <w:rPr>
          <w:rFonts w:hint="eastAsia" w:ascii="仿宋_GB2312" w:hAnsi="仿宋_GB2312" w:eastAsia="仿宋_GB2312" w:cs="仿宋_GB2312"/>
          <w:i w:val="0"/>
          <w:caps w:val="0"/>
          <w:color w:val="auto"/>
          <w:spacing w:val="0"/>
          <w:sz w:val="32"/>
          <w:szCs w:val="32"/>
          <w:shd w:val="clear"/>
        </w:rPr>
      </w:pPr>
      <w:r>
        <w:rPr>
          <w:rFonts w:hint="eastAsia" w:ascii="黑体" w:hAnsi="黑体" w:eastAsia="黑体" w:cs="黑体"/>
          <w:bCs/>
          <w:color w:val="auto"/>
          <w:sz w:val="32"/>
          <w:szCs w:val="32"/>
          <w:u w:val="none"/>
          <w:lang w:eastAsia="zh-CN"/>
        </w:rPr>
        <w:t>第</w:t>
      </w:r>
      <w:r>
        <w:rPr>
          <w:rFonts w:hint="eastAsia" w:ascii="黑体" w:hAnsi="黑体" w:eastAsia="黑体" w:cs="黑体"/>
          <w:bCs/>
          <w:color w:val="auto"/>
          <w:sz w:val="32"/>
          <w:szCs w:val="32"/>
          <w:u w:val="none"/>
          <w:lang w:val="en-US" w:eastAsia="zh-CN"/>
        </w:rPr>
        <w:t>三十四</w:t>
      </w:r>
      <w:r>
        <w:rPr>
          <w:rFonts w:hint="eastAsia" w:ascii="黑体" w:hAnsi="黑体" w:eastAsia="黑体" w:cs="黑体"/>
          <w:bCs/>
          <w:color w:val="auto"/>
          <w:sz w:val="32"/>
          <w:szCs w:val="32"/>
          <w:u w:val="none"/>
          <w:lang w:eastAsia="zh-CN"/>
        </w:rPr>
        <w:t>条【检查计划】</w:t>
      </w:r>
      <w:r>
        <w:rPr>
          <w:rFonts w:hint="eastAsia" w:eastAsia="仿宋_GB2312"/>
          <w:bCs/>
          <w:color w:val="auto"/>
          <w:sz w:val="32"/>
          <w:szCs w:val="32"/>
          <w:u w:val="none"/>
          <w:lang w:val="en-US" w:eastAsia="zh-CN"/>
        </w:rPr>
        <w:t xml:space="preserve"> </w:t>
      </w:r>
      <w:r>
        <w:rPr>
          <w:rFonts w:hint="eastAsia" w:ascii="仿宋_GB2312" w:hAnsi="仿宋_GB2312" w:eastAsia="仿宋_GB2312" w:cs="仿宋_GB2312"/>
          <w:bCs/>
          <w:color w:val="auto"/>
          <w:sz w:val="32"/>
          <w:szCs w:val="32"/>
          <w:u w:val="none"/>
          <w:lang w:val="en-US" w:eastAsia="zh-CN"/>
        </w:rPr>
        <w:t>县级以上</w:t>
      </w:r>
      <w:r>
        <w:rPr>
          <w:rFonts w:hint="eastAsia" w:ascii="仿宋_GB2312" w:hAnsi="仿宋_GB2312" w:eastAsia="仿宋_GB2312" w:cs="仿宋_GB2312"/>
          <w:color w:val="auto"/>
          <w:kern w:val="0"/>
          <w:sz w:val="32"/>
          <w:szCs w:val="32"/>
          <w:vertAlign w:val="baseline"/>
          <w:lang w:val="en-US" w:eastAsia="zh-CN" w:bidi="ar-SA"/>
        </w:rPr>
        <w:t>药品监督管理部门</w:t>
      </w:r>
      <w:r>
        <w:rPr>
          <w:rFonts w:hint="eastAsia" w:ascii="仿宋_GB2312" w:hAnsi="仿宋_GB2312" w:eastAsia="仿宋_GB2312" w:cs="仿宋_GB2312"/>
          <w:color w:val="auto"/>
          <w:sz w:val="32"/>
          <w:szCs w:val="32"/>
        </w:rPr>
        <w:t>应当根据药品经营</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的质量管理，所经营药品</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品种，检查、检验、投诉、举报等药品安全风险和信用情况，</w:t>
      </w:r>
      <w:r>
        <w:rPr>
          <w:rFonts w:hint="default" w:ascii="仿宋_GB2312" w:hAnsi="仿宋_GB2312" w:eastAsia="仿宋_GB2312" w:cs="仿宋_GB2312"/>
          <w:color w:val="auto"/>
          <w:kern w:val="0"/>
          <w:sz w:val="32"/>
          <w:szCs w:val="32"/>
          <w:vertAlign w:val="baseline"/>
          <w:lang w:val="en-US" w:eastAsia="zh-CN" w:bidi="ar-SA"/>
        </w:rPr>
        <w:t>制定年度检查计划</w:t>
      </w:r>
      <w:r>
        <w:rPr>
          <w:rFonts w:hint="eastAsia" w:ascii="仿宋_GB2312" w:hAnsi="仿宋_GB2312" w:eastAsia="仿宋_GB2312" w:cs="仿宋_GB2312"/>
          <w:color w:val="auto"/>
          <w:kern w:val="0"/>
          <w:sz w:val="32"/>
          <w:szCs w:val="32"/>
          <w:vertAlign w:val="baseline"/>
          <w:lang w:val="en-US" w:eastAsia="zh-CN" w:bidi="ar-SA"/>
        </w:rPr>
        <w:t>并实施监督检查。检查计划包括检查范围、内容、方式、频次、重点、要求、时限以及承担检查任务的机构等。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60" w:lineRule="exact"/>
        <w:ind w:left="0" w:right="0" w:firstLine="0"/>
        <w:rPr>
          <w:rFonts w:hint="eastAsia" w:ascii="仿宋_GB2312" w:hAnsi="仿宋_GB2312" w:eastAsia="仿宋_GB2312" w:cs="仿宋_GB2312"/>
          <w:i w:val="0"/>
          <w:caps w:val="0"/>
          <w:color w:val="auto"/>
          <w:spacing w:val="0"/>
          <w:sz w:val="32"/>
          <w:szCs w:val="32"/>
          <w:shd w:val="clear"/>
        </w:rPr>
      </w:pPr>
      <w:r>
        <w:rPr>
          <w:rFonts w:hint="eastAsia" w:ascii="仿宋_GB2312" w:hAnsi="仿宋_GB2312" w:eastAsia="仿宋_GB2312" w:cs="仿宋_GB2312"/>
          <w:i w:val="0"/>
          <w:caps w:val="0"/>
          <w:color w:val="auto"/>
          <w:spacing w:val="0"/>
          <w:sz w:val="32"/>
          <w:szCs w:val="32"/>
          <w:shd w:val="clear"/>
        </w:rPr>
        <w:t>　　药品监督管理部门应当将上一年度新开办的药品经营企业纳入本年度的监督检查计划，对其实施药品经营质量管理规范符合性检查。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eastAsia" w:ascii="仿宋" w:hAnsi="仿宋" w:eastAsia="仿宋" w:cs="仿宋"/>
          <w:i w:val="0"/>
          <w:iCs w:val="0"/>
          <w:caps w:val="0"/>
          <w:color w:val="333333"/>
          <w:spacing w:val="0"/>
          <w:sz w:val="31"/>
          <w:szCs w:val="31"/>
        </w:rPr>
      </w:pPr>
      <w:r>
        <w:rPr>
          <w:rFonts w:hint="eastAsia" w:ascii="黑体" w:hAnsi="黑体" w:eastAsia="黑体" w:cs="黑体"/>
          <w:bCs/>
          <w:color w:val="auto"/>
          <w:sz w:val="32"/>
          <w:szCs w:val="32"/>
          <w:u w:val="none"/>
          <w:lang w:val="en-US" w:eastAsia="zh-CN"/>
        </w:rPr>
        <w:t xml:space="preserve">第三十五条 【重点检查对象】 </w:t>
      </w:r>
      <w:r>
        <w:rPr>
          <w:rFonts w:hint="eastAsia" w:ascii="仿宋_GB2312" w:hAnsi="仿宋_GB2312" w:eastAsia="仿宋_GB2312" w:cs="仿宋_GB2312"/>
          <w:color w:val="auto"/>
          <w:kern w:val="0"/>
          <w:sz w:val="32"/>
          <w:szCs w:val="32"/>
          <w:vertAlign w:val="baseline"/>
          <w:lang w:val="en-US" w:eastAsia="zh-CN" w:bidi="ar-SA"/>
        </w:rPr>
        <w:t>具有下列情形之一的药品经营企业，应列为重点监督检查对象：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（一）麻醉药品、精神药品、医疗用毒性药品、放射性药品、药品类易制毒化学品等高风险药品经营企业；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（二）接受疫苗上市许可持有人、疫苗生产企业或疾病预防控制机构委托储存、配送疫苗的药品批发企业；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SA"/>
        </w:rPr>
        <w:t>（三）</w:t>
      </w:r>
      <w:r>
        <w:rPr>
          <w:rFonts w:hint="eastAsia" w:ascii="仿宋_GB2312" w:hAnsi="仿宋_GB2312" w:eastAsia="仿宋_GB2312" w:cs="仿宋_GB2312"/>
          <w:color w:val="auto"/>
          <w:sz w:val="32"/>
          <w:szCs w:val="32"/>
        </w:rPr>
        <w:t>产品质量抽检一年内连续出现多批不合格或者存在重大药品质量安全隐患的；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（四）</w:t>
      </w:r>
      <w:r>
        <w:rPr>
          <w:rFonts w:hint="eastAsia" w:ascii="仿宋_GB2312" w:hAnsi="仿宋_GB2312" w:eastAsia="仿宋_GB2312" w:cs="仿宋_GB2312"/>
          <w:color w:val="auto"/>
          <w:sz w:val="32"/>
          <w:szCs w:val="32"/>
        </w:rPr>
        <w:t>有重大违法违规行为被行政处罚的，一年内有群众举报或者媒体曝光并经查属实的</w:t>
      </w:r>
      <w:r>
        <w:rPr>
          <w:rFonts w:hint="eastAsia" w:ascii="仿宋_GB2312" w:hAnsi="仿宋_GB2312" w:eastAsia="仿宋_GB2312" w:cs="仿宋_GB2312"/>
          <w:color w:val="auto"/>
          <w:kern w:val="0"/>
          <w:sz w:val="32"/>
          <w:szCs w:val="32"/>
          <w:vertAlign w:val="baseli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（五）近年来监督检查发现缺陷问题较多，</w:t>
      </w:r>
      <w:r>
        <w:rPr>
          <w:rFonts w:hint="eastAsia" w:ascii="仿宋_GB2312" w:hAnsi="仿宋_GB2312" w:eastAsia="仿宋_GB2312" w:cs="仿宋_GB2312"/>
          <w:color w:val="auto"/>
          <w:kern w:val="0"/>
          <w:sz w:val="32"/>
          <w:szCs w:val="32"/>
          <w:lang w:val="en-US" w:eastAsia="zh-CN" w:bidi="ar-SA"/>
        </w:rPr>
        <w:t>综合评定为不符合规定的</w:t>
      </w:r>
      <w:r>
        <w:rPr>
          <w:rFonts w:hint="eastAsia" w:ascii="仿宋_GB2312" w:hAnsi="仿宋_GB2312" w:eastAsia="仿宋_GB2312" w:cs="仿宋_GB2312"/>
          <w:color w:val="auto"/>
          <w:kern w:val="0"/>
          <w:sz w:val="32"/>
          <w:szCs w:val="32"/>
          <w:vertAlign w:val="baseli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（六）综合评估药品安全信用等级低、风险级别高的药品经营企业；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）长期停</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或者长期停</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拟恢复</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（八）委托及被委托药品储存、配送业务较多的药品经营企业；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（九）在一年以内新开办或增加经营范围、迁址的药品经营企业；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（十）应当进行重点监督检查的其他情形。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黑体" w:hAnsi="黑体" w:eastAsia="黑体" w:cs="黑体"/>
          <w:bCs/>
          <w:color w:val="auto"/>
          <w:sz w:val="32"/>
          <w:szCs w:val="32"/>
          <w:u w:val="none"/>
          <w:lang w:val="en-US" w:eastAsia="zh-CN"/>
        </w:rPr>
        <w:t>第三十六条 【重点检查内容】</w:t>
      </w:r>
      <w:r>
        <w:rPr>
          <w:rFonts w:hint="eastAsia" w:ascii="微软雅黑" w:hAnsi="微软雅黑" w:eastAsia="微软雅黑" w:cs="微软雅黑"/>
          <w:color w:val="0000FF"/>
          <w:kern w:val="0"/>
          <w:sz w:val="32"/>
          <w:szCs w:val="32"/>
          <w:vertAlign w:val="baseline"/>
          <w:lang w:val="en-US" w:eastAsia="zh-CN" w:bidi="ar-SA"/>
        </w:rPr>
        <w:t xml:space="preserve"> </w:t>
      </w:r>
      <w:r>
        <w:rPr>
          <w:rFonts w:hint="eastAsia" w:ascii="仿宋_GB2312" w:hAnsi="仿宋_GB2312" w:eastAsia="仿宋_GB2312" w:cs="仿宋_GB2312"/>
          <w:color w:val="auto"/>
          <w:kern w:val="0"/>
          <w:sz w:val="32"/>
          <w:szCs w:val="32"/>
          <w:vertAlign w:val="baseline"/>
          <w:lang w:val="en-US" w:eastAsia="zh-CN" w:bidi="ar-SA"/>
        </w:rPr>
        <w:t>药品经营企业监督检查，包括但不限于以下重点内容：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（一）</w:t>
      </w:r>
      <w:r>
        <w:rPr>
          <w:rFonts w:hint="eastAsia" w:ascii="仿宋_GB2312" w:hAnsi="仿宋_GB2312" w:eastAsia="仿宋_GB2312" w:cs="仿宋_GB2312"/>
          <w:color w:val="auto"/>
          <w:sz w:val="32"/>
          <w:szCs w:val="32"/>
        </w:rPr>
        <w:t>药品</w:t>
      </w:r>
      <w:r>
        <w:rPr>
          <w:rFonts w:hint="eastAsia" w:ascii="仿宋_GB2312" w:hAnsi="仿宋_GB2312" w:eastAsia="仿宋_GB2312" w:cs="仿宋_GB2312"/>
          <w:color w:val="auto"/>
          <w:sz w:val="32"/>
          <w:szCs w:val="32"/>
          <w:lang w:val="en-US" w:eastAsia="zh-CN"/>
        </w:rPr>
        <w:t>经营企业</w:t>
      </w:r>
      <w:r>
        <w:rPr>
          <w:rFonts w:hint="eastAsia" w:ascii="仿宋_GB2312" w:hAnsi="仿宋_GB2312" w:eastAsia="仿宋_GB2312" w:cs="仿宋_GB2312"/>
          <w:color w:val="auto"/>
          <w:sz w:val="32"/>
          <w:szCs w:val="32"/>
        </w:rPr>
        <w:t>执行有关法律、法规及实施药品</w:t>
      </w:r>
      <w:r>
        <w:rPr>
          <w:rFonts w:hint="eastAsia" w:ascii="仿宋_GB2312" w:hAnsi="仿宋_GB2312" w:eastAsia="仿宋_GB2312" w:cs="仿宋_GB2312"/>
          <w:color w:val="auto"/>
          <w:sz w:val="32"/>
          <w:szCs w:val="32"/>
          <w:lang w:val="en-US" w:eastAsia="zh-CN"/>
        </w:rPr>
        <w:t>经营</w:t>
      </w:r>
      <w:r>
        <w:rPr>
          <w:rFonts w:hint="eastAsia" w:ascii="仿宋_GB2312" w:hAnsi="仿宋_GB2312" w:eastAsia="仿宋_GB2312" w:cs="仿宋_GB2312"/>
          <w:color w:val="auto"/>
          <w:sz w:val="32"/>
          <w:szCs w:val="32"/>
        </w:rPr>
        <w:t>质量管理规范等情况，必要时对企业</w:t>
      </w:r>
      <w:r>
        <w:rPr>
          <w:rFonts w:hint="eastAsia" w:ascii="仿宋_GB2312" w:hAnsi="仿宋_GB2312" w:eastAsia="仿宋_GB2312" w:cs="仿宋_GB2312"/>
          <w:color w:val="auto"/>
          <w:sz w:val="32"/>
          <w:szCs w:val="32"/>
          <w:lang w:val="en-US" w:eastAsia="zh-CN"/>
        </w:rPr>
        <w:t>经营</w:t>
      </w:r>
      <w:r>
        <w:rPr>
          <w:rFonts w:hint="eastAsia" w:ascii="仿宋_GB2312" w:hAnsi="仿宋_GB2312" w:eastAsia="仿宋_GB2312" w:cs="仿宋_GB2312"/>
          <w:color w:val="auto"/>
          <w:sz w:val="32"/>
          <w:szCs w:val="32"/>
        </w:rPr>
        <w:t>质量活动管理和操作人员履职能力进行评估；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（二）</w:t>
      </w:r>
      <w:r>
        <w:rPr>
          <w:rFonts w:hint="eastAsia" w:ascii="仿宋_GB2312" w:hAnsi="仿宋_GB2312" w:eastAsia="仿宋_GB2312" w:cs="仿宋_GB2312"/>
          <w:color w:val="auto"/>
          <w:sz w:val="32"/>
          <w:szCs w:val="32"/>
        </w:rPr>
        <w:t>药品</w:t>
      </w:r>
      <w:r>
        <w:rPr>
          <w:rFonts w:hint="eastAsia" w:ascii="仿宋_GB2312" w:hAnsi="仿宋_GB2312" w:eastAsia="仿宋_GB2312" w:cs="仿宋_GB2312"/>
          <w:color w:val="auto"/>
          <w:sz w:val="32"/>
          <w:szCs w:val="32"/>
          <w:lang w:val="en-US" w:eastAsia="zh-CN"/>
        </w:rPr>
        <w:t>经营活动</w:t>
      </w:r>
      <w:r>
        <w:rPr>
          <w:rFonts w:hint="eastAsia" w:ascii="仿宋_GB2312" w:hAnsi="仿宋_GB2312" w:eastAsia="仿宋_GB2312" w:cs="仿宋_GB2312"/>
          <w:color w:val="auto"/>
          <w:kern w:val="0"/>
          <w:sz w:val="32"/>
          <w:szCs w:val="32"/>
          <w:vertAlign w:val="baseline"/>
          <w:lang w:val="en-US" w:eastAsia="zh-CN" w:bidi="ar-SA"/>
        </w:rPr>
        <w:t>是否与《药品经营许可证》载明事项一致；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（三）药品购进渠道和销售流向是否合法，并按规定建立相应记录和留存票据；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（四）是否建立计算机管理信息系统，保证所有经营药品来源可溯去向可查；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（五）是否按照国家要求</w:t>
      </w:r>
      <w:r>
        <w:rPr>
          <w:rFonts w:hint="eastAsia" w:ascii="仿宋_GB2312" w:hAnsi="仿宋_GB2312" w:eastAsia="仿宋_GB2312" w:cs="仿宋_GB2312"/>
          <w:b w:val="0"/>
          <w:bCs w:val="0"/>
          <w:i w:val="0"/>
          <w:iCs w:val="0"/>
          <w:caps w:val="0"/>
          <w:color w:val="auto"/>
          <w:spacing w:val="0"/>
          <w:kern w:val="0"/>
          <w:sz w:val="32"/>
          <w:szCs w:val="32"/>
          <w:shd w:val="clear"/>
        </w:rPr>
        <w:t>建立并实施药品追溯制度，按照规定</w:t>
      </w:r>
      <w:r>
        <w:rPr>
          <w:rFonts w:hint="eastAsia" w:ascii="仿宋_GB2312" w:hAnsi="仿宋_GB2312" w:eastAsia="仿宋_GB2312" w:cs="仿宋_GB2312"/>
          <w:color w:val="auto"/>
          <w:spacing w:val="0"/>
          <w:kern w:val="0"/>
          <w:sz w:val="32"/>
          <w:szCs w:val="32"/>
          <w:lang w:val="en-US" w:eastAsia="zh-CN" w:bidi="ar"/>
        </w:rPr>
        <w:t>开展追溯数据校验和采集，按规定提供药品追溯信息；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（六）药品委托储存配送情况；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（七）零售连锁总部是否具有确保“七统一”管理的制度并有效实施；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SA"/>
        </w:rPr>
        <w:t>（八）</w:t>
      </w:r>
      <w:r>
        <w:rPr>
          <w:rFonts w:hint="eastAsia" w:ascii="仿宋_GB2312" w:hAnsi="仿宋_GB2312" w:eastAsia="仿宋_GB2312" w:cs="仿宋_GB2312"/>
          <w:color w:val="auto"/>
          <w:sz w:val="32"/>
          <w:szCs w:val="32"/>
        </w:rPr>
        <w:t>药品监督管理部门认为需要检查的其他内容。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eastAsia="仿宋_GB2312"/>
          <w:strike/>
          <w:color w:val="auto"/>
        </w:rPr>
      </w:pPr>
      <w:r>
        <w:rPr>
          <w:rFonts w:hint="eastAsia" w:ascii="仿宋_GB2312" w:hAnsi="仿宋_GB2312" w:eastAsia="仿宋_GB2312" w:cs="仿宋_GB2312"/>
          <w:color w:val="auto"/>
          <w:sz w:val="32"/>
          <w:szCs w:val="32"/>
        </w:rPr>
        <w:t>药品监督管理部门开展监督检查时，可以根据被检查单位风险情况进行全面检查，也可以对某一环节或者依据检查方案规定的内容进行检查。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u w:val="none"/>
          <w:lang w:val="en-US" w:eastAsia="zh-CN"/>
        </w:rPr>
        <w:t xml:space="preserve">第三十七条 </w:t>
      </w:r>
      <w:r>
        <w:rPr>
          <w:rFonts w:hint="eastAsia" w:ascii="仿宋_GB2312" w:hAnsi="黑体" w:eastAsia="仿宋_GB2312"/>
          <w:bCs/>
          <w:color w:val="auto"/>
          <w:sz w:val="32"/>
          <w:szCs w:val="32"/>
          <w:u w:val="none"/>
          <w:lang w:val="en-US" w:eastAsia="zh-CN"/>
        </w:rPr>
        <w:t>【</w:t>
      </w:r>
      <w:r>
        <w:rPr>
          <w:rFonts w:hint="eastAsia" w:ascii="黑体" w:hAnsi="黑体" w:eastAsia="黑体" w:cs="黑体"/>
          <w:bCs/>
          <w:color w:val="auto"/>
          <w:kern w:val="0"/>
          <w:sz w:val="32"/>
          <w:szCs w:val="32"/>
          <w:u w:val="none"/>
          <w:lang w:val="en-US" w:eastAsia="zh-CN" w:bidi="ar-SA"/>
        </w:rPr>
        <w:t>监督检查频次</w:t>
      </w:r>
      <w:r>
        <w:rPr>
          <w:rFonts w:hint="eastAsia" w:ascii="仿宋_GB2312" w:hAnsi="黑体" w:eastAsia="仿宋_GB2312"/>
          <w:bCs/>
          <w:color w:val="auto"/>
          <w:sz w:val="32"/>
          <w:szCs w:val="32"/>
          <w:u w:val="none"/>
          <w:lang w:val="en-US" w:eastAsia="zh-CN"/>
        </w:rPr>
        <w:t>】</w:t>
      </w:r>
      <w:r>
        <w:rPr>
          <w:rFonts w:hint="eastAsia" w:ascii="仿宋_GB2312" w:hAnsi="仿宋_GB2312" w:eastAsia="仿宋_GB2312" w:cs="仿宋_GB2312"/>
          <w:color w:val="auto"/>
          <w:sz w:val="32"/>
          <w:szCs w:val="32"/>
        </w:rPr>
        <w:t>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检查频次应当按照药品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管理相关规章要求执行，其中</w:t>
      </w:r>
      <w:r>
        <w:rPr>
          <w:rFonts w:hint="eastAsia" w:ascii="仿宋_GB2312" w:hAnsi="仿宋_GB2312" w:eastAsia="仿宋_GB2312" w:cs="仿宋_GB2312"/>
          <w:color w:val="auto"/>
          <w:sz w:val="32"/>
          <w:szCs w:val="32"/>
          <w:lang w:eastAsia="zh-CN"/>
        </w:rPr>
        <w:t>特殊药品经营企业</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i w:val="0"/>
          <w:caps w:val="0"/>
          <w:color w:val="auto"/>
          <w:spacing w:val="0"/>
          <w:sz w:val="32"/>
          <w:szCs w:val="32"/>
          <w:shd w:val="clear"/>
        </w:rPr>
      </w:pPr>
      <w:r>
        <w:rPr>
          <w:rFonts w:hint="eastAsia" w:ascii="仿宋_GB2312" w:hAnsi="仿宋_GB2312" w:eastAsia="仿宋_GB2312" w:cs="仿宋_GB2312"/>
          <w:i w:val="0"/>
          <w:caps w:val="0"/>
          <w:color w:val="auto"/>
          <w:spacing w:val="0"/>
          <w:kern w:val="0"/>
          <w:sz w:val="32"/>
          <w:szCs w:val="32"/>
          <w:shd w:val="clear"/>
        </w:rPr>
        <w:t>（一）</w:t>
      </w:r>
      <w:r>
        <w:rPr>
          <w:rFonts w:hint="eastAsia" w:ascii="仿宋_GB2312" w:hAnsi="仿宋_GB2312" w:eastAsia="仿宋_GB2312" w:cs="仿宋_GB2312"/>
          <w:i w:val="0"/>
          <w:caps w:val="0"/>
          <w:color w:val="auto"/>
          <w:spacing w:val="0"/>
          <w:sz w:val="32"/>
          <w:szCs w:val="32"/>
          <w:shd w:val="clear"/>
        </w:rPr>
        <w:t>对麻醉药品和第一类精神药品、药品类易制毒化学品经营企业检查，每半年不少于一次；</w:t>
      </w:r>
    </w:p>
    <w:p>
      <w:pPr>
        <w:spacing w:line="560" w:lineRule="exact"/>
        <w:ind w:firstLine="640" w:firstLineChars="200"/>
        <w:rPr>
          <w:rFonts w:hint="eastAsia" w:ascii="仿宋_GB2312" w:hAnsi="仿宋_GB2312" w:eastAsia="仿宋_GB2312" w:cs="仿宋_GB2312"/>
          <w:i w:val="0"/>
          <w:caps w:val="0"/>
          <w:color w:val="auto"/>
          <w:spacing w:val="0"/>
          <w:sz w:val="32"/>
          <w:szCs w:val="32"/>
          <w:shd w:val="clear"/>
        </w:rPr>
      </w:pPr>
      <w:r>
        <w:rPr>
          <w:rFonts w:hint="eastAsia" w:ascii="仿宋_GB2312" w:hAnsi="仿宋_GB2312" w:eastAsia="仿宋_GB2312" w:cs="仿宋_GB2312"/>
          <w:i w:val="0"/>
          <w:caps w:val="0"/>
          <w:color w:val="auto"/>
          <w:spacing w:val="0"/>
          <w:sz w:val="32"/>
          <w:szCs w:val="32"/>
          <w:shd w:val="clear"/>
        </w:rPr>
        <w:t>（二）对第二类精神药品、医疗用毒性药品经营企业检查，每年不少于一次；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rPr>
        <w:t>（三）</w:t>
      </w:r>
      <w:r>
        <w:rPr>
          <w:rFonts w:hint="eastAsia" w:ascii="仿宋_GB2312" w:hAnsi="仿宋_GB2312" w:eastAsia="仿宋_GB2312" w:cs="仿宋_GB2312"/>
          <w:i w:val="0"/>
          <w:caps w:val="0"/>
          <w:color w:val="auto"/>
          <w:spacing w:val="0"/>
          <w:sz w:val="32"/>
          <w:szCs w:val="32"/>
          <w:shd w:val="clear"/>
          <w:lang w:eastAsia="zh-CN"/>
        </w:rPr>
        <w:t>对</w:t>
      </w:r>
      <w:r>
        <w:rPr>
          <w:rFonts w:hint="eastAsia" w:ascii="仿宋_GB2312" w:hAnsi="仿宋_GB2312" w:eastAsia="仿宋_GB2312" w:cs="仿宋_GB2312"/>
          <w:color w:val="auto"/>
          <w:sz w:val="32"/>
          <w:szCs w:val="32"/>
        </w:rPr>
        <w:t>放射性药品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企业每年检查不少于一次。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除第三</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条要求外，特殊药品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企业检查还应当包括企业保障药品管理安全、防止流入非法渠道等有关规定的执行情况。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bCs/>
          <w:color w:val="auto"/>
          <w:sz w:val="32"/>
          <w:szCs w:val="32"/>
          <w:u w:val="none"/>
          <w:lang w:val="en-US" w:eastAsia="zh-CN"/>
        </w:rPr>
        <w:t>第三十八条【检查方式】</w:t>
      </w:r>
      <w:r>
        <w:rPr>
          <w:rFonts w:hint="eastAsia" w:ascii="仿宋_GB2312" w:hAnsi="仿宋_GB2312" w:eastAsia="仿宋_GB2312" w:cs="仿宋_GB2312"/>
          <w:i w:val="0"/>
          <w:iCs w:val="0"/>
          <w:caps w:val="0"/>
          <w:color w:val="000000"/>
          <w:spacing w:val="0"/>
          <w:sz w:val="32"/>
          <w:szCs w:val="32"/>
          <w:shd w:val="clear" w:fill="FFFFFF"/>
        </w:rPr>
        <w:t>检查方式包括现场检查和</w:t>
      </w:r>
      <w:r>
        <w:rPr>
          <w:rFonts w:hint="eastAsia" w:ascii="仿宋_GB2312" w:hAnsi="仿宋_GB2312" w:eastAsia="仿宋_GB2312" w:cs="仿宋_GB2312"/>
          <w:i w:val="0"/>
          <w:iCs w:val="0"/>
          <w:caps w:val="0"/>
          <w:color w:val="000000"/>
          <w:spacing w:val="0"/>
          <w:sz w:val="32"/>
          <w:szCs w:val="32"/>
          <w:shd w:val="clear" w:fill="FFFFFF"/>
          <w:lang w:eastAsia="zh-CN"/>
        </w:rPr>
        <w:t>远程</w:t>
      </w:r>
      <w:r>
        <w:rPr>
          <w:rFonts w:hint="eastAsia" w:ascii="仿宋_GB2312" w:hAnsi="仿宋_GB2312" w:eastAsia="仿宋_GB2312" w:cs="仿宋_GB2312"/>
          <w:i w:val="0"/>
          <w:iCs w:val="0"/>
          <w:caps w:val="0"/>
          <w:color w:val="000000"/>
          <w:spacing w:val="0"/>
          <w:sz w:val="32"/>
          <w:szCs w:val="32"/>
          <w:shd w:val="clear" w:fill="FFFFFF"/>
        </w:rPr>
        <w:t>检查。现场检查指检查人员到企业开展</w:t>
      </w:r>
      <w:r>
        <w:rPr>
          <w:rFonts w:hint="eastAsia" w:ascii="仿宋_GB2312" w:hAnsi="仿宋_GB2312" w:eastAsia="仿宋_GB2312" w:cs="仿宋_GB2312"/>
          <w:i w:val="0"/>
          <w:iCs w:val="0"/>
          <w:caps w:val="0"/>
          <w:color w:val="000000"/>
          <w:spacing w:val="0"/>
          <w:sz w:val="32"/>
          <w:szCs w:val="32"/>
          <w:shd w:val="clear" w:fill="FFFFFF"/>
          <w:lang w:eastAsia="zh-CN"/>
        </w:rPr>
        <w:t>药品经营</w:t>
      </w:r>
      <w:r>
        <w:rPr>
          <w:rFonts w:hint="eastAsia" w:ascii="仿宋_GB2312" w:hAnsi="仿宋_GB2312" w:eastAsia="仿宋_GB2312" w:cs="仿宋_GB2312"/>
          <w:i w:val="0"/>
          <w:iCs w:val="0"/>
          <w:caps w:val="0"/>
          <w:color w:val="000000"/>
          <w:spacing w:val="0"/>
          <w:sz w:val="32"/>
          <w:szCs w:val="32"/>
          <w:shd w:val="clear" w:fill="FFFFFF"/>
        </w:rPr>
        <w:t>业务的经营场所进行检查。</w:t>
      </w:r>
      <w:r>
        <w:rPr>
          <w:rFonts w:hint="eastAsia" w:ascii="仿宋_GB2312" w:hAnsi="仿宋_GB2312" w:eastAsia="仿宋_GB2312" w:cs="仿宋_GB2312"/>
          <w:i w:val="0"/>
          <w:iCs w:val="0"/>
          <w:caps w:val="0"/>
          <w:color w:val="000000"/>
          <w:spacing w:val="0"/>
          <w:sz w:val="32"/>
          <w:szCs w:val="32"/>
          <w:shd w:val="clear" w:fill="FFFFFF"/>
          <w:lang w:eastAsia="zh-CN"/>
        </w:rPr>
        <w:t>远程</w:t>
      </w:r>
      <w:r>
        <w:rPr>
          <w:rFonts w:hint="eastAsia" w:ascii="仿宋_GB2312" w:hAnsi="仿宋_GB2312" w:eastAsia="仿宋_GB2312" w:cs="仿宋_GB2312"/>
          <w:i w:val="0"/>
          <w:iCs w:val="0"/>
          <w:caps w:val="0"/>
          <w:color w:val="000000"/>
          <w:spacing w:val="0"/>
          <w:sz w:val="32"/>
          <w:szCs w:val="32"/>
          <w:shd w:val="clear" w:fill="FFFFFF"/>
        </w:rPr>
        <w:t>检查指</w:t>
      </w:r>
      <w:r>
        <w:rPr>
          <w:rFonts w:hint="eastAsia" w:ascii="仿宋_GB2312" w:hAnsi="仿宋_GB2312" w:eastAsia="仿宋_GB2312" w:cs="仿宋_GB2312"/>
          <w:i w:val="0"/>
          <w:iCs w:val="0"/>
          <w:caps w:val="0"/>
          <w:color w:val="333333"/>
          <w:spacing w:val="0"/>
          <w:sz w:val="32"/>
          <w:szCs w:val="32"/>
          <w:shd w:val="clear" w:fill="FFFFFF"/>
          <w:lang w:eastAsia="zh-CN"/>
        </w:rPr>
        <w:t>检查人员采用资料审核、远程视频、</w:t>
      </w:r>
      <w:r>
        <w:rPr>
          <w:rFonts w:hint="eastAsia" w:ascii="仿宋_GB2312" w:hAnsi="仿宋_GB2312" w:eastAsia="仿宋_GB2312" w:cs="仿宋_GB2312"/>
          <w:i w:val="0"/>
          <w:iCs w:val="0"/>
          <w:caps w:val="0"/>
          <w:color w:val="000000"/>
          <w:spacing w:val="0"/>
          <w:sz w:val="32"/>
          <w:szCs w:val="32"/>
          <w:shd w:val="clear" w:fill="FFFFFF"/>
        </w:rPr>
        <w:t>网络</w:t>
      </w:r>
      <w:r>
        <w:rPr>
          <w:rFonts w:hint="eastAsia" w:ascii="仿宋_GB2312" w:hAnsi="仿宋_GB2312" w:eastAsia="仿宋_GB2312" w:cs="仿宋_GB2312"/>
          <w:i w:val="0"/>
          <w:iCs w:val="0"/>
          <w:caps w:val="0"/>
          <w:color w:val="333333"/>
          <w:spacing w:val="0"/>
          <w:sz w:val="32"/>
          <w:szCs w:val="32"/>
          <w:shd w:val="clear" w:fill="FFFFFF"/>
        </w:rPr>
        <w:t>巡查、</w:t>
      </w:r>
      <w:r>
        <w:rPr>
          <w:rFonts w:hint="eastAsia" w:ascii="仿宋_GB2312" w:hAnsi="仿宋_GB2312" w:eastAsia="仿宋_GB2312" w:cs="仿宋_GB2312"/>
          <w:i w:val="0"/>
          <w:iCs w:val="0"/>
          <w:caps w:val="0"/>
          <w:color w:val="000000"/>
          <w:spacing w:val="0"/>
          <w:sz w:val="32"/>
          <w:szCs w:val="32"/>
          <w:shd w:val="clear" w:fill="FFFFFF"/>
        </w:rPr>
        <w:t>监测</w:t>
      </w:r>
      <w:r>
        <w:rPr>
          <w:rFonts w:hint="eastAsia" w:ascii="仿宋_GB2312" w:hAnsi="仿宋_GB2312" w:eastAsia="仿宋_GB2312" w:cs="仿宋_GB2312"/>
          <w:i w:val="0"/>
          <w:iCs w:val="0"/>
          <w:caps w:val="0"/>
          <w:color w:val="333333"/>
          <w:spacing w:val="0"/>
          <w:sz w:val="32"/>
          <w:szCs w:val="32"/>
          <w:shd w:val="clear" w:fill="FFFFFF"/>
          <w:lang w:eastAsia="zh-CN"/>
        </w:rPr>
        <w:t>检查</w:t>
      </w:r>
      <w:r>
        <w:rPr>
          <w:rFonts w:hint="eastAsia" w:ascii="仿宋_GB2312" w:hAnsi="仿宋_GB2312" w:eastAsia="仿宋_GB2312" w:cs="仿宋_GB2312"/>
          <w:i w:val="0"/>
          <w:iCs w:val="0"/>
          <w:caps w:val="0"/>
          <w:color w:val="000000"/>
          <w:spacing w:val="0"/>
          <w:sz w:val="32"/>
          <w:szCs w:val="32"/>
          <w:shd w:val="clear" w:fill="FFFFFF"/>
        </w:rPr>
        <w:t>等非现场方式开展的检查。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飞行检查或有因检查</w:t>
      </w:r>
      <w:r>
        <w:rPr>
          <w:rFonts w:hint="eastAsia" w:ascii="仿宋_GB2312" w:hAnsi="仿宋_GB2312" w:eastAsia="仿宋_GB2312" w:cs="仿宋_GB2312"/>
          <w:i w:val="0"/>
          <w:iCs w:val="0"/>
          <w:caps w:val="0"/>
          <w:color w:val="000000"/>
          <w:spacing w:val="0"/>
          <w:sz w:val="32"/>
          <w:szCs w:val="32"/>
          <w:shd w:val="clear" w:fill="FFFFFF"/>
          <w:lang w:eastAsia="zh-CN"/>
        </w:rPr>
        <w:t>原则上</w:t>
      </w:r>
      <w:r>
        <w:rPr>
          <w:rFonts w:hint="eastAsia" w:ascii="仿宋_GB2312" w:hAnsi="仿宋_GB2312" w:eastAsia="仿宋_GB2312" w:cs="仿宋_GB2312"/>
          <w:i w:val="0"/>
          <w:iCs w:val="0"/>
          <w:caps w:val="0"/>
          <w:color w:val="000000"/>
          <w:spacing w:val="0"/>
          <w:sz w:val="32"/>
          <w:szCs w:val="32"/>
          <w:shd w:val="clear" w:fill="FFFFFF"/>
        </w:rPr>
        <w:t>不采用远程检查的方式开展检查。远程检查过程中如发现重大问题,</w:t>
      </w:r>
      <w:r>
        <w:rPr>
          <w:rFonts w:hint="eastAsia" w:ascii="仿宋_GB2312" w:hAnsi="仿宋_GB2312" w:eastAsia="仿宋_GB2312" w:cs="仿宋_GB2312"/>
          <w:i w:val="0"/>
          <w:iCs w:val="0"/>
          <w:caps w:val="0"/>
          <w:color w:val="000000"/>
          <w:spacing w:val="0"/>
          <w:sz w:val="32"/>
          <w:szCs w:val="32"/>
          <w:shd w:val="clear" w:fill="FFFFFF"/>
          <w:lang w:eastAsia="zh-CN"/>
        </w:rPr>
        <w:t>应当</w:t>
      </w:r>
      <w:r>
        <w:rPr>
          <w:rFonts w:hint="eastAsia" w:ascii="仿宋_GB2312" w:hAnsi="仿宋_GB2312" w:eastAsia="仿宋_GB2312" w:cs="仿宋_GB2312"/>
          <w:i w:val="0"/>
          <w:iCs w:val="0"/>
          <w:caps w:val="0"/>
          <w:color w:val="000000"/>
          <w:spacing w:val="0"/>
          <w:sz w:val="32"/>
          <w:szCs w:val="32"/>
          <w:shd w:val="clear" w:fill="FFFFFF"/>
        </w:rPr>
        <w:t>及时转为现场检查。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bCs/>
          <w:color w:val="auto"/>
          <w:sz w:val="32"/>
          <w:szCs w:val="32"/>
          <w:u w:val="none"/>
          <w:lang w:val="en-US" w:eastAsia="zh-CN"/>
        </w:rPr>
        <w:t>第三十九条【检查的协同】</w:t>
      </w:r>
      <w:r>
        <w:rPr>
          <w:rFonts w:hint="eastAsia" w:ascii="仿宋_GB2312" w:hAnsi="仿宋_GB2312" w:eastAsia="仿宋_GB2312" w:cs="仿宋_GB2312"/>
          <w:i w:val="0"/>
          <w:caps w:val="0"/>
          <w:color w:val="000000"/>
          <w:spacing w:val="0"/>
          <w:sz w:val="32"/>
          <w:szCs w:val="32"/>
          <w:shd w:val="clear" w:fill="FFFFFF"/>
        </w:rPr>
        <w:t>药品经营企业与受托开展药品经营相关活动的受托方</w:t>
      </w:r>
      <w:r>
        <w:rPr>
          <w:rFonts w:hint="eastAsia" w:ascii="仿宋_GB2312" w:hAnsi="仿宋_GB2312" w:eastAsia="仿宋_GB2312" w:cs="仿宋_GB2312"/>
          <w:i w:val="0"/>
          <w:iCs w:val="0"/>
          <w:caps w:val="0"/>
          <w:color w:val="000000"/>
          <w:spacing w:val="0"/>
          <w:sz w:val="32"/>
          <w:szCs w:val="32"/>
          <w:shd w:val="clear" w:fill="FFFFFF"/>
        </w:rPr>
        <w:t>不在同一</w:t>
      </w:r>
      <w:r>
        <w:rPr>
          <w:rFonts w:hint="eastAsia" w:ascii="仿宋_GB2312" w:hAnsi="仿宋_GB2312" w:eastAsia="仿宋_GB2312" w:cs="仿宋_GB2312"/>
          <w:i w:val="0"/>
          <w:iCs w:val="0"/>
          <w:caps w:val="0"/>
          <w:color w:val="000000"/>
          <w:spacing w:val="0"/>
          <w:sz w:val="32"/>
          <w:szCs w:val="32"/>
          <w:shd w:val="clear" w:fill="FFFFFF"/>
          <w:lang w:eastAsia="zh-CN"/>
        </w:rPr>
        <w:t>监管区域或者异地设库的</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药品经营</w:t>
      </w:r>
      <w:r>
        <w:rPr>
          <w:rFonts w:hint="eastAsia" w:ascii="仿宋_GB2312" w:hAnsi="仿宋_GB2312" w:eastAsia="仿宋_GB2312" w:cs="仿宋_GB2312"/>
          <w:i w:val="0"/>
          <w:iCs w:val="0"/>
          <w:caps w:val="0"/>
          <w:color w:val="000000"/>
          <w:spacing w:val="0"/>
          <w:sz w:val="32"/>
          <w:szCs w:val="32"/>
          <w:shd w:val="clear" w:fill="FFFFFF"/>
        </w:rPr>
        <w:t>企业所在地药品监督管理部门需要跨区域开展检查的，可以采取联合检查、委托检查等方式进行。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对受托检查中发现相关问题的，应当通报</w:t>
      </w:r>
      <w:r>
        <w:rPr>
          <w:rFonts w:hint="eastAsia" w:ascii="仿宋_GB2312" w:hAnsi="仿宋_GB2312" w:eastAsia="仿宋_GB2312" w:cs="仿宋_GB2312"/>
          <w:i w:val="0"/>
          <w:iCs w:val="0"/>
          <w:caps w:val="0"/>
          <w:color w:val="000000"/>
          <w:spacing w:val="0"/>
          <w:sz w:val="32"/>
          <w:szCs w:val="32"/>
          <w:shd w:val="clear" w:fill="FFFFFF"/>
          <w:lang w:eastAsia="zh-CN"/>
        </w:rPr>
        <w:t>委托的</w:t>
      </w:r>
      <w:r>
        <w:rPr>
          <w:rFonts w:hint="eastAsia" w:ascii="仿宋_GB2312" w:hAnsi="仿宋_GB2312" w:eastAsia="仿宋_GB2312" w:cs="仿宋_GB2312"/>
          <w:i w:val="0"/>
          <w:iCs w:val="0"/>
          <w:caps w:val="0"/>
          <w:color w:val="000000"/>
          <w:spacing w:val="0"/>
          <w:sz w:val="32"/>
          <w:szCs w:val="32"/>
          <w:shd w:val="clear" w:fill="FFFFFF"/>
        </w:rPr>
        <w:t>药品监督管理部门；发现可能存在</w:t>
      </w:r>
      <w:r>
        <w:rPr>
          <w:rFonts w:hint="eastAsia" w:ascii="仿宋_GB2312" w:hAnsi="仿宋_GB2312" w:eastAsia="仿宋_GB2312" w:cs="仿宋_GB2312"/>
          <w:i w:val="0"/>
          <w:iCs w:val="0"/>
          <w:caps w:val="0"/>
          <w:color w:val="000000"/>
          <w:spacing w:val="0"/>
          <w:sz w:val="32"/>
          <w:szCs w:val="32"/>
          <w:shd w:val="clear" w:fill="FFFFFF"/>
          <w:lang w:eastAsia="zh-CN"/>
        </w:rPr>
        <w:t>药品</w:t>
      </w:r>
      <w:r>
        <w:rPr>
          <w:rFonts w:hint="eastAsia" w:ascii="仿宋_GB2312" w:hAnsi="仿宋_GB2312" w:eastAsia="仿宋_GB2312" w:cs="仿宋_GB2312"/>
          <w:i w:val="0"/>
          <w:iCs w:val="0"/>
          <w:caps w:val="0"/>
          <w:color w:val="000000"/>
          <w:spacing w:val="0"/>
          <w:sz w:val="32"/>
          <w:szCs w:val="32"/>
          <w:shd w:val="clear" w:fill="FFFFFF"/>
        </w:rPr>
        <w:t>质量安全风险的，受托</w:t>
      </w:r>
      <w:r>
        <w:rPr>
          <w:rFonts w:hint="eastAsia" w:ascii="仿宋_GB2312" w:hAnsi="仿宋_GB2312" w:eastAsia="仿宋_GB2312" w:cs="仿宋_GB2312"/>
          <w:i w:val="0"/>
          <w:iCs w:val="0"/>
          <w:caps w:val="0"/>
          <w:color w:val="000000"/>
          <w:spacing w:val="0"/>
          <w:sz w:val="32"/>
          <w:szCs w:val="32"/>
          <w:shd w:val="clear" w:fill="FFFFFF"/>
          <w:lang w:eastAsia="zh-CN"/>
        </w:rPr>
        <w:t>药品药品监管部门</w:t>
      </w:r>
      <w:r>
        <w:rPr>
          <w:rFonts w:hint="eastAsia" w:ascii="仿宋_GB2312" w:hAnsi="仿宋_GB2312" w:eastAsia="仿宋_GB2312" w:cs="仿宋_GB2312"/>
          <w:i w:val="0"/>
          <w:iCs w:val="0"/>
          <w:caps w:val="0"/>
          <w:color w:val="000000"/>
          <w:spacing w:val="0"/>
          <w:sz w:val="32"/>
          <w:szCs w:val="32"/>
          <w:shd w:val="clear" w:fill="FFFFFF"/>
        </w:rPr>
        <w:t>应当立即采取风险控制措施，并将相关情况通报</w:t>
      </w:r>
      <w:r>
        <w:rPr>
          <w:rFonts w:hint="eastAsia" w:ascii="仿宋_GB2312" w:hAnsi="仿宋_GB2312" w:eastAsia="仿宋_GB2312" w:cs="仿宋_GB2312"/>
          <w:i w:val="0"/>
          <w:iCs w:val="0"/>
          <w:caps w:val="0"/>
          <w:color w:val="000000"/>
          <w:spacing w:val="0"/>
          <w:sz w:val="32"/>
          <w:szCs w:val="32"/>
          <w:shd w:val="clear" w:fill="FFFFFF"/>
          <w:lang w:eastAsia="zh-CN"/>
        </w:rPr>
        <w:t>委托的</w:t>
      </w:r>
      <w:r>
        <w:rPr>
          <w:rFonts w:hint="eastAsia" w:ascii="仿宋_GB2312" w:hAnsi="仿宋_GB2312" w:eastAsia="仿宋_GB2312" w:cs="仿宋_GB2312"/>
          <w:i w:val="0"/>
          <w:iCs w:val="0"/>
          <w:caps w:val="0"/>
          <w:color w:val="000000"/>
          <w:spacing w:val="0"/>
          <w:sz w:val="32"/>
          <w:szCs w:val="32"/>
          <w:shd w:val="clear" w:fill="FFFFFF"/>
        </w:rPr>
        <w:t>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rPr>
      </w:pP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第</w:t>
      </w:r>
      <w:r>
        <w:rPr>
          <w:rFonts w:hint="eastAsia" w:ascii="Calibri" w:hAnsi="Calibri" w:eastAsia="黑体" w:cs="Times New Roman"/>
          <w:bCs w:val="0"/>
          <w:color w:val="000000" w:themeColor="text1"/>
          <w:kern w:val="2"/>
          <w:sz w:val="32"/>
          <w:szCs w:val="32"/>
          <w:u w:val="none"/>
          <w:lang w:val="en-US" w:eastAsia="zh-CN"/>
          <w14:textFill>
            <w14:solidFill>
              <w14:schemeClr w14:val="tx1"/>
            </w14:solidFill>
          </w14:textFill>
        </w:rPr>
        <w:t>四十</w:t>
      </w: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条 </w:t>
      </w:r>
      <w:r>
        <w:rPr>
          <w:rFonts w:hint="eastAsia" w:ascii="黑体" w:hAnsi="黑体" w:eastAsia="黑体" w:cs="黑体"/>
          <w:bCs/>
          <w:color w:val="auto"/>
          <w:sz w:val="32"/>
          <w:szCs w:val="32"/>
          <w:u w:val="none"/>
          <w:lang w:val="en-US" w:eastAsia="zh-CN"/>
        </w:rPr>
        <w:t xml:space="preserve"> 【检查组组成和要求】</w:t>
      </w:r>
      <w:r>
        <w:rPr>
          <w:rFonts w:hint="eastAsia" w:ascii="微软雅黑" w:hAnsi="微软雅黑" w:eastAsia="微软雅黑" w:cs="微软雅黑"/>
          <w:color w:val="0000FF"/>
          <w:kern w:val="0"/>
          <w:sz w:val="32"/>
          <w:szCs w:val="32"/>
          <w:vertAlign w:val="baseline"/>
          <w:lang w:val="en-US" w:eastAsia="zh-CN" w:bidi="ar-SA"/>
        </w:rPr>
        <w:t xml:space="preserve"> </w:t>
      </w:r>
      <w:r>
        <w:rPr>
          <w:rFonts w:hint="default" w:ascii="微软雅黑" w:hAnsi="微软雅黑" w:eastAsia="微软雅黑" w:cs="微软雅黑"/>
          <w:i w:val="0"/>
          <w:caps w:val="0"/>
          <w:color w:val="333333"/>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rPr>
        <w:t>检查组应当由两名以上检查人员组成，实行组长负责制。检查员应当具备与被检查</w:t>
      </w:r>
      <w:r>
        <w:rPr>
          <w:rFonts w:hint="eastAsia" w:ascii="仿宋_GB2312" w:hAnsi="仿宋_GB2312" w:eastAsia="仿宋_GB2312" w:cs="仿宋_GB2312"/>
          <w:i w:val="0"/>
          <w:caps w:val="0"/>
          <w:color w:val="auto"/>
          <w:spacing w:val="0"/>
          <w:sz w:val="32"/>
          <w:szCs w:val="32"/>
          <w:shd w:val="clear"/>
          <w:lang w:eastAsia="zh-CN"/>
        </w:rPr>
        <w:t>企业</w:t>
      </w:r>
      <w:r>
        <w:rPr>
          <w:rFonts w:hint="eastAsia" w:ascii="仿宋_GB2312" w:hAnsi="仿宋_GB2312" w:eastAsia="仿宋_GB2312" w:cs="仿宋_GB2312"/>
          <w:i w:val="0"/>
          <w:caps w:val="0"/>
          <w:color w:val="auto"/>
          <w:spacing w:val="0"/>
          <w:sz w:val="32"/>
          <w:szCs w:val="32"/>
          <w:shd w:val="clear"/>
        </w:rPr>
        <w:t>品种</w:t>
      </w:r>
      <w:r>
        <w:rPr>
          <w:rFonts w:hint="eastAsia" w:ascii="仿宋_GB2312" w:hAnsi="仿宋_GB2312" w:eastAsia="仿宋_GB2312" w:cs="仿宋_GB2312"/>
          <w:i w:val="0"/>
          <w:caps w:val="0"/>
          <w:color w:val="auto"/>
          <w:spacing w:val="0"/>
          <w:sz w:val="32"/>
          <w:szCs w:val="32"/>
          <w:shd w:val="clear"/>
          <w:lang w:eastAsia="zh-CN"/>
        </w:rPr>
        <w:t>类别</w:t>
      </w:r>
      <w:r>
        <w:rPr>
          <w:rFonts w:hint="eastAsia" w:ascii="仿宋_GB2312" w:hAnsi="仿宋_GB2312" w:eastAsia="仿宋_GB2312" w:cs="仿宋_GB2312"/>
          <w:i w:val="0"/>
          <w:caps w:val="0"/>
          <w:color w:val="auto"/>
          <w:spacing w:val="0"/>
          <w:sz w:val="32"/>
          <w:szCs w:val="32"/>
          <w:shd w:val="clear"/>
        </w:rPr>
        <w:t>相应的专业知识、培训经历、从业经验和必要的法律知识。必要时可以选派相关领域专家参加检查工作。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rPr>
      </w:pP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第</w:t>
      </w:r>
      <w:r>
        <w:rPr>
          <w:rFonts w:hint="eastAsia" w:ascii="Calibri" w:hAnsi="Calibri" w:eastAsia="黑体" w:cs="Times New Roman"/>
          <w:i w:val="0"/>
          <w:caps w:val="0"/>
          <w:color w:val="000000" w:themeColor="text1"/>
          <w:spacing w:val="0"/>
          <w:kern w:val="2"/>
          <w:sz w:val="32"/>
          <w:szCs w:val="32"/>
          <w:u w:val="none"/>
          <w:shd w:val="clear"/>
          <w:lang w:eastAsia="zh-CN"/>
          <w14:textFill>
            <w14:solidFill>
              <w14:schemeClr w14:val="tx1"/>
            </w14:solidFill>
          </w14:textFill>
        </w:rPr>
        <w:t>四</w:t>
      </w: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十</w:t>
      </w:r>
      <w:r>
        <w:rPr>
          <w:rFonts w:hint="eastAsia" w:ascii="Calibri" w:hAnsi="Calibri" w:eastAsia="黑体" w:cs="Times New Roman"/>
          <w:i w:val="0"/>
          <w:caps w:val="0"/>
          <w:color w:val="000000" w:themeColor="text1"/>
          <w:spacing w:val="0"/>
          <w:kern w:val="2"/>
          <w:sz w:val="32"/>
          <w:szCs w:val="32"/>
          <w:u w:val="none"/>
          <w:shd w:val="clear"/>
          <w:lang w:eastAsia="zh-CN"/>
          <w14:textFill>
            <w14:solidFill>
              <w14:schemeClr w14:val="tx1"/>
            </w14:solidFill>
          </w14:textFill>
        </w:rPr>
        <w:t>一</w:t>
      </w: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条</w:t>
      </w:r>
      <w:r>
        <w:rPr>
          <w:rFonts w:hint="default" w:ascii="微软雅黑" w:hAnsi="微软雅黑" w:eastAsia="微软雅黑" w:cs="微软雅黑"/>
          <w:i w:val="0"/>
          <w:caps w:val="0"/>
          <w:color w:val="333333"/>
          <w:spacing w:val="0"/>
          <w:sz w:val="32"/>
          <w:szCs w:val="32"/>
          <w:shd w:val="clear" w:fill="FFFFFF"/>
        </w:rPr>
        <w:t> </w:t>
      </w:r>
      <w:r>
        <w:rPr>
          <w:rFonts w:hint="eastAsia" w:ascii="黑体" w:hAnsi="黑体" w:eastAsia="黑体" w:cs="黑体"/>
          <w:bCs/>
          <w:color w:val="auto"/>
          <w:sz w:val="32"/>
          <w:szCs w:val="32"/>
          <w:u w:val="none"/>
          <w:lang w:val="en-US" w:eastAsia="zh-CN"/>
        </w:rPr>
        <w:t xml:space="preserve"> 【检查程序要求】</w:t>
      </w:r>
      <w:r>
        <w:rPr>
          <w:rFonts w:hint="eastAsia" w:ascii="仿宋_GB2312" w:hAnsi="仿宋_GB2312" w:eastAsia="仿宋_GB2312" w:cs="仿宋_GB2312"/>
          <w:i w:val="0"/>
          <w:caps w:val="0"/>
          <w:color w:val="auto"/>
          <w:spacing w:val="0"/>
          <w:sz w:val="32"/>
          <w:szCs w:val="32"/>
          <w:shd w:val="clear" w:fill="FFFFFF"/>
        </w:rPr>
        <w:t>  检查组应当通过文字、音像等形式对检查全过程进行记录。一般按照以下程序检查：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rPr>
        <w:t>（一）</w:t>
      </w:r>
      <w:r>
        <w:rPr>
          <w:rFonts w:hint="eastAsia" w:ascii="仿宋_GB2312" w:hAnsi="仿宋_GB2312" w:eastAsia="仿宋_GB2312" w:cs="仿宋_GB2312"/>
          <w:i w:val="0"/>
          <w:caps w:val="0"/>
          <w:color w:val="auto"/>
          <w:spacing w:val="0"/>
          <w:sz w:val="32"/>
          <w:szCs w:val="32"/>
          <w:shd w:val="clear" w:fill="FFFFFF"/>
        </w:rPr>
        <w:t>向被检查单位出示执法证明文件或者药品监督管理部门授权开展检查的证明文件，并告知检查的目的、范围、日程安排，落实配合检查人员。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（二）实施现场检查，如实记录现场检查情况，必要时取证。记录应当及时、准确、完整，客观真实反映现场检查情况。</w:t>
      </w:r>
      <w:r>
        <w:rPr>
          <w:rFonts w:hint="eastAsia" w:ascii="仿宋_GB2312" w:hAnsi="仿宋_GB2312" w:eastAsia="仿宋_GB2312" w:cs="仿宋_GB2312"/>
          <w:color w:val="auto"/>
          <w:sz w:val="32"/>
          <w:szCs w:val="32"/>
          <w:shd w:val="clear" w:fill="FFFFFF"/>
        </w:rPr>
        <w:t>检查中发现被检查单位可能存在药品质量安全风险的，执法人员应当立即固定相关证据；需要抽样的，应当按照药品抽检有关规定执行。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（三）汇总检查情况，客观、公平、公正地对检查中发现的缺陷依据《药品</w:t>
      </w:r>
      <w:r>
        <w:rPr>
          <w:rFonts w:hint="eastAsia" w:ascii="仿宋_GB2312" w:hAnsi="仿宋_GB2312" w:eastAsia="仿宋_GB2312" w:cs="仿宋_GB2312"/>
          <w:i w:val="0"/>
          <w:caps w:val="0"/>
          <w:color w:val="auto"/>
          <w:spacing w:val="0"/>
          <w:sz w:val="32"/>
          <w:szCs w:val="32"/>
          <w:shd w:val="clear" w:fill="FFFFFF"/>
          <w:lang w:eastAsia="zh-CN"/>
        </w:rPr>
        <w:t>经营</w:t>
      </w:r>
      <w:r>
        <w:rPr>
          <w:rFonts w:hint="eastAsia" w:ascii="仿宋_GB2312" w:hAnsi="仿宋_GB2312" w:eastAsia="仿宋_GB2312" w:cs="仿宋_GB2312"/>
          <w:i w:val="0"/>
          <w:caps w:val="0"/>
          <w:color w:val="auto"/>
          <w:spacing w:val="0"/>
          <w:sz w:val="32"/>
          <w:szCs w:val="32"/>
          <w:shd w:val="clear" w:fill="FFFFFF"/>
        </w:rPr>
        <w:t>现场检查风险评定指导原则》等规定，进行风险评定并作出符合</w:t>
      </w:r>
      <w:r>
        <w:rPr>
          <w:rFonts w:hint="eastAsia" w:ascii="仿宋_GB2312" w:hAnsi="仿宋_GB2312" w:eastAsia="仿宋_GB2312" w:cs="仿宋_GB2312"/>
          <w:i w:val="0"/>
          <w:caps w:val="0"/>
          <w:color w:val="auto"/>
          <w:spacing w:val="0"/>
          <w:sz w:val="32"/>
          <w:szCs w:val="32"/>
          <w:shd w:val="clear" w:fill="FFFFFF"/>
          <w:lang w:eastAsia="zh-CN"/>
        </w:rPr>
        <w:t>、整改后评定</w:t>
      </w:r>
      <w:r>
        <w:rPr>
          <w:rFonts w:hint="eastAsia" w:ascii="仿宋_GB2312" w:hAnsi="仿宋_GB2312" w:eastAsia="仿宋_GB2312" w:cs="仿宋_GB2312"/>
          <w:i w:val="0"/>
          <w:caps w:val="0"/>
          <w:color w:val="auto"/>
          <w:spacing w:val="0"/>
          <w:sz w:val="32"/>
          <w:szCs w:val="32"/>
          <w:shd w:val="clear" w:fill="FFFFFF"/>
        </w:rPr>
        <w:t>或不符合的现场检查结论，制作检查报告及相关的行政执法文书。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rPr>
        <w:t>（四）</w:t>
      </w:r>
      <w:r>
        <w:rPr>
          <w:rFonts w:hint="eastAsia" w:ascii="仿宋_GB2312" w:hAnsi="仿宋_GB2312" w:eastAsia="仿宋_GB2312" w:cs="仿宋_GB2312"/>
          <w:i w:val="0"/>
          <w:caps w:val="0"/>
          <w:color w:val="auto"/>
          <w:spacing w:val="0"/>
          <w:sz w:val="32"/>
          <w:szCs w:val="32"/>
          <w:shd w:val="clear" w:fill="FFFFFF"/>
        </w:rPr>
        <w:t>检查组组长向被检查单位通报检查情况，检查人员和被检查单位负责人（或者质量负责人）在检查报告及相关的行政执法文书上签字确认，双方各执一份。被检查单位有异议的，可以陈述申辩，检查组应当如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（五）检查完成后，检查组应当在</w:t>
      </w:r>
      <w:r>
        <w:rPr>
          <w:rFonts w:hint="eastAsia" w:ascii="仿宋_GB2312" w:hAnsi="仿宋_GB2312" w:eastAsia="仿宋_GB2312" w:cs="仿宋_GB2312"/>
          <w:i w:val="0"/>
          <w:caps w:val="0"/>
          <w:strike w:val="0"/>
          <w:color w:val="auto"/>
          <w:spacing w:val="0"/>
          <w:sz w:val="32"/>
          <w:szCs w:val="32"/>
          <w:shd w:val="clear" w:fill="FFFFFF"/>
          <w:lang w:eastAsia="zh-CN"/>
        </w:rPr>
        <w:t>五</w:t>
      </w:r>
      <w:r>
        <w:rPr>
          <w:rFonts w:hint="eastAsia" w:ascii="仿宋_GB2312" w:hAnsi="仿宋_GB2312" w:eastAsia="仿宋_GB2312" w:cs="仿宋_GB2312"/>
          <w:i w:val="0"/>
          <w:caps w:val="0"/>
          <w:color w:val="auto"/>
          <w:spacing w:val="0"/>
          <w:sz w:val="32"/>
          <w:szCs w:val="32"/>
          <w:shd w:val="clear" w:fill="FFFFFF"/>
        </w:rPr>
        <w:t>个工作日内将检查报告等资料报检查派出单位。检查派出单位及时将检查情况上传省药监局日常监管信息系统。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第</w:t>
      </w:r>
      <w:r>
        <w:rPr>
          <w:rFonts w:hint="eastAsia" w:ascii="Calibri" w:hAnsi="Calibri" w:eastAsia="黑体" w:cs="Times New Roman"/>
          <w:i w:val="0"/>
          <w:caps w:val="0"/>
          <w:color w:val="000000" w:themeColor="text1"/>
          <w:spacing w:val="0"/>
          <w:kern w:val="2"/>
          <w:sz w:val="32"/>
          <w:szCs w:val="32"/>
          <w:u w:val="none"/>
          <w:shd w:val="clear"/>
          <w:lang w:eastAsia="zh-CN"/>
          <w14:textFill>
            <w14:solidFill>
              <w14:schemeClr w14:val="tx1"/>
            </w14:solidFill>
          </w14:textFill>
        </w:rPr>
        <w:t>四</w:t>
      </w: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十</w:t>
      </w:r>
      <w:r>
        <w:rPr>
          <w:rFonts w:hint="eastAsia" w:ascii="Calibri" w:hAnsi="Calibri" w:eastAsia="黑体" w:cs="Times New Roman"/>
          <w:i w:val="0"/>
          <w:caps w:val="0"/>
          <w:color w:val="000000" w:themeColor="text1"/>
          <w:spacing w:val="0"/>
          <w:kern w:val="2"/>
          <w:sz w:val="32"/>
          <w:szCs w:val="32"/>
          <w:u w:val="none"/>
          <w:shd w:val="clear"/>
          <w:lang w:eastAsia="zh-CN"/>
          <w14:textFill>
            <w14:solidFill>
              <w14:schemeClr w14:val="tx1"/>
            </w14:solidFill>
          </w14:textFill>
        </w:rPr>
        <w:t>二</w:t>
      </w:r>
      <w:r>
        <w:rPr>
          <w:rFonts w:hint="eastAsia" w:ascii="Calibri" w:hAnsi="Calibri" w:eastAsia="黑体" w:cs="Times New Roman"/>
          <w:i w:val="0"/>
          <w:caps w:val="0"/>
          <w:color w:val="000000" w:themeColor="text1"/>
          <w:spacing w:val="0"/>
          <w:kern w:val="2"/>
          <w:sz w:val="32"/>
          <w:szCs w:val="32"/>
          <w:u w:val="none"/>
          <w:shd w:val="clear"/>
          <w14:textFill>
            <w14:solidFill>
              <w14:schemeClr w14:val="tx1"/>
            </w14:solidFill>
          </w14:textFill>
        </w:rPr>
        <w:t>条</w:t>
      </w:r>
      <w:r>
        <w:rPr>
          <w:rFonts w:hint="default" w:ascii="微软雅黑" w:hAnsi="微软雅黑" w:eastAsia="微软雅黑" w:cs="微软雅黑"/>
          <w:i w:val="0"/>
          <w:caps w:val="0"/>
          <w:color w:val="333333"/>
          <w:spacing w:val="0"/>
          <w:sz w:val="32"/>
          <w:szCs w:val="32"/>
          <w:shd w:val="clear" w:fill="FFFFFF"/>
        </w:rPr>
        <w:t> </w:t>
      </w:r>
      <w:r>
        <w:rPr>
          <w:rFonts w:hint="eastAsia" w:ascii="黑体" w:hAnsi="黑体" w:eastAsia="黑体" w:cs="黑体"/>
          <w:bCs/>
          <w:color w:val="auto"/>
          <w:sz w:val="32"/>
          <w:szCs w:val="32"/>
          <w:u w:val="none"/>
          <w:lang w:val="en-US" w:eastAsia="zh-CN"/>
        </w:rPr>
        <w:t xml:space="preserve"> 【检查综合评定】</w:t>
      </w:r>
      <w:r>
        <w:rPr>
          <w:rFonts w:hint="default"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 检查派出单位应当基于风险研判和风险管控原则，对现场检查报告、企业整改情况、复查报告等资料进行审核，出具《药品检查综合评定报告书》。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检查派出单位认为需要补充检查或者重新进行检查的，应当再次开展检查。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Calibri" w:hAnsi="Calibri" w:eastAsia="黑体" w:cs="Times New Roman"/>
          <w:bCs w:val="0"/>
          <w:color w:val="000000" w:themeColor="text1"/>
          <w:kern w:val="2"/>
          <w:sz w:val="32"/>
          <w:szCs w:val="32"/>
          <w:u w:val="none"/>
          <w:lang w:val="en-US" w:eastAsia="zh-CN"/>
          <w14:textFill>
            <w14:solidFill>
              <w14:schemeClr w14:val="tx1"/>
            </w14:solidFill>
          </w14:textFill>
        </w:rPr>
        <w:t>第</w:t>
      </w:r>
      <w:r>
        <w:rPr>
          <w:rFonts w:hint="eastAsia" w:ascii="Calibri" w:hAnsi="Calibri" w:eastAsia="黑体" w:cs="Times New Roman"/>
          <w:i w:val="0"/>
          <w:caps w:val="0"/>
          <w:color w:val="000000" w:themeColor="text1"/>
          <w:spacing w:val="0"/>
          <w:kern w:val="2"/>
          <w:sz w:val="32"/>
          <w:szCs w:val="32"/>
          <w:shd w:val="clear"/>
          <w:lang w:eastAsia="zh-CN"/>
          <w14:textFill>
            <w14:solidFill>
              <w14:schemeClr w14:val="tx1"/>
            </w14:solidFill>
          </w14:textFill>
        </w:rPr>
        <w:t>四</w:t>
      </w:r>
      <w:r>
        <w:rPr>
          <w:rFonts w:hint="eastAsia" w:ascii="Calibri" w:hAnsi="Calibri" w:eastAsia="黑体" w:cs="Times New Roman"/>
          <w:i w:val="0"/>
          <w:caps w:val="0"/>
          <w:color w:val="000000" w:themeColor="text1"/>
          <w:spacing w:val="0"/>
          <w:kern w:val="2"/>
          <w:sz w:val="32"/>
          <w:szCs w:val="32"/>
          <w:shd w:val="clear"/>
          <w14:textFill>
            <w14:solidFill>
              <w14:schemeClr w14:val="tx1"/>
            </w14:solidFill>
          </w14:textFill>
        </w:rPr>
        <w:t>十</w:t>
      </w:r>
      <w:r>
        <w:rPr>
          <w:rFonts w:hint="eastAsia" w:ascii="Calibri" w:hAnsi="Calibri" w:eastAsia="黑体" w:cs="Times New Roman"/>
          <w:i w:val="0"/>
          <w:caps w:val="0"/>
          <w:color w:val="000000" w:themeColor="text1"/>
          <w:spacing w:val="0"/>
          <w:kern w:val="2"/>
          <w:sz w:val="32"/>
          <w:szCs w:val="32"/>
          <w:shd w:val="clear"/>
          <w:lang w:eastAsia="zh-CN"/>
          <w14:textFill>
            <w14:solidFill>
              <w14:schemeClr w14:val="tx1"/>
            </w14:solidFill>
          </w14:textFill>
        </w:rPr>
        <w:t>三</w:t>
      </w:r>
      <w:r>
        <w:rPr>
          <w:rFonts w:hint="eastAsia" w:ascii="Calibri" w:hAnsi="Calibri" w:eastAsia="黑体" w:cs="Times New Roman"/>
          <w:bCs w:val="0"/>
          <w:color w:val="000000" w:themeColor="text1"/>
          <w:kern w:val="2"/>
          <w:sz w:val="32"/>
          <w:szCs w:val="32"/>
          <w:u w:val="none"/>
          <w:lang w:val="en-US" w:eastAsia="zh-CN"/>
          <w14:textFill>
            <w14:solidFill>
              <w14:schemeClr w14:val="tx1"/>
            </w14:solidFill>
          </w14:textFill>
        </w:rPr>
        <w:t>条</w:t>
      </w:r>
      <w:r>
        <w:rPr>
          <w:rFonts w:hint="eastAsia" w:ascii="黑体" w:hAnsi="黑体" w:eastAsia="黑体" w:cs="黑体"/>
          <w:bCs/>
          <w:color w:val="auto"/>
          <w:sz w:val="32"/>
          <w:szCs w:val="32"/>
          <w:u w:val="none"/>
          <w:lang w:val="en-US" w:eastAsia="zh-CN"/>
        </w:rPr>
        <w:t>【有因检查】</w:t>
      </w:r>
      <w:r>
        <w:rPr>
          <w:rFonts w:hint="eastAsia" w:ascii="仿宋_GB2312" w:hAnsi="仿宋_GB2312" w:eastAsia="仿宋_GB2312" w:cs="仿宋_GB2312"/>
          <w:i w:val="0"/>
          <w:iCs w:val="0"/>
          <w:caps w:val="0"/>
          <w:color w:val="auto"/>
          <w:spacing w:val="0"/>
          <w:sz w:val="32"/>
          <w:szCs w:val="32"/>
          <w:shd w:val="clear" w:fill="FFFFFF"/>
        </w:rPr>
        <w:t>药品监督管理部门对投诉举报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抽查检验</w:t>
      </w:r>
      <w:r>
        <w:rPr>
          <w:rFonts w:hint="eastAsia" w:ascii="仿宋_GB2312" w:hAnsi="仿宋_GB2312" w:eastAsia="仿宋_GB2312" w:cs="仿宋_GB2312"/>
          <w:i w:val="0"/>
          <w:iCs w:val="0"/>
          <w:caps w:val="0"/>
          <w:color w:val="auto"/>
          <w:spacing w:val="0"/>
          <w:sz w:val="32"/>
          <w:szCs w:val="32"/>
          <w:shd w:val="clear" w:fill="FFFFFF"/>
          <w:lang w:eastAsia="zh-CN"/>
        </w:rPr>
        <w:t>、药物警戒</w:t>
      </w:r>
      <w:r>
        <w:rPr>
          <w:rFonts w:hint="eastAsia" w:ascii="仿宋_GB2312" w:hAnsi="仿宋_GB2312" w:eastAsia="仿宋_GB2312" w:cs="仿宋_GB2312"/>
          <w:i w:val="0"/>
          <w:iCs w:val="0"/>
          <w:caps w:val="0"/>
          <w:color w:val="auto"/>
          <w:spacing w:val="0"/>
          <w:sz w:val="32"/>
          <w:szCs w:val="32"/>
          <w:shd w:val="clear" w:fill="FFFFFF"/>
        </w:rPr>
        <w:t>等发现可能存在严重质量安全风险</w:t>
      </w:r>
      <w:r>
        <w:rPr>
          <w:rFonts w:hint="eastAsia" w:ascii="仿宋_GB2312" w:hAnsi="仿宋_GB2312" w:eastAsia="仿宋_GB2312" w:cs="仿宋_GB2312"/>
          <w:i w:val="0"/>
          <w:iCs w:val="0"/>
          <w:caps w:val="0"/>
          <w:color w:val="auto"/>
          <w:spacing w:val="0"/>
          <w:sz w:val="32"/>
          <w:szCs w:val="32"/>
          <w:shd w:val="clear" w:fill="FFFFFF"/>
          <w:lang w:eastAsia="zh-CN"/>
        </w:rPr>
        <w:t>或涉嫌违法违规</w:t>
      </w:r>
      <w:r>
        <w:rPr>
          <w:rFonts w:hint="eastAsia" w:ascii="仿宋_GB2312" w:hAnsi="仿宋_GB2312" w:eastAsia="仿宋_GB2312" w:cs="仿宋_GB2312"/>
          <w:i w:val="0"/>
          <w:iCs w:val="0"/>
          <w:caps w:val="0"/>
          <w:color w:val="auto"/>
          <w:spacing w:val="0"/>
          <w:sz w:val="32"/>
          <w:szCs w:val="32"/>
          <w:shd w:val="clear" w:fill="FFFFFF"/>
        </w:rPr>
        <w:t>的，原则上应当开展有因检查。有因检查原则上采取非预先告知的方式进行。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shd w:val="clear" w:fill="FFFFFF"/>
        </w:rPr>
      </w:pPr>
      <w:r>
        <w:rPr>
          <w:rFonts w:hint="eastAsia" w:ascii="Calibri" w:hAnsi="Calibri" w:eastAsia="黑体" w:cs="Times New Roman"/>
          <w:i w:val="0"/>
          <w:caps w:val="0"/>
          <w:color w:val="000000" w:themeColor="text1"/>
          <w:spacing w:val="0"/>
          <w:kern w:val="2"/>
          <w:sz w:val="32"/>
          <w:szCs w:val="32"/>
          <w:shd w:val="clear"/>
          <w14:textFill>
            <w14:solidFill>
              <w14:schemeClr w14:val="tx1"/>
            </w14:solidFill>
          </w14:textFill>
        </w:rPr>
        <w:t>第</w:t>
      </w:r>
      <w:r>
        <w:rPr>
          <w:rFonts w:hint="eastAsia" w:ascii="Calibri" w:hAnsi="Calibri" w:eastAsia="黑体" w:cs="Times New Roman"/>
          <w:i w:val="0"/>
          <w:caps w:val="0"/>
          <w:color w:val="000000" w:themeColor="text1"/>
          <w:spacing w:val="0"/>
          <w:kern w:val="2"/>
          <w:sz w:val="32"/>
          <w:szCs w:val="32"/>
          <w:shd w:val="clear"/>
          <w:lang w:eastAsia="zh-CN"/>
          <w14:textFill>
            <w14:solidFill>
              <w14:schemeClr w14:val="tx1"/>
            </w14:solidFill>
          </w14:textFill>
        </w:rPr>
        <w:t>四</w:t>
      </w:r>
      <w:r>
        <w:rPr>
          <w:rFonts w:hint="eastAsia" w:ascii="Calibri" w:hAnsi="Calibri" w:eastAsia="黑体" w:cs="Times New Roman"/>
          <w:i w:val="0"/>
          <w:caps w:val="0"/>
          <w:color w:val="000000" w:themeColor="text1"/>
          <w:spacing w:val="0"/>
          <w:kern w:val="2"/>
          <w:sz w:val="32"/>
          <w:szCs w:val="32"/>
          <w:shd w:val="clear"/>
          <w14:textFill>
            <w14:solidFill>
              <w14:schemeClr w14:val="tx1"/>
            </w14:solidFill>
          </w14:textFill>
        </w:rPr>
        <w:t>十</w:t>
      </w:r>
      <w:r>
        <w:rPr>
          <w:rFonts w:hint="eastAsia" w:ascii="Calibri" w:hAnsi="Calibri" w:eastAsia="黑体" w:cs="Times New Roman"/>
          <w:i w:val="0"/>
          <w:caps w:val="0"/>
          <w:color w:val="000000" w:themeColor="text1"/>
          <w:spacing w:val="0"/>
          <w:kern w:val="2"/>
          <w:sz w:val="32"/>
          <w:szCs w:val="32"/>
          <w:shd w:val="clear"/>
          <w:lang w:eastAsia="zh-CN"/>
          <w14:textFill>
            <w14:solidFill>
              <w14:schemeClr w14:val="tx1"/>
            </w14:solidFill>
          </w14:textFill>
        </w:rPr>
        <w:t>四</w:t>
      </w:r>
      <w:r>
        <w:rPr>
          <w:rFonts w:hint="eastAsia" w:ascii="Calibri" w:hAnsi="Calibri" w:eastAsia="黑体" w:cs="Times New Roman"/>
          <w:i w:val="0"/>
          <w:caps w:val="0"/>
          <w:color w:val="000000" w:themeColor="text1"/>
          <w:spacing w:val="0"/>
          <w:kern w:val="2"/>
          <w:sz w:val="32"/>
          <w:szCs w:val="32"/>
          <w:shd w:val="clear"/>
          <w14:textFill>
            <w14:solidFill>
              <w14:schemeClr w14:val="tx1"/>
            </w14:solidFill>
          </w14:textFill>
        </w:rPr>
        <w:t>条 </w:t>
      </w:r>
      <w:r>
        <w:rPr>
          <w:rFonts w:hint="eastAsia" w:ascii="黑体" w:hAnsi="黑体" w:eastAsia="黑体" w:cs="黑体"/>
          <w:bCs/>
          <w:color w:val="auto"/>
          <w:sz w:val="32"/>
          <w:szCs w:val="32"/>
          <w:u w:val="none"/>
          <w:lang w:val="en-US" w:eastAsia="zh-CN"/>
        </w:rPr>
        <w:t xml:space="preserve"> 【问题报告制度】</w:t>
      </w:r>
      <w:r>
        <w:rPr>
          <w:rFonts w:hint="eastAsia" w:ascii="仿宋_GB2312" w:hAnsi="仿宋_GB2312" w:eastAsia="仿宋_GB2312" w:cs="仿宋_GB2312"/>
          <w:i w:val="0"/>
          <w:caps w:val="0"/>
          <w:color w:val="auto"/>
          <w:spacing w:val="0"/>
          <w:sz w:val="32"/>
          <w:szCs w:val="32"/>
          <w:shd w:val="clear" w:fill="FFFFFF"/>
        </w:rPr>
        <w:t>  监督检查过程中，发现存在重大药品质量安全风险或者涉嫌违法的，检查组应当立即向检查派出单位报告，并做好取证相关工作。药品监督管理部门应当及时采取风险防控措施。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shd w:val="clear" w:fill="FFFFFF"/>
        </w:rPr>
      </w:pPr>
      <w:r>
        <w:rPr>
          <w:rFonts w:hint="eastAsia" w:ascii="Calibri" w:hAnsi="Calibri" w:eastAsia="黑体" w:cs="Times New Roman"/>
          <w:color w:val="000000" w:themeColor="text1"/>
          <w:kern w:val="2"/>
          <w:sz w:val="32"/>
          <w:szCs w:val="32"/>
          <w:shd w:val="clear"/>
          <w14:textFill>
            <w14:solidFill>
              <w14:schemeClr w14:val="tx1"/>
            </w14:solidFill>
          </w14:textFill>
        </w:rPr>
        <w:t>第四十</w:t>
      </w:r>
      <w:r>
        <w:rPr>
          <w:rFonts w:hint="eastAsia" w:ascii="Calibri" w:hAnsi="Calibri" w:eastAsia="黑体" w:cs="Times New Roman"/>
          <w:color w:val="000000" w:themeColor="text1"/>
          <w:kern w:val="2"/>
          <w:sz w:val="32"/>
          <w:szCs w:val="32"/>
          <w:shd w:val="clear"/>
          <w:lang w:eastAsia="zh-CN"/>
          <w14:textFill>
            <w14:solidFill>
              <w14:schemeClr w14:val="tx1"/>
            </w14:solidFill>
          </w14:textFill>
        </w:rPr>
        <w:t>五</w:t>
      </w:r>
      <w:r>
        <w:rPr>
          <w:rFonts w:hint="eastAsia" w:ascii="Calibri" w:hAnsi="Calibri" w:eastAsia="黑体" w:cs="Times New Roman"/>
          <w:color w:val="000000" w:themeColor="text1"/>
          <w:kern w:val="2"/>
          <w:sz w:val="32"/>
          <w:szCs w:val="32"/>
          <w:shd w:val="clear"/>
          <w14:textFill>
            <w14:solidFill>
              <w14:schemeClr w14:val="tx1"/>
            </w14:solidFill>
          </w14:textFill>
        </w:rPr>
        <w:t>条</w:t>
      </w:r>
      <w:r>
        <w:rPr>
          <w:rFonts w:hint="eastAsia" w:ascii="微软雅黑" w:hAnsi="微软雅黑" w:eastAsia="微软雅黑" w:cs="微软雅黑"/>
          <w:color w:val="333333"/>
          <w:sz w:val="32"/>
          <w:szCs w:val="32"/>
          <w:shd w:val="clear" w:fill="FFFFFF"/>
        </w:rPr>
        <w:t>  </w:t>
      </w:r>
      <w:r>
        <w:rPr>
          <w:rFonts w:hint="eastAsia" w:ascii="黑体" w:hAnsi="黑体" w:eastAsia="黑体" w:cs="黑体"/>
          <w:bCs/>
          <w:color w:val="auto"/>
          <w:sz w:val="32"/>
          <w:szCs w:val="32"/>
          <w:u w:val="none"/>
          <w:lang w:val="en-US" w:eastAsia="zh-CN"/>
        </w:rPr>
        <w:t>【督促企业风险自查】</w:t>
      </w: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color w:val="auto"/>
          <w:sz w:val="32"/>
          <w:szCs w:val="32"/>
          <w:shd w:val="clear" w:fill="FFFFFF"/>
        </w:rPr>
        <w:t>药品监督管理部门应当督促药品</w:t>
      </w:r>
      <w:r>
        <w:rPr>
          <w:rFonts w:hint="eastAsia" w:ascii="仿宋_GB2312" w:hAnsi="仿宋_GB2312" w:eastAsia="仿宋_GB2312" w:cs="仿宋_GB2312"/>
          <w:color w:val="auto"/>
          <w:sz w:val="32"/>
          <w:szCs w:val="32"/>
          <w:shd w:val="clear" w:fill="FFFFFF"/>
          <w:lang w:eastAsia="zh-CN"/>
        </w:rPr>
        <w:t>经营</w:t>
      </w:r>
      <w:r>
        <w:rPr>
          <w:rFonts w:hint="eastAsia" w:ascii="仿宋_GB2312" w:hAnsi="仿宋_GB2312" w:eastAsia="仿宋_GB2312" w:cs="仿宋_GB2312"/>
          <w:color w:val="auto"/>
          <w:sz w:val="32"/>
          <w:szCs w:val="32"/>
          <w:shd w:val="clear" w:fill="FFFFFF"/>
        </w:rPr>
        <w:t>企业落实风险自查报告制度</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通过监督检查对企业自查制度、自查记录和处置情况进行核实，并将核实情况记录在监督检查报告中。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shd w:val="clear" w:fill="FFFFFF"/>
        </w:rPr>
      </w:pPr>
      <w:r>
        <w:rPr>
          <w:rFonts w:hint="eastAsia" w:ascii="Calibri" w:hAnsi="Calibri" w:eastAsia="黑体" w:cs="Times New Roman"/>
          <w:color w:val="000000" w:themeColor="text1"/>
          <w:kern w:val="2"/>
          <w:sz w:val="32"/>
          <w:szCs w:val="32"/>
          <w:shd w:val="clear"/>
          <w14:textFill>
            <w14:solidFill>
              <w14:schemeClr w14:val="tx1"/>
            </w14:solidFill>
          </w14:textFill>
        </w:rPr>
        <w:t>第四十</w:t>
      </w:r>
      <w:r>
        <w:rPr>
          <w:rFonts w:hint="eastAsia" w:ascii="Calibri" w:hAnsi="Calibri" w:eastAsia="黑体" w:cs="Times New Roman"/>
          <w:color w:val="000000" w:themeColor="text1"/>
          <w:kern w:val="2"/>
          <w:sz w:val="32"/>
          <w:szCs w:val="32"/>
          <w:shd w:val="clear"/>
          <w:lang w:eastAsia="zh-CN"/>
          <w14:textFill>
            <w14:solidFill>
              <w14:schemeClr w14:val="tx1"/>
            </w14:solidFill>
          </w14:textFill>
        </w:rPr>
        <w:t>六</w:t>
      </w:r>
      <w:r>
        <w:rPr>
          <w:rFonts w:hint="eastAsia" w:ascii="Calibri" w:hAnsi="Calibri" w:eastAsia="黑体" w:cs="Times New Roman"/>
          <w:color w:val="000000" w:themeColor="text1"/>
          <w:kern w:val="2"/>
          <w:sz w:val="32"/>
          <w:szCs w:val="32"/>
          <w:shd w:val="clear"/>
          <w14:textFill>
            <w14:solidFill>
              <w14:schemeClr w14:val="tx1"/>
            </w14:solidFill>
          </w14:textFill>
        </w:rPr>
        <w:t>条  </w:t>
      </w:r>
      <w:r>
        <w:rPr>
          <w:rFonts w:hint="eastAsia" w:ascii="微软雅黑" w:hAnsi="微软雅黑" w:eastAsia="微软雅黑" w:cs="微软雅黑"/>
          <w:bCs w:val="0"/>
          <w:color w:val="333333"/>
          <w:sz w:val="32"/>
          <w:szCs w:val="32"/>
          <w:u w:val="none"/>
          <w:shd w:val="clear" w:fill="FFFFFF"/>
          <w:lang w:val="en-US" w:eastAsia="zh-CN"/>
        </w:rPr>
        <w:t>【</w:t>
      </w:r>
      <w:r>
        <w:rPr>
          <w:rFonts w:hint="eastAsia" w:ascii="微软雅黑" w:hAnsi="微软雅黑" w:eastAsia="微软雅黑" w:cs="微软雅黑"/>
          <w:color w:val="333333"/>
          <w:sz w:val="32"/>
          <w:szCs w:val="32"/>
          <w:shd w:val="clear" w:fill="FFFFFF"/>
        </w:rPr>
        <w:t>长期停</w:t>
      </w:r>
      <w:r>
        <w:rPr>
          <w:rFonts w:hint="eastAsia" w:ascii="微软雅黑" w:hAnsi="微软雅黑" w:eastAsia="微软雅黑" w:cs="微软雅黑"/>
          <w:color w:val="333333"/>
          <w:sz w:val="32"/>
          <w:szCs w:val="32"/>
          <w:shd w:val="clear" w:fill="FFFFFF"/>
          <w:lang w:eastAsia="zh-CN"/>
        </w:rPr>
        <w:t>业</w:t>
      </w:r>
      <w:r>
        <w:rPr>
          <w:rFonts w:hint="eastAsia" w:ascii="微软雅黑" w:hAnsi="微软雅黑" w:eastAsia="微软雅黑" w:cs="微软雅黑"/>
          <w:color w:val="333333"/>
          <w:sz w:val="32"/>
          <w:szCs w:val="32"/>
          <w:shd w:val="clear" w:fill="FFFFFF"/>
        </w:rPr>
        <w:t>企业</w:t>
      </w:r>
      <w:r>
        <w:rPr>
          <w:rFonts w:hint="eastAsia" w:ascii="微软雅黑" w:hAnsi="微软雅黑" w:eastAsia="微软雅黑" w:cs="微软雅黑"/>
          <w:color w:val="333333"/>
          <w:sz w:val="32"/>
          <w:szCs w:val="32"/>
          <w:shd w:val="clear" w:fill="FFFFFF"/>
          <w:lang w:eastAsia="zh-CN"/>
        </w:rPr>
        <w:t>的监督</w:t>
      </w:r>
      <w:r>
        <w:rPr>
          <w:rFonts w:hint="eastAsia" w:ascii="微软雅黑" w:hAnsi="微软雅黑" w:eastAsia="微软雅黑" w:cs="微软雅黑"/>
          <w:bCs w:val="0"/>
          <w:color w:val="333333"/>
          <w:sz w:val="32"/>
          <w:szCs w:val="32"/>
          <w:u w:val="none"/>
          <w:shd w:val="clear" w:fill="FFFFFF"/>
          <w:lang w:val="en-US" w:eastAsia="zh-CN"/>
        </w:rPr>
        <w:t>】</w:t>
      </w:r>
      <w:r>
        <w:rPr>
          <w:rFonts w:hint="eastAsia" w:ascii="微软雅黑" w:hAnsi="微软雅黑" w:eastAsia="微软雅黑" w:cs="微软雅黑"/>
          <w:i w:val="0"/>
          <w:caps w:val="0"/>
          <w:color w:val="333333"/>
          <w:spacing w:val="0"/>
          <w:sz w:val="32"/>
          <w:szCs w:val="32"/>
          <w:shd w:val="clear" w:fill="FFFFFF"/>
        </w:rPr>
        <w:t> </w:t>
      </w:r>
      <w:r>
        <w:rPr>
          <w:rFonts w:hint="eastAsia" w:ascii="仿宋_GB2312" w:hAnsi="仿宋_GB2312" w:eastAsia="仿宋_GB2312" w:cs="仿宋_GB2312"/>
          <w:color w:val="auto"/>
          <w:sz w:val="32"/>
          <w:szCs w:val="32"/>
          <w:shd w:val="clear" w:fill="FFFFFF"/>
        </w:rPr>
        <w:t>  药品监督管理部门负责辖区内长期停</w:t>
      </w:r>
      <w:r>
        <w:rPr>
          <w:rFonts w:hint="eastAsia" w:ascii="仿宋_GB2312" w:hAnsi="仿宋_GB2312" w:eastAsia="仿宋_GB2312" w:cs="仿宋_GB2312"/>
          <w:color w:val="auto"/>
          <w:sz w:val="32"/>
          <w:szCs w:val="32"/>
          <w:shd w:val="clear" w:fill="FFFFFF"/>
          <w:lang w:eastAsia="zh-CN"/>
        </w:rPr>
        <w:t>业</w:t>
      </w:r>
      <w:r>
        <w:rPr>
          <w:rFonts w:hint="eastAsia" w:ascii="仿宋_GB2312" w:hAnsi="仿宋_GB2312" w:eastAsia="仿宋_GB2312" w:cs="仿宋_GB2312"/>
          <w:color w:val="auto"/>
          <w:sz w:val="32"/>
          <w:szCs w:val="32"/>
          <w:shd w:val="clear" w:fill="FFFFFF"/>
        </w:rPr>
        <w:t>药品</w:t>
      </w:r>
      <w:r>
        <w:rPr>
          <w:rFonts w:hint="eastAsia" w:ascii="仿宋_GB2312" w:hAnsi="仿宋_GB2312" w:eastAsia="仿宋_GB2312" w:cs="仿宋_GB2312"/>
          <w:color w:val="auto"/>
          <w:sz w:val="32"/>
          <w:szCs w:val="32"/>
          <w:shd w:val="clear" w:fill="FFFFFF"/>
          <w:lang w:eastAsia="zh-CN"/>
        </w:rPr>
        <w:t>经营</w:t>
      </w:r>
      <w:r>
        <w:rPr>
          <w:rFonts w:hint="eastAsia" w:ascii="仿宋_GB2312" w:hAnsi="仿宋_GB2312" w:eastAsia="仿宋_GB2312" w:cs="仿宋_GB2312"/>
          <w:color w:val="auto"/>
          <w:sz w:val="32"/>
          <w:szCs w:val="32"/>
          <w:shd w:val="clear" w:fill="FFFFFF"/>
        </w:rPr>
        <w:t>企业停</w:t>
      </w:r>
      <w:r>
        <w:rPr>
          <w:rFonts w:hint="eastAsia" w:ascii="仿宋_GB2312" w:hAnsi="仿宋_GB2312" w:eastAsia="仿宋_GB2312" w:cs="仿宋_GB2312"/>
          <w:color w:val="auto"/>
          <w:sz w:val="32"/>
          <w:szCs w:val="32"/>
          <w:shd w:val="clear" w:fill="FFFFFF"/>
          <w:lang w:eastAsia="zh-CN"/>
        </w:rPr>
        <w:t>业</w:t>
      </w:r>
      <w:r>
        <w:rPr>
          <w:rFonts w:hint="eastAsia" w:ascii="仿宋_GB2312" w:hAnsi="仿宋_GB2312" w:eastAsia="仿宋_GB2312" w:cs="仿宋_GB2312"/>
          <w:color w:val="auto"/>
          <w:sz w:val="32"/>
          <w:szCs w:val="32"/>
          <w:shd w:val="clear" w:fill="FFFFFF"/>
        </w:rPr>
        <w:t>期间的监督检查和恢复</w:t>
      </w:r>
      <w:r>
        <w:rPr>
          <w:rFonts w:hint="eastAsia" w:ascii="仿宋_GB2312" w:hAnsi="仿宋_GB2312" w:eastAsia="仿宋_GB2312" w:cs="仿宋_GB2312"/>
          <w:color w:val="auto"/>
          <w:sz w:val="32"/>
          <w:szCs w:val="32"/>
          <w:shd w:val="clear" w:fill="FFFFFF"/>
          <w:lang w:eastAsia="zh-CN"/>
        </w:rPr>
        <w:t>经营</w:t>
      </w:r>
      <w:r>
        <w:rPr>
          <w:rFonts w:hint="eastAsia" w:ascii="仿宋_GB2312" w:hAnsi="仿宋_GB2312" w:eastAsia="仿宋_GB2312" w:cs="仿宋_GB2312"/>
          <w:color w:val="auto"/>
          <w:sz w:val="32"/>
          <w:szCs w:val="32"/>
          <w:shd w:val="clear" w:fill="FFFFFF"/>
        </w:rPr>
        <w:t>的监督检查工作，督促落实长期停产报告责任，将停</w:t>
      </w:r>
      <w:r>
        <w:rPr>
          <w:rFonts w:hint="eastAsia" w:ascii="仿宋_GB2312" w:hAnsi="仿宋_GB2312" w:eastAsia="仿宋_GB2312" w:cs="仿宋_GB2312"/>
          <w:color w:val="auto"/>
          <w:sz w:val="32"/>
          <w:szCs w:val="32"/>
          <w:shd w:val="clear" w:fill="FFFFFF"/>
          <w:lang w:eastAsia="zh-CN"/>
        </w:rPr>
        <w:t>业企业</w:t>
      </w:r>
      <w:r>
        <w:rPr>
          <w:rFonts w:hint="eastAsia" w:ascii="仿宋_GB2312" w:hAnsi="仿宋_GB2312" w:eastAsia="仿宋_GB2312" w:cs="仿宋_GB2312"/>
          <w:color w:val="auto"/>
          <w:sz w:val="32"/>
          <w:szCs w:val="32"/>
          <w:shd w:val="clear" w:fill="FFFFFF"/>
        </w:rPr>
        <w:t>纳入日常监管，拟恢复</w:t>
      </w:r>
      <w:r>
        <w:rPr>
          <w:rFonts w:hint="eastAsia" w:ascii="仿宋_GB2312" w:hAnsi="仿宋_GB2312" w:eastAsia="仿宋_GB2312" w:cs="仿宋_GB2312"/>
          <w:color w:val="auto"/>
          <w:sz w:val="32"/>
          <w:szCs w:val="32"/>
          <w:shd w:val="clear" w:fill="FFFFFF"/>
          <w:lang w:eastAsia="zh-CN"/>
        </w:rPr>
        <w:t>经营</w:t>
      </w:r>
      <w:r>
        <w:rPr>
          <w:rFonts w:hint="eastAsia" w:ascii="仿宋_GB2312" w:hAnsi="仿宋_GB2312" w:eastAsia="仿宋_GB2312" w:cs="仿宋_GB2312"/>
          <w:color w:val="auto"/>
          <w:sz w:val="32"/>
          <w:szCs w:val="32"/>
          <w:shd w:val="clear" w:fill="FFFFFF"/>
        </w:rPr>
        <w:t>的应当开展现场检查。</w:t>
      </w:r>
    </w:p>
    <w:p>
      <w:pPr>
        <w:pStyle w:val="8"/>
        <w:keepNext w:val="0"/>
        <w:keepLines w:val="0"/>
        <w:pageBreakBefore w:val="0"/>
        <w:kinsoku/>
        <w:wordWrap/>
        <w:overflowPunct w:val="0"/>
        <w:topLinePunct w:val="0"/>
        <w:autoSpaceDE/>
        <w:autoSpaceDN/>
        <w:bidi w:val="0"/>
        <w:adjustRightInd/>
        <w:snapToGrid/>
        <w:spacing w:line="560" w:lineRule="exact"/>
        <w:ind w:left="0" w:leftChars="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第四</w:t>
      </w:r>
      <w:r>
        <w:rPr>
          <w:rFonts w:hint="eastAsia" w:eastAsia="黑体" w:cs="Times New Roman"/>
          <w:color w:val="000000" w:themeColor="text1"/>
          <w:kern w:val="2"/>
          <w:sz w:val="32"/>
          <w:szCs w:val="32"/>
          <w:lang w:val="en-US" w:eastAsia="zh-CN" w:bidi="ar-SA"/>
          <w14:textFill>
            <w14:solidFill>
              <w14:schemeClr w14:val="tx1"/>
            </w14:solidFill>
          </w14:textFill>
        </w:rPr>
        <w:t>十七</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【监管</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信用</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档案】</w:t>
      </w:r>
      <w:r>
        <w:rPr>
          <w:rFonts w:hint="eastAsia" w:ascii="微软雅黑" w:hAnsi="微软雅黑" w:eastAsia="微软雅黑" w:cs="微软雅黑"/>
          <w:i w:val="0"/>
          <w:iCs w:val="0"/>
          <w:caps w:val="0"/>
          <w:color w:val="auto"/>
          <w:spacing w:val="0"/>
          <w:kern w:val="2"/>
          <w:sz w:val="32"/>
          <w:szCs w:val="32"/>
          <w:shd w:val="clear" w:fill="FFFFFF"/>
          <w:lang w:val="en-US" w:eastAsia="zh-CN" w:bidi="ar-SA"/>
          <w14:textFill>
            <w14:gradFill>
              <w14:gsLst>
                <w14:gs w14:pos="0">
                  <w14:srgbClr w14:val="14CD68"/>
                </w14:gs>
                <w14:gs w14:pos="100000">
                  <w14:srgbClr w14:val="0B6E38"/>
                </w14:gs>
              </w14:gsLst>
              <w14:lin w14:scaled="0"/>
            </w14:gradFill>
          </w14:textFill>
        </w:rPr>
        <w:t xml:space="preserve"> </w:t>
      </w:r>
      <w:r>
        <w:rPr>
          <w:rFonts w:hint="default" w:ascii="微软雅黑" w:hAnsi="微软雅黑" w:eastAsia="微软雅黑" w:cs="微软雅黑"/>
        </w:rPr>
        <w:t> </w:t>
      </w:r>
      <w:r>
        <w:rPr>
          <w:rFonts w:hint="eastAsia" w:ascii="仿宋_GB2312" w:hAnsi="仿宋_GB2312" w:eastAsia="仿宋_GB2312" w:cs="仿宋_GB2312"/>
          <w:color w:val="auto"/>
          <w:kern w:val="0"/>
          <w:sz w:val="32"/>
          <w:szCs w:val="32"/>
          <w:shd w:val="clear" w:fill="FFFFFF"/>
        </w:rPr>
        <w:t>药品监督管理部门应当将药品</w:t>
      </w:r>
      <w:r>
        <w:rPr>
          <w:rFonts w:hint="eastAsia" w:ascii="仿宋_GB2312" w:hAnsi="仿宋_GB2312" w:eastAsia="仿宋_GB2312" w:cs="仿宋_GB2312"/>
          <w:color w:val="auto"/>
          <w:kern w:val="0"/>
          <w:sz w:val="32"/>
          <w:szCs w:val="32"/>
          <w:shd w:val="clear" w:fill="FFFFFF"/>
          <w:lang w:eastAsia="zh-CN"/>
        </w:rPr>
        <w:t>经营</w:t>
      </w:r>
      <w:r>
        <w:rPr>
          <w:rFonts w:hint="eastAsia" w:ascii="仿宋_GB2312" w:hAnsi="仿宋_GB2312" w:eastAsia="仿宋_GB2312" w:cs="仿宋_GB2312"/>
          <w:color w:val="auto"/>
          <w:kern w:val="0"/>
          <w:sz w:val="32"/>
          <w:szCs w:val="32"/>
          <w:shd w:val="clear" w:fill="FFFFFF"/>
        </w:rPr>
        <w:t>监督管理信息纳入药品安全信用档案，并及时更新。药品安全信用档案包括以下内容</w:t>
      </w:r>
      <w:r>
        <w:rPr>
          <w:rFonts w:hint="eastAsia" w:ascii="仿宋_GB2312" w:hAnsi="仿宋_GB2312" w:eastAsia="仿宋_GB2312" w:cs="仿宋_GB2312"/>
          <w:color w:val="auto"/>
          <w:kern w:val="0"/>
          <w:sz w:val="32"/>
          <w:szCs w:val="32"/>
          <w:vertAlign w:val="baseline"/>
          <w:lang w:val="en-US" w:eastAsia="zh-CN" w:bidi="ar-SA"/>
        </w:rPr>
        <w:t>：</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（一）各类监督检查记录、相应整改报告及复查记录等；</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（二）群众举报、媒体曝光和投诉调查记录，药品质量事故调查处理情况；</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（三）抽验结果及对不合格药品追溯调查和产品召回情况；</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（四）对违法、违规行为的行政处罚情况等。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第四</w:t>
      </w:r>
      <w:r>
        <w:rPr>
          <w:rFonts w:hint="eastAsia" w:eastAsia="黑体" w:cs="Times New Roman"/>
          <w:color w:val="000000" w:themeColor="text1"/>
          <w:kern w:val="2"/>
          <w:sz w:val="32"/>
          <w:szCs w:val="32"/>
          <w:lang w:val="en-US" w:eastAsia="zh-CN" w:bidi="ar-SA"/>
          <w14:textFill>
            <w14:solidFill>
              <w14:schemeClr w14:val="tx1"/>
            </w14:solidFill>
          </w14:textFill>
        </w:rPr>
        <w:t>十八</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default" w:ascii="Calibri" w:hAnsi="Calibri" w:eastAsia="黑体" w:cs="Times New Roman"/>
          <w:color w:val="000000" w:themeColor="text1"/>
          <w:kern w:val="2"/>
          <w:sz w:val="32"/>
          <w:szCs w:val="32"/>
          <w14:textFill>
            <w14:solidFill>
              <w14:schemeClr w14:val="tx1"/>
            </w14:solidFill>
          </w14:textFill>
        </w:rPr>
        <w:t>分级分类监管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sz w:val="32"/>
          <w:szCs w:val="32"/>
        </w:rPr>
        <w:t>  药品监督管理部门应当按照风险评估和药品安全信用等级等情况，对药品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实行分级分类监管。</w:t>
      </w:r>
      <w:r>
        <w:rPr>
          <w:rFonts w:hint="eastAsia" w:ascii="仿宋_GB2312" w:hAnsi="仿宋_GB2312" w:eastAsia="仿宋_GB2312" w:cs="仿宋_GB2312"/>
          <w:color w:val="auto"/>
          <w:sz w:val="32"/>
          <w:szCs w:val="32"/>
          <w:lang w:eastAsia="zh-CN"/>
        </w:rPr>
        <w:t>在完成法律法规规章规定日常检查的频次要求基础上，</w:t>
      </w:r>
      <w:r>
        <w:rPr>
          <w:rFonts w:hint="eastAsia" w:ascii="仿宋_GB2312" w:hAnsi="仿宋_GB2312" w:eastAsia="仿宋_GB2312" w:cs="仿宋_GB2312"/>
          <w:color w:val="auto"/>
          <w:sz w:val="32"/>
          <w:szCs w:val="32"/>
        </w:rPr>
        <w:t>对信用较好、风险较低的药品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，可以合理降低检查频次；对信用状况一般的药品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，按照常规频次进行检查；对违法失信、风险较高的药品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，适当提高检查频次，依法实施联合惩戒。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第四</w:t>
      </w:r>
      <w:r>
        <w:rPr>
          <w:rFonts w:hint="eastAsia" w:eastAsia="黑体" w:cs="Times New Roman"/>
          <w:color w:val="000000" w:themeColor="text1"/>
          <w:kern w:val="2"/>
          <w:sz w:val="32"/>
          <w:szCs w:val="32"/>
          <w:lang w:val="en-US" w:eastAsia="zh-CN" w:bidi="ar-SA"/>
          <w14:textFill>
            <w14:solidFill>
              <w14:schemeClr w14:val="tx1"/>
            </w14:solidFill>
          </w14:textFill>
        </w:rPr>
        <w:t>十九</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eastAsia="zh-CN"/>
          <w14:textFill>
            <w14:solidFill>
              <w14:schemeClr w14:val="tx1"/>
            </w14:solidFill>
          </w14:textFill>
        </w:rPr>
        <w:t>投诉举报</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sz w:val="32"/>
          <w:szCs w:val="32"/>
        </w:rPr>
        <w:t>  个人（包括药品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内部员工）和组织发现药品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进行违法</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活动的，有权向药品监督管理部门举报，药品监督管理部门应当按照有关规定及时核实、处理，按照规定给予奖励。</w:t>
      </w:r>
    </w:p>
    <w:p>
      <w:pPr>
        <w:pStyle w:val="4"/>
        <w:keepNext w:val="0"/>
        <w:keepLines w:val="0"/>
        <w:pageBreakBefore w:val="0"/>
        <w:widowControl/>
        <w:numPr>
          <w:ilvl w:val="0"/>
          <w:numId w:val="0"/>
        </w:numPr>
        <w:suppressLineNumbers w:val="0"/>
        <w:kinsoku/>
        <w:wordWrap/>
        <w:topLinePunct w:val="0"/>
        <w:autoSpaceDE/>
        <w:autoSpaceDN/>
        <w:bidi w:val="0"/>
        <w:adjustRightInd/>
        <w:snapToGrid/>
        <w:spacing w:before="0" w:beforeAutospacing="0" w:afterAutospacing="0" w:line="560" w:lineRule="exact"/>
        <w:ind w:right="0" w:rightChars="0"/>
        <w:jc w:val="center"/>
        <w:textAlignment w:val="auto"/>
        <w:rPr>
          <w:rFonts w:hint="eastAsia" w:ascii="黑体" w:hAnsi="黑体" w:eastAsia="黑体" w:cs="黑体"/>
          <w:b/>
          <w:bCs w:val="0"/>
          <w:strike/>
          <w:color w:val="000000" w:themeColor="text1"/>
          <w:kern w:val="2"/>
          <w:sz w:val="32"/>
          <w:szCs w:val="32"/>
          <w:u w:val="none"/>
          <w:lang w:val="en-US" w:eastAsia="zh-CN" w:bidi="ar-SA"/>
          <w14:textFill>
            <w14:solidFill>
              <w14:schemeClr w14:val="tx1"/>
            </w14:solidFill>
          </w14:textFill>
        </w:rPr>
      </w:pP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Autospacing="0" w:line="560" w:lineRule="exact"/>
        <w:ind w:right="0" w:rightChars="0" w:firstLine="2880" w:firstLineChars="900"/>
        <w:jc w:val="left"/>
        <w:textAlignment w:val="auto"/>
        <w:rPr>
          <w:rFonts w:hint="eastAsia" w:ascii="仿宋_GB2312" w:hAnsi="仿宋_GB2312" w:eastAsia="仿宋_GB2312" w:cs="仿宋_GB2312"/>
          <w:b w:val="0"/>
          <w:bCs/>
          <w:color w:val="auto"/>
          <w:kern w:val="0"/>
          <w:sz w:val="32"/>
          <w:szCs w:val="32"/>
          <w:u w:val="none"/>
          <w:lang w:val="en-US" w:eastAsia="zh-CN" w:bidi="ar-SA"/>
        </w:rPr>
      </w:pPr>
      <w:r>
        <w:rPr>
          <w:rFonts w:hint="eastAsia" w:ascii="黑体" w:hAnsi="黑体" w:eastAsia="黑体" w:cs="黑体"/>
          <w:b w:val="0"/>
          <w:bCs/>
          <w:color w:val="000000" w:themeColor="text1"/>
          <w:kern w:val="2"/>
          <w:sz w:val="32"/>
          <w:szCs w:val="32"/>
          <w:u w:val="none"/>
          <w:lang w:val="en-US" w:eastAsia="zh-CN" w:bidi="ar-SA"/>
          <w14:textFill>
            <w14:solidFill>
              <w14:schemeClr w14:val="tx1"/>
            </w14:solidFill>
          </w14:textFill>
        </w:rPr>
        <w:t>第四章  行政处理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560" w:lineRule="exact"/>
        <w:ind w:left="0" w:right="0" w:firstLine="640" w:firstLineChars="200"/>
        <w:rPr>
          <w:rFonts w:hint="eastAsia" w:ascii="仿宋_GB2312" w:hAnsi="仿宋_GB2312" w:eastAsia="仿宋_GB2312" w:cs="仿宋_GB2312"/>
          <w:i w:val="0"/>
          <w:caps w:val="0"/>
          <w:color w:val="auto"/>
          <w:spacing w:val="0"/>
          <w:sz w:val="32"/>
          <w:szCs w:val="32"/>
          <w:shd w:val="clear"/>
        </w:rPr>
      </w:pP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第</w:t>
      </w:r>
      <w:r>
        <w:rPr>
          <w:rFonts w:hint="eastAsia" w:eastAsia="黑体" w:cs="Times New Roman"/>
          <w:color w:val="000000" w:themeColor="text1"/>
          <w:kern w:val="2"/>
          <w:sz w:val="32"/>
          <w:szCs w:val="32"/>
          <w:lang w:val="en-US" w:eastAsia="zh-CN" w:bidi="ar-SA"/>
          <w14:textFill>
            <w14:solidFill>
              <w14:schemeClr w14:val="tx1"/>
            </w14:solidFill>
          </w14:textFill>
        </w:rPr>
        <w:t>五十</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eastAsia="黑体" w:cs="Times New Roman"/>
          <w:color w:val="000000" w:themeColor="text1"/>
          <w:kern w:val="2"/>
          <w:sz w:val="32"/>
          <w:szCs w:val="32"/>
          <w:lang w:val="en-US" w:eastAsia="zh-CN" w:bidi="ar-SA"/>
          <w14:textFill>
            <w14:solidFill>
              <w14:schemeClr w14:val="tx1"/>
            </w14:solidFill>
          </w14:textFill>
        </w:rPr>
        <w:t>违法行为处置</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i w:val="0"/>
          <w:caps w:val="0"/>
          <w:color w:val="auto"/>
          <w:spacing w:val="0"/>
          <w:sz w:val="32"/>
          <w:szCs w:val="32"/>
          <w:shd w:val="clear"/>
        </w:rPr>
        <w:t>　药品监督管理部门在监督检查过程中，发现存在涉嫌违反药品法律、法规、规章行为的，应当及时采取措施，按照职责和权限依法查处；涉嫌犯罪的移交公安机关处理。发现涉嫌违纪线索的，移送纪检监察部门。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560" w:lineRule="exact"/>
        <w:ind w:left="0" w:right="0" w:firstLine="640" w:firstLineChars="200"/>
        <w:rPr>
          <w:rFonts w:hint="eastAsia" w:ascii="仿宋_GB2312" w:hAnsi="仿宋_GB2312" w:eastAsia="仿宋_GB2312" w:cs="仿宋_GB2312"/>
          <w:i w:val="0"/>
          <w:caps w:val="0"/>
          <w:color w:val="auto"/>
          <w:spacing w:val="0"/>
          <w:sz w:val="32"/>
          <w:szCs w:val="32"/>
          <w:shd w:val="clear"/>
          <w:lang w:eastAsia="zh-CN"/>
        </w:rPr>
      </w:pP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第</w:t>
      </w:r>
      <w:r>
        <w:rPr>
          <w:rFonts w:hint="eastAsia" w:eastAsia="黑体" w:cs="Times New Roman"/>
          <w:color w:val="000000" w:themeColor="text1"/>
          <w:kern w:val="2"/>
          <w:sz w:val="32"/>
          <w:szCs w:val="32"/>
          <w:lang w:val="en-US" w:eastAsia="zh-CN" w:bidi="ar-SA"/>
          <w14:textFill>
            <w14:solidFill>
              <w14:schemeClr w14:val="tx1"/>
            </w14:solidFill>
          </w14:textFill>
        </w:rPr>
        <w:t>五十一</w:t>
      </w:r>
      <w:r>
        <w:rPr>
          <w:rFonts w:hint="eastAsia" w:ascii="Calibri" w:hAnsi="Calibri" w:eastAsia="黑体" w:cs="Times New Roman"/>
          <w:color w:val="000000" w:themeColor="text1"/>
          <w:kern w:val="2"/>
          <w:sz w:val="32"/>
          <w:szCs w:val="32"/>
          <w:lang w:val="en-US" w:eastAsia="zh-CN" w:bidi="ar-SA"/>
          <w14:textFill>
            <w14:solidFill>
              <w14:schemeClr w14:val="tx1"/>
            </w14:solidFill>
          </w14:textFill>
        </w:rPr>
        <w:t>条</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ascii="Calibri" w:hAnsi="Calibri" w:eastAsia="黑体" w:cs="Times New Roman"/>
          <w:i w:val="0"/>
          <w:caps w:val="0"/>
          <w:color w:val="000000" w:themeColor="text1"/>
          <w:spacing w:val="0"/>
          <w:kern w:val="2"/>
          <w:sz w:val="32"/>
          <w:szCs w:val="32"/>
          <w:shd w:val="clear"/>
          <w14:textFill>
            <w14:solidFill>
              <w14:schemeClr w14:val="tx1"/>
            </w14:solidFill>
          </w14:textFill>
        </w:rPr>
        <w:t>风险控制</w:t>
      </w:r>
      <w:r>
        <w:rPr>
          <w:rFonts w:hint="eastAsia" w:eastAsia="黑体" w:cs="Times New Roman"/>
          <w:color w:val="000000" w:themeColor="text1"/>
          <w:kern w:val="2"/>
          <w:sz w:val="32"/>
          <w:szCs w:val="32"/>
          <w:lang w:val="en-US" w:eastAsia="zh-CN" w:bidi="ar-SA"/>
          <w14:textFill>
            <w14:solidFill>
              <w14:schemeClr w14:val="tx1"/>
            </w14:solidFill>
          </w14:textFill>
        </w:rPr>
        <w:t>行政措施</w:t>
      </w:r>
      <w:r>
        <w:rPr>
          <w:rFonts w:hint="default" w:ascii="Calibri" w:hAnsi="Calibri" w:eastAsia="黑体"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i w:val="0"/>
          <w:caps w:val="0"/>
          <w:color w:val="auto"/>
          <w:spacing w:val="0"/>
          <w:sz w:val="32"/>
          <w:szCs w:val="32"/>
          <w:shd w:val="clear"/>
        </w:rPr>
        <w:t>根据监督检查情况，有证据证明可能存在药品安全隐患的，药品监督管理部门可以依法采取行政告诫</w:t>
      </w:r>
      <w:r>
        <w:rPr>
          <w:rFonts w:hint="eastAsia" w:ascii="仿宋_GB2312" w:hAnsi="仿宋_GB2312" w:eastAsia="仿宋_GB2312" w:cs="仿宋_GB2312"/>
          <w:i w:val="0"/>
          <w:caps w:val="0"/>
          <w:color w:val="auto"/>
          <w:spacing w:val="0"/>
          <w:sz w:val="32"/>
          <w:szCs w:val="32"/>
          <w:shd w:val="clear"/>
          <w:lang w:eastAsia="zh-CN"/>
        </w:rPr>
        <w:t>、</w:t>
      </w:r>
      <w:r>
        <w:rPr>
          <w:rFonts w:hint="eastAsia" w:ascii="仿宋_GB2312" w:hAnsi="仿宋_GB2312" w:eastAsia="仿宋_GB2312" w:cs="仿宋_GB2312"/>
          <w:i w:val="0"/>
          <w:caps w:val="0"/>
          <w:color w:val="auto"/>
          <w:spacing w:val="0"/>
          <w:sz w:val="32"/>
          <w:szCs w:val="32"/>
          <w:shd w:val="clear"/>
        </w:rPr>
        <w:t>责任约谈</w:t>
      </w:r>
      <w:r>
        <w:rPr>
          <w:rFonts w:hint="eastAsia" w:ascii="仿宋_GB2312" w:hAnsi="仿宋_GB2312" w:eastAsia="仿宋_GB2312" w:cs="仿宋_GB2312"/>
          <w:i w:val="0"/>
          <w:caps w:val="0"/>
          <w:color w:val="auto"/>
          <w:spacing w:val="0"/>
          <w:sz w:val="32"/>
          <w:szCs w:val="32"/>
          <w:shd w:val="clear"/>
          <w:lang w:eastAsia="zh-CN"/>
        </w:rPr>
        <w:t>、</w:t>
      </w:r>
      <w:r>
        <w:rPr>
          <w:rFonts w:hint="eastAsia" w:ascii="仿宋_GB2312" w:hAnsi="仿宋_GB2312" w:eastAsia="仿宋_GB2312" w:cs="仿宋_GB2312"/>
          <w:i w:val="0"/>
          <w:caps w:val="0"/>
          <w:color w:val="auto"/>
          <w:spacing w:val="0"/>
          <w:sz w:val="32"/>
          <w:szCs w:val="32"/>
          <w:shd w:val="clear"/>
        </w:rPr>
        <w:t>责令限期整改</w:t>
      </w:r>
      <w:r>
        <w:rPr>
          <w:rFonts w:hint="eastAsia" w:ascii="仿宋_GB2312" w:hAnsi="仿宋_GB2312" w:eastAsia="仿宋_GB2312" w:cs="仿宋_GB2312"/>
          <w:i w:val="0"/>
          <w:caps w:val="0"/>
          <w:color w:val="auto"/>
          <w:spacing w:val="0"/>
          <w:sz w:val="32"/>
          <w:szCs w:val="32"/>
          <w:shd w:val="clear"/>
          <w:lang w:eastAsia="zh-CN"/>
        </w:rPr>
        <w:t>，</w:t>
      </w:r>
      <w:r>
        <w:rPr>
          <w:rFonts w:hint="eastAsia" w:ascii="仿宋_GB2312" w:hAnsi="仿宋_GB2312" w:eastAsia="仿宋_GB2312" w:cs="仿宋_GB2312"/>
          <w:i w:val="0"/>
          <w:caps w:val="0"/>
          <w:color w:val="auto"/>
          <w:spacing w:val="0"/>
          <w:sz w:val="32"/>
          <w:szCs w:val="32"/>
          <w:shd w:val="clear"/>
        </w:rPr>
        <w:t>责令暂停相关药品销售和使用</w:t>
      </w:r>
      <w:r>
        <w:rPr>
          <w:rFonts w:hint="eastAsia" w:ascii="仿宋_GB2312" w:hAnsi="仿宋_GB2312" w:eastAsia="仿宋_GB2312" w:cs="仿宋_GB2312"/>
          <w:i w:val="0"/>
          <w:caps w:val="0"/>
          <w:color w:val="auto"/>
          <w:spacing w:val="0"/>
          <w:sz w:val="32"/>
          <w:szCs w:val="32"/>
          <w:shd w:val="clear"/>
          <w:lang w:eastAsia="zh-CN"/>
        </w:rPr>
        <w:t>、</w:t>
      </w:r>
      <w:r>
        <w:rPr>
          <w:rFonts w:hint="eastAsia" w:ascii="仿宋_GB2312" w:hAnsi="仿宋_GB2312" w:eastAsia="仿宋_GB2312" w:cs="仿宋_GB2312"/>
          <w:i w:val="0"/>
          <w:caps w:val="0"/>
          <w:color w:val="auto"/>
          <w:spacing w:val="0"/>
          <w:sz w:val="32"/>
          <w:szCs w:val="32"/>
          <w:shd w:val="clear"/>
        </w:rPr>
        <w:t>责令召回药品</w:t>
      </w:r>
      <w:r>
        <w:rPr>
          <w:rFonts w:hint="eastAsia" w:ascii="仿宋_GB2312" w:hAnsi="仿宋_GB2312" w:eastAsia="仿宋_GB2312" w:cs="仿宋_GB2312"/>
          <w:i w:val="0"/>
          <w:caps w:val="0"/>
          <w:color w:val="auto"/>
          <w:spacing w:val="0"/>
          <w:sz w:val="32"/>
          <w:szCs w:val="32"/>
          <w:shd w:val="clear"/>
          <w:lang w:eastAsia="zh-CN"/>
        </w:rPr>
        <w:t>等</w:t>
      </w:r>
      <w:r>
        <w:rPr>
          <w:rFonts w:hint="eastAsia" w:ascii="仿宋_GB2312" w:hAnsi="仿宋_GB2312" w:eastAsia="仿宋_GB2312" w:cs="仿宋_GB2312"/>
          <w:i w:val="0"/>
          <w:caps w:val="0"/>
          <w:color w:val="auto"/>
          <w:spacing w:val="0"/>
          <w:sz w:val="32"/>
          <w:szCs w:val="32"/>
          <w:shd w:val="clear"/>
        </w:rPr>
        <w:t>风险控制行政措施</w:t>
      </w:r>
      <w:r>
        <w:rPr>
          <w:rFonts w:hint="eastAsia" w:ascii="仿宋_GB2312" w:hAnsi="仿宋_GB2312" w:eastAsia="仿宋_GB2312" w:cs="仿宋_GB2312"/>
          <w:i w:val="0"/>
          <w:caps w:val="0"/>
          <w:color w:val="auto"/>
          <w:spacing w:val="0"/>
          <w:sz w:val="32"/>
          <w:szCs w:val="32"/>
          <w:shd w:val="clear"/>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第五十二条【后处置要求之一】</w:t>
      </w:r>
      <w:r>
        <w:rPr>
          <w:rFonts w:hint="eastAsia" w:ascii="黑体" w:hAnsi="黑体" w:eastAsia="黑体" w:cs="黑体"/>
          <w:color w:val="auto"/>
          <w:sz w:val="32"/>
          <w:szCs w:val="32"/>
        </w:rPr>
        <w:t>   </w:t>
      </w:r>
      <w:r>
        <w:rPr>
          <w:rFonts w:hint="eastAsia" w:ascii="仿宋_GB2312" w:hAnsi="仿宋_GB2312" w:eastAsia="仿宋_GB2312" w:cs="仿宋_GB2312"/>
          <w:color w:val="auto"/>
          <w:sz w:val="32"/>
          <w:szCs w:val="32"/>
        </w:rPr>
        <w:t>药品监督管理部门应当按照药品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监督检查后处置工作程序规定，做好检查后处置工作。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第五十三条【后处置要求之二】</w:t>
      </w:r>
      <w:r>
        <w:rPr>
          <w:rFonts w:hint="eastAsia" w:ascii="黑体" w:hAnsi="黑体" w:eastAsia="黑体" w:cs="黑体"/>
          <w:color w:val="auto"/>
          <w:sz w:val="32"/>
          <w:szCs w:val="32"/>
        </w:rPr>
        <w:t> </w:t>
      </w:r>
      <w:r>
        <w:rPr>
          <w:rFonts w:hint="eastAsia" w:ascii="仿宋_GB2312" w:hAnsi="仿宋_GB2312" w:eastAsia="仿宋_GB2312" w:cs="仿宋_GB2312"/>
          <w:color w:val="auto"/>
          <w:sz w:val="32"/>
          <w:szCs w:val="32"/>
        </w:rPr>
        <w:t>  检查结论判定为不符合要求的，药品监督管理部门应当在整改、告诫的基础上，</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采取暂停销售、使用</w:t>
      </w:r>
      <w:r>
        <w:rPr>
          <w:rFonts w:hint="eastAsia" w:ascii="仿宋_GB2312" w:hAnsi="仿宋_GB2312" w:eastAsia="仿宋_GB2312" w:cs="仿宋_GB2312"/>
          <w:color w:val="auto"/>
          <w:sz w:val="32"/>
          <w:szCs w:val="32"/>
          <w:lang w:eastAsia="zh-CN"/>
        </w:rPr>
        <w:t>、召回</w:t>
      </w:r>
      <w:r>
        <w:rPr>
          <w:rFonts w:hint="eastAsia" w:ascii="仿宋_GB2312" w:hAnsi="仿宋_GB2312" w:eastAsia="仿宋_GB2312" w:cs="仿宋_GB2312"/>
          <w:color w:val="auto"/>
          <w:sz w:val="32"/>
          <w:szCs w:val="32"/>
        </w:rPr>
        <w:t>的风险控制措施，除依法不予处罚外，依据《药品管理法》第一百二十六条规定进行处理。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第五十四条【后处置要求之三】</w:t>
      </w:r>
      <w:r>
        <w:rPr>
          <w:rFonts w:hint="eastAsia" w:ascii="黑体" w:hAnsi="黑体" w:eastAsia="黑体" w:cs="黑体"/>
          <w:color w:val="auto"/>
          <w:sz w:val="32"/>
          <w:szCs w:val="32"/>
        </w:rPr>
        <w:t> </w:t>
      </w:r>
      <w:r>
        <w:rPr>
          <w:rFonts w:hint="eastAsia" w:ascii="仿宋_GB2312" w:hAnsi="仿宋_GB2312" w:eastAsia="仿宋_GB2312" w:cs="仿宋_GB2312"/>
          <w:color w:val="auto"/>
          <w:sz w:val="32"/>
          <w:szCs w:val="32"/>
        </w:rPr>
        <w:t>  检查结论判定为不符合要求并发现存在其他涉嫌违法违规行为的，应当依法进行查处。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第五十五条【多次违法的处置】</w:t>
      </w:r>
      <w:r>
        <w:rPr>
          <w:rFonts w:hint="eastAsia" w:ascii="仿宋_GB2312" w:hAnsi="仿宋_GB2312" w:eastAsia="仿宋_GB2312" w:cs="仿宋_GB2312"/>
          <w:color w:val="auto"/>
          <w:sz w:val="32"/>
          <w:szCs w:val="32"/>
        </w:rPr>
        <w:t>  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一年内受到二次及以上行政处罚或者情节严重的，药品监督管理部门应当根据监督检查情况，对发现重大药品质量安全风险的，依法采取暂停</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等风险控制措施；发现违法行为的，依法从重处罚。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第五十六条【重大案件的报告】</w:t>
      </w:r>
      <w:r>
        <w:rPr>
          <w:rFonts w:hint="eastAsia" w:ascii="仿宋_GB2312" w:hAnsi="仿宋_GB2312" w:eastAsia="仿宋_GB2312" w:cs="仿宋_GB2312"/>
          <w:color w:val="auto"/>
          <w:sz w:val="32"/>
          <w:szCs w:val="32"/>
        </w:rPr>
        <w:t>  对有全省性影响或者跨区域的药品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重大案件，市、县级药品监督管理部门应当在查处的同时报省药监局执法监察局。执法监察局组织协调、督查督办案件查处工作。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default" w:ascii="仿宋_GB2312" w:hAnsi="仿宋_GB2312" w:eastAsia="仿宋_GB2312" w:cs="仿宋_GB2312"/>
          <w:color w:val="0000FF"/>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第五十七条【召回管理】</w:t>
      </w:r>
      <w:r>
        <w:rPr>
          <w:rFonts w:hint="eastAsia" w:ascii="仿宋_GB2312" w:hAnsi="仿宋_GB2312" w:eastAsia="仿宋_GB2312" w:cs="仿宋_GB2312"/>
          <w:color w:val="auto"/>
          <w:sz w:val="32"/>
          <w:szCs w:val="32"/>
        </w:rPr>
        <w:t>  监督检查中发现存在质量问题或者安全隐患药品的，药品监督管理部门应当按照药品召回管理的相关规定处理</w:t>
      </w:r>
      <w:r>
        <w:rPr>
          <w:rFonts w:hint="eastAsia" w:ascii="仿宋_GB2312" w:hAnsi="仿宋_GB2312" w:eastAsia="仿宋_GB2312" w:cs="仿宋_GB2312"/>
          <w:color w:val="0000FF"/>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strike w:val="0"/>
          <w:color w:val="auto"/>
          <w:sz w:val="32"/>
          <w:szCs w:val="32"/>
        </w:rPr>
      </w:pPr>
      <w:r>
        <w:rPr>
          <w:rFonts w:hint="eastAsia" w:ascii="黑体" w:hAnsi="黑体" w:eastAsia="黑体" w:cs="黑体"/>
          <w:strike w:val="0"/>
          <w:color w:val="000000" w:themeColor="text1"/>
          <w:kern w:val="2"/>
          <w:sz w:val="32"/>
          <w:szCs w:val="32"/>
          <w:lang w:val="en-US" w:eastAsia="zh-CN" w:bidi="ar-SA"/>
          <w14:textFill>
            <w14:solidFill>
              <w14:schemeClr w14:val="tx1"/>
            </w14:solidFill>
          </w14:textFill>
        </w:rPr>
        <w:t>第五十八条【信息公开】</w:t>
      </w:r>
      <w:r>
        <w:rPr>
          <w:rFonts w:hint="eastAsia" w:ascii="仿宋_GB2312" w:hAnsi="仿宋_GB2312" w:eastAsia="仿宋_GB2312" w:cs="仿宋_GB2312"/>
          <w:strike w:val="0"/>
          <w:color w:val="auto"/>
          <w:sz w:val="32"/>
          <w:szCs w:val="32"/>
        </w:rPr>
        <w:t>  药品监督管理部门应当依法公开药品</w:t>
      </w:r>
      <w:r>
        <w:rPr>
          <w:rFonts w:hint="eastAsia" w:ascii="仿宋_GB2312" w:hAnsi="仿宋_GB2312" w:eastAsia="仿宋_GB2312" w:cs="仿宋_GB2312"/>
          <w:strike w:val="0"/>
          <w:color w:val="auto"/>
          <w:sz w:val="32"/>
          <w:szCs w:val="32"/>
          <w:lang w:eastAsia="zh-CN"/>
        </w:rPr>
        <w:t>经营</w:t>
      </w:r>
      <w:r>
        <w:rPr>
          <w:rFonts w:hint="eastAsia" w:ascii="仿宋_GB2312" w:hAnsi="仿宋_GB2312" w:eastAsia="仿宋_GB2312" w:cs="仿宋_GB2312"/>
          <w:strike w:val="0"/>
          <w:color w:val="auto"/>
          <w:sz w:val="32"/>
          <w:szCs w:val="32"/>
        </w:rPr>
        <w:t>监督检查信息。信息公开可能危及国家安全、公共安全、经济安全及社会稳定的，不予公开。</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黑体" w:hAnsi="黑体" w:eastAsia="黑体" w:cs="黑体"/>
          <w:bCs/>
          <w:strike/>
          <w:color w:val="auto"/>
          <w:kern w:val="2"/>
          <w:sz w:val="32"/>
          <w:szCs w:val="32"/>
          <w:u w:val="none"/>
          <w:lang w:val="en-US" w:eastAsia="zh-CN" w:bidi="ar-SA"/>
          <w14:textFill>
            <w14:gradFill>
              <w14:gsLst>
                <w14:gs w14:pos="0">
                  <w14:srgbClr w14:val="14CD68"/>
                </w14:gs>
                <w14:gs w14:pos="100000">
                  <w14:srgbClr w14:val="0B6E38"/>
                </w14:gs>
              </w14:gsLst>
              <w14:lin w14:scaled="0"/>
            </w14:gradFill>
          </w14:textFill>
        </w:rPr>
      </w:pPr>
    </w:p>
    <w:p>
      <w:pPr>
        <w:pStyle w:val="4"/>
        <w:keepNext w:val="0"/>
        <w:keepLines w:val="0"/>
        <w:pageBreakBefore w:val="0"/>
        <w:widowControl/>
        <w:numPr>
          <w:ilvl w:val="0"/>
          <w:numId w:val="0"/>
        </w:numPr>
        <w:suppressLineNumbers w:val="0"/>
        <w:kinsoku/>
        <w:wordWrap/>
        <w:topLinePunct w:val="0"/>
        <w:autoSpaceDE/>
        <w:autoSpaceDN/>
        <w:bidi w:val="0"/>
        <w:adjustRightInd/>
        <w:snapToGrid/>
        <w:spacing w:before="0" w:beforeAutospacing="0" w:afterAutospacing="0" w:line="560" w:lineRule="exact"/>
        <w:ind w:right="0" w:rightChars="0"/>
        <w:jc w:val="center"/>
        <w:textAlignment w:val="auto"/>
        <w:rPr>
          <w:rFonts w:hint="eastAsia" w:ascii="黑体" w:hAnsi="黑体" w:eastAsia="黑体" w:cs="黑体"/>
          <w:b/>
          <w:bCs w:val="0"/>
          <w:strike w:val="0"/>
          <w:color w:val="000000" w:themeColor="text1"/>
          <w:kern w:val="2"/>
          <w:sz w:val="32"/>
          <w:szCs w:val="32"/>
          <w:u w:val="none"/>
          <w:lang w:val="en-US" w:eastAsia="zh-CN" w:bidi="ar-SA"/>
          <w14:textFill>
            <w14:solidFill>
              <w14:schemeClr w14:val="tx1"/>
            </w14:solidFill>
          </w14:textFill>
        </w:rPr>
      </w:pPr>
      <w:r>
        <w:rPr>
          <w:rFonts w:hint="eastAsia" w:ascii="黑体" w:hAnsi="黑体" w:eastAsia="黑体" w:cs="黑体"/>
          <w:bCs/>
          <w:strike/>
          <w:color w:val="auto"/>
          <w:kern w:val="2"/>
          <w:sz w:val="32"/>
          <w:szCs w:val="32"/>
          <w:u w:val="none"/>
          <w:lang w:val="en-US" w:eastAsia="zh-CN" w:bidi="ar-SA"/>
          <w14:textFill>
            <w14:gradFill>
              <w14:gsLst>
                <w14:gs w14:pos="0">
                  <w14:srgbClr w14:val="14CD68"/>
                </w14:gs>
                <w14:gs w14:pos="100000">
                  <w14:srgbClr w14:val="0B6E38"/>
                </w14:gs>
              </w14:gsLst>
              <w14:lin w14:scaled="0"/>
            </w14:gradFill>
          </w14:textFill>
        </w:rPr>
        <w:t xml:space="preserve">    </w:t>
      </w:r>
      <w:r>
        <w:rPr>
          <w:rFonts w:hint="eastAsia" w:ascii="黑体" w:hAnsi="黑体" w:eastAsia="黑体" w:cs="黑体"/>
          <w:bCs/>
          <w:strike w:val="0"/>
          <w:color w:val="auto"/>
          <w:kern w:val="2"/>
          <w:sz w:val="32"/>
          <w:szCs w:val="32"/>
          <w:u w:val="none"/>
          <w:lang w:val="en-US" w:eastAsia="zh-CN" w:bidi="ar-SA"/>
          <w14:textFill>
            <w14:gradFill>
              <w14:gsLst>
                <w14:gs w14:pos="0">
                  <w14:srgbClr w14:val="14CD68"/>
                </w14:gs>
                <w14:gs w14:pos="100000">
                  <w14:srgbClr w14:val="0B6E38"/>
                </w14:gs>
              </w14:gsLst>
              <w14:lin w14:scaled="0"/>
            </w14:gradFill>
          </w14:textFill>
        </w:rPr>
        <w:t xml:space="preserve"> </w:t>
      </w:r>
      <w:r>
        <w:rPr>
          <w:rFonts w:hint="eastAsia" w:ascii="黑体" w:hAnsi="黑体" w:eastAsia="黑体" w:cs="黑体"/>
          <w:b/>
          <w:bCs w:val="0"/>
          <w:strike w:val="0"/>
          <w:color w:val="000000" w:themeColor="text1"/>
          <w:kern w:val="2"/>
          <w:sz w:val="32"/>
          <w:szCs w:val="32"/>
          <w:u w:val="none"/>
          <w:lang w:val="en-US" w:eastAsia="zh-CN" w:bidi="ar-SA"/>
          <w14:textFill>
            <w14:solidFill>
              <w14:schemeClr w14:val="tx1"/>
            </w14:solidFill>
          </w14:textFill>
        </w:rPr>
        <w:t>第五章  工作纪律与责任追究</w:t>
      </w:r>
    </w:p>
    <w:p>
      <w:pPr>
        <w:keepNext w:val="0"/>
        <w:keepLines w:val="0"/>
        <w:pageBreakBefore w:val="0"/>
        <w:kinsoku/>
        <w:wordWrap/>
        <w:overflowPunct w:val="0"/>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trike w:val="0"/>
          <w:color w:val="auto"/>
          <w:kern w:val="0"/>
          <w:sz w:val="32"/>
          <w:szCs w:val="32"/>
          <w:vertAlign w:val="baseline"/>
          <w:lang w:val="en-US" w:eastAsia="zh-CN" w:bidi="ar-SA"/>
        </w:rPr>
      </w:pPr>
      <w:r>
        <w:rPr>
          <w:rFonts w:hint="eastAsia" w:ascii="黑体" w:hAnsi="黑体" w:eastAsia="黑体" w:cs="黑体"/>
          <w:bCs/>
          <w:strike/>
          <w:color w:val="auto"/>
          <w:kern w:val="2"/>
          <w:sz w:val="32"/>
          <w:szCs w:val="32"/>
          <w:u w:val="none"/>
          <w:lang w:val="en-US" w:eastAsia="zh-CN" w:bidi="ar-SA"/>
          <w14:textFill>
            <w14:gradFill>
              <w14:gsLst>
                <w14:gs w14:pos="0">
                  <w14:srgbClr w14:val="14CD68"/>
                </w14:gs>
                <w14:gs w14:pos="100000">
                  <w14:srgbClr w14:val="0B6E38"/>
                </w14:gs>
              </w14:gsLst>
              <w14:lin w14:scaled="0"/>
            </w14:gradFill>
          </w14:textFill>
        </w:rPr>
        <w:t xml:space="preserve"> </w:t>
      </w:r>
      <w:r>
        <w:rPr>
          <w:rFonts w:eastAsia="黑体"/>
          <w:strike w:val="0"/>
          <w:color w:val="000000" w:themeColor="text1"/>
          <w:sz w:val="32"/>
          <w:szCs w:val="32"/>
          <w14:textFill>
            <w14:solidFill>
              <w14:schemeClr w14:val="tx1"/>
            </w14:solidFill>
          </w14:textFill>
        </w:rPr>
        <w:t>第</w:t>
      </w:r>
      <w:r>
        <w:rPr>
          <w:rFonts w:hint="eastAsia" w:eastAsia="黑体"/>
          <w:strike w:val="0"/>
          <w:color w:val="000000" w:themeColor="text1"/>
          <w:sz w:val="32"/>
          <w:szCs w:val="32"/>
          <w:lang w:val="en-US" w:eastAsia="zh-CN"/>
          <w14:textFill>
            <w14:solidFill>
              <w14:schemeClr w14:val="tx1"/>
            </w14:solidFill>
          </w14:textFill>
        </w:rPr>
        <w:t>五十九</w:t>
      </w:r>
      <w:r>
        <w:rPr>
          <w:rFonts w:eastAsia="黑体"/>
          <w:strike w:val="0"/>
          <w:color w:val="000000" w:themeColor="text1"/>
          <w:sz w:val="32"/>
          <w:szCs w:val="32"/>
          <w14:textFill>
            <w14:solidFill>
              <w14:schemeClr w14:val="tx1"/>
            </w14:solidFill>
          </w14:textFill>
        </w:rPr>
        <w:t>条【</w:t>
      </w:r>
      <w:r>
        <w:rPr>
          <w:rFonts w:hint="eastAsia" w:eastAsia="黑体"/>
          <w:strike w:val="0"/>
          <w:color w:val="000000" w:themeColor="text1"/>
          <w:sz w:val="32"/>
          <w:szCs w:val="32"/>
          <w:lang w:eastAsia="zh-CN"/>
          <w14:textFill>
            <w14:solidFill>
              <w14:schemeClr w14:val="tx1"/>
            </w14:solidFill>
          </w14:textFill>
        </w:rPr>
        <w:t>工作纪律</w:t>
      </w:r>
      <w:r>
        <w:rPr>
          <w:rFonts w:eastAsia="黑体"/>
          <w:strike w:val="0"/>
          <w:color w:val="000000" w:themeColor="text1"/>
          <w:sz w:val="32"/>
          <w:szCs w:val="32"/>
          <w14:textFill>
            <w14:solidFill>
              <w14:schemeClr w14:val="tx1"/>
            </w14:solidFill>
          </w14:textFill>
        </w:rPr>
        <w:t>】</w:t>
      </w:r>
      <w:r>
        <w:rPr>
          <w:rFonts w:hint="eastAsia" w:eastAsia="黑体"/>
          <w: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trike w:val="0"/>
          <w:color w:val="auto"/>
          <w:kern w:val="0"/>
          <w:sz w:val="32"/>
          <w:szCs w:val="32"/>
          <w:vertAlign w:val="baseline"/>
          <w:lang w:val="en-US" w:eastAsia="zh-CN" w:bidi="ar-SA"/>
        </w:rPr>
        <w:t>各级药品监督管理部门检查人员应当认真履行监督检查职责，严格依法行政，忠于职守，公平公正。应当严格遵守法律法规、廉洁纪律和工作要求，不得妨碍被检查单位正常经营活动，不得向被检查单位提出与检查无关的要求，不得与被检查单位有利害关系，不得索取或者收受被检查单位的财物，不得谋取其他利益。</w:t>
      </w:r>
    </w:p>
    <w:p>
      <w:pPr>
        <w:pStyle w:val="4"/>
        <w:keepNext w:val="0"/>
        <w:keepLines w:val="0"/>
        <w:pageBreakBefore w:val="0"/>
        <w:kinsoku/>
        <w:wordWrap/>
        <w:topLinePunct w:val="0"/>
        <w:autoSpaceDE/>
        <w:autoSpaceDN/>
        <w:bidi w:val="0"/>
        <w:adjustRightInd/>
        <w:snapToGrid/>
        <w:spacing w:before="0" w:beforeAutospacing="0" w:afterAutospacing="0" w:line="560" w:lineRule="exact"/>
        <w:ind w:left="0" w:leftChars="0" w:firstLine="640" w:firstLineChars="200"/>
        <w:jc w:val="both"/>
        <w:rPr>
          <w:rFonts w:hint="eastAsia" w:ascii="仿宋_GB2312" w:hAnsi="仿宋_GB2312" w:eastAsia="仿宋_GB2312" w:cs="仿宋_GB2312"/>
          <w:strike w:val="0"/>
          <w:color w:val="auto"/>
          <w:kern w:val="0"/>
          <w:sz w:val="32"/>
          <w:szCs w:val="32"/>
          <w:vertAlign w:val="baseline"/>
          <w:lang w:val="en-US" w:eastAsia="zh-CN" w:bidi="ar-SA"/>
        </w:rPr>
      </w:pPr>
      <w:r>
        <w:rPr>
          <w:rFonts w:hint="eastAsia" w:ascii="黑体" w:hAnsi="黑体" w:eastAsia="黑体" w:cs="黑体"/>
          <w:bCs/>
          <w:strike w:val="0"/>
          <w:color w:val="auto"/>
          <w:kern w:val="2"/>
          <w:sz w:val="32"/>
          <w:szCs w:val="32"/>
          <w:u w:val="none"/>
          <w:lang w:val="en-US" w:eastAsia="zh-CN" w:bidi="ar-SA"/>
        </w:rPr>
        <w:t xml:space="preserve">第六十条【保密纪律】 </w:t>
      </w:r>
      <w:r>
        <w:rPr>
          <w:rFonts w:hint="eastAsia" w:ascii="微软雅黑" w:hAnsi="微软雅黑" w:eastAsia="微软雅黑" w:cs="微软雅黑"/>
          <w:strike w:val="0"/>
          <w:color w:val="auto"/>
          <w:sz w:val="32"/>
          <w:szCs w:val="32"/>
          <w:vertAlign w:val="baseline"/>
          <w:lang w:val="en-US" w:eastAsia="zh-CN"/>
        </w:rPr>
        <w:t xml:space="preserve"> </w:t>
      </w:r>
      <w:r>
        <w:rPr>
          <w:rFonts w:hint="eastAsia" w:ascii="仿宋_GB2312" w:hAnsi="仿宋_GB2312" w:eastAsia="仿宋_GB2312" w:cs="仿宋_GB2312"/>
          <w:strike w:val="0"/>
          <w:color w:val="auto"/>
          <w:kern w:val="0"/>
          <w:sz w:val="32"/>
          <w:szCs w:val="32"/>
          <w:vertAlign w:val="baseline"/>
          <w:lang w:val="en-US" w:eastAsia="zh-CN" w:bidi="ar-SA"/>
        </w:rPr>
        <w:t>药品监督管理部门检查人员应当严格遵守保密规定，严格管理涉密资料，严防泄密事件发生，对知悉的企业技术秘密和商业秘密负保密责任。</w:t>
      </w:r>
    </w:p>
    <w:p>
      <w:pPr>
        <w:pStyle w:val="4"/>
        <w:keepNext w:val="0"/>
        <w:keepLines w:val="0"/>
        <w:pageBreakBefore w:val="0"/>
        <w:kinsoku/>
        <w:wordWrap/>
        <w:topLinePunct w:val="0"/>
        <w:autoSpaceDE/>
        <w:autoSpaceDN/>
        <w:bidi w:val="0"/>
        <w:adjustRightInd/>
        <w:snapToGrid/>
        <w:spacing w:before="0" w:beforeAutospacing="0" w:afterAutospacing="0" w:line="560" w:lineRule="exact"/>
        <w:ind w:left="0" w:leftChars="0" w:firstLine="640" w:firstLineChars="200"/>
        <w:jc w:val="both"/>
        <w:rPr>
          <w:rFonts w:hint="eastAsia" w:ascii="仿宋_GB2312" w:hAnsi="仿宋_GB2312" w:eastAsia="仿宋_GB2312" w:cs="仿宋_GB2312"/>
          <w:strike w:val="0"/>
          <w:color w:val="auto"/>
          <w:kern w:val="0"/>
          <w:sz w:val="32"/>
          <w:szCs w:val="32"/>
          <w:vertAlign w:val="baseline"/>
          <w:lang w:val="en-US" w:eastAsia="zh-CN" w:bidi="ar-SA"/>
        </w:rPr>
      </w:pPr>
      <w:r>
        <w:rPr>
          <w:rFonts w:hint="eastAsia" w:ascii="黑体" w:hAnsi="黑体" w:eastAsia="黑体" w:cs="黑体"/>
          <w:bCs/>
          <w:strike w:val="0"/>
          <w:color w:val="auto"/>
          <w:kern w:val="2"/>
          <w:sz w:val="32"/>
          <w:szCs w:val="32"/>
          <w:u w:val="none"/>
          <w:lang w:val="en-US" w:eastAsia="zh-CN" w:bidi="ar-SA"/>
        </w:rPr>
        <w:t>第六十一条 【失职追责】</w:t>
      </w:r>
      <w:r>
        <w:rPr>
          <w:rFonts w:hint="eastAsia" w:ascii="仿宋_GB2312" w:hAnsi="仿宋_GB2312" w:eastAsia="仿宋_GB2312" w:cs="仿宋_GB2312"/>
          <w:strike w:val="0"/>
          <w:color w:val="auto"/>
          <w:kern w:val="0"/>
          <w:sz w:val="32"/>
          <w:szCs w:val="32"/>
          <w:vertAlign w:val="baseline"/>
          <w:lang w:val="en-US" w:eastAsia="zh-CN" w:bidi="ar-SA"/>
        </w:rPr>
        <w:t>药品监督管理部门检查人员未按规定履行监督检查职责、失职渎职或存在违法违纪行为的，依法追究责任，并按有关规定处理。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Fonts w:hint="eastAsia" w:ascii="仿宋_GB2312" w:hAnsi="仿宋_GB2312" w:eastAsia="仿宋_GB2312" w:cs="仿宋_GB2312"/>
          <w:strike w:val="0"/>
          <w:color w:val="auto"/>
          <w:kern w:val="0"/>
          <w:sz w:val="32"/>
          <w:szCs w:val="32"/>
          <w:vertAlign w:val="baseline"/>
          <w:lang w:val="en-US" w:eastAsia="zh-CN" w:bidi="ar-SA"/>
        </w:rPr>
      </w:pPr>
      <w:r>
        <w:rPr>
          <w:rFonts w:hint="eastAsia" w:ascii="黑体" w:hAnsi="黑体" w:eastAsia="黑体" w:cs="黑体"/>
          <w:bCs/>
          <w:strike w:val="0"/>
          <w:color w:val="auto"/>
          <w:kern w:val="2"/>
          <w:sz w:val="32"/>
          <w:szCs w:val="32"/>
          <w:u w:val="none"/>
          <w:lang w:val="en-US" w:eastAsia="zh-CN" w:bidi="ar-SA"/>
        </w:rPr>
        <w:t> 第六十二条【尽职免责】</w:t>
      </w:r>
      <w:r>
        <w:rPr>
          <w:rFonts w:hint="eastAsia" w:ascii="微软雅黑" w:hAnsi="微软雅黑" w:eastAsia="微软雅黑" w:cs="微软雅黑"/>
          <w:strike w:val="0"/>
          <w:color w:val="0000FF"/>
          <w:kern w:val="0"/>
          <w:sz w:val="32"/>
          <w:szCs w:val="32"/>
          <w:vertAlign w:val="baseline"/>
          <w:lang w:val="en-US" w:eastAsia="zh-CN" w:bidi="ar-SA"/>
        </w:rPr>
        <w:t> </w:t>
      </w:r>
      <w:r>
        <w:rPr>
          <w:rFonts w:hint="eastAsia" w:ascii="仿宋_GB2312" w:hAnsi="仿宋_GB2312" w:eastAsia="仿宋_GB2312" w:cs="仿宋_GB2312"/>
          <w:strike w:val="0"/>
          <w:color w:val="auto"/>
          <w:kern w:val="0"/>
          <w:sz w:val="32"/>
          <w:szCs w:val="32"/>
          <w:vertAlign w:val="baseline"/>
          <w:lang w:val="en-US" w:eastAsia="zh-CN" w:bidi="ar-SA"/>
        </w:rPr>
        <w:t>药品监督管理人员已依法履行监管职责，符合《市场监督管理行政执法责任制规定》尽职免责情形的，不构成行政执法过错行为，不应追究有关工作人员的行政执法责任。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jc w:val="center"/>
        <w:textAlignment w:val="auto"/>
        <w:rPr>
          <w:rFonts w:hint="eastAsia" w:ascii="黑体" w:hAnsi="黑体" w:eastAsia="黑体" w:cs="黑体"/>
          <w:bCs/>
          <w:strike/>
          <w:color w:val="auto"/>
          <w:kern w:val="2"/>
          <w:sz w:val="32"/>
          <w:szCs w:val="32"/>
          <w:u w:val="none"/>
          <w:lang w:val="en-US" w:eastAsia="zh-CN" w:bidi="ar-SA"/>
        </w:rPr>
      </w:pPr>
    </w:p>
    <w:p>
      <w:pPr>
        <w:pStyle w:val="4"/>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Autospacing="0" w:line="560" w:lineRule="exact"/>
        <w:ind w:firstLine="2880" w:firstLineChars="900"/>
        <w:jc w:val="both"/>
        <w:textAlignment w:val="auto"/>
        <w:rPr>
          <w:rFonts w:hint="eastAsia" w:ascii="黑体" w:hAnsi="黑体" w:eastAsia="黑体" w:cs="黑体"/>
          <w:bCs/>
          <w:strike w:val="0"/>
          <w:color w:val="auto"/>
          <w:kern w:val="2"/>
          <w:sz w:val="32"/>
          <w:szCs w:val="32"/>
          <w:u w:val="none"/>
          <w:lang w:val="en-US" w:eastAsia="zh-CN" w:bidi="ar-SA"/>
        </w:rPr>
      </w:pPr>
      <w:r>
        <w:rPr>
          <w:rFonts w:hint="eastAsia" w:ascii="黑体" w:hAnsi="黑体" w:eastAsia="黑体" w:cs="黑体"/>
          <w:bCs/>
          <w:strike w:val="0"/>
          <w:color w:val="auto"/>
          <w:kern w:val="2"/>
          <w:sz w:val="32"/>
          <w:szCs w:val="32"/>
          <w:u w:val="none"/>
          <w:lang w:val="en-US" w:eastAsia="zh-CN" w:bidi="ar-SA"/>
        </w:rPr>
        <w:t>第六章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Fonts w:hint="eastAsia" w:ascii="仿宋_GB2312" w:hAnsi="仿宋_GB2312" w:eastAsia="仿宋_GB2312" w:cs="仿宋_GB2312"/>
          <w:bCs w:val="0"/>
          <w:strike w:val="0"/>
          <w:color w:val="auto"/>
          <w:kern w:val="0"/>
          <w:sz w:val="32"/>
          <w:szCs w:val="32"/>
          <w:u w:val="none"/>
          <w:lang w:val="en-US" w:eastAsia="zh-CN" w:bidi="ar-SA"/>
        </w:rPr>
      </w:pPr>
      <w:r>
        <w:rPr>
          <w:rFonts w:hint="eastAsia" w:ascii="仿宋_GB2312" w:hAnsi="仿宋_GB2312" w:eastAsia="仿宋_GB2312" w:cs="仿宋_GB2312"/>
          <w:bCs w:val="0"/>
          <w:strike w:val="0"/>
          <w:color w:val="auto"/>
          <w:kern w:val="0"/>
          <w:sz w:val="32"/>
          <w:szCs w:val="32"/>
          <w:u w:val="none"/>
          <w:lang w:val="en-US" w:eastAsia="zh-CN" w:bidi="ar-SA"/>
        </w:rPr>
        <w:t> </w:t>
      </w:r>
      <w:r>
        <w:rPr>
          <w:rFonts w:hint="eastAsia" w:ascii="黑体" w:hAnsi="黑体" w:eastAsia="黑体" w:cs="黑体"/>
          <w:bCs/>
          <w:strike w:val="0"/>
          <w:color w:val="auto"/>
          <w:kern w:val="2"/>
          <w:sz w:val="32"/>
          <w:szCs w:val="32"/>
          <w:u w:val="none"/>
          <w:lang w:val="en-US" w:eastAsia="zh-CN" w:bidi="ar-SA"/>
        </w:rPr>
        <w:t>第</w:t>
      </w:r>
      <w:r>
        <w:rPr>
          <w:rFonts w:hint="eastAsia" w:ascii="黑体" w:hAnsi="黑体" w:eastAsia="黑体" w:cs="黑体"/>
          <w:bCs/>
          <w:strike w:val="0"/>
          <w:color w:val="auto"/>
          <w:kern w:val="2"/>
          <w:sz w:val="32"/>
          <w:szCs w:val="32"/>
          <w:u w:val="none"/>
          <w:lang w:val="en-US" w:eastAsia="zh-CN"/>
        </w:rPr>
        <w:t>六</w:t>
      </w:r>
      <w:r>
        <w:rPr>
          <w:rFonts w:hint="eastAsia" w:ascii="黑体" w:hAnsi="黑体" w:eastAsia="黑体" w:cs="黑体"/>
          <w:bCs/>
          <w:strike w:val="0"/>
          <w:color w:val="auto"/>
          <w:kern w:val="2"/>
          <w:sz w:val="32"/>
          <w:szCs w:val="32"/>
          <w:u w:val="none"/>
          <w:lang w:val="en-US" w:eastAsia="zh-CN" w:bidi="ar-SA"/>
        </w:rPr>
        <w:t>十三条</w:t>
      </w:r>
      <w:r>
        <w:rPr>
          <w:rFonts w:hint="eastAsia" w:ascii="仿宋_GB2312" w:hAnsi="仿宋_GB2312" w:eastAsia="仿宋_GB2312" w:cs="仿宋_GB2312"/>
          <w:bCs w:val="0"/>
          <w:strike w:val="0"/>
          <w:color w:val="auto"/>
          <w:kern w:val="0"/>
          <w:sz w:val="32"/>
          <w:szCs w:val="32"/>
          <w:u w:val="none"/>
          <w:lang w:val="en-US" w:eastAsia="zh-CN" w:bidi="ar-SA"/>
        </w:rPr>
        <w:t xml:space="preserve"> 本办法自2025年2月*日起施行，有效期至2030年1月*日。此前省药监局发布的有关规定，与本办法要求不一致的，以本办法为准。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Fonts w:hint="default" w:ascii="黑体" w:hAnsi="黑体" w:eastAsia="黑体" w:cs="黑体"/>
          <w:bCs/>
          <w:strike w:val="0"/>
          <w:color w:val="auto"/>
          <w:kern w:val="2"/>
          <w:sz w:val="32"/>
          <w:szCs w:val="32"/>
          <w:u w:val="none"/>
          <w:lang w:val="en-US" w:eastAsia="zh-CN" w:bidi="ar-SA"/>
        </w:rPr>
      </w:pPr>
      <w:r>
        <w:rPr>
          <w:rFonts w:hint="eastAsia" w:ascii="黑体" w:hAnsi="黑体" w:eastAsia="黑体" w:cs="黑体"/>
          <w:bCs/>
          <w:strike w:val="0"/>
          <w:color w:val="auto"/>
          <w:kern w:val="2"/>
          <w:sz w:val="32"/>
          <w:szCs w:val="32"/>
          <w:u w:val="none"/>
          <w:lang w:val="en-US" w:eastAsia="zh-CN" w:bidi="ar-SA"/>
        </w:rPr>
        <w:t xml:space="preserve">第六十四条  </w:t>
      </w:r>
      <w:r>
        <w:rPr>
          <w:rFonts w:hint="eastAsia" w:ascii="仿宋_GB2312" w:hAnsi="仿宋_GB2312" w:eastAsia="仿宋_GB2312" w:cs="仿宋_GB2312"/>
          <w:strike w:val="0"/>
          <w:color w:val="000000" w:themeColor="text1"/>
          <w:kern w:val="0"/>
          <w:sz w:val="32"/>
          <w:szCs w:val="32"/>
          <w14:textFill>
            <w14:solidFill>
              <w14:schemeClr w14:val="tx1"/>
            </w14:solidFill>
          </w14:textFill>
        </w:rPr>
        <w:t>法律、法规和规章等</w:t>
      </w:r>
      <w:r>
        <w:rPr>
          <w:rFonts w:hint="eastAsia" w:ascii="仿宋_GB2312" w:hAnsi="仿宋_GB2312" w:eastAsia="仿宋_GB2312" w:cs="仿宋_GB2312"/>
          <w:strike w:val="0"/>
          <w:color w:val="auto"/>
          <w:kern w:val="0"/>
          <w:sz w:val="32"/>
          <w:szCs w:val="32"/>
        </w:rPr>
        <w:t>另有</w:t>
      </w:r>
      <w:r>
        <w:rPr>
          <w:rFonts w:hint="eastAsia" w:ascii="仿宋_GB2312" w:hAnsi="仿宋_GB2312" w:eastAsia="仿宋_GB2312" w:cs="仿宋_GB2312"/>
          <w:strike w:val="0"/>
          <w:color w:val="000000" w:themeColor="text1"/>
          <w:kern w:val="0"/>
          <w:sz w:val="32"/>
          <w:szCs w:val="32"/>
          <w14:textFill>
            <w14:solidFill>
              <w14:schemeClr w14:val="tx1"/>
            </w14:solidFill>
          </w14:textFill>
        </w:rPr>
        <w:t>规定的，从其规定。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0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Normal (Web)"/>
    <w:basedOn w:val="1"/>
    <w:qFormat/>
    <w:uiPriority w:val="99"/>
    <w:pPr>
      <w:spacing w:beforeAutospacing="1" w:afterAutospacing="1"/>
      <w:jc w:val="left"/>
    </w:pPr>
    <w:rPr>
      <w:kern w:val="0"/>
      <w:sz w:val="24"/>
    </w:rPr>
  </w:style>
  <w:style w:type="paragraph" w:styleId="5">
    <w:name w:val="Body Text First Indent 2"/>
    <w:basedOn w:val="3"/>
    <w:qFormat/>
    <w:uiPriority w:val="0"/>
    <w:pPr>
      <w:ind w:firstLine="420"/>
    </w:pPr>
  </w:style>
  <w:style w:type="paragraph" w:customStyle="1" w:styleId="8">
    <w:name w:val="样式1"/>
    <w:basedOn w:val="1"/>
    <w:next w:val="2"/>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2024-10-28T07:04:05Z</dcterms:created>
  <dc:creator>uesr</dc:creator>
  <cp:lastModifiedBy>uesr</cp:lastModifiedBy>
  <dcterms:modified xsi:type="dcterms:W3CDTF">2024-10-28T07:04:19Z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