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附件1</w:t>
      </w:r>
    </w:p>
    <w:p>
      <w:pPr>
        <w:spacing w:line="560" w:lineRule="exact"/>
        <w:rPr>
          <w:rFonts w:ascii="Times New Roman" w:eastAsia="方正小标宋简体" w:cs="Times New Roman"/>
          <w:sz w:val="44"/>
          <w:szCs w:val="44"/>
        </w:rPr>
      </w:pPr>
    </w:p>
    <w:p>
      <w:pPr>
        <w:spacing w:line="560" w:lineRule="exact"/>
        <w:jc w:val="center"/>
        <w:rPr>
          <w:rFonts w:ascii="Times New Roman" w:eastAsia="方正小标宋简体" w:cs="Times New Roman"/>
          <w:sz w:val="44"/>
          <w:szCs w:val="44"/>
        </w:rPr>
      </w:pPr>
      <w:r>
        <w:rPr>
          <w:rFonts w:hint="default" w:ascii="Times New Roman" w:eastAsia="方正小标宋简体" w:cs="Times New Roman"/>
          <w:sz w:val="44"/>
          <w:szCs w:val="44"/>
        </w:rPr>
        <w:t>基层中医药服务能力提升行动计划调研指标</w:t>
      </w:r>
    </w:p>
    <w:p>
      <w:pPr>
        <w:spacing w:line="560" w:lineRule="exact"/>
        <w:rPr>
          <w:rFonts w:ascii="Times New Roman" w:eastAsia="方正小标宋简体" w:cs="Times New Roman"/>
          <w:color w:val="FF0000"/>
          <w:sz w:val="44"/>
          <w:szCs w:val="44"/>
        </w:rPr>
      </w:pPr>
    </w:p>
    <w:tbl>
      <w:tblPr>
        <w:tblStyle w:val="3"/>
        <w:tblW w:w="9130"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92"/>
        <w:gridCol w:w="723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75" w:hRule="atLeast"/>
          <w:jc w:val="center"/>
        </w:trPr>
        <w:tc>
          <w:tcPr>
            <w:tcW w:w="1892"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autoSpaceDN w:val="0"/>
              <w:spacing w:line="380" w:lineRule="exact"/>
              <w:jc w:val="center"/>
              <w:rPr>
                <w:rFonts w:ascii="Times New Roman" w:hAnsi="Times New Roman" w:eastAsia="黑体" w:cs="Times New Roman"/>
                <w:b/>
                <w:bCs/>
                <w:sz w:val="24"/>
              </w:rPr>
            </w:pPr>
            <w:r>
              <w:rPr>
                <w:rFonts w:hint="default" w:ascii="Times New Roman" w:hAnsi="Times New Roman" w:eastAsia="黑体" w:cs="Times New Roman"/>
                <w:sz w:val="24"/>
              </w:rPr>
              <w:t>分类</w:t>
            </w:r>
          </w:p>
        </w:tc>
        <w:tc>
          <w:tcPr>
            <w:tcW w:w="7238"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80" w:lineRule="exact"/>
              <w:jc w:val="center"/>
              <w:rPr>
                <w:rFonts w:ascii="Times New Roman" w:hAnsi="Times New Roman" w:eastAsia="黑体" w:cs="Times New Roman"/>
                <w:sz w:val="24"/>
              </w:rPr>
            </w:pPr>
            <w:r>
              <w:rPr>
                <w:rFonts w:hint="default" w:ascii="Times New Roman" w:hAnsi="Times New Roman" w:eastAsia="黑体" w:cs="Times New Roman"/>
                <w:sz w:val="24"/>
              </w:rPr>
              <w:t>调研指标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75" w:hRule="atLeast"/>
          <w:jc w:val="center"/>
        </w:trPr>
        <w:tc>
          <w:tcPr>
            <w:tcW w:w="1892" w:type="dxa"/>
            <w:vMerge w:val="restart"/>
            <w:tcBorders>
              <w:top w:val="single" w:color="000000" w:sz="4" w:space="0"/>
              <w:left w:val="single" w:color="000000" w:sz="4" w:space="0"/>
              <w:right w:val="single" w:color="auto"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黑体" w:cs="Times New Roman"/>
                <w:b/>
                <w:bCs/>
                <w:sz w:val="24"/>
              </w:rPr>
            </w:pPr>
            <w:r>
              <w:rPr>
                <w:rFonts w:hint="default" w:ascii="Times New Roman" w:hAnsi="Times New Roman" w:eastAsia="仿宋_GB2312" w:cs="Times New Roman"/>
                <w:b/>
                <w:bCs/>
                <w:sz w:val="24"/>
              </w:rPr>
              <w:t>一、加强组织领导和管理</w:t>
            </w:r>
          </w:p>
        </w:tc>
        <w:tc>
          <w:tcPr>
            <w:tcW w:w="7238"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80" w:lineRule="exact"/>
              <w:ind w:left="105" w:leftChars="50"/>
              <w:rPr>
                <w:rFonts w:ascii="Times New Roman" w:eastAsia="仿宋_GB2312" w:cs="Times New Roman"/>
                <w:sz w:val="24"/>
              </w:rPr>
            </w:pPr>
            <w:r>
              <w:rPr>
                <w:rFonts w:hint="default" w:ascii="Times New Roman" w:hAnsi="Times New Roman" w:eastAsia="仿宋_GB2312" w:cs="Times New Roman"/>
                <w:sz w:val="24"/>
              </w:rPr>
              <w:t>1.本地区加强行动计划组织领导情况。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75" w:hRule="atLeast"/>
          <w:jc w:val="center"/>
        </w:trPr>
        <w:tc>
          <w:tcPr>
            <w:tcW w:w="1892" w:type="dxa"/>
            <w:vMerge w:val="continue"/>
            <w:tcBorders>
              <w:left w:val="single" w:color="000000" w:sz="4" w:space="0"/>
              <w:right w:val="single" w:color="auto"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80" w:lineRule="exact"/>
              <w:ind w:left="105" w:leftChars="50"/>
              <w:rPr>
                <w:rFonts w:ascii="Times New Roman" w:eastAsia="仿宋_GB2312" w:cs="Times New Roman"/>
                <w:sz w:val="24"/>
              </w:rPr>
            </w:pPr>
            <w:r>
              <w:rPr>
                <w:rFonts w:hint="default" w:ascii="Times New Roman" w:hAnsi="Times New Roman" w:eastAsia="仿宋_GB2312" w:cs="Times New Roman"/>
                <w:sz w:val="24"/>
              </w:rPr>
              <w:t>2.本地区制定行动计划的实施意见或方案情况。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892" w:type="dxa"/>
            <w:vMerge w:val="continue"/>
            <w:tcBorders>
              <w:left w:val="single" w:color="000000" w:sz="4" w:space="0"/>
              <w:right w:val="single" w:color="auto"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黑体" w:cs="Times New Roman"/>
                <w:b/>
                <w:bCs/>
                <w:sz w:val="24"/>
              </w:rPr>
            </w:pPr>
          </w:p>
        </w:tc>
        <w:tc>
          <w:tcPr>
            <w:tcW w:w="7238"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80" w:lineRule="exact"/>
              <w:ind w:left="105" w:leftChars="50"/>
              <w:rPr>
                <w:rFonts w:ascii="Times New Roman" w:eastAsia="仿宋_GB2312" w:cs="Times New Roman"/>
                <w:sz w:val="24"/>
              </w:rPr>
            </w:pPr>
            <w:r>
              <w:rPr>
                <w:rFonts w:hint="default" w:ascii="Times New Roman" w:hAnsi="Times New Roman" w:eastAsia="仿宋_GB2312" w:cs="Times New Roman"/>
                <w:sz w:val="24"/>
              </w:rPr>
              <w:t>3.本地区行动计划项目支持和经费投入情况。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09" w:hRule="atLeast"/>
          <w:jc w:val="center"/>
        </w:trPr>
        <w:tc>
          <w:tcPr>
            <w:tcW w:w="1892" w:type="dxa"/>
            <w:vMerge w:val="continue"/>
            <w:tcBorders>
              <w:left w:val="single" w:color="000000" w:sz="4" w:space="0"/>
              <w:right w:val="single" w:color="auto"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eastAsia="仿宋_GB2312" w:cs="Times New Roman"/>
                <w:sz w:val="24"/>
              </w:rPr>
            </w:pPr>
            <w:r>
              <w:rPr>
                <w:rFonts w:hint="default" w:ascii="Times New Roman" w:hAnsi="Times New Roman" w:eastAsia="仿宋_GB2312" w:cs="Times New Roman"/>
                <w:sz w:val="24"/>
              </w:rPr>
              <w:t>4.本地区行动计划实施调研情况。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11" w:hRule="atLeast"/>
          <w:jc w:val="center"/>
        </w:trPr>
        <w:tc>
          <w:tcPr>
            <w:tcW w:w="1892"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r>
              <w:rPr>
                <w:rFonts w:hint="default" w:ascii="Times New Roman" w:hAnsi="Times New Roman" w:eastAsia="仿宋_GB2312" w:cs="Times New Roman"/>
                <w:b/>
                <w:bCs/>
                <w:sz w:val="24"/>
              </w:rPr>
              <w:t>二、加强基层中医药服务网络建设</w:t>
            </w: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5.本地区设有县办中医医疗机构（医院、门诊部）的县级区域（不含市辖区）数量及占比。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hAnsi="Times New Roman" w:eastAsia="仿宋_GB2312" w:cs="Times New Roman"/>
                <w:sz w:val="24"/>
              </w:rPr>
            </w:pPr>
            <w:r>
              <w:rPr>
                <w:rFonts w:hint="default" w:ascii="Times New Roman" w:eastAsia="仿宋_GB2312" w:cs="Times New Roman"/>
                <w:sz w:val="24"/>
              </w:rPr>
              <w:t>6.本地区设置中医馆的社区卫生服务中心、乡镇卫生院数量及占比。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b/>
                <w:bCs/>
                <w:sz w:val="24"/>
              </w:rPr>
            </w:pPr>
          </w:p>
        </w:tc>
        <w:tc>
          <w:tcPr>
            <w:tcW w:w="7238"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7.本地区建有“旗舰”中医馆的社区卫生服务中心、乡镇卫生院数量及占比。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92"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b/>
                <w:bCs/>
                <w:sz w:val="24"/>
              </w:rPr>
            </w:pPr>
          </w:p>
        </w:tc>
        <w:tc>
          <w:tcPr>
            <w:tcW w:w="7238"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8.本地区能够提供中医药服务的社区卫生服务站、村卫生室数量及占比。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b/>
                <w:bCs/>
                <w:sz w:val="24"/>
              </w:rPr>
            </w:pPr>
          </w:p>
        </w:tc>
        <w:tc>
          <w:tcPr>
            <w:tcW w:w="723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9.本地区设置“中医阁”的社区卫生服务站、村卫生室数量及占比。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82"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10.本地开展县域中医诊疗中心、中医药适宜技术推广中心和中药药事服务中心建设的县级中医医院数量及占比。（本地区具体举措）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82"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11.社会力量在县域举办中医类别医疗机构，发展具有中医特色的康复医院、护理院（站）、医养结合机构，中医医院举办互联网医院，名老中医举办诊所，企业举办连锁中医医疗机构等情况。（本地区具体举措）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82"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12.本地公立综合医院、妇幼保健医院、专科医院设置中医科的数量及占比。（本地区具体举措）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三、提升基层中医药服务能力</w:t>
            </w: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rPr>
                <w:rFonts w:hint="default" w:ascii="Times New Roman" w:eastAsia="仿宋_GB2312" w:cs="Times New Roman"/>
                <w:sz w:val="24"/>
              </w:rPr>
            </w:pPr>
            <w:r>
              <w:rPr>
                <w:rFonts w:hint="default" w:ascii="Times New Roman" w:eastAsia="仿宋_GB2312" w:cs="Times New Roman"/>
                <w:sz w:val="24"/>
              </w:rPr>
              <w:t>13.本地区达到“二级甲等中医医院”水平的县级中医医院数量及占比，达到《县级中医医院医疗服务能力基本标准》和《县级中医医院医疗服务能力推荐标准》的县级中医医院数量及占比，开展“两专科一中心”建设的县级中医医院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rPr>
                <w:rFonts w:hint="default" w:ascii="Times New Roman" w:eastAsia="仿宋_GB2312" w:cs="Times New Roman"/>
                <w:sz w:val="24"/>
              </w:rPr>
            </w:pPr>
            <w:r>
              <w:rPr>
                <w:rFonts w:hint="default" w:ascii="Times New Roman" w:eastAsia="仿宋_GB2312" w:cs="Times New Roman"/>
                <w:sz w:val="24"/>
              </w:rPr>
              <w:t>14.本地区设置符合标准的县域中医药适宜技术推广中心数量及占比。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15.本地区能够按照中医药技术操作规范开展6类10项以上中医药适宜技术的社区卫生服务中心、乡镇卫生院数量及占比。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16.本地区能够按照中医药技术操作规范熟练开展4类6项以上中医药适宜技术的社区卫生服务站、村卫生室数量及占比。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17.本地区二级以上县级中医医院设置康复科、老年病科数量及占比。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18.本地建有规范治未病科的县级公立中医医院数量及占比。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19.本地区开展65岁以上老年人、0～3岁儿童中医药健康管理人数及占比。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20.三级中医医院对口帮扶脱贫地区中医医院能力建设，提高受援单位中医药服务能力、综合服务能力及管理水平并达到国家考核标准的情况。（本地区具体举措）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restart"/>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r>
              <w:rPr>
                <w:rFonts w:hint="default" w:ascii="Times New Roman" w:hAnsi="Times New Roman" w:eastAsia="仿宋_GB2312" w:cs="Times New Roman"/>
                <w:b/>
                <w:bCs/>
                <w:sz w:val="24"/>
              </w:rPr>
              <w:t>四、夯实基层中医药人才队伍</w:t>
            </w: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21.本地区每万人口中医类别全科医生数。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22.本地区配有中医医师的社区卫生服务中心、乡镇卫生院机构数量及占比。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85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23.本地区社区卫生服务中心、乡镇卫生院中医类别医师数量及占比。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48"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24.本地区至少配备1名中医类别医师或能够提供中医药服务的临床类别医师的社区卫生服务站数量及占比。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873"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25.本地区至少配备1名能够提供中医药服务的医务人员的村卫生室数量及占比。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26.本地区招录中医专业农村免费订单定向医学生数量。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65"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27.本地区开展中医类别全科医生规范化培训、转岗培训数量。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98"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28.本地区是否开展基层中医药优秀临床人才、基层中医馆骨干人才、西学中人才培训及培训人数。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98"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29.提升基层中医药岗位吸引力情况。落实“两个允许”，建立有利于中医药服务供给提升的绩效分配机制，激发中医药人员提供中医药服务动力情况。县级及以下医疗机构聘用卫生技术人员配备一定比例基层中医药人员情况。（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29" w:hRule="atLeast"/>
          <w:jc w:val="center"/>
        </w:trPr>
        <w:tc>
          <w:tcPr>
            <w:tcW w:w="1892"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r>
              <w:rPr>
                <w:rFonts w:hint="default" w:ascii="Times New Roman" w:hAnsi="Times New Roman" w:eastAsia="仿宋_GB2312" w:cs="Times New Roman"/>
                <w:b/>
                <w:bCs/>
                <w:sz w:val="24"/>
              </w:rPr>
              <w:t>五、深化基层中医药数字化改革</w:t>
            </w: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30.开展中医智能云建设的县域数量及占比。（本地区具体举措）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29" w:hRule="atLeast"/>
          <w:jc w:val="center"/>
        </w:trPr>
        <w:tc>
          <w:tcPr>
            <w:tcW w:w="1892" w:type="dxa"/>
            <w:vMerge w:val="continue"/>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hint="default"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31.开展“中医处方一件事”和“中药服务在线”改革的县级中医医院数量及占比。（本地区具体举措）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35"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32.本地区中医馆接入健康信息平台，实现县级中医医院牵头的医共体内信息互通和管理信息共享的数量及占比。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35" w:hRule="atLeast"/>
          <w:jc w:val="center"/>
        </w:trPr>
        <w:tc>
          <w:tcPr>
            <w:tcW w:w="1892"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r>
              <w:rPr>
                <w:rFonts w:hint="default" w:ascii="Times New Roman" w:hAnsi="Times New Roman" w:eastAsia="仿宋_GB2312" w:cs="Times New Roman"/>
                <w:b/>
                <w:bCs/>
                <w:sz w:val="24"/>
              </w:rPr>
              <w:t>六、完善基层中医药改革发展路径</w:t>
            </w: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33.本地区紧密型县域医共体总数，县级中医医院牵头组建的数量，县级中医医院牵头的县域医共体覆盖人口数量及覆盖人口占比。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35"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34.开展全国基层中医药工作示范市（县）建设情况。（本地区具体举措）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35"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35.医保对基层中医药服务的政策支持，建立符合基层中医药诊疗特点的医保支付模式情况。遴选发布中医优势病种。实行中西医同病同效同价等支付方式改革情况。（本地区具体举措）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35"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hint="default" w:ascii="Times New Roman" w:eastAsia="仿宋_GB2312" w:cs="Times New Roman"/>
                <w:sz w:val="24"/>
              </w:rPr>
            </w:pPr>
            <w:r>
              <w:rPr>
                <w:rFonts w:hint="default" w:ascii="Times New Roman" w:eastAsia="仿宋_GB2312" w:cs="Times New Roman"/>
                <w:sz w:val="24"/>
              </w:rPr>
              <w:t>36.县级中医药行政管理机构设置情况，综合医院、专科医院、妇幼保健机构中医药工作管理情况。提升社区卫生服务中心、乡镇卫生院中医药管理能力情况。（本地区具体举措）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41" w:hRule="atLeast"/>
          <w:jc w:val="center"/>
        </w:trPr>
        <w:tc>
          <w:tcPr>
            <w:tcW w:w="1892"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37.基层中医药服务质量的评估和监管情况，有关规章制度的完善情况，基层医疗卫生机构执行中医药行业标准和技术规范、合理用药、落实核心制度等监督检查的情况。（本地区具体举措）</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35" w:hRule="atLeast"/>
          <w:jc w:val="center"/>
        </w:trPr>
        <w:tc>
          <w:tcPr>
            <w:tcW w:w="1892"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r>
              <w:rPr>
                <w:rFonts w:hint="default" w:ascii="Times New Roman" w:hAnsi="Times New Roman" w:eastAsia="仿宋_GB2312" w:cs="Times New Roman"/>
                <w:b/>
                <w:bCs/>
                <w:sz w:val="24"/>
              </w:rPr>
              <w:t>七、强化基层中医药健康宣教和文化建设</w:t>
            </w:r>
          </w:p>
        </w:tc>
        <w:tc>
          <w:tcPr>
            <w:tcW w:w="7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38.本地区依托县级医院设置中医健康宣教基地的县级区域（不含市辖区）数量及占比。</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73" w:hRule="atLeast"/>
          <w:jc w:val="center"/>
        </w:trPr>
        <w:tc>
          <w:tcPr>
            <w:tcW w:w="1892"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autoSpaceDN w:val="0"/>
              <w:spacing w:line="380" w:lineRule="exact"/>
              <w:rPr>
                <w:rFonts w:ascii="Times New Roman" w:hAnsi="Times New Roman" w:eastAsia="仿宋_GB2312" w:cs="Times New Roman"/>
                <w:b/>
                <w:bCs/>
                <w:sz w:val="24"/>
              </w:rPr>
            </w:pPr>
          </w:p>
        </w:tc>
        <w:tc>
          <w:tcPr>
            <w:tcW w:w="72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80" w:lineRule="exact"/>
              <w:rPr>
                <w:rFonts w:ascii="Times New Roman" w:eastAsia="仿宋_GB2312" w:cs="Times New Roman"/>
                <w:sz w:val="24"/>
              </w:rPr>
            </w:pPr>
            <w:r>
              <w:rPr>
                <w:rFonts w:hint="default" w:ascii="Times New Roman" w:eastAsia="仿宋_GB2312" w:cs="Times New Roman"/>
                <w:sz w:val="24"/>
              </w:rPr>
              <w:t>39.优秀中医药科普图书、展览、新媒体产品等的创作情况。开展基层中医药科普服务情况。（本地区具体举措）</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7292D"/>
    <w:rsid w:val="3E472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2024-10-11T01:43:00Z</dcterms:created>
  <dc:creator>xxzx</dc:creator>
  <cp:lastModifiedBy>xxzx</cp:lastModifiedBy>
  <dcterms:modified xsi:type="dcterms:W3CDTF">2024-10-11T01:44:41Z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