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948A6C">
      <w:pPr>
        <w:pStyle w:val="2"/>
        <w:ind w:left="0"/>
        <w:rPr>
          <w:rFonts w:hint="eastAsia" w:ascii="黑体" w:hAnsi="黑体" w:eastAsia="黑体" w:cs="黑体"/>
          <w:b w:val="0"/>
          <w:bCs/>
          <w:kern w:val="0"/>
          <w:sz w:val="32"/>
          <w:szCs w:val="32"/>
          <w:highlight w:val="none"/>
        </w:rPr>
      </w:pPr>
      <w:r>
        <w:rPr>
          <w:rFonts w:hint="eastAsia" w:ascii="黑体" w:hAnsi="黑体" w:eastAsia="黑体" w:cs="黑体"/>
          <w:b w:val="0"/>
          <w:bCs/>
          <w:kern w:val="0"/>
          <w:sz w:val="32"/>
          <w:szCs w:val="32"/>
          <w:highlight w:val="none"/>
        </w:rPr>
        <w:t>附件2</w:t>
      </w:r>
    </w:p>
    <w:p w14:paraId="2BFBFEC1">
      <w:pPr>
        <w:spacing w:line="580" w:lineRule="exact"/>
        <w:jc w:val="center"/>
        <w:rPr>
          <w:rFonts w:hint="eastAsia" w:ascii="方正小标宋_GBK" w:hAnsi="方正小标宋_GBK" w:eastAsia="方正小标宋_GBK" w:cs="方正小标宋_GBK"/>
          <w:kern w:val="0"/>
          <w:sz w:val="44"/>
          <w:szCs w:val="44"/>
          <w:highlight w:val="none"/>
        </w:rPr>
      </w:pPr>
      <w:r>
        <w:rPr>
          <w:rFonts w:hint="eastAsia" w:ascii="方正小标宋_GBK" w:hAnsi="方正小标宋_GBK" w:eastAsia="方正小标宋_GBK" w:cs="方正小标宋_GBK"/>
          <w:kern w:val="0"/>
          <w:sz w:val="44"/>
          <w:szCs w:val="44"/>
          <w:highlight w:val="none"/>
        </w:rPr>
        <w:t>非现场监管三年行动重点任务清单</w:t>
      </w:r>
    </w:p>
    <w:p w14:paraId="33F9BAD1">
      <w:pPr>
        <w:spacing w:line="58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kern w:val="0"/>
          <w:sz w:val="36"/>
          <w:szCs w:val="36"/>
          <w:highlight w:val="none"/>
        </w:rPr>
        <w:t>(2024-2026年）</w:t>
      </w:r>
    </w:p>
    <w:tbl>
      <w:tblPr>
        <w:tblStyle w:val="16"/>
        <w:tblW w:w="0" w:type="auto"/>
        <w:tblInd w:w="9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524"/>
        <w:gridCol w:w="1009"/>
        <w:gridCol w:w="4240"/>
        <w:gridCol w:w="2044"/>
        <w:gridCol w:w="1946"/>
      </w:tblGrid>
      <w:tr w14:paraId="09C2AE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7" w:hRule="atLeast"/>
          <w:tblHeader/>
        </w:trPr>
        <w:tc>
          <w:tcPr>
            <w:tcW w:w="0" w:type="auto"/>
            <w:noWrap w:val="0"/>
            <w:vAlign w:val="center"/>
          </w:tcPr>
          <w:p w14:paraId="7C88D67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方正小标宋简体" w:hAnsi="方正小标宋简体" w:eastAsia="方正小标宋简体" w:cs="方正小标宋简体"/>
                <w:color w:val="000000"/>
                <w:sz w:val="28"/>
                <w:szCs w:val="28"/>
                <w:highlight w:val="none"/>
              </w:rPr>
            </w:pPr>
            <w:r>
              <w:rPr>
                <w:rFonts w:hint="eastAsia" w:ascii="方正小标宋简体" w:hAnsi="方正小标宋简体" w:eastAsia="方正小标宋简体" w:cs="方正小标宋简体"/>
                <w:color w:val="000000"/>
                <w:kern w:val="0"/>
                <w:sz w:val="28"/>
                <w:szCs w:val="28"/>
                <w:highlight w:val="none"/>
                <w:lang w:bidi="ar"/>
              </w:rPr>
              <w:t>序号</w:t>
            </w:r>
          </w:p>
        </w:tc>
        <w:tc>
          <w:tcPr>
            <w:tcW w:w="0" w:type="auto"/>
            <w:noWrap w:val="0"/>
            <w:vAlign w:val="center"/>
          </w:tcPr>
          <w:p w14:paraId="67B7038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小标宋简体" w:hAnsi="方正小标宋简体" w:eastAsia="方正小标宋简体" w:cs="方正小标宋简体"/>
                <w:color w:val="000000"/>
                <w:sz w:val="28"/>
                <w:szCs w:val="28"/>
                <w:highlight w:val="none"/>
              </w:rPr>
            </w:pPr>
            <w:r>
              <w:rPr>
                <w:rFonts w:hint="eastAsia" w:ascii="方正小标宋简体" w:hAnsi="方正小标宋简体" w:eastAsia="方正小标宋简体" w:cs="方正小标宋简体"/>
                <w:color w:val="000000"/>
                <w:kern w:val="0"/>
                <w:sz w:val="28"/>
                <w:szCs w:val="28"/>
                <w:highlight w:val="none"/>
                <w:lang w:bidi="ar"/>
              </w:rPr>
              <w:t>任</w:t>
            </w:r>
            <w:bookmarkStart w:id="0" w:name="_GoBack"/>
            <w:bookmarkEnd w:id="0"/>
            <w:r>
              <w:rPr>
                <w:rFonts w:hint="eastAsia" w:ascii="方正小标宋简体" w:hAnsi="方正小标宋简体" w:eastAsia="方正小标宋简体" w:cs="方正小标宋简体"/>
                <w:color w:val="000000"/>
                <w:kern w:val="0"/>
                <w:sz w:val="28"/>
                <w:szCs w:val="28"/>
                <w:highlight w:val="none"/>
                <w:lang w:bidi="ar"/>
              </w:rPr>
              <w:t>务名称</w:t>
            </w:r>
          </w:p>
        </w:tc>
        <w:tc>
          <w:tcPr>
            <w:tcW w:w="0" w:type="auto"/>
            <w:noWrap w:val="0"/>
            <w:vAlign w:val="center"/>
          </w:tcPr>
          <w:p w14:paraId="0E70742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小标宋简体" w:hAnsi="方正小标宋简体" w:eastAsia="方正小标宋简体" w:cs="方正小标宋简体"/>
                <w:color w:val="000000"/>
                <w:sz w:val="28"/>
                <w:szCs w:val="28"/>
                <w:highlight w:val="none"/>
              </w:rPr>
            </w:pPr>
            <w:r>
              <w:rPr>
                <w:rFonts w:hint="eastAsia" w:ascii="方正小标宋简体" w:hAnsi="方正小标宋简体" w:eastAsia="方正小标宋简体" w:cs="方正小标宋简体"/>
                <w:color w:val="000000"/>
                <w:kern w:val="0"/>
                <w:sz w:val="28"/>
                <w:szCs w:val="28"/>
                <w:highlight w:val="none"/>
                <w:lang w:bidi="ar"/>
              </w:rPr>
              <w:t>任务内容</w:t>
            </w:r>
          </w:p>
        </w:tc>
        <w:tc>
          <w:tcPr>
            <w:tcW w:w="2043" w:type="dxa"/>
            <w:noWrap w:val="0"/>
            <w:vAlign w:val="center"/>
          </w:tcPr>
          <w:p w14:paraId="00664ED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小标宋简体" w:hAnsi="方正小标宋简体" w:eastAsia="方正小标宋简体" w:cs="方正小标宋简体"/>
                <w:color w:val="000000"/>
                <w:sz w:val="28"/>
                <w:szCs w:val="28"/>
                <w:highlight w:val="none"/>
              </w:rPr>
            </w:pPr>
            <w:r>
              <w:rPr>
                <w:rFonts w:hint="eastAsia" w:ascii="方正小标宋简体" w:hAnsi="方正小标宋简体" w:eastAsia="方正小标宋简体" w:cs="方正小标宋简体"/>
                <w:color w:val="000000"/>
                <w:kern w:val="0"/>
                <w:sz w:val="28"/>
                <w:szCs w:val="28"/>
                <w:highlight w:val="none"/>
                <w:lang w:bidi="ar"/>
              </w:rPr>
              <w:t>责任分工</w:t>
            </w:r>
          </w:p>
        </w:tc>
        <w:tc>
          <w:tcPr>
            <w:tcW w:w="1946" w:type="dxa"/>
            <w:noWrap w:val="0"/>
            <w:vAlign w:val="center"/>
          </w:tcPr>
          <w:p w14:paraId="6C9C6A8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小标宋简体" w:hAnsi="方正小标宋简体" w:eastAsia="方正小标宋简体" w:cs="方正小标宋简体"/>
                <w:color w:val="000000"/>
                <w:sz w:val="28"/>
                <w:szCs w:val="28"/>
                <w:highlight w:val="none"/>
              </w:rPr>
            </w:pPr>
            <w:r>
              <w:rPr>
                <w:rFonts w:hint="eastAsia" w:ascii="方正小标宋简体" w:hAnsi="方正小标宋简体" w:eastAsia="方正小标宋简体" w:cs="方正小标宋简体"/>
                <w:color w:val="000000"/>
                <w:kern w:val="0"/>
                <w:sz w:val="28"/>
                <w:szCs w:val="28"/>
                <w:highlight w:val="none"/>
                <w:lang w:bidi="ar"/>
              </w:rPr>
              <w:t>完成时限</w:t>
            </w:r>
          </w:p>
        </w:tc>
      </w:tr>
      <w:tr w14:paraId="444B95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00" w:hRule="atLeast"/>
        </w:trPr>
        <w:tc>
          <w:tcPr>
            <w:tcW w:w="0" w:type="auto"/>
            <w:gridSpan w:val="5"/>
            <w:noWrap w:val="0"/>
            <w:vAlign w:val="center"/>
          </w:tcPr>
          <w:p w14:paraId="61D644EB">
            <w:pPr>
              <w:widowControl/>
              <w:jc w:val="left"/>
              <w:textAlignment w:val="center"/>
              <w:rPr>
                <w:rFonts w:ascii="黑体" w:hAnsi="宋体" w:eastAsia="黑体" w:cs="黑体"/>
                <w:color w:val="000000"/>
                <w:sz w:val="28"/>
                <w:szCs w:val="28"/>
                <w:highlight w:val="none"/>
              </w:rPr>
            </w:pPr>
            <w:r>
              <w:rPr>
                <w:rFonts w:hint="eastAsia" w:ascii="黑体" w:hAnsi="宋体" w:eastAsia="黑体" w:cs="黑体"/>
                <w:color w:val="000000"/>
                <w:kern w:val="0"/>
                <w:sz w:val="28"/>
                <w:szCs w:val="28"/>
                <w:highlight w:val="none"/>
                <w:lang w:bidi="ar"/>
              </w:rPr>
              <w:t>一、</w:t>
            </w:r>
            <w:r>
              <w:rPr>
                <w:rStyle w:val="24"/>
                <w:rFonts w:hint="default"/>
                <w:highlight w:val="none"/>
                <w:lang w:bidi="ar"/>
              </w:rPr>
              <w:t>基础构建阶段（2024年3月至</w:t>
            </w:r>
            <w:r>
              <w:rPr>
                <w:rStyle w:val="24"/>
                <w:rFonts w:hint="eastAsia" w:eastAsia="黑体"/>
                <w:highlight w:val="none"/>
                <w:lang w:val="en-US" w:eastAsia="zh-CN" w:bidi="ar"/>
              </w:rPr>
              <w:t>7</w:t>
            </w:r>
            <w:r>
              <w:rPr>
                <w:rStyle w:val="24"/>
                <w:rFonts w:hint="default"/>
                <w:highlight w:val="none"/>
                <w:lang w:bidi="ar"/>
              </w:rPr>
              <w:t>月）</w:t>
            </w:r>
          </w:p>
        </w:tc>
      </w:tr>
      <w:tr w14:paraId="28E0E8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0" w:type="auto"/>
            <w:noWrap w:val="0"/>
            <w:vAlign w:val="center"/>
          </w:tcPr>
          <w:p w14:paraId="0F19069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1</w:t>
            </w:r>
          </w:p>
        </w:tc>
        <w:tc>
          <w:tcPr>
            <w:tcW w:w="0" w:type="auto"/>
            <w:noWrap w:val="0"/>
            <w:vAlign w:val="center"/>
          </w:tcPr>
          <w:p w14:paraId="60415FCF">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明确非现场监管领域和对象范围</w:t>
            </w:r>
          </w:p>
        </w:tc>
        <w:tc>
          <w:tcPr>
            <w:tcW w:w="0" w:type="auto"/>
            <w:noWrap w:val="0"/>
            <w:vAlign w:val="center"/>
          </w:tcPr>
          <w:p w14:paraId="2533554C">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color w:val="000000"/>
                <w:sz w:val="24"/>
                <w:highlight w:val="none"/>
              </w:rPr>
            </w:pPr>
            <w:r>
              <w:rPr>
                <w:rFonts w:hint="eastAsia" w:ascii="仿宋_GB2312" w:hAnsi="宋体" w:eastAsia="仿宋_GB2312" w:cs="仿宋_GB2312"/>
                <w:color w:val="000000"/>
                <w:sz w:val="24"/>
                <w:highlight w:val="none"/>
              </w:rPr>
              <w:t>梳理确定非现场监管行业领域清单，摸清监管对象底数，动态更新监管对象库，为开展非现场监管奠定基础。</w:t>
            </w:r>
          </w:p>
        </w:tc>
        <w:tc>
          <w:tcPr>
            <w:tcW w:w="2043" w:type="dxa"/>
            <w:noWrap w:val="0"/>
            <w:vAlign w:val="center"/>
          </w:tcPr>
          <w:p w14:paraId="790D1DC1">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color w:val="000000"/>
                <w:sz w:val="24"/>
                <w:highlight w:val="none"/>
              </w:rPr>
            </w:pPr>
            <w:r>
              <w:rPr>
                <w:rFonts w:hint="default" w:ascii="仿宋_GB2312" w:hAnsi="宋体" w:eastAsia="仿宋_GB2312" w:cs="仿宋_GB2312"/>
                <w:color w:val="000000"/>
                <w:kern w:val="0"/>
                <w:sz w:val="24"/>
                <w:highlight w:val="none"/>
                <w:lang w:val="en" w:eastAsia="zh-CN" w:bidi="ar"/>
              </w:rPr>
              <w:t>医政处、爱卫处、基层处、应急处、科教处、药械处、妇幼处、人口家庭处、</w:t>
            </w:r>
            <w:r>
              <w:rPr>
                <w:rFonts w:hint="eastAsia" w:ascii="仿宋_GB2312" w:hAnsi="宋体" w:eastAsia="仿宋_GB2312" w:cs="仿宋_GB2312"/>
                <w:color w:val="000000"/>
                <w:kern w:val="0"/>
                <w:sz w:val="24"/>
                <w:highlight w:val="none"/>
                <w:lang w:val="en" w:eastAsia="zh-CN" w:bidi="ar"/>
              </w:rPr>
              <w:t>执法处、</w:t>
            </w:r>
            <w:r>
              <w:rPr>
                <w:rFonts w:hint="default" w:ascii="仿宋_GB2312" w:hAnsi="宋体" w:eastAsia="仿宋_GB2312" w:cs="仿宋_GB2312"/>
                <w:color w:val="000000"/>
                <w:kern w:val="0"/>
                <w:sz w:val="24"/>
                <w:highlight w:val="none"/>
                <w:lang w:val="en" w:eastAsia="zh-CN" w:bidi="ar"/>
              </w:rPr>
              <w:t>安保处</w:t>
            </w:r>
            <w:r>
              <w:rPr>
                <w:rFonts w:hint="eastAsia" w:ascii="仿宋_GB2312" w:hAnsi="宋体" w:eastAsia="仿宋_GB2312" w:cs="仿宋_GB2312"/>
                <w:color w:val="000000"/>
                <w:kern w:val="0"/>
                <w:sz w:val="24"/>
                <w:highlight w:val="none"/>
                <w:lang w:bidi="ar"/>
              </w:rPr>
              <w:t>（并列关系，排名不分先后）</w:t>
            </w:r>
          </w:p>
        </w:tc>
        <w:tc>
          <w:tcPr>
            <w:tcW w:w="1946" w:type="dxa"/>
            <w:noWrap w:val="0"/>
            <w:vAlign w:val="center"/>
          </w:tcPr>
          <w:p w14:paraId="1393035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2024年3月</w:t>
            </w:r>
          </w:p>
        </w:tc>
      </w:tr>
      <w:tr w14:paraId="7F3A51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96" w:hRule="atLeast"/>
        </w:trPr>
        <w:tc>
          <w:tcPr>
            <w:tcW w:w="0" w:type="auto"/>
            <w:noWrap w:val="0"/>
            <w:vAlign w:val="center"/>
          </w:tcPr>
          <w:p w14:paraId="3ADC910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2</w:t>
            </w:r>
          </w:p>
        </w:tc>
        <w:tc>
          <w:tcPr>
            <w:tcW w:w="0" w:type="auto"/>
            <w:noWrap w:val="0"/>
            <w:vAlign w:val="center"/>
          </w:tcPr>
          <w:p w14:paraId="111EBCCF">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color w:val="000000"/>
                <w:sz w:val="24"/>
                <w:highlight w:val="none"/>
              </w:rPr>
            </w:pPr>
            <w:r>
              <w:rPr>
                <w:rFonts w:hint="eastAsia" w:ascii="仿宋_GB2312" w:hAnsi="宋体" w:eastAsia="仿宋_GB2312" w:cs="仿宋_GB2312"/>
                <w:color w:val="000000"/>
                <w:sz w:val="24"/>
                <w:highlight w:val="none"/>
              </w:rPr>
              <w:t>调整执法检查计划</w:t>
            </w:r>
          </w:p>
        </w:tc>
        <w:tc>
          <w:tcPr>
            <w:tcW w:w="0" w:type="auto"/>
            <w:noWrap w:val="0"/>
            <w:vAlign w:val="center"/>
          </w:tcPr>
          <w:p w14:paraId="03F08A2E">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color w:val="000000"/>
                <w:sz w:val="24"/>
                <w:highlight w:val="none"/>
              </w:rPr>
            </w:pPr>
            <w:r>
              <w:rPr>
                <w:rFonts w:hint="eastAsia" w:ascii="仿宋_GB2312" w:hAnsi="宋体" w:eastAsia="仿宋_GB2312" w:cs="仿宋_GB2312"/>
                <w:color w:val="000000"/>
                <w:sz w:val="24"/>
                <w:highlight w:val="none"/>
              </w:rPr>
              <w:t>按照“非现场监管为主、现场检查为辅”的原则，在日常检查中全面推广非现场监管方式，调整执法检查工作计划，优化调整“双随机”抽查和专项检查工作计划。</w:t>
            </w:r>
          </w:p>
        </w:tc>
        <w:tc>
          <w:tcPr>
            <w:tcW w:w="2043" w:type="dxa"/>
            <w:noWrap w:val="0"/>
            <w:vAlign w:val="center"/>
          </w:tcPr>
          <w:p w14:paraId="465017C7">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eastAsia="zh-CN" w:bidi="ar"/>
              </w:rPr>
              <w:t>执法处</w:t>
            </w:r>
            <w:r>
              <w:rPr>
                <w:rFonts w:hint="eastAsia" w:ascii="仿宋_GB2312" w:hAnsi="宋体" w:eastAsia="仿宋_GB2312" w:cs="仿宋_GB2312"/>
                <w:color w:val="000000"/>
                <w:kern w:val="0"/>
                <w:sz w:val="24"/>
                <w:highlight w:val="none"/>
                <w:lang w:bidi="ar"/>
              </w:rPr>
              <w:t>牵头，各行业处室配合</w:t>
            </w:r>
          </w:p>
        </w:tc>
        <w:tc>
          <w:tcPr>
            <w:tcW w:w="1946" w:type="dxa"/>
            <w:noWrap w:val="0"/>
            <w:vAlign w:val="center"/>
          </w:tcPr>
          <w:p w14:paraId="0043D59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2024年3月</w:t>
            </w:r>
          </w:p>
        </w:tc>
      </w:tr>
      <w:tr w14:paraId="55AAE1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92" w:hRule="atLeast"/>
        </w:trPr>
        <w:tc>
          <w:tcPr>
            <w:tcW w:w="0" w:type="auto"/>
            <w:noWrap w:val="0"/>
            <w:vAlign w:val="center"/>
          </w:tcPr>
          <w:p w14:paraId="3160CDA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仿宋_GB2312" w:hAnsi="宋体" w:eastAsia="仿宋_GB2312" w:cs="仿宋_GB2312"/>
                <w:color w:val="000000"/>
                <w:kern w:val="0"/>
                <w:sz w:val="24"/>
                <w:highlight w:val="none"/>
                <w:lang w:val="en-US" w:eastAsia="zh-CN" w:bidi="ar"/>
              </w:rPr>
            </w:pPr>
            <w:r>
              <w:rPr>
                <w:rFonts w:hint="eastAsia" w:ascii="仿宋_GB2312" w:hAnsi="宋体" w:eastAsia="仿宋_GB2312" w:cs="仿宋_GB2312"/>
                <w:color w:val="000000"/>
                <w:kern w:val="0"/>
                <w:sz w:val="24"/>
                <w:highlight w:val="none"/>
                <w:lang w:val="en-US" w:eastAsia="zh-CN" w:bidi="ar"/>
              </w:rPr>
              <w:t>3</w:t>
            </w:r>
          </w:p>
        </w:tc>
        <w:tc>
          <w:tcPr>
            <w:tcW w:w="0" w:type="auto"/>
            <w:noWrap w:val="0"/>
            <w:vAlign w:val="center"/>
          </w:tcPr>
          <w:p w14:paraId="7752345F">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color w:val="000000"/>
                <w:sz w:val="24"/>
                <w:highlight w:val="none"/>
                <w:lang w:eastAsia="zh-CN"/>
              </w:rPr>
            </w:pPr>
            <w:r>
              <w:rPr>
                <w:rFonts w:hint="eastAsia" w:ascii="仿宋_GB2312" w:hAnsi="宋体" w:eastAsia="仿宋_GB2312" w:cs="仿宋_GB2312"/>
                <w:color w:val="000000"/>
                <w:sz w:val="24"/>
                <w:highlight w:val="none"/>
                <w:lang w:eastAsia="zh-CN"/>
              </w:rPr>
              <w:t>梳理权力清单</w:t>
            </w:r>
          </w:p>
        </w:tc>
        <w:tc>
          <w:tcPr>
            <w:tcW w:w="0" w:type="auto"/>
            <w:noWrap w:val="0"/>
            <w:vAlign w:val="center"/>
          </w:tcPr>
          <w:p w14:paraId="3E20F223">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color w:val="000000"/>
                <w:sz w:val="24"/>
                <w:highlight w:val="none"/>
              </w:rPr>
            </w:pPr>
            <w:r>
              <w:rPr>
                <w:rFonts w:hint="eastAsia" w:ascii="仿宋_GB2312" w:hAnsi="宋体" w:eastAsia="仿宋_GB2312" w:cs="仿宋_GB2312"/>
                <w:color w:val="000000"/>
                <w:sz w:val="24"/>
                <w:highlight w:val="none"/>
                <w:lang w:val="en-US" w:eastAsia="zh-CN"/>
              </w:rPr>
              <w:t>梳理权力清单并进行动态调整，确保委权力清单中的行政检查事项与行政检查单事项一致。</w:t>
            </w:r>
          </w:p>
        </w:tc>
        <w:tc>
          <w:tcPr>
            <w:tcW w:w="2043" w:type="dxa"/>
            <w:noWrap w:val="0"/>
            <w:vAlign w:val="center"/>
          </w:tcPr>
          <w:p w14:paraId="0A07E269">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color w:val="000000"/>
                <w:kern w:val="0"/>
                <w:sz w:val="24"/>
                <w:highlight w:val="none"/>
                <w:lang w:eastAsia="zh-CN" w:bidi="ar"/>
              </w:rPr>
            </w:pPr>
            <w:r>
              <w:rPr>
                <w:rFonts w:hint="eastAsia" w:ascii="仿宋_GB2312" w:hAnsi="宋体" w:eastAsia="仿宋_GB2312" w:cs="仿宋_GB2312"/>
                <w:color w:val="000000"/>
                <w:kern w:val="0"/>
                <w:sz w:val="24"/>
                <w:highlight w:val="none"/>
                <w:lang w:eastAsia="zh-CN" w:bidi="ar"/>
              </w:rPr>
              <w:t>政法处</w:t>
            </w:r>
          </w:p>
        </w:tc>
        <w:tc>
          <w:tcPr>
            <w:tcW w:w="1946" w:type="dxa"/>
            <w:noWrap w:val="0"/>
            <w:vAlign w:val="center"/>
          </w:tcPr>
          <w:p w14:paraId="53032EF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仿宋_GB2312" w:hAnsi="宋体" w:eastAsia="仿宋_GB2312" w:cs="仿宋_GB2312"/>
                <w:color w:val="000000"/>
                <w:kern w:val="0"/>
                <w:sz w:val="24"/>
                <w:highlight w:val="none"/>
                <w:lang w:val="en-US" w:eastAsia="zh-CN" w:bidi="ar"/>
              </w:rPr>
            </w:pPr>
            <w:r>
              <w:rPr>
                <w:rFonts w:hint="eastAsia" w:ascii="仿宋_GB2312" w:hAnsi="宋体" w:eastAsia="仿宋_GB2312" w:cs="仿宋_GB2312"/>
                <w:color w:val="000000"/>
                <w:kern w:val="0"/>
                <w:sz w:val="24"/>
                <w:highlight w:val="none"/>
                <w:lang w:val="en-US" w:eastAsia="zh-CN" w:bidi="ar"/>
              </w:rPr>
              <w:t>2024年7月</w:t>
            </w:r>
          </w:p>
        </w:tc>
      </w:tr>
      <w:tr w14:paraId="01AFA7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79" w:hRule="atLeast"/>
        </w:trPr>
        <w:tc>
          <w:tcPr>
            <w:tcW w:w="0" w:type="auto"/>
            <w:noWrap w:val="0"/>
            <w:vAlign w:val="center"/>
          </w:tcPr>
          <w:p w14:paraId="6AB1053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color w:val="000000"/>
                <w:sz w:val="24"/>
                <w:highlight w:val="none"/>
                <w:lang w:eastAsia="zh-CN"/>
              </w:rPr>
            </w:pPr>
            <w:r>
              <w:rPr>
                <w:rFonts w:hint="eastAsia" w:ascii="仿宋_GB2312" w:hAnsi="宋体" w:eastAsia="仿宋_GB2312" w:cs="仿宋_GB2312"/>
                <w:color w:val="000000"/>
                <w:kern w:val="0"/>
                <w:sz w:val="24"/>
                <w:highlight w:val="none"/>
                <w:lang w:val="en-US" w:eastAsia="zh-CN" w:bidi="ar"/>
              </w:rPr>
              <w:t>4</w:t>
            </w:r>
          </w:p>
        </w:tc>
        <w:tc>
          <w:tcPr>
            <w:tcW w:w="0" w:type="auto"/>
            <w:noWrap w:val="0"/>
            <w:vAlign w:val="center"/>
          </w:tcPr>
          <w:p w14:paraId="76CEF9C4">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color w:val="000000"/>
                <w:sz w:val="24"/>
                <w:highlight w:val="none"/>
              </w:rPr>
            </w:pPr>
            <w:r>
              <w:rPr>
                <w:rFonts w:hint="eastAsia" w:ascii="仿宋_GB2312" w:hAnsi="宋体" w:eastAsia="仿宋_GB2312" w:cs="仿宋_GB2312"/>
                <w:color w:val="000000"/>
                <w:sz w:val="24"/>
                <w:highlight w:val="none"/>
                <w:lang w:val="en" w:eastAsia="zh-CN"/>
              </w:rPr>
              <w:t>完善行政检查项清单</w:t>
            </w:r>
          </w:p>
        </w:tc>
        <w:tc>
          <w:tcPr>
            <w:tcW w:w="0" w:type="auto"/>
            <w:noWrap w:val="0"/>
            <w:vAlign w:val="center"/>
          </w:tcPr>
          <w:p w14:paraId="246C51B1">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color w:val="000000"/>
                <w:sz w:val="24"/>
                <w:highlight w:val="none"/>
              </w:rPr>
            </w:pPr>
            <w:r>
              <w:rPr>
                <w:rFonts w:hint="eastAsia" w:ascii="仿宋_GB2312" w:hAnsi="宋体" w:eastAsia="仿宋_GB2312" w:cs="仿宋_GB2312"/>
                <w:color w:val="000000"/>
                <w:sz w:val="24"/>
                <w:highlight w:val="none"/>
              </w:rPr>
              <w:t>按照《北京市行政检查项标准化梳理工作实施方案》要求，全面梳理和细化检查内容和检查标准，明确现场检查项和非现场检查项，及时调整本领域部门间、区域间监管规则或标准不一致、衔接不顺畅的问题，形成统一、清晰、规范的行政检查项清单，根据法律法规、职责清单等进行动态调整。</w:t>
            </w:r>
          </w:p>
        </w:tc>
        <w:tc>
          <w:tcPr>
            <w:tcW w:w="2043" w:type="dxa"/>
            <w:noWrap w:val="0"/>
            <w:vAlign w:val="center"/>
          </w:tcPr>
          <w:p w14:paraId="0F3425A2">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val="en-US" w:eastAsia="zh-CN" w:bidi="ar"/>
              </w:rPr>
              <w:t>执法处牵头，</w:t>
            </w:r>
            <w:r>
              <w:rPr>
                <w:rFonts w:hint="eastAsia" w:ascii="仿宋_GB2312" w:hAnsi="宋体" w:eastAsia="仿宋_GB2312" w:cs="仿宋_GB2312"/>
                <w:color w:val="000000"/>
                <w:kern w:val="0"/>
                <w:sz w:val="24"/>
                <w:highlight w:val="none"/>
                <w:lang w:eastAsia="zh-CN" w:bidi="ar"/>
              </w:rPr>
              <w:t>各行业处室配合</w:t>
            </w:r>
            <w:r>
              <w:rPr>
                <w:rFonts w:hint="eastAsia" w:ascii="仿宋_GB2312" w:hAnsi="宋体" w:eastAsia="仿宋_GB2312" w:cs="仿宋_GB2312"/>
                <w:color w:val="000000"/>
                <w:kern w:val="0"/>
                <w:sz w:val="24"/>
                <w:highlight w:val="none"/>
                <w:lang w:val="en-US" w:eastAsia="zh-CN" w:bidi="ar"/>
              </w:rPr>
              <w:t>，政法处做好法制审核</w:t>
            </w:r>
          </w:p>
        </w:tc>
        <w:tc>
          <w:tcPr>
            <w:tcW w:w="1946" w:type="dxa"/>
            <w:noWrap w:val="0"/>
            <w:vAlign w:val="center"/>
          </w:tcPr>
          <w:p w14:paraId="63DEBF6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2024年</w:t>
            </w:r>
            <w:r>
              <w:rPr>
                <w:rFonts w:hint="eastAsia" w:ascii="仿宋_GB2312" w:hAnsi="宋体" w:eastAsia="仿宋_GB2312" w:cs="仿宋_GB2312"/>
                <w:color w:val="000000"/>
                <w:kern w:val="0"/>
                <w:sz w:val="24"/>
                <w:highlight w:val="none"/>
                <w:lang w:val="en-US" w:eastAsia="zh-CN" w:bidi="ar"/>
              </w:rPr>
              <w:t>7</w:t>
            </w:r>
            <w:r>
              <w:rPr>
                <w:rFonts w:hint="eastAsia" w:ascii="仿宋_GB2312" w:hAnsi="宋体" w:eastAsia="仿宋_GB2312" w:cs="仿宋_GB2312"/>
                <w:color w:val="000000"/>
                <w:kern w:val="0"/>
                <w:sz w:val="24"/>
                <w:highlight w:val="none"/>
                <w:lang w:bidi="ar"/>
              </w:rPr>
              <w:t>月</w:t>
            </w:r>
          </w:p>
        </w:tc>
      </w:tr>
      <w:tr w14:paraId="29308B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79" w:hRule="atLeast"/>
        </w:trPr>
        <w:tc>
          <w:tcPr>
            <w:tcW w:w="0" w:type="auto"/>
            <w:noWrap w:val="0"/>
            <w:vAlign w:val="center"/>
          </w:tcPr>
          <w:p w14:paraId="6B49073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仿宋_GB2312" w:hAnsi="宋体" w:eastAsia="仿宋_GB2312" w:cs="仿宋_GB2312"/>
                <w:color w:val="000000"/>
                <w:kern w:val="2"/>
                <w:sz w:val="24"/>
                <w:szCs w:val="24"/>
                <w:highlight w:val="none"/>
                <w:lang w:val="en-US" w:eastAsia="zh-CN" w:bidi="ar-SA"/>
              </w:rPr>
            </w:pPr>
            <w:r>
              <w:rPr>
                <w:rFonts w:hint="eastAsia" w:ascii="仿宋_GB2312" w:hAnsi="宋体" w:eastAsia="仿宋_GB2312" w:cs="仿宋_GB2312"/>
                <w:color w:val="000000"/>
                <w:kern w:val="2"/>
                <w:sz w:val="24"/>
                <w:szCs w:val="24"/>
                <w:highlight w:val="none"/>
                <w:lang w:val="en-US" w:eastAsia="zh-CN" w:bidi="ar-SA"/>
              </w:rPr>
              <w:t>5</w:t>
            </w:r>
          </w:p>
        </w:tc>
        <w:tc>
          <w:tcPr>
            <w:tcW w:w="0" w:type="auto"/>
            <w:noWrap w:val="0"/>
            <w:vAlign w:val="center"/>
          </w:tcPr>
          <w:p w14:paraId="69E368B2">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color w:val="000000"/>
                <w:kern w:val="2"/>
                <w:sz w:val="24"/>
                <w:szCs w:val="24"/>
                <w:highlight w:val="none"/>
                <w:lang w:val="en" w:eastAsia="zh-CN" w:bidi="ar-SA"/>
              </w:rPr>
            </w:pPr>
            <w:r>
              <w:rPr>
                <w:rFonts w:hint="eastAsia" w:ascii="仿宋_GB2312" w:hAnsi="宋体" w:eastAsia="仿宋_GB2312" w:cs="仿宋_GB2312"/>
                <w:color w:val="000000"/>
                <w:kern w:val="0"/>
                <w:sz w:val="24"/>
                <w:highlight w:val="none"/>
                <w:lang w:bidi="ar"/>
              </w:rPr>
              <w:t>推进“一码检查”工作。</w:t>
            </w:r>
          </w:p>
        </w:tc>
        <w:tc>
          <w:tcPr>
            <w:tcW w:w="0" w:type="auto"/>
            <w:noWrap w:val="0"/>
            <w:vAlign w:val="center"/>
          </w:tcPr>
          <w:p w14:paraId="3DE266E9">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color w:val="000000"/>
                <w:kern w:val="2"/>
                <w:sz w:val="24"/>
                <w:szCs w:val="24"/>
                <w:highlight w:val="none"/>
                <w:lang w:val="en-US" w:eastAsia="zh-CN" w:bidi="ar-SA"/>
              </w:rPr>
            </w:pPr>
            <w:r>
              <w:rPr>
                <w:rFonts w:hint="eastAsia" w:ascii="仿宋_GB2312" w:hAnsi="宋体" w:eastAsia="仿宋_GB2312" w:cs="仿宋_GB2312"/>
                <w:color w:val="000000"/>
                <w:kern w:val="0"/>
                <w:sz w:val="24"/>
                <w:highlight w:val="none"/>
                <w:lang w:bidi="ar"/>
              </w:rPr>
              <w:t>推进</w:t>
            </w:r>
            <w:r>
              <w:rPr>
                <w:rFonts w:hint="eastAsia" w:ascii="仿宋_GB2312" w:hAnsi="宋体" w:eastAsia="仿宋_GB2312" w:cs="仿宋_GB2312"/>
                <w:color w:val="000000"/>
                <w:kern w:val="0"/>
                <w:sz w:val="24"/>
                <w:highlight w:val="none"/>
                <w:lang w:eastAsia="zh-CN" w:bidi="ar"/>
              </w:rPr>
              <w:t>检查</w:t>
            </w:r>
            <w:r>
              <w:rPr>
                <w:rFonts w:hint="eastAsia" w:ascii="仿宋_GB2312" w:hAnsi="宋体" w:eastAsia="仿宋_GB2312" w:cs="仿宋_GB2312"/>
                <w:color w:val="000000"/>
                <w:kern w:val="0"/>
                <w:sz w:val="24"/>
                <w:highlight w:val="none"/>
                <w:lang w:bidi="ar"/>
              </w:rPr>
              <w:t>人员绑定京办“综合监管</w:t>
            </w:r>
            <w:r>
              <w:rPr>
                <w:rFonts w:hint="eastAsia" w:ascii="仿宋_GB2312" w:hAnsi="宋体" w:eastAsia="仿宋_GB2312" w:cs="仿宋_GB2312"/>
                <w:color w:val="000000"/>
                <w:kern w:val="0"/>
                <w:sz w:val="24"/>
                <w:highlight w:val="none"/>
                <w:lang w:val="en" w:bidi="ar"/>
              </w:rPr>
              <w:t>e码查”</w:t>
            </w:r>
            <w:r>
              <w:rPr>
                <w:rFonts w:hint="eastAsia" w:ascii="仿宋_GB2312" w:hAnsi="宋体" w:eastAsia="仿宋_GB2312" w:cs="仿宋_GB2312"/>
                <w:color w:val="000000"/>
                <w:kern w:val="0"/>
                <w:sz w:val="24"/>
                <w:highlight w:val="none"/>
                <w:lang w:bidi="ar"/>
              </w:rPr>
              <w:t>小程序</w:t>
            </w:r>
            <w:r>
              <w:rPr>
                <w:rFonts w:hint="eastAsia" w:ascii="仿宋_GB2312" w:hAnsi="宋体" w:eastAsia="仿宋_GB2312" w:cs="仿宋_GB2312"/>
                <w:color w:val="000000"/>
                <w:kern w:val="0"/>
                <w:sz w:val="24"/>
                <w:highlight w:val="none"/>
                <w:lang w:val="en" w:bidi="ar"/>
              </w:rPr>
              <w:t>，在对监管对象实施现场</w:t>
            </w:r>
            <w:r>
              <w:rPr>
                <w:rFonts w:hint="eastAsia" w:ascii="仿宋_GB2312" w:hAnsi="宋体" w:eastAsia="仿宋_GB2312" w:cs="仿宋_GB2312"/>
                <w:color w:val="000000"/>
                <w:kern w:val="0"/>
                <w:sz w:val="24"/>
                <w:highlight w:val="none"/>
                <w:lang w:val="en" w:eastAsia="zh-CN" w:bidi="ar"/>
              </w:rPr>
              <w:t>检查</w:t>
            </w:r>
            <w:r>
              <w:rPr>
                <w:rFonts w:hint="eastAsia" w:ascii="仿宋_GB2312" w:hAnsi="宋体" w:eastAsia="仿宋_GB2312" w:cs="仿宋_GB2312"/>
                <w:color w:val="000000"/>
                <w:kern w:val="0"/>
                <w:sz w:val="24"/>
                <w:highlight w:val="none"/>
                <w:lang w:val="en" w:bidi="ar"/>
              </w:rPr>
              <w:t>时扫描“企业码”</w:t>
            </w:r>
            <w:r>
              <w:rPr>
                <w:rFonts w:hint="eastAsia" w:ascii="仿宋_GB2312" w:hAnsi="宋体" w:eastAsia="仿宋_GB2312" w:cs="仿宋_GB2312"/>
                <w:color w:val="000000"/>
                <w:kern w:val="0"/>
                <w:sz w:val="24"/>
                <w:highlight w:val="none"/>
                <w:lang w:val="en" w:eastAsia="zh-CN" w:bidi="ar"/>
              </w:rPr>
              <w:t>。</w:t>
            </w:r>
          </w:p>
        </w:tc>
        <w:tc>
          <w:tcPr>
            <w:tcW w:w="2043" w:type="dxa"/>
            <w:noWrap w:val="0"/>
            <w:vAlign w:val="center"/>
          </w:tcPr>
          <w:p w14:paraId="4D38AF54">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color w:val="000000"/>
                <w:kern w:val="2"/>
                <w:sz w:val="24"/>
                <w:szCs w:val="24"/>
                <w:highlight w:val="none"/>
                <w:lang w:val="en-US" w:eastAsia="zh-CN" w:bidi="ar-SA"/>
              </w:rPr>
            </w:pPr>
            <w:r>
              <w:rPr>
                <w:rFonts w:hint="eastAsia" w:ascii="仿宋_GB2312" w:hAnsi="宋体" w:eastAsia="仿宋_GB2312" w:cs="仿宋_GB2312"/>
                <w:color w:val="000000"/>
                <w:kern w:val="2"/>
                <w:sz w:val="24"/>
                <w:szCs w:val="24"/>
                <w:highlight w:val="none"/>
                <w:lang w:val="en-US" w:eastAsia="zh-CN" w:bidi="ar-SA"/>
              </w:rPr>
              <w:t>执法处牵头，各行业处室配合</w:t>
            </w:r>
          </w:p>
        </w:tc>
        <w:tc>
          <w:tcPr>
            <w:tcW w:w="1946" w:type="dxa"/>
            <w:noWrap w:val="0"/>
            <w:vAlign w:val="center"/>
          </w:tcPr>
          <w:p w14:paraId="0DBC56C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color w:val="000000"/>
                <w:kern w:val="2"/>
                <w:sz w:val="24"/>
                <w:szCs w:val="24"/>
                <w:highlight w:val="none"/>
                <w:lang w:val="en-US" w:eastAsia="zh-CN" w:bidi="ar-SA"/>
              </w:rPr>
            </w:pPr>
            <w:r>
              <w:rPr>
                <w:rFonts w:hint="eastAsia" w:ascii="仿宋_GB2312" w:hAnsi="宋体" w:eastAsia="仿宋_GB2312" w:cs="仿宋_GB2312"/>
                <w:color w:val="000000"/>
                <w:kern w:val="0"/>
                <w:sz w:val="24"/>
                <w:highlight w:val="none"/>
                <w:lang w:bidi="ar"/>
              </w:rPr>
              <w:t>2024年</w:t>
            </w:r>
            <w:r>
              <w:rPr>
                <w:rFonts w:hint="eastAsia" w:ascii="仿宋_GB2312" w:hAnsi="宋体" w:eastAsia="仿宋_GB2312" w:cs="仿宋_GB2312"/>
                <w:color w:val="000000"/>
                <w:kern w:val="0"/>
                <w:sz w:val="24"/>
                <w:highlight w:val="none"/>
                <w:lang w:val="en-US" w:eastAsia="zh-CN" w:bidi="ar"/>
              </w:rPr>
              <w:t>7</w:t>
            </w:r>
            <w:r>
              <w:rPr>
                <w:rFonts w:hint="eastAsia" w:ascii="仿宋_GB2312" w:hAnsi="宋体" w:eastAsia="仿宋_GB2312" w:cs="仿宋_GB2312"/>
                <w:color w:val="000000"/>
                <w:kern w:val="0"/>
                <w:sz w:val="24"/>
                <w:highlight w:val="none"/>
                <w:lang w:bidi="ar"/>
              </w:rPr>
              <w:t>月</w:t>
            </w:r>
          </w:p>
        </w:tc>
      </w:tr>
      <w:tr w14:paraId="783401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0" w:hRule="atLeast"/>
        </w:trPr>
        <w:tc>
          <w:tcPr>
            <w:tcW w:w="0" w:type="auto"/>
            <w:gridSpan w:val="5"/>
            <w:noWrap w:val="0"/>
            <w:vAlign w:val="center"/>
          </w:tcPr>
          <w:p w14:paraId="0464C25C">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黑体" w:hAnsi="宋体" w:eastAsia="黑体" w:cs="黑体"/>
                <w:color w:val="000000"/>
                <w:sz w:val="32"/>
                <w:szCs w:val="32"/>
                <w:highlight w:val="none"/>
              </w:rPr>
            </w:pPr>
            <w:r>
              <w:rPr>
                <w:rFonts w:hint="eastAsia" w:ascii="黑体" w:hAnsi="宋体" w:eastAsia="黑体" w:cs="黑体"/>
                <w:color w:val="000000"/>
                <w:kern w:val="0"/>
                <w:sz w:val="32"/>
                <w:szCs w:val="32"/>
                <w:highlight w:val="none"/>
                <w:lang w:bidi="ar"/>
              </w:rPr>
              <w:t>二、探索实施阶段（2024年</w:t>
            </w:r>
            <w:r>
              <w:rPr>
                <w:rFonts w:hint="eastAsia" w:ascii="黑体" w:hAnsi="宋体" w:eastAsia="黑体" w:cs="黑体"/>
                <w:color w:val="000000"/>
                <w:kern w:val="0"/>
                <w:sz w:val="32"/>
                <w:szCs w:val="32"/>
                <w:highlight w:val="none"/>
                <w:lang w:val="en-US" w:eastAsia="zh-CN" w:bidi="ar"/>
              </w:rPr>
              <w:t>8</w:t>
            </w:r>
            <w:r>
              <w:rPr>
                <w:rFonts w:hint="eastAsia" w:ascii="黑体" w:hAnsi="宋体" w:eastAsia="黑体" w:cs="黑体"/>
                <w:color w:val="000000"/>
                <w:kern w:val="0"/>
                <w:sz w:val="32"/>
                <w:szCs w:val="32"/>
                <w:highlight w:val="none"/>
                <w:lang w:bidi="ar"/>
              </w:rPr>
              <w:t>月至9月）</w:t>
            </w:r>
          </w:p>
        </w:tc>
      </w:tr>
      <w:tr w14:paraId="338B70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235" w:hRule="atLeast"/>
        </w:trPr>
        <w:tc>
          <w:tcPr>
            <w:tcW w:w="0" w:type="auto"/>
            <w:noWrap w:val="0"/>
            <w:vAlign w:val="center"/>
          </w:tcPr>
          <w:p w14:paraId="70253C0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color w:val="000000"/>
                <w:kern w:val="2"/>
                <w:sz w:val="24"/>
                <w:szCs w:val="24"/>
                <w:highlight w:val="none"/>
                <w:lang w:val="en-US" w:eastAsia="zh-CN" w:bidi="ar-SA"/>
              </w:rPr>
            </w:pPr>
            <w:r>
              <w:rPr>
                <w:rFonts w:hint="eastAsia" w:ascii="仿宋_GB2312" w:hAnsi="宋体" w:eastAsia="仿宋_GB2312" w:cs="仿宋_GB2312"/>
                <w:color w:val="000000"/>
                <w:kern w:val="0"/>
                <w:sz w:val="24"/>
                <w:highlight w:val="none"/>
                <w:lang w:val="en-US" w:eastAsia="zh-CN" w:bidi="ar"/>
              </w:rPr>
              <w:t>6</w:t>
            </w:r>
          </w:p>
        </w:tc>
        <w:tc>
          <w:tcPr>
            <w:tcW w:w="0" w:type="auto"/>
            <w:noWrap w:val="0"/>
            <w:vAlign w:val="center"/>
          </w:tcPr>
          <w:p w14:paraId="4F41301F">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color w:val="000000"/>
                <w:kern w:val="2"/>
                <w:sz w:val="24"/>
                <w:szCs w:val="24"/>
                <w:highlight w:val="none"/>
                <w:lang w:val="en-US" w:eastAsia="zh-CN" w:bidi="ar-SA"/>
              </w:rPr>
            </w:pPr>
            <w:r>
              <w:rPr>
                <w:rFonts w:hint="eastAsia" w:ascii="仿宋_GB2312" w:hAnsi="宋体" w:eastAsia="仿宋_GB2312" w:cs="仿宋_GB2312"/>
                <w:color w:val="000000"/>
                <w:sz w:val="24"/>
                <w:highlight w:val="none"/>
                <w:lang w:val="en-US" w:eastAsia="zh-CN"/>
              </w:rPr>
              <w:t>梳理非现场监管规则和标准</w:t>
            </w:r>
          </w:p>
        </w:tc>
        <w:tc>
          <w:tcPr>
            <w:tcW w:w="0" w:type="auto"/>
            <w:noWrap w:val="0"/>
            <w:vAlign w:val="center"/>
          </w:tcPr>
          <w:p w14:paraId="30D043B0">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left"/>
              <w:textAlignment w:val="center"/>
              <w:rPr>
                <w:rFonts w:hint="eastAsia" w:ascii="仿宋_GB2312" w:hAnsi="宋体" w:eastAsia="仿宋_GB2312" w:cs="仿宋_GB2312"/>
                <w:color w:val="000000"/>
                <w:kern w:val="2"/>
                <w:sz w:val="24"/>
                <w:szCs w:val="24"/>
                <w:highlight w:val="none"/>
                <w:lang w:val="en-US" w:eastAsia="zh-CN" w:bidi="ar-SA"/>
              </w:rPr>
            </w:pPr>
            <w:r>
              <w:rPr>
                <w:rFonts w:hint="eastAsia" w:ascii="仿宋_GB2312" w:hAnsi="宋体" w:eastAsia="仿宋_GB2312" w:cs="仿宋_GB2312"/>
                <w:color w:val="000000"/>
                <w:sz w:val="24"/>
                <w:highlight w:val="none"/>
                <w:lang w:val="en-US" w:eastAsia="zh-CN"/>
              </w:rPr>
              <w:t>确定适合实施非现场监管的检查内容，逐项明确行业领域监管采取的非现场监管方式、工作机制、实施步骤、具体目标及预期成效，确保监管事项全覆盖、监管过程全记录和监管数据可获取、可分析、可预警。</w:t>
            </w:r>
          </w:p>
        </w:tc>
        <w:tc>
          <w:tcPr>
            <w:tcW w:w="2043" w:type="dxa"/>
            <w:noWrap w:val="0"/>
            <w:vAlign w:val="center"/>
          </w:tcPr>
          <w:p w14:paraId="31083610">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color w:val="000000"/>
                <w:kern w:val="2"/>
                <w:sz w:val="24"/>
                <w:szCs w:val="24"/>
                <w:highlight w:val="none"/>
                <w:lang w:val="en-US" w:eastAsia="zh-CN" w:bidi="ar-SA"/>
              </w:rPr>
            </w:pPr>
            <w:r>
              <w:rPr>
                <w:rFonts w:hint="eastAsia" w:ascii="仿宋_GB2312" w:hAnsi="宋体" w:eastAsia="仿宋_GB2312" w:cs="仿宋_GB2312"/>
                <w:color w:val="000000"/>
                <w:sz w:val="24"/>
                <w:highlight w:val="none"/>
                <w:lang w:eastAsia="zh-CN"/>
              </w:rPr>
              <w:t>执法处</w:t>
            </w:r>
            <w:r>
              <w:rPr>
                <w:rFonts w:hint="eastAsia" w:ascii="仿宋_GB2312" w:hAnsi="宋体" w:eastAsia="仿宋_GB2312" w:cs="仿宋_GB2312"/>
                <w:color w:val="000000"/>
                <w:sz w:val="24"/>
                <w:highlight w:val="none"/>
                <w:lang w:val="en-US" w:eastAsia="zh-CN"/>
              </w:rPr>
              <w:t>牵头，</w:t>
            </w:r>
            <w:r>
              <w:rPr>
                <w:rFonts w:hint="eastAsia" w:ascii="仿宋_GB2312" w:hAnsi="宋体" w:eastAsia="仿宋_GB2312" w:cs="仿宋_GB2312"/>
                <w:color w:val="000000"/>
                <w:sz w:val="24"/>
                <w:highlight w:val="none"/>
              </w:rPr>
              <w:fldChar w:fldCharType="begin"/>
            </w:r>
            <w:r>
              <w:rPr>
                <w:rFonts w:hint="eastAsia" w:ascii="仿宋_GB2312" w:hAnsi="宋体" w:eastAsia="仿宋_GB2312" w:cs="仿宋_GB2312"/>
                <w:color w:val="000000"/>
                <w:sz w:val="24"/>
                <w:highlight w:val="none"/>
              </w:rPr>
              <w:instrText xml:space="preserve"> HYPERLINK "https://wjw.beijing.gov.cn/wjwh/ztzl/zqgs_1/nsjg/201912/t20191217_1255325.html" </w:instrText>
            </w:r>
            <w:r>
              <w:rPr>
                <w:rFonts w:hint="eastAsia" w:ascii="仿宋_GB2312" w:hAnsi="宋体" w:eastAsia="仿宋_GB2312" w:cs="仿宋_GB2312"/>
                <w:color w:val="000000"/>
                <w:sz w:val="24"/>
                <w:highlight w:val="none"/>
              </w:rPr>
              <w:fldChar w:fldCharType="separate"/>
            </w:r>
            <w:r>
              <w:rPr>
                <w:rFonts w:hint="eastAsia" w:ascii="仿宋_GB2312" w:hAnsi="宋体" w:eastAsia="仿宋_GB2312" w:cs="仿宋_GB2312"/>
                <w:color w:val="000000"/>
                <w:sz w:val="24"/>
                <w:highlight w:val="none"/>
                <w:lang w:eastAsia="zh-CN"/>
              </w:rPr>
              <w:t>医政处</w:t>
            </w:r>
            <w:r>
              <w:rPr>
                <w:rFonts w:hint="eastAsia" w:ascii="仿宋_GB2312" w:hAnsi="宋体" w:eastAsia="仿宋_GB2312" w:cs="仿宋_GB2312"/>
                <w:color w:val="000000"/>
                <w:sz w:val="24"/>
                <w:highlight w:val="none"/>
              </w:rPr>
              <w:fldChar w:fldCharType="end"/>
            </w:r>
            <w:r>
              <w:rPr>
                <w:rFonts w:hint="eastAsia" w:ascii="仿宋_GB2312" w:hAnsi="宋体" w:eastAsia="仿宋_GB2312" w:cs="仿宋_GB2312"/>
                <w:color w:val="000000"/>
                <w:sz w:val="24"/>
                <w:highlight w:val="none"/>
              </w:rPr>
              <w:t>、</w:t>
            </w:r>
            <w:r>
              <w:rPr>
                <w:rFonts w:hint="eastAsia" w:ascii="仿宋_GB2312" w:hAnsi="宋体" w:eastAsia="仿宋_GB2312" w:cs="仿宋_GB2312"/>
                <w:color w:val="000000"/>
                <w:sz w:val="24"/>
                <w:highlight w:val="none"/>
              </w:rPr>
              <w:fldChar w:fldCharType="begin"/>
            </w:r>
            <w:r>
              <w:rPr>
                <w:rFonts w:hint="eastAsia" w:ascii="仿宋_GB2312" w:hAnsi="宋体" w:eastAsia="仿宋_GB2312" w:cs="仿宋_GB2312"/>
                <w:color w:val="000000"/>
                <w:sz w:val="24"/>
                <w:highlight w:val="none"/>
              </w:rPr>
              <w:instrText xml:space="preserve"> HYPERLINK "https://wjw.beijing.gov.cn/wjwh/ztzl/zqgs_1/nsjg/201912/t20191217_1255328.html" </w:instrText>
            </w:r>
            <w:r>
              <w:rPr>
                <w:rFonts w:hint="eastAsia" w:ascii="仿宋_GB2312" w:hAnsi="宋体" w:eastAsia="仿宋_GB2312" w:cs="仿宋_GB2312"/>
                <w:color w:val="000000"/>
                <w:sz w:val="24"/>
                <w:highlight w:val="none"/>
              </w:rPr>
              <w:fldChar w:fldCharType="separate"/>
            </w:r>
            <w:r>
              <w:rPr>
                <w:rFonts w:hint="eastAsia" w:ascii="仿宋_GB2312" w:hAnsi="宋体" w:eastAsia="仿宋_GB2312" w:cs="仿宋_GB2312"/>
                <w:color w:val="000000"/>
                <w:sz w:val="24"/>
                <w:highlight w:val="none"/>
                <w:lang w:eastAsia="zh-CN"/>
              </w:rPr>
              <w:t>人口家庭处</w:t>
            </w:r>
            <w:r>
              <w:rPr>
                <w:rFonts w:hint="eastAsia" w:ascii="仿宋_GB2312" w:hAnsi="宋体" w:eastAsia="仿宋_GB2312" w:cs="仿宋_GB2312"/>
                <w:color w:val="000000"/>
                <w:sz w:val="24"/>
                <w:highlight w:val="none"/>
              </w:rPr>
              <w:fldChar w:fldCharType="end"/>
            </w:r>
            <w:r>
              <w:rPr>
                <w:rFonts w:hint="eastAsia" w:ascii="仿宋_GB2312" w:hAnsi="宋体" w:eastAsia="仿宋_GB2312" w:cs="仿宋_GB2312"/>
                <w:color w:val="000000"/>
                <w:sz w:val="24"/>
                <w:highlight w:val="none"/>
              </w:rPr>
              <w:t>、</w:t>
            </w:r>
            <w:r>
              <w:rPr>
                <w:rFonts w:hint="eastAsia" w:ascii="仿宋_GB2312" w:hAnsi="宋体" w:eastAsia="仿宋_GB2312" w:cs="仿宋_GB2312"/>
                <w:color w:val="000000"/>
                <w:sz w:val="24"/>
                <w:highlight w:val="none"/>
                <w:lang w:eastAsia="zh-CN"/>
              </w:rPr>
              <w:t>妇幼处</w:t>
            </w:r>
            <w:r>
              <w:rPr>
                <w:rFonts w:hint="eastAsia" w:ascii="仿宋_GB2312" w:hAnsi="宋体" w:eastAsia="仿宋_GB2312" w:cs="仿宋_GB2312"/>
                <w:color w:val="000000"/>
                <w:sz w:val="24"/>
                <w:highlight w:val="none"/>
              </w:rPr>
              <w:t>、</w:t>
            </w:r>
            <w:r>
              <w:rPr>
                <w:rFonts w:hint="eastAsia" w:ascii="仿宋_GB2312" w:hAnsi="宋体" w:eastAsia="仿宋_GB2312" w:cs="仿宋_GB2312"/>
                <w:color w:val="000000"/>
                <w:sz w:val="24"/>
                <w:highlight w:val="none"/>
              </w:rPr>
              <w:fldChar w:fldCharType="begin"/>
            </w:r>
            <w:r>
              <w:rPr>
                <w:rFonts w:hint="eastAsia" w:ascii="仿宋_GB2312" w:hAnsi="宋体" w:eastAsia="仿宋_GB2312" w:cs="仿宋_GB2312"/>
                <w:color w:val="000000"/>
                <w:sz w:val="24"/>
                <w:highlight w:val="none"/>
              </w:rPr>
              <w:instrText xml:space="preserve"> HYPERLINK "https://wjw.beijing.gov.cn/wjwh/ztzl/zqgs_1/nsjg/201912/t20191217_1255323.html" </w:instrText>
            </w:r>
            <w:r>
              <w:rPr>
                <w:rFonts w:hint="eastAsia" w:ascii="仿宋_GB2312" w:hAnsi="宋体" w:eastAsia="仿宋_GB2312" w:cs="仿宋_GB2312"/>
                <w:color w:val="000000"/>
                <w:sz w:val="24"/>
                <w:highlight w:val="none"/>
              </w:rPr>
              <w:fldChar w:fldCharType="separate"/>
            </w:r>
            <w:r>
              <w:rPr>
                <w:rFonts w:hint="eastAsia" w:ascii="仿宋_GB2312" w:hAnsi="宋体" w:eastAsia="仿宋_GB2312" w:cs="仿宋_GB2312"/>
                <w:color w:val="000000"/>
                <w:sz w:val="24"/>
                <w:highlight w:val="none"/>
                <w:lang w:eastAsia="zh-CN"/>
              </w:rPr>
              <w:t>爱卫处</w:t>
            </w:r>
            <w:r>
              <w:rPr>
                <w:rFonts w:hint="eastAsia" w:ascii="仿宋_GB2312" w:hAnsi="宋体" w:eastAsia="仿宋_GB2312" w:cs="仿宋_GB2312"/>
                <w:color w:val="000000"/>
                <w:sz w:val="24"/>
                <w:highlight w:val="none"/>
              </w:rPr>
              <w:fldChar w:fldCharType="end"/>
            </w:r>
            <w:r>
              <w:rPr>
                <w:rFonts w:hint="eastAsia" w:ascii="仿宋_GB2312" w:hAnsi="宋体" w:eastAsia="仿宋_GB2312" w:cs="仿宋_GB2312"/>
                <w:color w:val="000000"/>
                <w:sz w:val="24"/>
                <w:highlight w:val="none"/>
              </w:rPr>
              <w:t>、</w:t>
            </w:r>
            <w:r>
              <w:rPr>
                <w:rFonts w:hint="eastAsia" w:ascii="仿宋_GB2312" w:hAnsi="宋体" w:eastAsia="仿宋_GB2312" w:cs="仿宋_GB2312"/>
                <w:color w:val="000000"/>
                <w:sz w:val="24"/>
                <w:highlight w:val="none"/>
              </w:rPr>
              <w:fldChar w:fldCharType="begin"/>
            </w:r>
            <w:r>
              <w:rPr>
                <w:rFonts w:hint="eastAsia" w:ascii="仿宋_GB2312" w:hAnsi="宋体" w:eastAsia="仿宋_GB2312" w:cs="仿宋_GB2312"/>
                <w:color w:val="000000"/>
                <w:sz w:val="24"/>
                <w:highlight w:val="none"/>
              </w:rPr>
              <w:instrText xml:space="preserve"> HYPERLINK "https://wjw.beijing.gov.cn/wjwh/ztzl/zqgs_1/nsjg/201912/t20191217_1255324.html" </w:instrText>
            </w:r>
            <w:r>
              <w:rPr>
                <w:rFonts w:hint="eastAsia" w:ascii="仿宋_GB2312" w:hAnsi="宋体" w:eastAsia="仿宋_GB2312" w:cs="仿宋_GB2312"/>
                <w:color w:val="000000"/>
                <w:sz w:val="24"/>
                <w:highlight w:val="none"/>
              </w:rPr>
              <w:fldChar w:fldCharType="separate"/>
            </w:r>
            <w:r>
              <w:rPr>
                <w:rFonts w:hint="eastAsia" w:ascii="仿宋_GB2312" w:hAnsi="宋体" w:eastAsia="仿宋_GB2312" w:cs="仿宋_GB2312"/>
                <w:color w:val="000000"/>
                <w:sz w:val="24"/>
                <w:highlight w:val="none"/>
                <w:lang w:eastAsia="zh-CN"/>
              </w:rPr>
              <w:t>基层处</w:t>
            </w:r>
            <w:r>
              <w:rPr>
                <w:rFonts w:hint="eastAsia" w:ascii="仿宋_GB2312" w:hAnsi="宋体" w:eastAsia="仿宋_GB2312" w:cs="仿宋_GB2312"/>
                <w:color w:val="000000"/>
                <w:sz w:val="24"/>
                <w:highlight w:val="none"/>
              </w:rPr>
              <w:fldChar w:fldCharType="end"/>
            </w:r>
            <w:r>
              <w:rPr>
                <w:rFonts w:hint="eastAsia" w:ascii="仿宋_GB2312" w:hAnsi="宋体" w:eastAsia="仿宋_GB2312" w:cs="仿宋_GB2312"/>
                <w:color w:val="000000"/>
                <w:sz w:val="24"/>
                <w:highlight w:val="none"/>
              </w:rPr>
              <w:t>、</w:t>
            </w:r>
            <w:r>
              <w:rPr>
                <w:rFonts w:hint="eastAsia" w:ascii="仿宋_GB2312" w:hAnsi="宋体" w:eastAsia="仿宋_GB2312" w:cs="仿宋_GB2312"/>
                <w:color w:val="000000"/>
                <w:sz w:val="24"/>
                <w:highlight w:val="none"/>
                <w:lang w:eastAsia="zh-CN"/>
              </w:rPr>
              <w:t>应急处</w:t>
            </w:r>
            <w:r>
              <w:rPr>
                <w:rFonts w:hint="eastAsia" w:ascii="仿宋_GB2312" w:hAnsi="宋体" w:eastAsia="仿宋_GB2312" w:cs="仿宋_GB2312"/>
                <w:color w:val="000000"/>
                <w:sz w:val="24"/>
                <w:highlight w:val="none"/>
              </w:rPr>
              <w:t>、</w:t>
            </w:r>
            <w:r>
              <w:rPr>
                <w:rFonts w:hint="eastAsia" w:ascii="仿宋_GB2312" w:hAnsi="宋体" w:eastAsia="仿宋_GB2312" w:cs="仿宋_GB2312"/>
                <w:color w:val="000000"/>
                <w:sz w:val="24"/>
                <w:highlight w:val="none"/>
              </w:rPr>
              <w:fldChar w:fldCharType="begin"/>
            </w:r>
            <w:r>
              <w:rPr>
                <w:rFonts w:hint="eastAsia" w:ascii="仿宋_GB2312" w:hAnsi="宋体" w:eastAsia="仿宋_GB2312" w:cs="仿宋_GB2312"/>
                <w:color w:val="000000"/>
                <w:sz w:val="24"/>
                <w:highlight w:val="none"/>
              </w:rPr>
              <w:instrText xml:space="preserve"> HYPERLINK "https://wjw.beijing.gov.cn/wjwh/ztzl/zqgs_1/nsjg/201912/t20191217_1255330.html" </w:instrText>
            </w:r>
            <w:r>
              <w:rPr>
                <w:rFonts w:hint="eastAsia" w:ascii="仿宋_GB2312" w:hAnsi="宋体" w:eastAsia="仿宋_GB2312" w:cs="仿宋_GB2312"/>
                <w:color w:val="000000"/>
                <w:sz w:val="24"/>
                <w:highlight w:val="none"/>
              </w:rPr>
              <w:fldChar w:fldCharType="separate"/>
            </w:r>
            <w:r>
              <w:rPr>
                <w:rFonts w:hint="eastAsia" w:ascii="仿宋_GB2312" w:hAnsi="宋体" w:eastAsia="仿宋_GB2312" w:cs="仿宋_GB2312"/>
                <w:color w:val="000000"/>
                <w:sz w:val="24"/>
                <w:highlight w:val="none"/>
                <w:lang w:eastAsia="zh-CN"/>
              </w:rPr>
              <w:t>科教处</w:t>
            </w:r>
            <w:r>
              <w:rPr>
                <w:rFonts w:hint="eastAsia" w:ascii="仿宋_GB2312" w:hAnsi="宋体" w:eastAsia="仿宋_GB2312" w:cs="仿宋_GB2312"/>
                <w:color w:val="000000"/>
                <w:sz w:val="24"/>
                <w:highlight w:val="none"/>
              </w:rPr>
              <w:fldChar w:fldCharType="end"/>
            </w:r>
            <w:r>
              <w:rPr>
                <w:rFonts w:hint="eastAsia" w:ascii="仿宋_GB2312" w:hAnsi="宋体" w:eastAsia="仿宋_GB2312" w:cs="仿宋_GB2312"/>
                <w:color w:val="000000"/>
                <w:sz w:val="24"/>
                <w:highlight w:val="none"/>
              </w:rPr>
              <w:t>、</w:t>
            </w:r>
            <w:r>
              <w:rPr>
                <w:rFonts w:hint="eastAsia" w:ascii="仿宋_GB2312" w:hAnsi="宋体" w:eastAsia="仿宋_GB2312" w:cs="仿宋_GB2312"/>
                <w:color w:val="000000"/>
                <w:sz w:val="24"/>
                <w:highlight w:val="none"/>
              </w:rPr>
              <w:fldChar w:fldCharType="begin"/>
            </w:r>
            <w:r>
              <w:rPr>
                <w:rFonts w:hint="eastAsia" w:ascii="仿宋_GB2312" w:hAnsi="宋体" w:eastAsia="仿宋_GB2312" w:cs="仿宋_GB2312"/>
                <w:color w:val="000000"/>
                <w:sz w:val="24"/>
                <w:highlight w:val="none"/>
              </w:rPr>
              <w:instrText xml:space="preserve"> HYPERLINK "https://wjw.beijing.gov.cn/wjwh/ztzl/zqgs_1/nsjg/201912/t20191217_1255326.html" </w:instrText>
            </w:r>
            <w:r>
              <w:rPr>
                <w:rFonts w:hint="eastAsia" w:ascii="仿宋_GB2312" w:hAnsi="宋体" w:eastAsia="仿宋_GB2312" w:cs="仿宋_GB2312"/>
                <w:color w:val="000000"/>
                <w:sz w:val="24"/>
                <w:highlight w:val="none"/>
              </w:rPr>
              <w:fldChar w:fldCharType="separate"/>
            </w:r>
            <w:r>
              <w:rPr>
                <w:rFonts w:hint="eastAsia" w:ascii="仿宋_GB2312" w:hAnsi="宋体" w:eastAsia="仿宋_GB2312" w:cs="仿宋_GB2312"/>
                <w:color w:val="000000"/>
                <w:sz w:val="24"/>
                <w:highlight w:val="none"/>
                <w:lang w:eastAsia="zh-CN"/>
              </w:rPr>
              <w:t>药械处</w:t>
            </w:r>
            <w:r>
              <w:rPr>
                <w:rFonts w:hint="eastAsia" w:ascii="仿宋_GB2312" w:hAnsi="宋体" w:eastAsia="仿宋_GB2312" w:cs="仿宋_GB2312"/>
                <w:color w:val="000000"/>
                <w:sz w:val="24"/>
                <w:highlight w:val="none"/>
              </w:rPr>
              <w:fldChar w:fldCharType="end"/>
            </w:r>
            <w:r>
              <w:rPr>
                <w:rFonts w:hint="eastAsia" w:ascii="仿宋_GB2312" w:hAnsi="宋体" w:eastAsia="仿宋_GB2312" w:cs="仿宋_GB2312"/>
                <w:color w:val="000000"/>
                <w:sz w:val="24"/>
                <w:highlight w:val="none"/>
              </w:rPr>
              <w:t>、</w:t>
            </w:r>
            <w:r>
              <w:rPr>
                <w:rFonts w:hint="eastAsia" w:ascii="仿宋_GB2312" w:hAnsi="宋体" w:eastAsia="仿宋_GB2312" w:cs="仿宋_GB2312"/>
                <w:color w:val="000000"/>
                <w:sz w:val="24"/>
                <w:highlight w:val="none"/>
                <w:lang w:eastAsia="zh-CN"/>
              </w:rPr>
              <w:t>安保处</w:t>
            </w:r>
            <w:r>
              <w:rPr>
                <w:rFonts w:hint="eastAsia" w:ascii="仿宋_GB2312" w:hAnsi="宋体" w:eastAsia="仿宋_GB2312" w:cs="仿宋_GB2312"/>
                <w:color w:val="000000"/>
                <w:sz w:val="24"/>
                <w:highlight w:val="none"/>
              </w:rPr>
              <w:t>（并列关系，排名不分先后）</w:t>
            </w:r>
          </w:p>
        </w:tc>
        <w:tc>
          <w:tcPr>
            <w:tcW w:w="1946" w:type="dxa"/>
            <w:noWrap w:val="0"/>
            <w:vAlign w:val="center"/>
          </w:tcPr>
          <w:p w14:paraId="436EC11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color w:val="000000"/>
                <w:kern w:val="2"/>
                <w:sz w:val="24"/>
                <w:szCs w:val="24"/>
                <w:highlight w:val="none"/>
                <w:lang w:val="en-US" w:eastAsia="zh-CN" w:bidi="ar-SA"/>
              </w:rPr>
            </w:pPr>
            <w:r>
              <w:rPr>
                <w:rFonts w:hint="eastAsia" w:ascii="仿宋_GB2312" w:hAnsi="宋体" w:eastAsia="仿宋_GB2312" w:cs="仿宋_GB2312"/>
                <w:color w:val="000000"/>
                <w:kern w:val="0"/>
                <w:sz w:val="24"/>
                <w:highlight w:val="none"/>
                <w:lang w:bidi="ar"/>
              </w:rPr>
              <w:t>2024年</w:t>
            </w:r>
            <w:r>
              <w:rPr>
                <w:rFonts w:hint="eastAsia" w:ascii="仿宋_GB2312" w:hAnsi="宋体" w:eastAsia="仿宋_GB2312" w:cs="仿宋_GB2312"/>
                <w:color w:val="000000"/>
                <w:kern w:val="0"/>
                <w:sz w:val="24"/>
                <w:highlight w:val="none"/>
                <w:lang w:val="en-US" w:eastAsia="zh-CN" w:bidi="ar"/>
              </w:rPr>
              <w:t>8</w:t>
            </w:r>
            <w:r>
              <w:rPr>
                <w:rFonts w:hint="eastAsia" w:ascii="仿宋_GB2312" w:hAnsi="宋体" w:eastAsia="仿宋_GB2312" w:cs="仿宋_GB2312"/>
                <w:color w:val="000000"/>
                <w:kern w:val="0"/>
                <w:sz w:val="24"/>
                <w:highlight w:val="none"/>
                <w:lang w:bidi="ar"/>
              </w:rPr>
              <w:t>月</w:t>
            </w:r>
          </w:p>
        </w:tc>
      </w:tr>
      <w:tr w14:paraId="59F498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650" w:hRule="atLeast"/>
        </w:trPr>
        <w:tc>
          <w:tcPr>
            <w:tcW w:w="0" w:type="auto"/>
            <w:noWrap w:val="0"/>
            <w:vAlign w:val="center"/>
          </w:tcPr>
          <w:p w14:paraId="565D1DD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color w:val="000000"/>
                <w:sz w:val="24"/>
                <w:highlight w:val="none"/>
                <w:lang w:eastAsia="zh-CN"/>
              </w:rPr>
            </w:pPr>
            <w:r>
              <w:rPr>
                <w:rFonts w:hint="eastAsia" w:ascii="仿宋_GB2312" w:hAnsi="宋体" w:eastAsia="仿宋_GB2312" w:cs="仿宋_GB2312"/>
                <w:color w:val="000000"/>
                <w:kern w:val="0"/>
                <w:sz w:val="24"/>
                <w:highlight w:val="none"/>
                <w:lang w:val="en-US" w:eastAsia="zh-CN" w:bidi="ar"/>
              </w:rPr>
              <w:t>7</w:t>
            </w:r>
          </w:p>
        </w:tc>
        <w:tc>
          <w:tcPr>
            <w:tcW w:w="0" w:type="auto"/>
            <w:noWrap w:val="0"/>
            <w:vAlign w:val="center"/>
          </w:tcPr>
          <w:p w14:paraId="1D7A6F30">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梳理数据需求</w:t>
            </w:r>
          </w:p>
        </w:tc>
        <w:tc>
          <w:tcPr>
            <w:tcW w:w="0" w:type="auto"/>
            <w:noWrap w:val="0"/>
            <w:vAlign w:val="center"/>
          </w:tcPr>
          <w:p w14:paraId="29944962">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结合非现场监管对象特征和风险点，筛选与非现场监管业务具有强关联的数据需求。</w:t>
            </w:r>
          </w:p>
        </w:tc>
        <w:tc>
          <w:tcPr>
            <w:tcW w:w="2043" w:type="dxa"/>
            <w:noWrap w:val="0"/>
            <w:vAlign w:val="center"/>
          </w:tcPr>
          <w:p w14:paraId="6E9937F0">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color w:val="000000"/>
                <w:sz w:val="24"/>
                <w:highlight w:val="none"/>
              </w:rPr>
            </w:pPr>
            <w:r>
              <w:rPr>
                <w:rFonts w:hint="default" w:ascii="仿宋_GB2312" w:hAnsi="宋体" w:eastAsia="仿宋_GB2312" w:cs="仿宋_GB2312"/>
                <w:color w:val="000000"/>
                <w:kern w:val="0"/>
                <w:sz w:val="24"/>
                <w:highlight w:val="none"/>
                <w:lang w:val="en" w:eastAsia="zh-CN" w:bidi="ar"/>
              </w:rPr>
              <w:t>医政处、爱卫处、基层处、应急处、科教处、药械处、妇幼处、人口家庭处、</w:t>
            </w:r>
            <w:r>
              <w:rPr>
                <w:rFonts w:hint="eastAsia" w:ascii="仿宋_GB2312" w:hAnsi="宋体" w:eastAsia="仿宋_GB2312" w:cs="仿宋_GB2312"/>
                <w:color w:val="000000"/>
                <w:kern w:val="0"/>
                <w:sz w:val="24"/>
                <w:highlight w:val="none"/>
                <w:lang w:val="en" w:eastAsia="zh-CN" w:bidi="ar"/>
              </w:rPr>
              <w:t>执法处、</w:t>
            </w:r>
            <w:r>
              <w:rPr>
                <w:rFonts w:hint="default" w:ascii="仿宋_GB2312" w:hAnsi="宋体" w:eastAsia="仿宋_GB2312" w:cs="仿宋_GB2312"/>
                <w:color w:val="000000"/>
                <w:kern w:val="0"/>
                <w:sz w:val="24"/>
                <w:highlight w:val="none"/>
                <w:lang w:val="en" w:eastAsia="zh-CN" w:bidi="ar"/>
              </w:rPr>
              <w:t>安保处</w:t>
            </w:r>
            <w:r>
              <w:rPr>
                <w:rFonts w:hint="eastAsia" w:ascii="仿宋_GB2312" w:hAnsi="宋体" w:eastAsia="仿宋_GB2312" w:cs="仿宋_GB2312"/>
                <w:color w:val="000000"/>
                <w:kern w:val="0"/>
                <w:sz w:val="24"/>
                <w:highlight w:val="none"/>
                <w:lang w:bidi="ar"/>
              </w:rPr>
              <w:t>（并列关系，排名不分先后）</w:t>
            </w:r>
          </w:p>
        </w:tc>
        <w:tc>
          <w:tcPr>
            <w:tcW w:w="1946" w:type="dxa"/>
            <w:noWrap w:val="0"/>
            <w:vAlign w:val="center"/>
          </w:tcPr>
          <w:p w14:paraId="3A69613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2024年8月</w:t>
            </w:r>
          </w:p>
        </w:tc>
      </w:tr>
      <w:tr w14:paraId="2A9314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16" w:hRule="atLeast"/>
        </w:trPr>
        <w:tc>
          <w:tcPr>
            <w:tcW w:w="0" w:type="auto"/>
            <w:noWrap w:val="0"/>
            <w:vAlign w:val="center"/>
          </w:tcPr>
          <w:p w14:paraId="36F57F9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color w:val="000000"/>
                <w:sz w:val="24"/>
                <w:highlight w:val="none"/>
                <w:lang w:eastAsia="zh-CN"/>
              </w:rPr>
            </w:pPr>
            <w:r>
              <w:rPr>
                <w:rFonts w:hint="eastAsia" w:ascii="仿宋_GB2312" w:hAnsi="宋体" w:eastAsia="仿宋_GB2312" w:cs="仿宋_GB2312"/>
                <w:color w:val="000000"/>
                <w:kern w:val="0"/>
                <w:sz w:val="24"/>
                <w:highlight w:val="none"/>
                <w:lang w:val="en-US" w:eastAsia="zh-CN" w:bidi="ar"/>
              </w:rPr>
              <w:t>8</w:t>
            </w:r>
          </w:p>
        </w:tc>
        <w:tc>
          <w:tcPr>
            <w:tcW w:w="0" w:type="auto"/>
            <w:noWrap w:val="0"/>
            <w:vAlign w:val="center"/>
          </w:tcPr>
          <w:p w14:paraId="65A954DB">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梳理数据资源</w:t>
            </w:r>
          </w:p>
        </w:tc>
        <w:tc>
          <w:tcPr>
            <w:tcW w:w="0" w:type="auto"/>
            <w:noWrap w:val="0"/>
            <w:vAlign w:val="center"/>
          </w:tcPr>
          <w:p w14:paraId="5DFDD508">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结合数据需求，梳理委内各信息系统主要功能和数据资源，明确数据库表信息、数据字段信息和数据质量等情况，筛选可用于非现场监管的数据信息</w:t>
            </w:r>
            <w:r>
              <w:rPr>
                <w:rFonts w:hint="eastAsia" w:ascii="仿宋_GB2312" w:hAnsi="宋体" w:eastAsia="仿宋_GB2312" w:cs="仿宋_GB2312"/>
                <w:color w:val="000000"/>
                <w:kern w:val="0"/>
                <w:sz w:val="24"/>
                <w:highlight w:val="none"/>
                <w:lang w:eastAsia="zh-CN" w:bidi="ar"/>
              </w:rPr>
              <w:t>，对于能够通过委内处室间共享获得的数据，优先通过委内共享解决</w:t>
            </w:r>
            <w:r>
              <w:rPr>
                <w:rFonts w:hint="eastAsia" w:ascii="仿宋_GB2312" w:hAnsi="宋体" w:eastAsia="仿宋_GB2312" w:cs="仿宋_GB2312"/>
                <w:color w:val="000000"/>
                <w:kern w:val="0"/>
                <w:sz w:val="24"/>
                <w:highlight w:val="none"/>
                <w:lang w:bidi="ar"/>
              </w:rPr>
              <w:t>；梳理需要其他部门共享的数据和感知设备资</w:t>
            </w:r>
            <w:r>
              <w:rPr>
                <w:rFonts w:hint="eastAsia" w:ascii="仿宋_GB2312" w:hAnsi="宋体" w:eastAsia="仿宋_GB2312" w:cs="仿宋_GB2312"/>
                <w:color w:val="000000"/>
                <w:kern w:val="0"/>
                <w:sz w:val="24"/>
                <w:highlight w:val="none"/>
                <w:lang w:eastAsia="zh-CN" w:bidi="ar"/>
              </w:rPr>
              <w:t>源</w:t>
            </w:r>
            <w:r>
              <w:rPr>
                <w:rFonts w:hint="eastAsia" w:ascii="仿宋_GB2312" w:hAnsi="宋体" w:eastAsia="仿宋_GB2312" w:cs="仿宋_GB2312"/>
                <w:color w:val="000000"/>
                <w:kern w:val="0"/>
                <w:sz w:val="24"/>
                <w:highlight w:val="none"/>
                <w:lang w:bidi="ar"/>
              </w:rPr>
              <w:t>，细化所需数据和感知设备的类型、来源、对接方式等。以市大数据平台为主要路径，及时获取汇聚共享数据。</w:t>
            </w:r>
          </w:p>
        </w:tc>
        <w:tc>
          <w:tcPr>
            <w:tcW w:w="2043" w:type="dxa"/>
            <w:noWrap w:val="0"/>
            <w:vAlign w:val="center"/>
          </w:tcPr>
          <w:p w14:paraId="278519B1">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color w:val="000000"/>
                <w:sz w:val="24"/>
                <w:highlight w:val="none"/>
              </w:rPr>
            </w:pPr>
            <w:r>
              <w:rPr>
                <w:rFonts w:hint="default" w:ascii="仿宋_GB2312" w:hAnsi="宋体" w:eastAsia="仿宋_GB2312" w:cs="仿宋_GB2312"/>
                <w:color w:val="000000"/>
                <w:kern w:val="0"/>
                <w:sz w:val="24"/>
                <w:highlight w:val="none"/>
                <w:lang w:val="en" w:eastAsia="zh-CN" w:bidi="ar"/>
              </w:rPr>
              <w:t>医政处、爱卫处、基层处、应急处、科教处、药械处、妇幼处、人口家庭处、</w:t>
            </w:r>
            <w:r>
              <w:rPr>
                <w:rFonts w:hint="eastAsia" w:ascii="仿宋_GB2312" w:hAnsi="宋体" w:eastAsia="仿宋_GB2312" w:cs="仿宋_GB2312"/>
                <w:color w:val="000000"/>
                <w:kern w:val="0"/>
                <w:sz w:val="24"/>
                <w:highlight w:val="none"/>
                <w:lang w:val="en" w:eastAsia="zh-CN" w:bidi="ar"/>
              </w:rPr>
              <w:t>执法处、</w:t>
            </w:r>
            <w:r>
              <w:rPr>
                <w:rFonts w:hint="default" w:ascii="仿宋_GB2312" w:hAnsi="宋体" w:eastAsia="仿宋_GB2312" w:cs="仿宋_GB2312"/>
                <w:color w:val="000000"/>
                <w:kern w:val="0"/>
                <w:sz w:val="24"/>
                <w:highlight w:val="none"/>
                <w:lang w:val="en" w:eastAsia="zh-CN" w:bidi="ar"/>
              </w:rPr>
              <w:t>安保处</w:t>
            </w:r>
            <w:r>
              <w:rPr>
                <w:rFonts w:hint="eastAsia" w:ascii="仿宋_GB2312" w:hAnsi="宋体" w:eastAsia="仿宋_GB2312" w:cs="仿宋_GB2312"/>
                <w:color w:val="000000"/>
                <w:kern w:val="0"/>
                <w:sz w:val="24"/>
                <w:highlight w:val="none"/>
                <w:lang w:bidi="ar"/>
              </w:rPr>
              <w:t>分别梳理，信息处、大数据政研中心做好技术支持</w:t>
            </w:r>
          </w:p>
        </w:tc>
        <w:tc>
          <w:tcPr>
            <w:tcW w:w="1946" w:type="dxa"/>
            <w:noWrap w:val="0"/>
            <w:vAlign w:val="center"/>
          </w:tcPr>
          <w:p w14:paraId="76EBCAE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2024年8月</w:t>
            </w:r>
          </w:p>
        </w:tc>
      </w:tr>
      <w:tr w14:paraId="2BD4F6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42" w:hRule="atLeast"/>
        </w:trPr>
        <w:tc>
          <w:tcPr>
            <w:tcW w:w="0" w:type="auto"/>
            <w:noWrap w:val="0"/>
            <w:vAlign w:val="center"/>
          </w:tcPr>
          <w:p w14:paraId="33368CE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color w:val="000000"/>
                <w:sz w:val="24"/>
                <w:highlight w:val="none"/>
                <w:lang w:eastAsia="zh-CN"/>
              </w:rPr>
            </w:pPr>
            <w:r>
              <w:rPr>
                <w:rFonts w:hint="eastAsia" w:ascii="仿宋_GB2312" w:hAnsi="宋体" w:eastAsia="仿宋_GB2312" w:cs="仿宋_GB2312"/>
                <w:color w:val="000000"/>
                <w:kern w:val="0"/>
                <w:sz w:val="24"/>
                <w:highlight w:val="none"/>
                <w:lang w:val="en-US" w:eastAsia="zh-CN" w:bidi="ar"/>
              </w:rPr>
              <w:t>9</w:t>
            </w:r>
          </w:p>
        </w:tc>
        <w:tc>
          <w:tcPr>
            <w:tcW w:w="0" w:type="auto"/>
            <w:noWrap w:val="0"/>
            <w:vAlign w:val="center"/>
          </w:tcPr>
          <w:p w14:paraId="2CBDAC81">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构建数据分析模型</w:t>
            </w:r>
          </w:p>
        </w:tc>
        <w:tc>
          <w:tcPr>
            <w:tcW w:w="0" w:type="auto"/>
            <w:noWrap w:val="0"/>
            <w:vAlign w:val="center"/>
          </w:tcPr>
          <w:p w14:paraId="01388C14">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color w:val="000000"/>
                <w:sz w:val="24"/>
                <w:highlight w:val="none"/>
              </w:rPr>
            </w:pPr>
            <w:r>
              <w:rPr>
                <w:rFonts w:hint="eastAsia" w:ascii="仿宋_GB2312" w:hAnsi="宋体" w:eastAsia="仿宋_GB2312" w:cs="仿宋_GB2312"/>
                <w:color w:val="000000"/>
                <w:sz w:val="24"/>
                <w:highlight w:val="none"/>
              </w:rPr>
              <w:t>结合监管行业领域实际，研究制定图像识别、大数据筛查、指标分析等模型，明确对监管对象进行行为实时捕捉、风险分级分类、甄别预警及自动转化违法线索的技术需求，构建数据分析模型，形成技术需求方案。</w:t>
            </w:r>
          </w:p>
        </w:tc>
        <w:tc>
          <w:tcPr>
            <w:tcW w:w="2043" w:type="dxa"/>
            <w:noWrap w:val="0"/>
            <w:vAlign w:val="center"/>
          </w:tcPr>
          <w:p w14:paraId="1793CE9D">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color w:val="000000"/>
                <w:sz w:val="24"/>
                <w:highlight w:val="none"/>
              </w:rPr>
            </w:pPr>
            <w:r>
              <w:rPr>
                <w:rFonts w:hint="default" w:ascii="仿宋_GB2312" w:hAnsi="宋体" w:eastAsia="仿宋_GB2312" w:cs="仿宋_GB2312"/>
                <w:color w:val="000000"/>
                <w:kern w:val="0"/>
                <w:sz w:val="24"/>
                <w:highlight w:val="none"/>
                <w:lang w:val="en" w:eastAsia="zh-CN" w:bidi="ar"/>
              </w:rPr>
              <w:t>医政处、爱卫处、基层处、应急处、科教处、药械处、妇幼处、人口家庭处、安保处</w:t>
            </w:r>
            <w:r>
              <w:rPr>
                <w:rFonts w:hint="eastAsia" w:ascii="仿宋_GB2312" w:hAnsi="宋体" w:eastAsia="仿宋_GB2312" w:cs="仿宋_GB2312"/>
                <w:color w:val="000000"/>
                <w:kern w:val="0"/>
                <w:sz w:val="24"/>
                <w:highlight w:val="none"/>
                <w:lang w:bidi="ar"/>
              </w:rPr>
              <w:t>（并列关系，排名不分先后）</w:t>
            </w:r>
          </w:p>
        </w:tc>
        <w:tc>
          <w:tcPr>
            <w:tcW w:w="1946" w:type="dxa"/>
            <w:noWrap w:val="0"/>
            <w:vAlign w:val="center"/>
          </w:tcPr>
          <w:p w14:paraId="3A90FEA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2024年8月</w:t>
            </w:r>
          </w:p>
        </w:tc>
      </w:tr>
      <w:tr w14:paraId="76BBB7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90" w:hRule="atLeast"/>
        </w:trPr>
        <w:tc>
          <w:tcPr>
            <w:tcW w:w="0" w:type="auto"/>
            <w:noWrap w:val="0"/>
            <w:vAlign w:val="center"/>
          </w:tcPr>
          <w:p w14:paraId="5170CCD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仿宋_GB2312" w:hAnsi="宋体" w:eastAsia="仿宋_GB2312" w:cs="仿宋_GB2312"/>
                <w:color w:val="000000"/>
                <w:sz w:val="24"/>
                <w:highlight w:val="none"/>
                <w:lang w:val="en-US" w:eastAsia="zh-CN"/>
              </w:rPr>
            </w:pPr>
            <w:r>
              <w:rPr>
                <w:rFonts w:hint="eastAsia" w:ascii="仿宋_GB2312" w:hAnsi="宋体" w:eastAsia="仿宋_GB2312" w:cs="仿宋_GB2312"/>
                <w:color w:val="000000"/>
                <w:kern w:val="0"/>
                <w:sz w:val="24"/>
                <w:highlight w:val="none"/>
                <w:lang w:val="en-US" w:eastAsia="zh-CN" w:bidi="ar"/>
              </w:rPr>
              <w:t>10</w:t>
            </w:r>
          </w:p>
        </w:tc>
        <w:tc>
          <w:tcPr>
            <w:tcW w:w="0" w:type="auto"/>
            <w:noWrap w:val="0"/>
            <w:vAlign w:val="center"/>
          </w:tcPr>
          <w:p w14:paraId="5D2D9D1A">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探索实施非现场监管</w:t>
            </w:r>
          </w:p>
        </w:tc>
        <w:tc>
          <w:tcPr>
            <w:tcW w:w="0" w:type="auto"/>
            <w:noWrap w:val="0"/>
            <w:vAlign w:val="center"/>
          </w:tcPr>
          <w:p w14:paraId="5C920999">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color w:val="000000"/>
                <w:sz w:val="24"/>
                <w:highlight w:val="none"/>
              </w:rPr>
            </w:pPr>
            <w:r>
              <w:rPr>
                <w:rFonts w:hint="eastAsia" w:ascii="仿宋_GB2312" w:hAnsi="宋体" w:eastAsia="仿宋_GB2312" w:cs="仿宋_GB2312"/>
                <w:color w:val="000000"/>
                <w:sz w:val="24"/>
                <w:highlight w:val="none"/>
                <w:lang w:val="en"/>
              </w:rPr>
              <w:t>参照八种非现场监管方式，通过对监测指标或模型进行数据分析评估，锁定高风险点位和重点监管对象，实现非现场监管的行业领域全覆盖。</w:t>
            </w:r>
          </w:p>
        </w:tc>
        <w:tc>
          <w:tcPr>
            <w:tcW w:w="2043" w:type="dxa"/>
            <w:noWrap w:val="0"/>
            <w:vAlign w:val="center"/>
          </w:tcPr>
          <w:p w14:paraId="480E0ED6">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val="en" w:eastAsia="zh-CN" w:bidi="ar"/>
              </w:rPr>
              <w:t>执法处牵头，</w:t>
            </w:r>
            <w:r>
              <w:rPr>
                <w:rFonts w:hint="default" w:ascii="仿宋_GB2312" w:hAnsi="宋体" w:eastAsia="仿宋_GB2312" w:cs="仿宋_GB2312"/>
                <w:color w:val="000000"/>
                <w:kern w:val="0"/>
                <w:sz w:val="24"/>
                <w:highlight w:val="none"/>
                <w:lang w:val="en" w:eastAsia="zh-CN" w:bidi="ar"/>
              </w:rPr>
              <w:t>医政处、爱卫处、基层处、应急处、科教处、药械处、妇幼处、人口家庭处、安保处</w:t>
            </w:r>
            <w:r>
              <w:rPr>
                <w:rFonts w:hint="eastAsia" w:ascii="仿宋_GB2312" w:hAnsi="宋体" w:eastAsia="仿宋_GB2312" w:cs="仿宋_GB2312"/>
                <w:color w:val="000000"/>
                <w:kern w:val="0"/>
                <w:sz w:val="24"/>
                <w:highlight w:val="none"/>
                <w:lang w:bidi="ar"/>
              </w:rPr>
              <w:t>（并列关系，排名不分先后）</w:t>
            </w:r>
          </w:p>
        </w:tc>
        <w:tc>
          <w:tcPr>
            <w:tcW w:w="1946" w:type="dxa"/>
            <w:noWrap w:val="0"/>
            <w:vAlign w:val="center"/>
          </w:tcPr>
          <w:p w14:paraId="77140AA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2024年</w:t>
            </w:r>
            <w:r>
              <w:rPr>
                <w:rFonts w:hint="eastAsia" w:ascii="仿宋_GB2312" w:hAnsi="宋体" w:eastAsia="仿宋_GB2312" w:cs="仿宋_GB2312"/>
                <w:color w:val="000000"/>
                <w:kern w:val="0"/>
                <w:sz w:val="24"/>
                <w:highlight w:val="none"/>
                <w:lang w:val="en-US" w:eastAsia="zh-CN" w:bidi="ar"/>
              </w:rPr>
              <w:t>9</w:t>
            </w:r>
            <w:r>
              <w:rPr>
                <w:rFonts w:hint="eastAsia" w:ascii="仿宋_GB2312" w:hAnsi="宋体" w:eastAsia="仿宋_GB2312" w:cs="仿宋_GB2312"/>
                <w:color w:val="000000"/>
                <w:kern w:val="0"/>
                <w:sz w:val="24"/>
                <w:highlight w:val="none"/>
                <w:lang w:bidi="ar"/>
              </w:rPr>
              <w:t>月</w:t>
            </w:r>
          </w:p>
        </w:tc>
      </w:tr>
      <w:tr w14:paraId="038B4C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75" w:hRule="atLeast"/>
        </w:trPr>
        <w:tc>
          <w:tcPr>
            <w:tcW w:w="0" w:type="auto"/>
            <w:noWrap w:val="0"/>
            <w:vAlign w:val="center"/>
          </w:tcPr>
          <w:p w14:paraId="19DE333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仿宋_GB2312" w:hAnsi="宋体" w:eastAsia="仿宋_GB2312" w:cs="仿宋_GB2312"/>
                <w:color w:val="000000"/>
                <w:sz w:val="24"/>
                <w:highlight w:val="none"/>
                <w:lang w:val="en-US" w:eastAsia="zh-CN"/>
              </w:rPr>
            </w:pPr>
            <w:r>
              <w:rPr>
                <w:rFonts w:hint="eastAsia" w:ascii="仿宋_GB2312" w:hAnsi="宋体" w:eastAsia="仿宋_GB2312" w:cs="仿宋_GB2312"/>
                <w:color w:val="000000"/>
                <w:kern w:val="0"/>
                <w:sz w:val="24"/>
                <w:highlight w:val="none"/>
                <w:lang w:val="en-US" w:eastAsia="zh-CN" w:bidi="ar"/>
              </w:rPr>
              <w:t>11</w:t>
            </w:r>
          </w:p>
        </w:tc>
        <w:tc>
          <w:tcPr>
            <w:tcW w:w="0" w:type="auto"/>
            <w:noWrap w:val="0"/>
            <w:vAlign w:val="center"/>
          </w:tcPr>
          <w:p w14:paraId="5A641EB7">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完善监管执法衔接</w:t>
            </w:r>
          </w:p>
        </w:tc>
        <w:tc>
          <w:tcPr>
            <w:tcW w:w="0" w:type="auto"/>
            <w:noWrap w:val="0"/>
            <w:vAlign w:val="center"/>
          </w:tcPr>
          <w:p w14:paraId="09704B56">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color w:val="000000"/>
                <w:sz w:val="24"/>
                <w:highlight w:val="none"/>
              </w:rPr>
            </w:pPr>
            <w:r>
              <w:rPr>
                <w:rFonts w:hint="eastAsia" w:ascii="仿宋_GB2312" w:hAnsi="宋体" w:eastAsia="仿宋_GB2312" w:cs="仿宋_GB2312"/>
                <w:color w:val="000000"/>
                <w:sz w:val="24"/>
                <w:highlight w:val="none"/>
              </w:rPr>
              <w:t>通过非现场监管方式提升对监管对象的分级分类监管效率，对风险高的监管对象形成有针对性的日常检查工单，派发至执法部门开展现场检查；对通过非现场监管方式发现的违法行为、预警风险点位，形成有针对性的违法线索核查工单，派发至执法部门进行立案调查。通过非现场监管与现场执法检查相结合的方式消除风险隐患，推动实现精准执法，最大程度减少无效检查。</w:t>
            </w:r>
          </w:p>
        </w:tc>
        <w:tc>
          <w:tcPr>
            <w:tcW w:w="2043" w:type="dxa"/>
            <w:noWrap w:val="0"/>
            <w:vAlign w:val="center"/>
          </w:tcPr>
          <w:p w14:paraId="17709521">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执法处</w:t>
            </w:r>
            <w:r>
              <w:rPr>
                <w:rFonts w:hint="eastAsia" w:ascii="仿宋_GB2312" w:hAnsi="宋体" w:eastAsia="仿宋_GB2312" w:cs="仿宋_GB2312"/>
                <w:color w:val="000000"/>
                <w:kern w:val="0"/>
                <w:sz w:val="24"/>
                <w:highlight w:val="none"/>
                <w:lang w:val="en-US" w:eastAsia="zh-CN" w:bidi="ar"/>
              </w:rPr>
              <w:t>牵头，</w:t>
            </w:r>
            <w:r>
              <w:rPr>
                <w:rFonts w:hint="default" w:ascii="仿宋_GB2312" w:hAnsi="宋体" w:eastAsia="仿宋_GB2312" w:cs="仿宋_GB2312"/>
                <w:color w:val="000000"/>
                <w:kern w:val="0"/>
                <w:sz w:val="24"/>
                <w:highlight w:val="none"/>
                <w:lang w:val="en" w:eastAsia="zh-CN" w:bidi="ar"/>
              </w:rPr>
              <w:t>医政处、爱卫处、基层处、应急处、科教处、药械处、妇幼处、人口家庭处、安保处</w:t>
            </w:r>
            <w:r>
              <w:rPr>
                <w:rFonts w:hint="eastAsia" w:ascii="仿宋_GB2312" w:hAnsi="宋体" w:eastAsia="仿宋_GB2312" w:cs="仿宋_GB2312"/>
                <w:color w:val="000000"/>
                <w:kern w:val="0"/>
                <w:sz w:val="24"/>
                <w:highlight w:val="none"/>
                <w:lang w:bidi="ar"/>
              </w:rPr>
              <w:t>（并列关系，排名不分先后）</w:t>
            </w:r>
          </w:p>
        </w:tc>
        <w:tc>
          <w:tcPr>
            <w:tcW w:w="1946" w:type="dxa"/>
            <w:noWrap w:val="0"/>
            <w:vAlign w:val="center"/>
          </w:tcPr>
          <w:p w14:paraId="7B8EA73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2024年9月</w:t>
            </w:r>
          </w:p>
        </w:tc>
      </w:tr>
      <w:tr w14:paraId="37FA2A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0" w:hRule="atLeast"/>
        </w:trPr>
        <w:tc>
          <w:tcPr>
            <w:tcW w:w="0" w:type="auto"/>
            <w:gridSpan w:val="5"/>
            <w:noWrap w:val="0"/>
            <w:vAlign w:val="center"/>
          </w:tcPr>
          <w:p w14:paraId="0EE51189">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黑体" w:hAnsi="宋体" w:eastAsia="黑体" w:cs="黑体"/>
                <w:color w:val="000000"/>
                <w:sz w:val="32"/>
                <w:szCs w:val="32"/>
                <w:highlight w:val="none"/>
              </w:rPr>
            </w:pPr>
            <w:r>
              <w:rPr>
                <w:rFonts w:hint="eastAsia" w:ascii="黑体" w:hAnsi="宋体" w:eastAsia="黑体" w:cs="黑体"/>
                <w:color w:val="000000"/>
                <w:kern w:val="0"/>
                <w:sz w:val="32"/>
                <w:szCs w:val="32"/>
                <w:highlight w:val="none"/>
                <w:lang w:bidi="ar"/>
              </w:rPr>
              <w:t>三、系统改进阶段（2024年10月至12月）</w:t>
            </w:r>
          </w:p>
        </w:tc>
      </w:tr>
      <w:tr w14:paraId="15D6CB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10" w:hRule="atLeast"/>
        </w:trPr>
        <w:tc>
          <w:tcPr>
            <w:tcW w:w="0" w:type="auto"/>
            <w:noWrap w:val="0"/>
            <w:vAlign w:val="center"/>
          </w:tcPr>
          <w:p w14:paraId="7A3E928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仿宋_GB2312" w:hAnsi="宋体" w:eastAsia="仿宋_GB2312" w:cs="仿宋_GB2312"/>
                <w:color w:val="000000"/>
                <w:sz w:val="24"/>
                <w:highlight w:val="none"/>
                <w:lang w:val="en-US" w:eastAsia="zh-CN"/>
              </w:rPr>
            </w:pPr>
            <w:r>
              <w:rPr>
                <w:rFonts w:hint="eastAsia" w:ascii="仿宋_GB2312" w:hAnsi="宋体" w:eastAsia="仿宋_GB2312" w:cs="仿宋_GB2312"/>
                <w:color w:val="000000"/>
                <w:kern w:val="0"/>
                <w:sz w:val="24"/>
                <w:highlight w:val="none"/>
                <w:lang w:val="en-US" w:eastAsia="zh-CN" w:bidi="ar"/>
              </w:rPr>
              <w:t>12</w:t>
            </w:r>
          </w:p>
        </w:tc>
        <w:tc>
          <w:tcPr>
            <w:tcW w:w="0" w:type="auto"/>
            <w:noWrap w:val="0"/>
            <w:vAlign w:val="center"/>
          </w:tcPr>
          <w:p w14:paraId="0C4E09AD">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研究信息化系统</w:t>
            </w:r>
            <w:r>
              <w:rPr>
                <w:rFonts w:hint="eastAsia" w:ascii="仿宋_GB2312" w:hAnsi="宋体" w:eastAsia="仿宋_GB2312" w:cs="仿宋_GB2312"/>
                <w:color w:val="000000"/>
                <w:kern w:val="0"/>
                <w:sz w:val="24"/>
                <w:highlight w:val="none"/>
                <w:lang w:eastAsia="zh-CN" w:bidi="ar"/>
              </w:rPr>
              <w:t>功能</w:t>
            </w:r>
            <w:r>
              <w:rPr>
                <w:rFonts w:hint="eastAsia" w:ascii="仿宋_GB2312" w:hAnsi="宋体" w:eastAsia="仿宋_GB2312" w:cs="仿宋_GB2312"/>
                <w:color w:val="000000"/>
                <w:kern w:val="0"/>
                <w:sz w:val="24"/>
                <w:highlight w:val="none"/>
                <w:lang w:bidi="ar"/>
              </w:rPr>
              <w:t>需求</w:t>
            </w:r>
          </w:p>
        </w:tc>
        <w:tc>
          <w:tcPr>
            <w:tcW w:w="0" w:type="auto"/>
            <w:noWrap w:val="0"/>
            <w:vAlign w:val="center"/>
          </w:tcPr>
          <w:p w14:paraId="059AD3C3">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统筹考虑应用非现场监管方式对现有信息系统的应用对象、应用范围、功能设计、系统对接、数据资源结构等方面的升级改造需求。</w:t>
            </w:r>
          </w:p>
        </w:tc>
        <w:tc>
          <w:tcPr>
            <w:tcW w:w="2043" w:type="dxa"/>
            <w:noWrap w:val="0"/>
            <w:vAlign w:val="center"/>
          </w:tcPr>
          <w:p w14:paraId="01F622B5">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color w:val="000000"/>
                <w:sz w:val="24"/>
                <w:highlight w:val="none"/>
              </w:rPr>
            </w:pPr>
            <w:r>
              <w:rPr>
                <w:rFonts w:hint="default" w:ascii="仿宋_GB2312" w:hAnsi="宋体" w:eastAsia="仿宋_GB2312" w:cs="仿宋_GB2312"/>
                <w:color w:val="000000"/>
                <w:kern w:val="0"/>
                <w:sz w:val="24"/>
                <w:highlight w:val="none"/>
                <w:lang w:val="en" w:eastAsia="zh-CN" w:bidi="ar"/>
              </w:rPr>
              <w:t>医政处、爱卫处、基层处、应急处、科教处、药械处、妇幼处、人口家庭处、</w:t>
            </w:r>
            <w:r>
              <w:rPr>
                <w:rFonts w:hint="eastAsia" w:ascii="仿宋_GB2312" w:hAnsi="宋体" w:eastAsia="仿宋_GB2312" w:cs="仿宋_GB2312"/>
                <w:color w:val="000000"/>
                <w:kern w:val="0"/>
                <w:sz w:val="24"/>
                <w:highlight w:val="none"/>
                <w:lang w:val="en" w:eastAsia="zh-CN" w:bidi="ar"/>
              </w:rPr>
              <w:t>执法处、</w:t>
            </w:r>
            <w:r>
              <w:rPr>
                <w:rFonts w:hint="default" w:ascii="仿宋_GB2312" w:hAnsi="宋体" w:eastAsia="仿宋_GB2312" w:cs="仿宋_GB2312"/>
                <w:color w:val="000000"/>
                <w:kern w:val="0"/>
                <w:sz w:val="24"/>
                <w:highlight w:val="none"/>
                <w:lang w:val="en" w:eastAsia="zh-CN" w:bidi="ar"/>
              </w:rPr>
              <w:t>安保处</w:t>
            </w:r>
            <w:r>
              <w:rPr>
                <w:rFonts w:hint="eastAsia" w:ascii="仿宋_GB2312" w:hAnsi="宋体" w:eastAsia="仿宋_GB2312" w:cs="仿宋_GB2312"/>
                <w:color w:val="000000"/>
                <w:kern w:val="0"/>
                <w:sz w:val="24"/>
                <w:highlight w:val="none"/>
                <w:lang w:bidi="ar"/>
              </w:rPr>
              <w:t>分别梳理，信息处、大数据政研中心做好技术支持</w:t>
            </w:r>
          </w:p>
        </w:tc>
        <w:tc>
          <w:tcPr>
            <w:tcW w:w="1946" w:type="dxa"/>
            <w:noWrap w:val="0"/>
            <w:vAlign w:val="center"/>
          </w:tcPr>
          <w:p w14:paraId="083BD9A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2024年10月</w:t>
            </w:r>
          </w:p>
        </w:tc>
      </w:tr>
      <w:tr w14:paraId="2F0D7A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25" w:hRule="atLeast"/>
        </w:trPr>
        <w:tc>
          <w:tcPr>
            <w:tcW w:w="0" w:type="auto"/>
            <w:noWrap w:val="0"/>
            <w:vAlign w:val="center"/>
          </w:tcPr>
          <w:p w14:paraId="6EB0A80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仿宋_GB2312" w:hAnsi="宋体" w:eastAsia="仿宋_GB2312" w:cs="仿宋_GB2312"/>
                <w:color w:val="000000"/>
                <w:sz w:val="24"/>
                <w:highlight w:val="none"/>
                <w:lang w:val="en-US" w:eastAsia="zh-CN"/>
              </w:rPr>
            </w:pPr>
            <w:r>
              <w:rPr>
                <w:rFonts w:hint="eastAsia" w:ascii="仿宋_GB2312" w:hAnsi="宋体" w:eastAsia="仿宋_GB2312" w:cs="仿宋_GB2312"/>
                <w:color w:val="000000"/>
                <w:kern w:val="0"/>
                <w:sz w:val="24"/>
                <w:highlight w:val="none"/>
                <w:lang w:val="en-US" w:eastAsia="zh-CN" w:bidi="ar"/>
              </w:rPr>
              <w:t>13</w:t>
            </w:r>
          </w:p>
        </w:tc>
        <w:tc>
          <w:tcPr>
            <w:tcW w:w="0" w:type="auto"/>
            <w:noWrap w:val="0"/>
            <w:vAlign w:val="center"/>
          </w:tcPr>
          <w:p w14:paraId="0915B562">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升级委内信息化系统</w:t>
            </w:r>
          </w:p>
        </w:tc>
        <w:tc>
          <w:tcPr>
            <w:tcW w:w="0" w:type="auto"/>
            <w:noWrap w:val="0"/>
            <w:vAlign w:val="center"/>
          </w:tcPr>
          <w:p w14:paraId="15FE8CB5">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按照各行业处室所属行业领域非现场监管筛查比对规则，升级改造委内管理的信息系统，汇聚行业数据支撑非现场检查。</w:t>
            </w:r>
          </w:p>
        </w:tc>
        <w:tc>
          <w:tcPr>
            <w:tcW w:w="2043" w:type="dxa"/>
            <w:noWrap w:val="0"/>
            <w:vAlign w:val="center"/>
          </w:tcPr>
          <w:p w14:paraId="7724EDC9">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color w:val="000000"/>
                <w:sz w:val="24"/>
                <w:highlight w:val="none"/>
              </w:rPr>
            </w:pPr>
            <w:r>
              <w:rPr>
                <w:rFonts w:hint="eastAsia" w:ascii="仿宋_GB2312" w:hAnsi="宋体" w:eastAsia="仿宋_GB2312" w:cs="仿宋_GB2312"/>
                <w:color w:val="000000"/>
                <w:sz w:val="24"/>
                <w:highlight w:val="none"/>
                <w:lang w:eastAsia="zh-CN"/>
              </w:rPr>
              <w:t>各行业处室分别负责，</w:t>
            </w:r>
            <w:r>
              <w:rPr>
                <w:rFonts w:hint="eastAsia" w:ascii="仿宋_GB2312" w:hAnsi="宋体" w:eastAsia="仿宋_GB2312" w:cs="仿宋_GB2312"/>
                <w:color w:val="000000"/>
                <w:sz w:val="24"/>
                <w:highlight w:val="none"/>
              </w:rPr>
              <w:t>信息处、大数据政研中心做好技术支持</w:t>
            </w:r>
          </w:p>
        </w:tc>
        <w:tc>
          <w:tcPr>
            <w:tcW w:w="1946" w:type="dxa"/>
            <w:noWrap w:val="0"/>
            <w:vAlign w:val="center"/>
          </w:tcPr>
          <w:p w14:paraId="2D4C220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2024年12月</w:t>
            </w:r>
          </w:p>
        </w:tc>
      </w:tr>
      <w:tr w14:paraId="5D158E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0" w:hRule="atLeast"/>
        </w:trPr>
        <w:tc>
          <w:tcPr>
            <w:tcW w:w="0" w:type="auto"/>
            <w:gridSpan w:val="5"/>
            <w:noWrap w:val="0"/>
            <w:vAlign w:val="center"/>
          </w:tcPr>
          <w:p w14:paraId="1B17BC78">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黑体" w:hAnsi="宋体" w:eastAsia="黑体" w:cs="黑体"/>
                <w:color w:val="000000"/>
                <w:sz w:val="32"/>
                <w:szCs w:val="32"/>
                <w:highlight w:val="none"/>
              </w:rPr>
            </w:pPr>
            <w:r>
              <w:rPr>
                <w:rFonts w:hint="eastAsia" w:ascii="黑体" w:hAnsi="宋体" w:eastAsia="黑体" w:cs="黑体"/>
                <w:color w:val="000000"/>
                <w:kern w:val="0"/>
                <w:sz w:val="32"/>
                <w:szCs w:val="32"/>
                <w:highlight w:val="none"/>
                <w:lang w:bidi="ar"/>
              </w:rPr>
              <w:t>四、巩固提高阶段（2025年1月-2026年12月）</w:t>
            </w:r>
          </w:p>
        </w:tc>
      </w:tr>
      <w:tr w14:paraId="0DA2EA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25" w:hRule="atLeast"/>
        </w:trPr>
        <w:tc>
          <w:tcPr>
            <w:tcW w:w="0" w:type="auto"/>
            <w:noWrap w:val="0"/>
            <w:vAlign w:val="center"/>
          </w:tcPr>
          <w:p w14:paraId="7EFDF93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仿宋_GB2312" w:hAnsi="宋体" w:eastAsia="仿宋_GB2312" w:cs="仿宋_GB2312"/>
                <w:color w:val="000000"/>
                <w:sz w:val="24"/>
                <w:highlight w:val="none"/>
                <w:lang w:val="en-US" w:eastAsia="zh-CN"/>
              </w:rPr>
            </w:pPr>
            <w:r>
              <w:rPr>
                <w:rFonts w:hint="eastAsia" w:ascii="仿宋_GB2312" w:hAnsi="宋体" w:eastAsia="仿宋_GB2312" w:cs="仿宋_GB2312"/>
                <w:color w:val="000000"/>
                <w:kern w:val="0"/>
                <w:sz w:val="24"/>
                <w:highlight w:val="none"/>
                <w:lang w:val="en-US" w:eastAsia="zh-CN" w:bidi="ar"/>
              </w:rPr>
              <w:t>14</w:t>
            </w:r>
          </w:p>
        </w:tc>
        <w:tc>
          <w:tcPr>
            <w:tcW w:w="0" w:type="auto"/>
            <w:noWrap w:val="0"/>
            <w:vAlign w:val="center"/>
          </w:tcPr>
          <w:p w14:paraId="06B0739F">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统筹数据信息共享应用</w:t>
            </w:r>
          </w:p>
        </w:tc>
        <w:tc>
          <w:tcPr>
            <w:tcW w:w="0" w:type="auto"/>
            <w:noWrap w:val="0"/>
            <w:vAlign w:val="center"/>
          </w:tcPr>
          <w:p w14:paraId="5DC9FA5F">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基于全市数据共享机制，配合市大数据平台上链工作安排，完善数据采集、治理机制，加强非现场监管数据汇聚及响应共享，为非现场监管实施提供支撑。</w:t>
            </w:r>
          </w:p>
        </w:tc>
        <w:tc>
          <w:tcPr>
            <w:tcW w:w="2043" w:type="dxa"/>
            <w:noWrap w:val="0"/>
            <w:vAlign w:val="center"/>
          </w:tcPr>
          <w:p w14:paraId="75FE6FCD">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信息处牵头，各行业处室、大数据政研中心配合</w:t>
            </w:r>
          </w:p>
        </w:tc>
        <w:tc>
          <w:tcPr>
            <w:tcW w:w="1946" w:type="dxa"/>
            <w:noWrap w:val="0"/>
            <w:vAlign w:val="center"/>
          </w:tcPr>
          <w:p w14:paraId="7040F22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2025年6月</w:t>
            </w:r>
          </w:p>
        </w:tc>
      </w:tr>
      <w:tr w14:paraId="22E7EE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115" w:hRule="atLeast"/>
        </w:trPr>
        <w:tc>
          <w:tcPr>
            <w:tcW w:w="0" w:type="auto"/>
            <w:noWrap w:val="0"/>
            <w:vAlign w:val="center"/>
          </w:tcPr>
          <w:p w14:paraId="5EEEE10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仿宋_GB2312" w:hAnsi="宋体" w:eastAsia="仿宋_GB2312" w:cs="仿宋_GB2312"/>
                <w:color w:val="000000"/>
                <w:sz w:val="24"/>
                <w:highlight w:val="none"/>
                <w:lang w:val="en-US" w:eastAsia="zh-CN"/>
              </w:rPr>
            </w:pPr>
            <w:r>
              <w:rPr>
                <w:rFonts w:hint="eastAsia" w:ascii="仿宋_GB2312" w:hAnsi="宋体" w:eastAsia="仿宋_GB2312" w:cs="仿宋_GB2312"/>
                <w:color w:val="000000"/>
                <w:kern w:val="0"/>
                <w:sz w:val="24"/>
                <w:highlight w:val="none"/>
                <w:lang w:val="en-US" w:eastAsia="zh-CN" w:bidi="ar"/>
              </w:rPr>
              <w:t>15</w:t>
            </w:r>
          </w:p>
        </w:tc>
        <w:tc>
          <w:tcPr>
            <w:tcW w:w="0" w:type="auto"/>
            <w:noWrap w:val="0"/>
            <w:vAlign w:val="center"/>
          </w:tcPr>
          <w:p w14:paraId="5D56FD28">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探索人工智能技术应用场景</w:t>
            </w:r>
          </w:p>
        </w:tc>
        <w:tc>
          <w:tcPr>
            <w:tcW w:w="0" w:type="auto"/>
            <w:noWrap w:val="0"/>
            <w:vAlign w:val="center"/>
          </w:tcPr>
          <w:p w14:paraId="4CA3EEF6">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color w:val="000000"/>
                <w:sz w:val="24"/>
                <w:highlight w:val="none"/>
              </w:rPr>
            </w:pPr>
          </w:p>
        </w:tc>
        <w:tc>
          <w:tcPr>
            <w:tcW w:w="2043" w:type="dxa"/>
            <w:noWrap w:val="0"/>
            <w:vAlign w:val="center"/>
          </w:tcPr>
          <w:p w14:paraId="04DBC546">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color w:val="000000"/>
                <w:sz w:val="24"/>
                <w:highlight w:val="none"/>
              </w:rPr>
            </w:pPr>
          </w:p>
        </w:tc>
        <w:tc>
          <w:tcPr>
            <w:tcW w:w="1946" w:type="dxa"/>
            <w:noWrap w:val="0"/>
            <w:vAlign w:val="center"/>
          </w:tcPr>
          <w:p w14:paraId="211BACC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2025年6月</w:t>
            </w:r>
          </w:p>
        </w:tc>
      </w:tr>
      <w:tr w14:paraId="14CE3F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90" w:hRule="atLeast"/>
        </w:trPr>
        <w:tc>
          <w:tcPr>
            <w:tcW w:w="0" w:type="auto"/>
            <w:noWrap w:val="0"/>
            <w:vAlign w:val="center"/>
          </w:tcPr>
          <w:p w14:paraId="2E0EF2D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color w:val="000000"/>
                <w:sz w:val="24"/>
                <w:highlight w:val="none"/>
                <w:lang w:eastAsia="zh-CN"/>
              </w:rPr>
            </w:pPr>
            <w:r>
              <w:rPr>
                <w:rFonts w:hint="eastAsia" w:ascii="仿宋_GB2312" w:hAnsi="宋体" w:eastAsia="仿宋_GB2312" w:cs="仿宋_GB2312"/>
                <w:color w:val="000000"/>
                <w:kern w:val="0"/>
                <w:sz w:val="24"/>
                <w:highlight w:val="none"/>
                <w:lang w:bidi="ar"/>
              </w:rPr>
              <w:t>1</w:t>
            </w:r>
            <w:r>
              <w:rPr>
                <w:rFonts w:hint="eastAsia" w:ascii="仿宋_GB2312" w:hAnsi="宋体" w:eastAsia="仿宋_GB2312" w:cs="仿宋_GB2312"/>
                <w:color w:val="000000"/>
                <w:kern w:val="0"/>
                <w:sz w:val="24"/>
                <w:highlight w:val="none"/>
                <w:lang w:val="en-US" w:eastAsia="zh-CN" w:bidi="ar"/>
              </w:rPr>
              <w:t>6</w:t>
            </w:r>
          </w:p>
        </w:tc>
        <w:tc>
          <w:tcPr>
            <w:tcW w:w="0" w:type="auto"/>
            <w:noWrap w:val="0"/>
            <w:vAlign w:val="center"/>
          </w:tcPr>
          <w:p w14:paraId="1E1402FD">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健全非现场监管制度</w:t>
            </w:r>
          </w:p>
        </w:tc>
        <w:tc>
          <w:tcPr>
            <w:tcW w:w="0" w:type="auto"/>
            <w:noWrap w:val="0"/>
            <w:vAlign w:val="center"/>
          </w:tcPr>
          <w:p w14:paraId="164015EF">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建立非现场监管工作制度，科学制定非现场监管工作流程、工作标准和工作指引等内容，逐步完善非现场监管规则体系。</w:t>
            </w:r>
          </w:p>
        </w:tc>
        <w:tc>
          <w:tcPr>
            <w:tcW w:w="2043" w:type="dxa"/>
            <w:noWrap w:val="0"/>
            <w:vAlign w:val="center"/>
          </w:tcPr>
          <w:p w14:paraId="6DB1C71A">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color w:val="000000"/>
                <w:kern w:val="2"/>
                <w:sz w:val="24"/>
                <w:szCs w:val="24"/>
                <w:highlight w:val="none"/>
                <w:lang w:val="en-US" w:eastAsia="zh-CN" w:bidi="ar-SA"/>
              </w:rPr>
            </w:pPr>
            <w:r>
              <w:rPr>
                <w:rFonts w:hint="eastAsia" w:ascii="仿宋_GB2312" w:hAnsi="宋体" w:eastAsia="仿宋_GB2312" w:cs="仿宋_GB2312"/>
                <w:color w:val="000000"/>
                <w:kern w:val="0"/>
                <w:sz w:val="24"/>
                <w:highlight w:val="none"/>
                <w:lang w:bidi="ar"/>
              </w:rPr>
              <w:t>结合非现场监管行业领域特点，探索标杆应用案例，依托市科委中关村管委会非现场监管政企供需对接平台，促进人工智能技术与非现场监管业务相结合，不断拓展人工智能技术在非现场监管中的应用广度和深度。</w:t>
            </w:r>
          </w:p>
        </w:tc>
        <w:tc>
          <w:tcPr>
            <w:tcW w:w="1946" w:type="dxa"/>
            <w:noWrap w:val="0"/>
            <w:vAlign w:val="center"/>
          </w:tcPr>
          <w:p w14:paraId="7DAAFF11">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color w:val="000000"/>
                <w:kern w:val="2"/>
                <w:sz w:val="24"/>
                <w:szCs w:val="24"/>
                <w:highlight w:val="none"/>
                <w:lang w:val="en-US" w:eastAsia="zh-CN" w:bidi="ar-SA"/>
              </w:rPr>
            </w:pPr>
            <w:r>
              <w:rPr>
                <w:rFonts w:hint="default" w:ascii="仿宋_GB2312" w:hAnsi="宋体" w:eastAsia="仿宋_GB2312" w:cs="仿宋_GB2312"/>
                <w:color w:val="000000"/>
                <w:kern w:val="0"/>
                <w:sz w:val="24"/>
                <w:highlight w:val="none"/>
                <w:lang w:val="en" w:eastAsia="zh-CN" w:bidi="ar"/>
              </w:rPr>
              <w:t>医政处、爱卫处、基层处、应急处、科教处、药械处、妇幼处、人口家庭处、</w:t>
            </w:r>
            <w:r>
              <w:rPr>
                <w:rFonts w:hint="eastAsia" w:ascii="仿宋_GB2312" w:hAnsi="宋体" w:eastAsia="仿宋_GB2312" w:cs="仿宋_GB2312"/>
                <w:color w:val="000000"/>
                <w:kern w:val="0"/>
                <w:sz w:val="24"/>
                <w:highlight w:val="none"/>
                <w:lang w:val="en" w:eastAsia="zh-CN" w:bidi="ar"/>
              </w:rPr>
              <w:t>执法处、</w:t>
            </w:r>
            <w:r>
              <w:rPr>
                <w:rFonts w:hint="default" w:ascii="仿宋_GB2312" w:hAnsi="宋体" w:eastAsia="仿宋_GB2312" w:cs="仿宋_GB2312"/>
                <w:color w:val="000000"/>
                <w:kern w:val="0"/>
                <w:sz w:val="24"/>
                <w:highlight w:val="none"/>
                <w:lang w:val="en" w:eastAsia="zh-CN" w:bidi="ar"/>
              </w:rPr>
              <w:t>安保处</w:t>
            </w:r>
            <w:r>
              <w:rPr>
                <w:rFonts w:hint="eastAsia" w:ascii="仿宋_GB2312" w:hAnsi="宋体" w:eastAsia="仿宋_GB2312" w:cs="仿宋_GB2312"/>
                <w:color w:val="000000"/>
                <w:kern w:val="0"/>
                <w:sz w:val="24"/>
                <w:highlight w:val="none"/>
                <w:lang w:bidi="ar"/>
              </w:rPr>
              <w:t>（并列关系，排名不分先后），信息处、大数据政研中心做好技术支持</w:t>
            </w:r>
          </w:p>
        </w:tc>
      </w:tr>
      <w:tr w14:paraId="0D6E02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29" w:hRule="atLeast"/>
        </w:trPr>
        <w:tc>
          <w:tcPr>
            <w:tcW w:w="0" w:type="auto"/>
            <w:noWrap w:val="0"/>
            <w:vAlign w:val="center"/>
          </w:tcPr>
          <w:p w14:paraId="1240E41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color w:val="000000"/>
                <w:sz w:val="24"/>
                <w:highlight w:val="none"/>
                <w:lang w:eastAsia="zh-CN"/>
              </w:rPr>
            </w:pPr>
            <w:r>
              <w:rPr>
                <w:rFonts w:hint="eastAsia" w:ascii="仿宋_GB2312" w:hAnsi="宋体" w:eastAsia="仿宋_GB2312" w:cs="仿宋_GB2312"/>
                <w:color w:val="000000"/>
                <w:kern w:val="0"/>
                <w:sz w:val="24"/>
                <w:highlight w:val="none"/>
                <w:lang w:bidi="ar"/>
              </w:rPr>
              <w:t>1</w:t>
            </w:r>
            <w:r>
              <w:rPr>
                <w:rFonts w:hint="eastAsia" w:ascii="仿宋_GB2312" w:hAnsi="宋体" w:eastAsia="仿宋_GB2312" w:cs="仿宋_GB2312"/>
                <w:color w:val="000000"/>
                <w:kern w:val="0"/>
                <w:sz w:val="24"/>
                <w:highlight w:val="none"/>
                <w:lang w:val="en-US" w:eastAsia="zh-CN" w:bidi="ar"/>
              </w:rPr>
              <w:t>7</w:t>
            </w:r>
          </w:p>
        </w:tc>
        <w:tc>
          <w:tcPr>
            <w:tcW w:w="0" w:type="auto"/>
            <w:noWrap w:val="0"/>
            <w:vAlign w:val="center"/>
          </w:tcPr>
          <w:p w14:paraId="1342F1E6">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eastAsia="zh-CN" w:bidi="ar"/>
              </w:rPr>
              <w:t>全面</w:t>
            </w:r>
            <w:r>
              <w:rPr>
                <w:rFonts w:hint="eastAsia" w:ascii="仿宋_GB2312" w:hAnsi="宋体" w:eastAsia="仿宋_GB2312" w:cs="仿宋_GB2312"/>
                <w:color w:val="000000"/>
                <w:kern w:val="0"/>
                <w:sz w:val="24"/>
                <w:highlight w:val="none"/>
                <w:lang w:bidi="ar"/>
              </w:rPr>
              <w:t>实施非现场监管</w:t>
            </w:r>
          </w:p>
        </w:tc>
        <w:tc>
          <w:tcPr>
            <w:tcW w:w="0" w:type="auto"/>
            <w:noWrap w:val="0"/>
            <w:vAlign w:val="center"/>
          </w:tcPr>
          <w:p w14:paraId="3BC429A5">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在前期探索实施的基础上，进一步丰富所属行业领域非现场监管方式，拓展非现场监管实施范围，提升非现场监管占日常监管的比例。</w:t>
            </w:r>
          </w:p>
        </w:tc>
        <w:tc>
          <w:tcPr>
            <w:tcW w:w="2043" w:type="dxa"/>
            <w:noWrap w:val="0"/>
            <w:vAlign w:val="center"/>
          </w:tcPr>
          <w:p w14:paraId="07089E39">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val="en" w:eastAsia="zh-CN" w:bidi="ar"/>
              </w:rPr>
              <w:t>执法处牵头，</w:t>
            </w:r>
            <w:r>
              <w:rPr>
                <w:rFonts w:hint="default" w:ascii="仿宋_GB2312" w:hAnsi="宋体" w:eastAsia="仿宋_GB2312" w:cs="仿宋_GB2312"/>
                <w:color w:val="000000"/>
                <w:kern w:val="0"/>
                <w:sz w:val="24"/>
                <w:highlight w:val="none"/>
                <w:lang w:val="en" w:eastAsia="zh-CN" w:bidi="ar"/>
              </w:rPr>
              <w:t>医政处、爱卫处、基层处、应急处、科教处、药械处、妇幼处、人口家庭处、安保处</w:t>
            </w:r>
            <w:r>
              <w:rPr>
                <w:rFonts w:hint="eastAsia" w:ascii="仿宋_GB2312" w:hAnsi="宋体" w:eastAsia="仿宋_GB2312" w:cs="仿宋_GB2312"/>
                <w:color w:val="000000"/>
                <w:kern w:val="0"/>
                <w:sz w:val="24"/>
                <w:highlight w:val="none"/>
                <w:lang w:bidi="ar"/>
              </w:rPr>
              <w:t>（并列关系，排名不分先后）</w:t>
            </w:r>
          </w:p>
        </w:tc>
        <w:tc>
          <w:tcPr>
            <w:tcW w:w="1946" w:type="dxa"/>
            <w:noWrap w:val="0"/>
            <w:vAlign w:val="center"/>
          </w:tcPr>
          <w:p w14:paraId="07460EF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持续推进</w:t>
            </w:r>
          </w:p>
        </w:tc>
      </w:tr>
      <w:tr w14:paraId="27833F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135" w:hRule="atLeast"/>
        </w:trPr>
        <w:tc>
          <w:tcPr>
            <w:tcW w:w="0" w:type="auto"/>
            <w:noWrap w:val="0"/>
            <w:vAlign w:val="center"/>
          </w:tcPr>
          <w:p w14:paraId="2F0493B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仿宋_GB2312" w:hAnsi="宋体" w:eastAsia="仿宋_GB2312" w:cs="仿宋_GB2312"/>
                <w:color w:val="000000"/>
                <w:sz w:val="24"/>
                <w:highlight w:val="none"/>
                <w:lang w:val="en-US" w:eastAsia="zh-CN"/>
              </w:rPr>
            </w:pPr>
            <w:r>
              <w:rPr>
                <w:rFonts w:hint="eastAsia" w:ascii="仿宋_GB2312" w:hAnsi="宋体" w:eastAsia="仿宋_GB2312" w:cs="仿宋_GB2312"/>
                <w:color w:val="000000"/>
                <w:kern w:val="0"/>
                <w:sz w:val="24"/>
                <w:highlight w:val="none"/>
                <w:lang w:val="en-US" w:eastAsia="zh-CN" w:bidi="ar"/>
              </w:rPr>
              <w:t>18</w:t>
            </w:r>
          </w:p>
        </w:tc>
        <w:tc>
          <w:tcPr>
            <w:tcW w:w="0" w:type="auto"/>
            <w:noWrap w:val="0"/>
            <w:vAlign w:val="center"/>
          </w:tcPr>
          <w:p w14:paraId="71A3A592">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加强非现场监管共性支撑功能建设</w:t>
            </w:r>
          </w:p>
        </w:tc>
        <w:tc>
          <w:tcPr>
            <w:tcW w:w="0" w:type="auto"/>
            <w:noWrap w:val="0"/>
            <w:vAlign w:val="center"/>
          </w:tcPr>
          <w:p w14:paraId="452BE297">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按照全市综合监管信息系统建设相关要求，配合做好风险、信用分级分类结果数据汇聚，匹配差异化监管措施，强化日常检查计划任务管理，下派现场检查核查工单，配合做好非现场监管效能监测分析、非现场检查数据共享等工作。</w:t>
            </w:r>
          </w:p>
        </w:tc>
        <w:tc>
          <w:tcPr>
            <w:tcW w:w="2043" w:type="dxa"/>
            <w:noWrap w:val="0"/>
            <w:vAlign w:val="center"/>
          </w:tcPr>
          <w:p w14:paraId="29A8A900">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执法处牵头，各行业处室、信息处、大数据政研中心配合</w:t>
            </w:r>
          </w:p>
        </w:tc>
        <w:tc>
          <w:tcPr>
            <w:tcW w:w="1946" w:type="dxa"/>
            <w:noWrap w:val="0"/>
            <w:vAlign w:val="center"/>
          </w:tcPr>
          <w:p w14:paraId="7A0CA53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2025年12月</w:t>
            </w:r>
          </w:p>
        </w:tc>
      </w:tr>
      <w:tr w14:paraId="39400F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70" w:hRule="atLeast"/>
        </w:trPr>
        <w:tc>
          <w:tcPr>
            <w:tcW w:w="0" w:type="auto"/>
            <w:noWrap w:val="0"/>
            <w:vAlign w:val="center"/>
          </w:tcPr>
          <w:p w14:paraId="5749B8B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仿宋_GB2312" w:hAnsi="宋体" w:eastAsia="仿宋_GB2312" w:cs="仿宋_GB2312"/>
                <w:color w:val="000000"/>
                <w:sz w:val="24"/>
                <w:highlight w:val="none"/>
                <w:lang w:val="en-US" w:eastAsia="zh-CN"/>
              </w:rPr>
            </w:pPr>
            <w:r>
              <w:rPr>
                <w:rFonts w:hint="eastAsia" w:ascii="仿宋_GB2312" w:hAnsi="宋体" w:eastAsia="仿宋_GB2312" w:cs="仿宋_GB2312"/>
                <w:color w:val="000000"/>
                <w:kern w:val="0"/>
                <w:sz w:val="24"/>
                <w:highlight w:val="none"/>
                <w:lang w:val="en-US" w:eastAsia="zh-CN" w:bidi="ar"/>
              </w:rPr>
              <w:t>19</w:t>
            </w:r>
          </w:p>
        </w:tc>
        <w:tc>
          <w:tcPr>
            <w:tcW w:w="0" w:type="auto"/>
            <w:noWrap w:val="0"/>
            <w:vAlign w:val="center"/>
          </w:tcPr>
          <w:p w14:paraId="6D091972">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开展非现场监管效能监测分析</w:t>
            </w:r>
          </w:p>
        </w:tc>
        <w:tc>
          <w:tcPr>
            <w:tcW w:w="0" w:type="auto"/>
            <w:noWrap w:val="0"/>
            <w:vAlign w:val="center"/>
          </w:tcPr>
          <w:p w14:paraId="03C758F9">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按照全市非现场监管能力的监测评估指标体系，通过对各行业领域的非现场检查量、非现场监管方式覆盖监管对象数量、非现场监管派单执行率、非现场检查问题发现率、数据共享水平提升等核心指标的跟踪监测分析，科学评价各行业领域非现场监管能力提升情况。</w:t>
            </w:r>
          </w:p>
        </w:tc>
        <w:tc>
          <w:tcPr>
            <w:tcW w:w="2043" w:type="dxa"/>
            <w:noWrap w:val="0"/>
            <w:vAlign w:val="center"/>
          </w:tcPr>
          <w:p w14:paraId="59A161C0">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执法处牵头，各处室配合</w:t>
            </w:r>
          </w:p>
        </w:tc>
        <w:tc>
          <w:tcPr>
            <w:tcW w:w="1946" w:type="dxa"/>
            <w:noWrap w:val="0"/>
            <w:vAlign w:val="center"/>
          </w:tcPr>
          <w:p w14:paraId="177406F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2025年12月</w:t>
            </w:r>
          </w:p>
        </w:tc>
      </w:tr>
      <w:tr w14:paraId="0915D4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465" w:hRule="atLeast"/>
        </w:trPr>
        <w:tc>
          <w:tcPr>
            <w:tcW w:w="0" w:type="auto"/>
            <w:noWrap w:val="0"/>
            <w:vAlign w:val="center"/>
          </w:tcPr>
          <w:p w14:paraId="0449D5F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仿宋_GB2312" w:hAnsi="宋体" w:eastAsia="仿宋_GB2312" w:cs="仿宋_GB2312"/>
                <w:color w:val="000000"/>
                <w:sz w:val="24"/>
                <w:highlight w:val="none"/>
                <w:lang w:val="en-US" w:eastAsia="zh-CN"/>
              </w:rPr>
            </w:pPr>
            <w:r>
              <w:rPr>
                <w:rFonts w:hint="eastAsia" w:ascii="仿宋_GB2312" w:hAnsi="宋体" w:eastAsia="仿宋_GB2312" w:cs="仿宋_GB2312"/>
                <w:color w:val="000000"/>
                <w:kern w:val="0"/>
                <w:sz w:val="24"/>
                <w:highlight w:val="none"/>
                <w:lang w:val="en-US" w:eastAsia="zh-CN" w:bidi="ar"/>
              </w:rPr>
              <w:t>20</w:t>
            </w:r>
          </w:p>
        </w:tc>
        <w:tc>
          <w:tcPr>
            <w:tcW w:w="0" w:type="auto"/>
            <w:noWrap w:val="0"/>
            <w:vAlign w:val="center"/>
          </w:tcPr>
          <w:p w14:paraId="0B2D2C30">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信息化系统改造</w:t>
            </w:r>
          </w:p>
        </w:tc>
        <w:tc>
          <w:tcPr>
            <w:tcW w:w="0" w:type="auto"/>
            <w:noWrap w:val="0"/>
            <w:vAlign w:val="center"/>
          </w:tcPr>
          <w:p w14:paraId="44141D16">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按照智慧城市建设框架，依托我市“三京”“七通一平”等基础设施，将非现场监管信息化建设作为我委信息化整体规划和顶层设计的重要内容，明晰非现场监管的数据资源汇聚、共享、应用机制路径，按照全市对非现场监管信息化建设的总体部署有序推进。</w:t>
            </w:r>
          </w:p>
        </w:tc>
        <w:tc>
          <w:tcPr>
            <w:tcW w:w="2043" w:type="dxa"/>
            <w:noWrap w:val="0"/>
            <w:vAlign w:val="center"/>
          </w:tcPr>
          <w:p w14:paraId="1557D700">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信息处牵头，各处室、大数据政研中心配合</w:t>
            </w:r>
          </w:p>
        </w:tc>
        <w:tc>
          <w:tcPr>
            <w:tcW w:w="1946" w:type="dxa"/>
            <w:noWrap w:val="0"/>
            <w:vAlign w:val="center"/>
          </w:tcPr>
          <w:p w14:paraId="41A6761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2026年12月</w:t>
            </w:r>
          </w:p>
        </w:tc>
      </w:tr>
    </w:tbl>
    <w:p w14:paraId="245189E9">
      <w:pPr>
        <w:tabs>
          <w:tab w:val="left" w:pos="315"/>
        </w:tabs>
        <w:bidi w:val="0"/>
        <w:jc w:val="left"/>
      </w:pPr>
    </w:p>
    <w:p w14:paraId="67F4DA1A">
      <w:pPr>
        <w:spacing w:line="400" w:lineRule="exact"/>
        <w:ind w:right="601" w:firstLine="0" w:firstLineChars="0"/>
        <w:rPr>
          <w:rFonts w:hint="eastAsia" w:ascii="仿宋_GB2312" w:eastAsia="仿宋_GB2312"/>
          <w:sz w:val="32"/>
          <w:szCs w:val="32"/>
          <w:lang w:eastAsia="zh-CN"/>
        </w:rPr>
      </w:pPr>
    </w:p>
    <w:p w14:paraId="0EB995D4">
      <w:pPr>
        <w:spacing w:line="400" w:lineRule="exact"/>
        <w:ind w:right="601" w:firstLine="0" w:firstLineChars="0"/>
        <w:rPr>
          <w:rFonts w:hint="eastAsia" w:ascii="仿宋_GB2312" w:eastAsia="仿宋_GB2312"/>
          <w:sz w:val="32"/>
          <w:szCs w:val="32"/>
          <w:lang w:eastAsia="zh-CN"/>
        </w:rPr>
      </w:pPr>
    </w:p>
    <w:p w14:paraId="761A1997">
      <w:pPr>
        <w:rPr>
          <w:rFonts w:hint="eastAsia"/>
          <w:lang w:eastAsia="zh-CN"/>
        </w:rPr>
      </w:pPr>
    </w:p>
    <w:sectPr>
      <w:headerReference r:id="rId3" w:type="default"/>
      <w:footerReference r:id="rId4"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CESI宋体-GB2312">
    <w:altName w:val="宋体"/>
    <w:panose1 w:val="02000500000000000000"/>
    <w:charset w:val="86"/>
    <w:family w:val="auto"/>
    <w:pitch w:val="default"/>
    <w:sig w:usb0="00000000" w:usb1="00000000" w:usb2="00000010" w:usb3="00000000" w:csb0="0004000F" w:csb1="00000000"/>
  </w:font>
  <w:font w:name="CESI仿宋-GB2312">
    <w:altName w:val="仿宋"/>
    <w:panose1 w:val="02000500000000000000"/>
    <w:charset w:val="86"/>
    <w:family w:val="auto"/>
    <w:pitch w:val="default"/>
    <w:sig w:usb0="00000000" w:usb1="00000000" w:usb2="00000010" w:usb3="00000000" w:csb0="0004000F"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A7946">
    <w:pPr>
      <w:pStyle w:val="8"/>
      <w:tabs>
        <w:tab w:val="left" w:pos="5580"/>
        <w:tab w:val="clear" w:pos="4153"/>
        <w:tab w:val="clear" w:pos="8306"/>
      </w:tabs>
      <w:ind w:right="36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B6F63">
    <w:pPr>
      <w:widowControl/>
      <w:adjustRightInd w:val="0"/>
      <w:spacing w:line="360" w:lineRule="auto"/>
      <w:rPr>
        <w:rFonts w:hint="eastAsia"/>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wZDM2ODhiMTEwNDkyMjhmYWYxMmJlZGZlMTNmN2YifQ=="/>
  </w:docVars>
  <w:rsids>
    <w:rsidRoot w:val="00000000"/>
    <w:rsid w:val="06252B70"/>
    <w:rsid w:val="0B1543AF"/>
    <w:rsid w:val="0C913BCB"/>
    <w:rsid w:val="0EE303C9"/>
    <w:rsid w:val="103C2486"/>
    <w:rsid w:val="118063A3"/>
    <w:rsid w:val="119242F5"/>
    <w:rsid w:val="12531355"/>
    <w:rsid w:val="14AE4770"/>
    <w:rsid w:val="15EF58A5"/>
    <w:rsid w:val="181D14A5"/>
    <w:rsid w:val="24DD5A42"/>
    <w:rsid w:val="279370BC"/>
    <w:rsid w:val="2D93156E"/>
    <w:rsid w:val="32FF13C6"/>
    <w:rsid w:val="34FF7825"/>
    <w:rsid w:val="39D3612A"/>
    <w:rsid w:val="39D72754"/>
    <w:rsid w:val="3B514788"/>
    <w:rsid w:val="4D7A7B6F"/>
    <w:rsid w:val="4F864394"/>
    <w:rsid w:val="4FB06029"/>
    <w:rsid w:val="591813B0"/>
    <w:rsid w:val="5D1D7BBF"/>
    <w:rsid w:val="5D5757D7"/>
    <w:rsid w:val="5F742670"/>
    <w:rsid w:val="5F7C7776"/>
    <w:rsid w:val="62C96DEB"/>
    <w:rsid w:val="67CF6087"/>
    <w:rsid w:val="68BC6E36"/>
    <w:rsid w:val="6A050043"/>
    <w:rsid w:val="6A4F2C89"/>
    <w:rsid w:val="767D5E56"/>
    <w:rsid w:val="76AF3B36"/>
    <w:rsid w:val="76BF380E"/>
    <w:rsid w:val="79F71F3A"/>
    <w:rsid w:val="7AD24D3F"/>
    <w:rsid w:val="7D5E1662"/>
    <w:rsid w:val="7E8568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autoRedefine/>
    <w:qFormat/>
    <w:uiPriority w:val="0"/>
    <w:pPr>
      <w:keepNext/>
      <w:adjustRightInd w:val="0"/>
      <w:jc w:val="center"/>
      <w:textAlignment w:val="baseline"/>
      <w:outlineLvl w:val="0"/>
    </w:pPr>
    <w:rPr>
      <w:rFonts w:ascii="宋体" w:hAnsi="宋体"/>
      <w:b/>
      <w:spacing w:val="4"/>
      <w:kern w:val="0"/>
      <w:sz w:val="48"/>
      <w:szCs w:val="28"/>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17">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2">
    <w:name w:val="toc 3"/>
    <w:basedOn w:val="1"/>
    <w:next w:val="1"/>
    <w:qFormat/>
    <w:uiPriority w:val="39"/>
    <w:pPr>
      <w:spacing w:after="100"/>
      <w:ind w:left="440"/>
    </w:pPr>
    <w:rPr>
      <w:rFonts w:cs="宋体"/>
    </w:rPr>
  </w:style>
  <w:style w:type="paragraph" w:styleId="5">
    <w:name w:val="annotation text"/>
    <w:basedOn w:val="1"/>
    <w:autoRedefine/>
    <w:unhideWhenUsed/>
    <w:qFormat/>
    <w:uiPriority w:val="99"/>
    <w:pPr>
      <w:jc w:val="left"/>
    </w:pPr>
  </w:style>
  <w:style w:type="paragraph" w:styleId="6">
    <w:name w:val="Body Text"/>
    <w:basedOn w:val="1"/>
    <w:next w:val="1"/>
    <w:autoRedefine/>
    <w:qFormat/>
    <w:uiPriority w:val="0"/>
    <w:pPr>
      <w:spacing w:after="120"/>
    </w:pPr>
  </w:style>
  <w:style w:type="paragraph" w:styleId="7">
    <w:name w:val="Body Text Indent"/>
    <w:basedOn w:val="1"/>
    <w:autoRedefine/>
    <w:qFormat/>
    <w:uiPriority w:val="0"/>
    <w:pPr>
      <w:spacing w:line="360" w:lineRule="auto"/>
      <w:ind w:firstLine="480" w:firstLineChars="200"/>
    </w:pPr>
    <w:rPr>
      <w:sz w:val="24"/>
    </w:rPr>
  </w:style>
  <w:style w:type="paragraph" w:styleId="8">
    <w:name w:val="footer"/>
    <w:basedOn w:val="1"/>
    <w:autoRedefine/>
    <w:qFormat/>
    <w:uiPriority w:val="99"/>
    <w:pPr>
      <w:tabs>
        <w:tab w:val="center" w:pos="4153"/>
        <w:tab w:val="right" w:pos="8306"/>
      </w:tabs>
      <w:snapToGrid w:val="0"/>
      <w:jc w:val="left"/>
    </w:pPr>
    <w:rPr>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qFormat/>
    <w:uiPriority w:val="39"/>
    <w:pPr>
      <w:tabs>
        <w:tab w:val="right" w:leader="dot" w:pos="8800"/>
      </w:tabs>
      <w:spacing w:before="155" w:beforeLines="50" w:line="360" w:lineRule="auto"/>
      <w:jc w:val="center"/>
    </w:pPr>
    <w:rPr>
      <w:b/>
      <w:bCs/>
      <w:sz w:val="28"/>
      <w:szCs w:val="28"/>
    </w:rPr>
  </w:style>
  <w:style w:type="paragraph" w:styleId="11">
    <w:name w:val="toc 6"/>
    <w:basedOn w:val="1"/>
    <w:next w:val="1"/>
    <w:unhideWhenUsed/>
    <w:qFormat/>
    <w:uiPriority w:val="39"/>
    <w:pPr>
      <w:ind w:firstLine="420"/>
    </w:pPr>
  </w:style>
  <w:style w:type="paragraph" w:styleId="12">
    <w:name w:val="Normal (Web)"/>
    <w:basedOn w:val="1"/>
    <w:autoRedefine/>
    <w:unhideWhenUsed/>
    <w:qFormat/>
    <w:uiPriority w:val="99"/>
    <w:pPr>
      <w:spacing w:before="100" w:beforeAutospacing="1" w:after="100" w:afterAutospacing="1"/>
      <w:ind w:left="0" w:right="0"/>
      <w:jc w:val="left"/>
    </w:pPr>
    <w:rPr>
      <w:kern w:val="0"/>
      <w:sz w:val="24"/>
      <w:lang w:val="en-US" w:eastAsia="zh-CN" w:bidi="ar-SA"/>
    </w:rPr>
  </w:style>
  <w:style w:type="paragraph" w:styleId="13">
    <w:name w:val="Title"/>
    <w:basedOn w:val="1"/>
    <w:next w:val="1"/>
    <w:autoRedefine/>
    <w:qFormat/>
    <w:uiPriority w:val="0"/>
    <w:pPr>
      <w:spacing w:before="240" w:after="60"/>
      <w:jc w:val="center"/>
      <w:outlineLvl w:val="0"/>
    </w:pPr>
    <w:rPr>
      <w:rFonts w:ascii="Cambria" w:hAnsi="Cambria" w:eastAsia="黑体"/>
      <w:b/>
      <w:bCs/>
      <w:sz w:val="30"/>
      <w:szCs w:val="32"/>
    </w:rPr>
  </w:style>
  <w:style w:type="paragraph" w:styleId="14">
    <w:name w:val="Body Text First Indent"/>
    <w:basedOn w:val="6"/>
    <w:next w:val="11"/>
    <w:unhideWhenUsed/>
    <w:qFormat/>
    <w:uiPriority w:val="0"/>
    <w:pPr>
      <w:adjustRightInd/>
      <w:ind w:firstLine="420" w:firstLineChars="100"/>
    </w:pPr>
    <w:rPr>
      <w:rFonts w:eastAsia="仿宋_GB2312"/>
    </w:rPr>
  </w:style>
  <w:style w:type="paragraph" w:styleId="15">
    <w:name w:val="Body Text First Indent 2"/>
    <w:basedOn w:val="7"/>
    <w:autoRedefine/>
    <w:qFormat/>
    <w:uiPriority w:val="0"/>
    <w:pPr>
      <w:ind w:firstLine="420" w:firstLineChars="200"/>
    </w:pPr>
    <w:rPr>
      <w:rFonts w:ascii="Calibri" w:hAnsi="Calibri"/>
    </w:rPr>
  </w:style>
  <w:style w:type="character" w:styleId="18">
    <w:name w:val="Strong"/>
    <w:basedOn w:val="17"/>
    <w:qFormat/>
    <w:uiPriority w:val="22"/>
    <w:rPr>
      <w:b/>
      <w:bCs/>
    </w:rPr>
  </w:style>
  <w:style w:type="character" w:styleId="19">
    <w:name w:val="page number"/>
    <w:basedOn w:val="17"/>
    <w:autoRedefine/>
    <w:qFormat/>
    <w:uiPriority w:val="0"/>
  </w:style>
  <w:style w:type="character" w:styleId="20">
    <w:name w:val="Hyperlink"/>
    <w:autoRedefine/>
    <w:qFormat/>
    <w:uiPriority w:val="99"/>
    <w:rPr>
      <w:color w:val="0066CC"/>
      <w:sz w:val="20"/>
      <w:szCs w:val="20"/>
      <w:u w:val="none"/>
    </w:rPr>
  </w:style>
  <w:style w:type="character" w:customStyle="1" w:styleId="21">
    <w:name w:val="NormalCharacter"/>
    <w:autoRedefine/>
    <w:qFormat/>
    <w:uiPriority w:val="0"/>
  </w:style>
  <w:style w:type="paragraph" w:customStyle="1" w:styleId="22">
    <w:name w:val="列出段落1"/>
    <w:basedOn w:val="1"/>
    <w:qFormat/>
    <w:uiPriority w:val="34"/>
    <w:pPr>
      <w:ind w:firstLine="420" w:firstLineChars="200"/>
    </w:pPr>
    <w:rPr>
      <w:rFonts w:ascii="Times New Roman" w:hAnsi="Times New Roman" w:eastAsia="宋体" w:cs="Times New Roman"/>
      <w:szCs w:val="24"/>
    </w:rPr>
  </w:style>
  <w:style w:type="paragraph" w:customStyle="1" w:styleId="23">
    <w:name w:val=" Char"/>
    <w:basedOn w:val="1"/>
    <w:qFormat/>
    <w:uiPriority w:val="0"/>
    <w:rPr>
      <w:rFonts w:ascii="宋体" w:hAnsi="宋体" w:cs="Courier New"/>
      <w:sz w:val="32"/>
      <w:szCs w:val="32"/>
    </w:rPr>
  </w:style>
  <w:style w:type="character" w:customStyle="1" w:styleId="24">
    <w:name w:val="font01"/>
    <w:basedOn w:val="17"/>
    <w:qFormat/>
    <w:uiPriority w:val="0"/>
    <w:rPr>
      <w:rFonts w:hint="eastAsia" w:ascii="黑体" w:hAnsi="宋体" w:eastAsia="黑体" w:cs="黑体"/>
      <w:color w:val="000000"/>
      <w:sz w:val="32"/>
      <w:szCs w:val="3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5729</Words>
  <Characters>6577</Characters>
  <Lines>0</Lines>
  <Paragraphs>0</Paragraphs>
  <TotalTime>0</TotalTime>
  <ScaleCrop>false</ScaleCrop>
  <LinksUpToDate>false</LinksUpToDate>
  <CharactersWithSpaces>6580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dc:creator>
  <cp:lastModifiedBy>秉</cp:lastModifiedBy>
  <dcterms:modified xsi:type="dcterms:W3CDTF">2024-09-05T03:35:29Z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FCF9CDC497924232A457994C88D819ED_12</vt:lpwstr>
  </property>
</Properties>
</file>