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Cs/>
          <w:color w:val="auto"/>
          <w:kern w:val="0"/>
          <w:sz w:val="40"/>
          <w:szCs w:val="40"/>
          <w:lang w:val="en-US" w:eastAsia="zh-CN"/>
        </w:rPr>
      </w:pPr>
      <w:bookmarkStart w:id="0" w:name="_Hlk57025451"/>
      <w:r>
        <w:rPr>
          <w:rFonts w:hint="eastAsia" w:ascii="方正小标宋简体" w:hAnsi="方正小标宋简体" w:eastAsia="方正小标宋简体" w:cs="方正小标宋简体"/>
          <w:bCs/>
          <w:color w:val="auto"/>
          <w:kern w:val="0"/>
          <w:sz w:val="40"/>
          <w:szCs w:val="40"/>
          <w:lang w:val="en-US" w:eastAsia="zh-CN"/>
        </w:rPr>
        <w:t>贵州</w:t>
      </w:r>
      <w:r>
        <w:rPr>
          <w:rFonts w:hint="eastAsia" w:ascii="方正小标宋简体" w:hAnsi="方正小标宋简体" w:eastAsia="方正小标宋简体" w:cs="方正小标宋简体"/>
          <w:bCs/>
          <w:color w:val="auto"/>
          <w:kern w:val="0"/>
          <w:sz w:val="40"/>
          <w:szCs w:val="40"/>
        </w:rPr>
        <w:t>省医疗机构特殊医学用途配方食品</w:t>
      </w:r>
      <w:r>
        <w:rPr>
          <w:rFonts w:hint="eastAsia" w:ascii="方正小标宋简体" w:hAnsi="方正小标宋简体" w:eastAsia="方正小标宋简体" w:cs="方正小标宋简体"/>
          <w:bCs/>
          <w:color w:val="auto"/>
          <w:kern w:val="0"/>
          <w:sz w:val="40"/>
          <w:szCs w:val="40"/>
          <w:lang w:val="en-US" w:eastAsia="zh-CN"/>
        </w:rPr>
        <w:t>经营</w:t>
      </w:r>
    </w:p>
    <w:p>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Cs/>
          <w:color w:val="auto"/>
          <w:kern w:val="0"/>
          <w:sz w:val="40"/>
          <w:szCs w:val="40"/>
          <w:lang w:val="en-US" w:eastAsia="zh-CN"/>
        </w:rPr>
      </w:pPr>
      <w:r>
        <w:rPr>
          <w:rFonts w:hint="eastAsia" w:ascii="方正小标宋简体" w:hAnsi="方正小标宋简体" w:eastAsia="方正小标宋简体" w:cs="方正小标宋简体"/>
          <w:bCs/>
          <w:color w:val="auto"/>
          <w:kern w:val="0"/>
          <w:sz w:val="40"/>
          <w:szCs w:val="40"/>
          <w:lang w:val="en-US" w:eastAsia="zh-CN"/>
        </w:rPr>
        <w:t>使用</w:t>
      </w:r>
      <w:r>
        <w:rPr>
          <w:rFonts w:hint="eastAsia" w:ascii="方正小标宋简体" w:hAnsi="方正小标宋简体" w:eastAsia="方正小标宋简体" w:cs="方正小标宋简体"/>
          <w:bCs/>
          <w:color w:val="auto"/>
          <w:kern w:val="0"/>
          <w:sz w:val="40"/>
          <w:szCs w:val="40"/>
        </w:rPr>
        <w:t>管理</w:t>
      </w:r>
      <w:r>
        <w:rPr>
          <w:rFonts w:hint="eastAsia" w:ascii="方正小标宋简体" w:hAnsi="方正小标宋简体" w:eastAsia="方正小标宋简体" w:cs="方正小标宋简体"/>
          <w:bCs/>
          <w:color w:val="auto"/>
          <w:kern w:val="0"/>
          <w:sz w:val="40"/>
          <w:szCs w:val="40"/>
          <w:lang w:val="en-US" w:eastAsia="zh-CN"/>
        </w:rPr>
        <w:t>办法（试行）</w:t>
      </w: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 xml:space="preserve">第一章 </w:t>
      </w:r>
      <w:r>
        <w:rPr>
          <w:rFonts w:ascii="黑体" w:hAnsi="黑体" w:eastAsia="黑体" w:cs="Times New Roman"/>
          <w:snapToGrid w:val="0"/>
          <w:color w:val="auto"/>
          <w:kern w:val="0"/>
          <w:sz w:val="32"/>
          <w:szCs w:val="32"/>
        </w:rPr>
        <w:t xml:space="preserve"> </w:t>
      </w:r>
      <w:r>
        <w:rPr>
          <w:rFonts w:hint="eastAsia" w:ascii="黑体" w:hAnsi="黑体" w:eastAsia="黑体" w:cs="Times New Roman"/>
          <w:snapToGrid w:val="0"/>
          <w:color w:val="auto"/>
          <w:kern w:val="0"/>
          <w:sz w:val="32"/>
          <w:szCs w:val="32"/>
        </w:rPr>
        <w:t xml:space="preserve">总 </w:t>
      </w:r>
      <w:r>
        <w:rPr>
          <w:rFonts w:ascii="黑体" w:hAnsi="黑体" w:eastAsia="黑体" w:cs="Times New Roman"/>
          <w:snapToGrid w:val="0"/>
          <w:color w:val="auto"/>
          <w:kern w:val="0"/>
          <w:sz w:val="32"/>
          <w:szCs w:val="32"/>
        </w:rPr>
        <w:t xml:space="preserve"> </w:t>
      </w:r>
      <w:r>
        <w:rPr>
          <w:rFonts w:hint="eastAsia" w:ascii="黑体" w:hAnsi="黑体" w:eastAsia="黑体" w:cs="Times New Roman"/>
          <w:snapToGrid w:val="0"/>
          <w:color w:val="auto"/>
          <w:kern w:val="0"/>
          <w:sz w:val="32"/>
          <w:szCs w:val="32"/>
        </w:rPr>
        <w:t>则</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第一条</w:t>
      </w:r>
      <w:r>
        <w:rPr>
          <w:rFonts w:hint="eastAsia" w:ascii="仿宋_GB2312" w:hAnsi="宋体" w:eastAsia="仿宋_GB2312" w:cs="Times New Roman"/>
          <w:snapToGrid w:val="0"/>
          <w:color w:val="auto"/>
          <w:kern w:val="0"/>
          <w:sz w:val="32"/>
          <w:szCs w:val="32"/>
        </w:rPr>
        <w:t xml:space="preserve">  为加强医疗机构特殊医学用途配方食品（Food for special medical purpose， FSMP，简称特医食品）</w:t>
      </w:r>
      <w:r>
        <w:rPr>
          <w:rFonts w:hint="eastAsia" w:ascii="仿宋_GB2312" w:hAnsi="宋体" w:eastAsia="仿宋_GB2312" w:cs="Times New Roman"/>
          <w:snapToGrid w:val="0"/>
          <w:color w:val="auto"/>
          <w:kern w:val="0"/>
          <w:sz w:val="32"/>
          <w:szCs w:val="32"/>
          <w:lang w:val="en-US" w:eastAsia="zh-CN"/>
        </w:rPr>
        <w:t>在医疗机构的</w:t>
      </w:r>
      <w:r>
        <w:rPr>
          <w:rFonts w:hint="eastAsia" w:ascii="仿宋_GB2312" w:hAnsi="宋体" w:eastAsia="仿宋_GB2312" w:cs="Times New Roman"/>
          <w:snapToGrid w:val="0"/>
          <w:color w:val="auto"/>
          <w:kern w:val="0"/>
          <w:sz w:val="32"/>
          <w:szCs w:val="32"/>
        </w:rPr>
        <w:t>经营使用管理，规范特医</w:t>
      </w:r>
      <w:r>
        <w:rPr>
          <w:rFonts w:hint="eastAsia" w:ascii="仿宋_GB2312" w:hAnsi="宋体" w:eastAsia="仿宋_GB2312" w:cs="Times New Roman"/>
          <w:snapToGrid w:val="0"/>
          <w:color w:val="auto"/>
          <w:kern w:val="0"/>
          <w:sz w:val="32"/>
          <w:szCs w:val="32"/>
          <w:lang w:val="en-US" w:eastAsia="zh-CN"/>
        </w:rPr>
        <w:t>食品的应用，</w:t>
      </w:r>
      <w:r>
        <w:rPr>
          <w:rFonts w:hint="eastAsia" w:ascii="仿宋_GB2312" w:hAnsi="宋体" w:eastAsia="仿宋_GB2312" w:cs="Times New Roman"/>
          <w:snapToGrid w:val="0"/>
          <w:color w:val="auto"/>
          <w:kern w:val="0"/>
          <w:sz w:val="32"/>
          <w:szCs w:val="32"/>
        </w:rPr>
        <w:t>保障医疗质量和医疗安全，防控医疗风险，根据《中华人民共和国食品安全法》《中华人民共和国食品安全法实施条例》</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国民营养计划（2017—2030年）</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《特殊医学用途配方食品通则》等法律法规，制定本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bidi="ar"/>
        </w:rPr>
      </w:pPr>
      <w:r>
        <w:rPr>
          <w:rFonts w:hint="eastAsia" w:ascii="黑体" w:hAnsi="黑体" w:eastAsia="黑体" w:cs="Times New Roman"/>
          <w:snapToGrid w:val="0"/>
          <w:color w:val="auto"/>
          <w:kern w:val="0"/>
          <w:sz w:val="32"/>
          <w:szCs w:val="32"/>
        </w:rPr>
        <w:t xml:space="preserve">第二条 </w:t>
      </w:r>
      <w:r>
        <w:rPr>
          <w:rFonts w:hint="eastAsia" w:ascii="仿宋_GB2312" w:hAnsi="宋体" w:eastAsia="仿宋_GB2312" w:cs="Times New Roman"/>
          <w:snapToGrid w:val="0"/>
          <w:color w:val="auto"/>
          <w:kern w:val="0"/>
          <w:sz w:val="32"/>
          <w:szCs w:val="32"/>
        </w:rPr>
        <w:t xml:space="preserve"> 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所称特医食品，</w:t>
      </w:r>
      <w:r>
        <w:rPr>
          <w:rFonts w:hint="eastAsia" w:ascii="仿宋_GB2312" w:hAnsi="宋体" w:eastAsia="仿宋_GB2312" w:cs="Times New Roman"/>
          <w:snapToGrid w:val="0"/>
          <w:color w:val="auto"/>
          <w:kern w:val="0"/>
          <w:sz w:val="32"/>
          <w:szCs w:val="32"/>
          <w:lang w:val="en-US" w:eastAsia="zh-CN"/>
        </w:rPr>
        <w:t>是</w:t>
      </w:r>
      <w:r>
        <w:rPr>
          <w:rFonts w:hint="eastAsia" w:ascii="仿宋_GB2312" w:hAnsi="宋体" w:eastAsia="仿宋_GB2312" w:cs="Times New Roman"/>
          <w:snapToGrid w:val="0"/>
          <w:color w:val="auto"/>
          <w:kern w:val="0"/>
          <w:sz w:val="32"/>
          <w:szCs w:val="32"/>
        </w:rPr>
        <w:t>指经国家市场监督管理部门注册可以在国内市场销售</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为</w:t>
      </w:r>
      <w:r>
        <w:rPr>
          <w:rFonts w:hint="eastAsia" w:ascii="仿宋_GB2312" w:hAnsi="宋体" w:eastAsia="仿宋_GB2312" w:cs="Times New Roman"/>
          <w:snapToGrid w:val="0"/>
          <w:color w:val="auto"/>
          <w:kern w:val="0"/>
          <w:sz w:val="32"/>
          <w:szCs w:val="32"/>
          <w:lang w:eastAsia="zh-CN"/>
        </w:rPr>
        <w:t>了</w:t>
      </w:r>
      <w:r>
        <w:rPr>
          <w:rFonts w:hint="eastAsia" w:ascii="仿宋_GB2312" w:hAnsi="宋体" w:eastAsia="仿宋_GB2312" w:cs="Times New Roman"/>
          <w:snapToGrid w:val="0"/>
          <w:color w:val="auto"/>
          <w:kern w:val="0"/>
          <w:sz w:val="32"/>
          <w:szCs w:val="32"/>
        </w:rPr>
        <w:t>满足进食受限、消化吸收障碍、代谢紊乱或特定疾病状态人群对营养素或膳食的特殊需要，专门加工配制而成的配方食品</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包括适用于0月龄</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12月龄的特殊医学用途婴儿配方食品和适用于1岁以上人群的特殊医学用途配方食品。</w:t>
      </w:r>
      <w:r>
        <w:rPr>
          <w:rFonts w:hint="eastAsia" w:ascii="仿宋_GB2312" w:hAnsi="宋体" w:eastAsia="仿宋_GB2312" w:cs="Times New Roman"/>
          <w:snapToGrid w:val="0"/>
          <w:color w:val="auto"/>
          <w:kern w:val="0"/>
          <w:sz w:val="32"/>
          <w:szCs w:val="32"/>
          <w:lang w:val="en-US" w:eastAsia="zh-CN"/>
        </w:rPr>
        <w:t>特医食品须经</w:t>
      </w:r>
      <w:r>
        <w:rPr>
          <w:rFonts w:hint="eastAsia" w:ascii="仿宋_GB2312" w:hAnsi="宋体" w:eastAsia="仿宋_GB2312" w:cs="Times New Roman"/>
          <w:snapToGrid w:val="0"/>
          <w:color w:val="auto"/>
          <w:kern w:val="0"/>
          <w:sz w:val="32"/>
          <w:szCs w:val="32"/>
        </w:rPr>
        <w:t>特医食品临床应用知识和规范化管理培训</w:t>
      </w:r>
      <w:r>
        <w:rPr>
          <w:rFonts w:hint="eastAsia" w:ascii="仿宋_GB2312" w:hAnsi="宋体" w:eastAsia="仿宋_GB2312" w:cs="Times New Roman"/>
          <w:snapToGrid w:val="0"/>
          <w:color w:val="auto"/>
          <w:kern w:val="0"/>
          <w:sz w:val="32"/>
          <w:szCs w:val="32"/>
          <w:lang w:val="en-US" w:eastAsia="zh-CN"/>
        </w:rPr>
        <w:t>的医务人员指导下，单独食用或与其他食品配合食用。</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bidi="ar"/>
        </w:rPr>
        <w:t>第三条</w:t>
      </w:r>
      <w:r>
        <w:rPr>
          <w:rFonts w:hint="eastAsia" w:ascii="仿宋_GB2312" w:hAnsi="宋体" w:eastAsia="仿宋_GB2312" w:cs="Times New Roman"/>
          <w:snapToGrid w:val="0"/>
          <w:color w:val="auto"/>
          <w:kern w:val="0"/>
          <w:sz w:val="32"/>
          <w:szCs w:val="32"/>
          <w:lang w:val="en-US" w:eastAsia="zh-CN" w:bidi="ar"/>
        </w:rPr>
        <w:t xml:space="preserve">  本办法适用于</w:t>
      </w:r>
      <w:r>
        <w:rPr>
          <w:rFonts w:hint="eastAsia" w:ascii="仿宋_GB2312" w:hAnsi="宋体" w:eastAsia="仿宋_GB2312" w:cs="Times New Roman"/>
          <w:i w:val="0"/>
          <w:caps w:val="0"/>
          <w:snapToGrid w:val="0"/>
          <w:color w:val="auto"/>
          <w:spacing w:val="0"/>
          <w:kern w:val="0"/>
          <w:sz w:val="32"/>
          <w:szCs w:val="32"/>
          <w:shd w:val="clear" w:fill="auto"/>
          <w:lang w:val="en-US" w:eastAsia="zh-CN" w:bidi="ar"/>
        </w:rPr>
        <w:t>本省行政区域内</w:t>
      </w:r>
      <w:r>
        <w:rPr>
          <w:rFonts w:hint="eastAsia" w:ascii="仿宋_GB2312" w:hAnsi="宋体" w:eastAsia="仿宋_GB2312" w:cs="Times New Roman"/>
          <w:snapToGrid w:val="0"/>
          <w:color w:val="auto"/>
          <w:kern w:val="0"/>
          <w:sz w:val="32"/>
          <w:szCs w:val="32"/>
          <w:lang w:val="en-US" w:eastAsia="zh-CN" w:bidi="ar"/>
        </w:rPr>
        <w:t>医疗机构特医食品</w:t>
      </w:r>
      <w:r>
        <w:rPr>
          <w:rFonts w:hint="eastAsia" w:ascii="仿宋_GB2312" w:hAnsi="宋体" w:eastAsia="仿宋_GB2312" w:cs="Times New Roman"/>
          <w:bCs w:val="0"/>
          <w:snapToGrid w:val="0"/>
          <w:color w:val="auto"/>
          <w:kern w:val="0"/>
          <w:sz w:val="32"/>
          <w:szCs w:val="32"/>
          <w:lang w:val="en-US" w:eastAsia="zh-CN" w:bidi="ar"/>
        </w:rPr>
        <w:t>经营使用</w:t>
      </w:r>
      <w:r>
        <w:rPr>
          <w:rFonts w:hint="eastAsia" w:ascii="仿宋_GB2312" w:hAnsi="宋体" w:eastAsia="仿宋_GB2312" w:cs="Times New Roman"/>
          <w:bCs w:val="0"/>
          <w:snapToGrid w:val="0"/>
          <w:color w:val="auto"/>
          <w:kern w:val="0"/>
          <w:sz w:val="32"/>
          <w:szCs w:val="32"/>
          <w:lang w:bidi="ar"/>
        </w:rPr>
        <w:t>管理</w:t>
      </w:r>
      <w:r>
        <w:rPr>
          <w:rFonts w:hint="eastAsia" w:ascii="仿宋_GB2312" w:hAnsi="宋体" w:eastAsia="仿宋_GB2312" w:cs="Times New Roman"/>
          <w:bCs w:val="0"/>
          <w:snapToGrid w:val="0"/>
          <w:color w:val="auto"/>
          <w:kern w:val="0"/>
          <w:sz w:val="32"/>
          <w:szCs w:val="32"/>
          <w:lang w:eastAsia="zh-CN" w:bidi="ar"/>
        </w:rPr>
        <w:t>，</w:t>
      </w:r>
      <w:r>
        <w:rPr>
          <w:rFonts w:hint="eastAsia" w:ascii="仿宋_GB2312" w:hAnsi="宋体" w:eastAsia="仿宋_GB2312" w:cs="Times New Roman"/>
          <w:snapToGrid w:val="0"/>
          <w:color w:val="auto"/>
          <w:kern w:val="0"/>
          <w:sz w:val="32"/>
          <w:szCs w:val="32"/>
          <w:lang w:val="en-US" w:eastAsia="zh-CN" w:bidi="ar"/>
        </w:rPr>
        <w:t>配</w:t>
      </w:r>
      <w:r>
        <w:rPr>
          <w:rFonts w:hint="eastAsia" w:ascii="仿宋_GB2312" w:hAnsi="宋体" w:eastAsia="仿宋_GB2312" w:cs="Times New Roman"/>
          <w:snapToGrid w:val="0"/>
          <w:color w:val="auto"/>
          <w:kern w:val="0"/>
          <w:sz w:val="32"/>
          <w:szCs w:val="32"/>
          <w:lang w:val="en-US" w:eastAsia="zh-CN"/>
        </w:rPr>
        <w:t>制供病人食用的治疗膳食不适用于本办法。</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四</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lang w:val="en-US" w:eastAsia="zh-CN"/>
        </w:rPr>
        <w:t>本办法所称的医疗机构是指取得《医疗机构执业许可证》，并依法从事疾病诊断和治疗活动的医院、妇幼保健院、社区卫生服务中心、卫生院、疗养院、门诊部、诊所等诊疗机构。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五</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lang w:val="en-US" w:eastAsia="zh-CN"/>
        </w:rPr>
        <w:t>销售特医食品的医疗机构，应当取得食品经营许可或办理仅销售预包装食品备案，申请食品经营许可或备案的经营者名称应为医疗机构名称，食品经营的主体业态应为食品销售经营者，许可经营项目或备案经营种类应当载明“特殊医学用途配方食品（特定全营养配方食品除外）”。仅销售特殊医学用途配方食品中特定全营养配方食品的医疗机构，不需要取得食品经营许可或办理仅销售预包装食品备案，但应当符合本办法关于特殊医学用途配方食品临床应用的要求。</w:t>
      </w:r>
    </w:p>
    <w:p>
      <w:pPr>
        <w:keepNext w:val="0"/>
        <w:keepLines w:val="0"/>
        <w:pageBreakBefore w:val="0"/>
        <w:widowControl/>
        <w:kinsoku/>
        <w:wordWrap/>
        <w:overflowPunct/>
        <w:topLinePunct w:val="0"/>
        <w:autoSpaceDE/>
        <w:autoSpaceDN/>
        <w:bidi w:val="0"/>
        <w:adjustRightInd/>
        <w:spacing w:before="312" w:beforeLines="100" w:after="312" w:afterLines="100" w:line="56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lang w:eastAsia="zh-CN"/>
        </w:rPr>
        <w:t>第二章</w:t>
      </w:r>
      <w:r>
        <w:rPr>
          <w:rFonts w:hint="eastAsia" w:ascii="黑体" w:hAnsi="黑体" w:eastAsia="黑体" w:cs="Times New Roman"/>
          <w:color w:val="auto"/>
          <w:kern w:val="0"/>
          <w:sz w:val="32"/>
          <w:szCs w:val="32"/>
        </w:rPr>
        <w:t xml:space="preserve"> </w:t>
      </w:r>
      <w:r>
        <w:rPr>
          <w:rFonts w:ascii="黑体" w:hAnsi="黑体" w:eastAsia="黑体" w:cs="Times New Roman"/>
          <w:color w:val="auto"/>
          <w:kern w:val="0"/>
          <w:sz w:val="32"/>
          <w:szCs w:val="32"/>
        </w:rPr>
        <w:t xml:space="preserve"> </w:t>
      </w:r>
      <w:r>
        <w:rPr>
          <w:rFonts w:hint="eastAsia" w:ascii="黑体" w:hAnsi="黑体" w:eastAsia="黑体" w:cs="Times New Roman"/>
          <w:color w:val="auto"/>
          <w:kern w:val="0"/>
          <w:sz w:val="32"/>
          <w:szCs w:val="32"/>
        </w:rPr>
        <w:t>组织机构和职责</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六</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在</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省卫生健康委</w:t>
      </w:r>
      <w:r>
        <w:rPr>
          <w:rFonts w:hint="eastAsia" w:ascii="仿宋_GB2312" w:hAnsi="宋体" w:eastAsia="仿宋_GB2312" w:cs="Times New Roman"/>
          <w:snapToGrid w:val="0"/>
          <w:color w:val="auto"/>
          <w:kern w:val="0"/>
          <w:sz w:val="32"/>
          <w:szCs w:val="32"/>
          <w:lang w:val="en-US" w:eastAsia="zh-CN"/>
        </w:rPr>
        <w:t>员会</w:t>
      </w:r>
      <w:r>
        <w:rPr>
          <w:rFonts w:hint="eastAsia" w:ascii="仿宋_GB2312" w:hAnsi="宋体" w:eastAsia="仿宋_GB2312" w:cs="Times New Roman"/>
          <w:snapToGrid w:val="0"/>
          <w:color w:val="auto"/>
          <w:kern w:val="0"/>
          <w:sz w:val="32"/>
          <w:szCs w:val="32"/>
        </w:rPr>
        <w:t>的领导下，</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省临床营养质量控制中心负责筹建</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省特殊医学用途配方食品专家委员会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以下</w:t>
      </w:r>
      <w:r>
        <w:rPr>
          <w:rFonts w:hint="eastAsia" w:ascii="仿宋_GB2312" w:hAnsi="宋体" w:eastAsia="仿宋_GB2312" w:cs="Times New Roman"/>
          <w:snapToGrid w:val="0"/>
          <w:color w:val="auto"/>
          <w:kern w:val="0"/>
          <w:sz w:val="32"/>
          <w:szCs w:val="32"/>
        </w:rPr>
        <w:t>简称</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省FSMP专家委员会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专家委员会</w:t>
      </w:r>
      <w:r>
        <w:rPr>
          <w:rFonts w:hint="eastAsia" w:ascii="仿宋_GB2312" w:hAnsi="宋体" w:eastAsia="仿宋_GB2312" w:cs="Times New Roman"/>
          <w:i w:val="0"/>
          <w:caps w:val="0"/>
          <w:snapToGrid w:val="0"/>
          <w:color w:val="auto"/>
          <w:spacing w:val="0"/>
          <w:kern w:val="0"/>
          <w:sz w:val="32"/>
          <w:szCs w:val="32"/>
          <w:shd w:val="clear" w:fill="auto"/>
          <w:lang w:val="en-US" w:eastAsia="zh-CN" w:bidi="ar"/>
        </w:rPr>
        <w:t>由</w:t>
      </w:r>
      <w:r>
        <w:rPr>
          <w:rFonts w:hint="eastAsia" w:ascii="仿宋_GB2312" w:hAnsi="宋体" w:eastAsia="仿宋_GB2312" w:cs="Times New Roman"/>
          <w:i w:val="0"/>
          <w:caps w:val="0"/>
          <w:snapToGrid w:val="0"/>
          <w:color w:val="auto"/>
          <w:spacing w:val="0"/>
          <w:kern w:val="0"/>
          <w:sz w:val="32"/>
          <w:szCs w:val="32"/>
          <w:shd w:val="clear"/>
          <w:lang w:val="en-US" w:eastAsia="zh-CN" w:bidi="ar"/>
        </w:rPr>
        <w:t>卫生健康行政管理</w:t>
      </w:r>
      <w:r>
        <w:rPr>
          <w:rFonts w:hint="eastAsia" w:ascii="仿宋_GB2312" w:hAnsi="宋体" w:eastAsia="仿宋_GB2312" w:cs="Times New Roman"/>
          <w:i w:val="0"/>
          <w:caps w:val="0"/>
          <w:snapToGrid w:val="0"/>
          <w:color w:val="auto"/>
          <w:spacing w:val="0"/>
          <w:kern w:val="0"/>
          <w:sz w:val="32"/>
          <w:szCs w:val="32"/>
          <w:shd w:val="clear" w:fill="auto"/>
          <w:lang w:val="en-US" w:eastAsia="zh-CN" w:bidi="ar"/>
        </w:rPr>
        <w:t>、</w:t>
      </w:r>
      <w:r>
        <w:rPr>
          <w:rFonts w:hint="eastAsia" w:ascii="仿宋_GB2312" w:hAnsi="宋体" w:eastAsia="仿宋_GB2312" w:cs="Times New Roman"/>
          <w:i w:val="0"/>
          <w:caps w:val="0"/>
          <w:snapToGrid w:val="0"/>
          <w:color w:val="auto"/>
          <w:spacing w:val="0"/>
          <w:kern w:val="0"/>
          <w:sz w:val="32"/>
          <w:szCs w:val="32"/>
          <w:shd w:val="clear"/>
          <w:lang w:val="en-US" w:eastAsia="zh-CN" w:bidi="ar"/>
        </w:rPr>
        <w:t>市场监督管理、医疗保障及物价管理、医疗机构行政管理、临床营养及临床相关专业等专家组成。</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七</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省FSMP专家委员会主要职责是：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（一）制定特医食品临床应用管理相关规范与制度；</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二</w:t>
      </w: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指导医疗机构</w:t>
      </w:r>
      <w:r>
        <w:rPr>
          <w:rFonts w:hint="eastAsia" w:ascii="仿宋_GB2312" w:hAnsi="宋体" w:eastAsia="仿宋_GB2312" w:cs="Times New Roman"/>
          <w:snapToGrid w:val="0"/>
          <w:color w:val="auto"/>
          <w:kern w:val="0"/>
          <w:sz w:val="32"/>
          <w:szCs w:val="32"/>
        </w:rPr>
        <w:t>开展特医食品临床应用</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zh-CN" w:eastAsia="zh-CN"/>
        </w:rPr>
        <w:t>定期组织相关专业技术人员对医疗机构的</w:t>
      </w:r>
      <w:r>
        <w:rPr>
          <w:rFonts w:hint="eastAsia" w:ascii="仿宋_GB2312" w:hAnsi="宋体" w:eastAsia="仿宋_GB2312" w:cs="Times New Roman"/>
          <w:snapToGrid w:val="0"/>
          <w:color w:val="auto"/>
          <w:kern w:val="0"/>
          <w:sz w:val="32"/>
          <w:szCs w:val="32"/>
          <w:lang w:val="en-US" w:eastAsia="zh-CN"/>
        </w:rPr>
        <w:t>特医食品</w:t>
      </w:r>
      <w:r>
        <w:rPr>
          <w:rFonts w:hint="eastAsia" w:ascii="仿宋_GB2312" w:hAnsi="宋体" w:eastAsia="仿宋_GB2312" w:cs="Times New Roman"/>
          <w:snapToGrid w:val="0"/>
          <w:color w:val="auto"/>
          <w:kern w:val="0"/>
          <w:sz w:val="32"/>
          <w:szCs w:val="32"/>
          <w:lang w:val="zh-CN" w:eastAsia="zh-CN"/>
        </w:rPr>
        <w:t xml:space="preserve">处方、医嘱、实施和管理等进行督查。 </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三</w:t>
      </w:r>
      <w:r>
        <w:rPr>
          <w:rFonts w:hint="eastAsia" w:ascii="仿宋_GB2312" w:hAnsi="宋体" w:eastAsia="仿宋_GB2312" w:cs="Times New Roman"/>
          <w:snapToGrid w:val="0"/>
          <w:color w:val="auto"/>
          <w:kern w:val="0"/>
          <w:sz w:val="32"/>
          <w:szCs w:val="32"/>
        </w:rPr>
        <w:t>）组织专家检查各医疗机构不良反应报告和监测工作的开展情况，并定期向</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省临床营养质量控制中心报告；</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四</w:t>
      </w:r>
      <w:r>
        <w:rPr>
          <w:rFonts w:hint="eastAsia" w:ascii="仿宋_GB2312" w:hAnsi="宋体" w:eastAsia="仿宋_GB2312" w:cs="Times New Roman"/>
          <w:snapToGrid w:val="0"/>
          <w:color w:val="auto"/>
          <w:kern w:val="0"/>
          <w:sz w:val="32"/>
          <w:szCs w:val="32"/>
        </w:rPr>
        <w:t>）定期开展特医食品临床应用知识和规范化管理培训；</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五</w:t>
      </w:r>
      <w:r>
        <w:rPr>
          <w:rFonts w:hint="eastAsia" w:ascii="仿宋_GB2312" w:hAnsi="宋体" w:eastAsia="仿宋_GB2312" w:cs="Times New Roman"/>
          <w:snapToGrid w:val="0"/>
          <w:color w:val="auto"/>
          <w:kern w:val="0"/>
          <w:sz w:val="32"/>
          <w:szCs w:val="32"/>
        </w:rPr>
        <w:t>）掌握特医食品领域的最新动态，为行业监管提供决策依据。</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八</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开展特医食品临床应用</w:t>
      </w:r>
      <w:r>
        <w:rPr>
          <w:rFonts w:hint="eastAsia" w:ascii="仿宋_GB2312" w:hAnsi="宋体" w:eastAsia="仿宋_GB2312" w:cs="Times New Roman"/>
          <w:snapToGrid w:val="0"/>
          <w:color w:val="auto"/>
          <w:kern w:val="0"/>
          <w:sz w:val="32"/>
          <w:szCs w:val="32"/>
          <w:lang w:val="en-US" w:eastAsia="zh-CN"/>
        </w:rPr>
        <w:t>的</w:t>
      </w:r>
      <w:r>
        <w:rPr>
          <w:rFonts w:hint="eastAsia" w:ascii="仿宋_GB2312" w:hAnsi="宋体" w:eastAsia="仿宋_GB2312" w:cs="Times New Roman"/>
          <w:snapToGrid w:val="0"/>
          <w:color w:val="auto"/>
          <w:kern w:val="0"/>
          <w:sz w:val="32"/>
          <w:szCs w:val="32"/>
        </w:rPr>
        <w:t>医疗机构</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以下简称医疗机构</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应当成立</w:t>
      </w:r>
      <w:r>
        <w:rPr>
          <w:rFonts w:hint="eastAsia" w:ascii="仿宋_GB2312" w:hAnsi="宋体" w:eastAsia="仿宋_GB2312" w:cs="Times New Roman"/>
          <w:snapToGrid w:val="0"/>
          <w:color w:val="auto"/>
          <w:kern w:val="0"/>
          <w:sz w:val="32"/>
          <w:szCs w:val="32"/>
          <w:lang w:val="en-US" w:eastAsia="zh-CN"/>
        </w:rPr>
        <w:t>特医食品</w:t>
      </w:r>
      <w:r>
        <w:rPr>
          <w:rFonts w:hint="eastAsia" w:ascii="仿宋_GB2312" w:hAnsi="宋体" w:eastAsia="仿宋_GB2312" w:cs="Times New Roman"/>
          <w:snapToGrid w:val="0"/>
          <w:color w:val="auto"/>
          <w:kern w:val="0"/>
          <w:sz w:val="32"/>
          <w:szCs w:val="32"/>
        </w:rPr>
        <w:t>管理委员会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以下简称</w:t>
      </w:r>
      <w:r>
        <w:rPr>
          <w:rFonts w:hint="eastAsia" w:ascii="仿宋_GB2312" w:hAnsi="宋体" w:eastAsia="仿宋_GB2312" w:cs="Times New Roman"/>
          <w:snapToGrid w:val="0"/>
          <w:color w:val="auto"/>
          <w:kern w:val="0"/>
          <w:sz w:val="32"/>
          <w:szCs w:val="32"/>
        </w:rPr>
        <w:t>FSMP管理委员会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由分管院长、医务部门、</w:t>
      </w:r>
      <w:r>
        <w:rPr>
          <w:rFonts w:hint="eastAsia" w:ascii="仿宋_GB2312" w:hAnsi="宋体" w:eastAsia="仿宋_GB2312" w:cs="Times New Roman"/>
          <w:snapToGrid w:val="0"/>
          <w:color w:val="auto"/>
          <w:kern w:val="0"/>
          <w:sz w:val="32"/>
          <w:szCs w:val="32"/>
        </w:rPr>
        <w:t>物资采购</w:t>
      </w:r>
      <w:r>
        <w:rPr>
          <w:rFonts w:hint="eastAsia" w:ascii="仿宋_GB2312" w:hAnsi="宋体" w:eastAsia="仿宋_GB2312" w:cs="Times New Roman"/>
          <w:snapToGrid w:val="0"/>
          <w:color w:val="auto"/>
          <w:kern w:val="0"/>
          <w:sz w:val="32"/>
          <w:szCs w:val="32"/>
          <w:lang w:val="en-US" w:eastAsia="zh-CN"/>
        </w:rPr>
        <w:t>部门</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医保物价科、临床营养及临床相关专业人员组成，临床营养部门负责日常管理工作。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九</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FSMP管理委员会主要职责：</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（一）</w:t>
      </w:r>
      <w:r>
        <w:rPr>
          <w:rFonts w:hint="eastAsia" w:ascii="仿宋_GB2312" w:hAnsi="宋体" w:eastAsia="仿宋_GB2312" w:cs="Times New Roman"/>
          <w:snapToGrid w:val="0"/>
          <w:color w:val="auto"/>
          <w:kern w:val="0"/>
          <w:sz w:val="32"/>
          <w:szCs w:val="32"/>
          <w:lang w:val="en-US" w:eastAsia="zh-CN"/>
        </w:rPr>
        <w:t>制定</w:t>
      </w:r>
      <w:r>
        <w:rPr>
          <w:rFonts w:hint="eastAsia" w:ascii="仿宋_GB2312" w:hAnsi="宋体" w:eastAsia="仿宋_GB2312" w:cs="Times New Roman"/>
          <w:snapToGrid w:val="0"/>
          <w:color w:val="auto"/>
          <w:kern w:val="0"/>
          <w:sz w:val="32"/>
          <w:szCs w:val="32"/>
        </w:rPr>
        <w:t>《医疗机构</w:t>
      </w:r>
      <w:r>
        <w:rPr>
          <w:rFonts w:hint="eastAsia" w:ascii="仿宋_GB2312" w:hAnsi="宋体" w:eastAsia="仿宋_GB2312" w:cs="Times New Roman"/>
          <w:snapToGrid w:val="0"/>
          <w:color w:val="auto"/>
          <w:kern w:val="0"/>
          <w:sz w:val="32"/>
          <w:szCs w:val="32"/>
          <w:lang w:val="en-US" w:eastAsia="zh-CN"/>
        </w:rPr>
        <w:t>特殊医学用途配方食品</w:t>
      </w:r>
      <w:r>
        <w:rPr>
          <w:rFonts w:hint="eastAsia" w:ascii="仿宋_GB2312" w:hAnsi="宋体" w:eastAsia="仿宋_GB2312" w:cs="Times New Roman"/>
          <w:snapToGrid w:val="0"/>
          <w:color w:val="auto"/>
          <w:kern w:val="0"/>
          <w:sz w:val="32"/>
          <w:szCs w:val="32"/>
        </w:rPr>
        <w:t>供应目录》</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建立特医食品</w:t>
      </w:r>
      <w:r>
        <w:rPr>
          <w:rFonts w:hint="eastAsia" w:ascii="仿宋_GB2312" w:hAnsi="宋体" w:eastAsia="仿宋_GB2312" w:cs="Times New Roman"/>
          <w:snapToGrid w:val="0"/>
          <w:color w:val="auto"/>
          <w:kern w:val="0"/>
          <w:sz w:val="32"/>
          <w:szCs w:val="32"/>
          <w:lang w:val="en-US" w:eastAsia="zh-CN"/>
        </w:rPr>
        <w:t>产品准入、遴选、审核、评估和退出制度。</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二</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贯彻执行特医食品管理相关</w:t>
      </w:r>
      <w:r>
        <w:rPr>
          <w:rFonts w:hint="eastAsia" w:ascii="仿宋_GB2312" w:hAnsi="宋体" w:eastAsia="仿宋_GB2312" w:cs="Times New Roman"/>
          <w:snapToGrid w:val="0"/>
          <w:color w:val="auto"/>
          <w:kern w:val="0"/>
          <w:sz w:val="32"/>
          <w:szCs w:val="32"/>
          <w:lang w:eastAsia="zh-CN"/>
        </w:rPr>
        <w:t>法律法规</w:t>
      </w:r>
      <w:r>
        <w:rPr>
          <w:rFonts w:hint="eastAsia" w:ascii="仿宋_GB2312" w:hAnsi="宋体" w:eastAsia="仿宋_GB2312" w:cs="Times New Roman"/>
          <w:snapToGrid w:val="0"/>
          <w:color w:val="auto"/>
          <w:kern w:val="0"/>
          <w:sz w:val="32"/>
          <w:szCs w:val="32"/>
        </w:rPr>
        <w:t>、规章制度、制定本机构特医食品管理制度并组织实施；</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三</w:t>
      </w:r>
      <w:r>
        <w:rPr>
          <w:rFonts w:hint="eastAsia" w:ascii="仿宋_GB2312" w:hAnsi="宋体" w:eastAsia="仿宋_GB2312" w:cs="Times New Roman"/>
          <w:snapToGrid w:val="0"/>
          <w:color w:val="auto"/>
          <w:kern w:val="0"/>
          <w:sz w:val="32"/>
          <w:szCs w:val="32"/>
        </w:rPr>
        <w:t>）对医务人员进行特医食品管理相关</w:t>
      </w:r>
      <w:r>
        <w:rPr>
          <w:rFonts w:hint="eastAsia" w:ascii="仿宋_GB2312" w:hAnsi="宋体" w:eastAsia="仿宋_GB2312" w:cs="Times New Roman"/>
          <w:snapToGrid w:val="0"/>
          <w:color w:val="auto"/>
          <w:kern w:val="0"/>
          <w:sz w:val="32"/>
          <w:szCs w:val="32"/>
          <w:lang w:eastAsia="zh-CN"/>
        </w:rPr>
        <w:t>法律法规</w:t>
      </w:r>
      <w:r>
        <w:rPr>
          <w:rFonts w:hint="eastAsia" w:ascii="仿宋_GB2312" w:hAnsi="宋体" w:eastAsia="仿宋_GB2312" w:cs="Times New Roman"/>
          <w:snapToGrid w:val="0"/>
          <w:color w:val="auto"/>
          <w:kern w:val="0"/>
          <w:sz w:val="32"/>
          <w:szCs w:val="32"/>
        </w:rPr>
        <w:t>、规章制度和技术规范培训</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注重个体化和序贯营养治疗的实施，加强多学科团队合作；</w:t>
      </w:r>
      <w:r>
        <w:rPr>
          <w:rFonts w:hint="eastAsia" w:ascii="仿宋_GB2312" w:hAnsi="宋体" w:eastAsia="仿宋_GB2312" w:cs="Times New Roman"/>
          <w:snapToGrid w:val="0"/>
          <w:color w:val="auto"/>
          <w:kern w:val="0"/>
          <w:sz w:val="32"/>
          <w:szCs w:val="32"/>
        </w:rPr>
        <w:t>组织对患者合理使用特医食品的宣传教育；</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四</w:t>
      </w:r>
      <w:r>
        <w:rPr>
          <w:rFonts w:hint="eastAsia" w:ascii="仿宋_GB2312" w:hAnsi="宋体" w:eastAsia="仿宋_GB2312" w:cs="Times New Roman"/>
          <w:snapToGrid w:val="0"/>
          <w:color w:val="auto"/>
          <w:kern w:val="0"/>
          <w:sz w:val="32"/>
          <w:szCs w:val="32"/>
        </w:rPr>
        <w:t>）定期监测和评估本机构特医食品临床应用，以及不良事件的收集和处理，定期分析、评估、上报监测数据并发布相关信息，提出干预和改进</w:t>
      </w:r>
      <w:r>
        <w:rPr>
          <w:rFonts w:hint="eastAsia" w:ascii="仿宋_GB2312" w:hAnsi="宋体" w:eastAsia="仿宋_GB2312" w:cs="Times New Roman"/>
          <w:snapToGrid w:val="0"/>
          <w:color w:val="auto"/>
          <w:kern w:val="0"/>
          <w:sz w:val="32"/>
          <w:szCs w:val="32"/>
          <w:lang w:eastAsia="zh-CN"/>
        </w:rPr>
        <w:t>措施</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lang w:eastAsia="zh-CN"/>
        </w:rPr>
      </w:pP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hint="default" w:ascii="黑体" w:hAnsi="黑体" w:eastAsia="黑体"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三</w:t>
      </w:r>
      <w:r>
        <w:rPr>
          <w:rFonts w:hint="eastAsia" w:ascii="黑体" w:hAnsi="黑体" w:eastAsia="黑体" w:cs="Times New Roman"/>
          <w:snapToGrid w:val="0"/>
          <w:color w:val="auto"/>
          <w:kern w:val="0"/>
          <w:sz w:val="32"/>
          <w:szCs w:val="32"/>
        </w:rPr>
        <w:t xml:space="preserve">章 </w:t>
      </w:r>
      <w:r>
        <w:rPr>
          <w:rFonts w:ascii="黑体" w:hAnsi="黑体" w:eastAsia="黑体" w:cs="Times New Roman"/>
          <w:snapToGrid w:val="0"/>
          <w:color w:val="auto"/>
          <w:kern w:val="0"/>
          <w:sz w:val="32"/>
          <w:szCs w:val="32"/>
        </w:rPr>
        <w:t xml:space="preserve"> </w:t>
      </w:r>
      <w:r>
        <w:rPr>
          <w:rFonts w:hint="eastAsia" w:ascii="黑体" w:hAnsi="黑体" w:eastAsia="黑体" w:cs="Times New Roman"/>
          <w:color w:val="auto"/>
          <w:kern w:val="0"/>
          <w:sz w:val="32"/>
          <w:szCs w:val="32"/>
        </w:rPr>
        <w:t>特医食品</w:t>
      </w:r>
      <w:r>
        <w:rPr>
          <w:rFonts w:hint="eastAsia" w:ascii="黑体" w:hAnsi="黑体" w:eastAsia="黑体" w:cs="Times New Roman"/>
          <w:snapToGrid w:val="0"/>
          <w:color w:val="auto"/>
          <w:kern w:val="0"/>
          <w:sz w:val="32"/>
          <w:szCs w:val="32"/>
          <w:lang w:val="en-US" w:eastAsia="zh-CN"/>
        </w:rPr>
        <w:t>临床应用管理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医疗机构</w:t>
      </w:r>
      <w:r>
        <w:rPr>
          <w:rFonts w:hint="eastAsia" w:ascii="仿宋_GB2312" w:hAnsi="宋体" w:eastAsia="仿宋_GB2312" w:cs="Times New Roman"/>
          <w:snapToGrid w:val="0"/>
          <w:color w:val="auto"/>
          <w:kern w:val="0"/>
          <w:sz w:val="32"/>
          <w:szCs w:val="32"/>
          <w:lang w:val="en-US" w:eastAsia="zh-CN"/>
        </w:rPr>
        <w:t>应按相关标准</w:t>
      </w:r>
      <w:r>
        <w:rPr>
          <w:rFonts w:hint="eastAsia" w:ascii="仿宋_GB2312" w:hAnsi="宋体" w:eastAsia="仿宋_GB2312" w:cs="Times New Roman"/>
          <w:snapToGrid w:val="0"/>
          <w:color w:val="auto"/>
          <w:kern w:val="0"/>
          <w:sz w:val="32"/>
          <w:szCs w:val="32"/>
        </w:rPr>
        <w:t>配备</w:t>
      </w:r>
      <w:r>
        <w:rPr>
          <w:rFonts w:hint="eastAsia" w:ascii="仿宋_GB2312" w:hAnsi="宋体" w:eastAsia="仿宋_GB2312" w:cs="Times New Roman"/>
          <w:snapToGrid w:val="0"/>
          <w:color w:val="auto"/>
          <w:kern w:val="0"/>
          <w:sz w:val="32"/>
          <w:szCs w:val="32"/>
          <w:lang w:val="en-US" w:eastAsia="zh-CN"/>
        </w:rPr>
        <w:t>临床营养医务人员，医务人员须经</w:t>
      </w:r>
      <w:r>
        <w:rPr>
          <w:rFonts w:hint="eastAsia" w:ascii="仿宋_GB2312" w:hAnsi="宋体" w:eastAsia="仿宋_GB2312" w:cs="Times New Roman"/>
          <w:snapToGrid w:val="0"/>
          <w:color w:val="auto"/>
          <w:kern w:val="0"/>
          <w:sz w:val="32"/>
          <w:szCs w:val="32"/>
        </w:rPr>
        <w:t>特医食品临床应用知识和规范化管理培训</w:t>
      </w:r>
      <w:r>
        <w:rPr>
          <w:rFonts w:hint="eastAsia" w:ascii="仿宋_GB2312" w:hAnsi="宋体" w:eastAsia="仿宋_GB2312" w:cs="Times New Roman"/>
          <w:snapToGrid w:val="0"/>
          <w:color w:val="auto"/>
          <w:kern w:val="0"/>
          <w:sz w:val="32"/>
          <w:szCs w:val="32"/>
          <w:lang w:val="en-US" w:eastAsia="zh-CN"/>
        </w:rPr>
        <w:t>后</w:t>
      </w:r>
      <w:r>
        <w:rPr>
          <w:rFonts w:hint="eastAsia" w:ascii="仿宋_GB2312" w:hAnsi="宋体" w:eastAsia="仿宋_GB2312" w:cs="Times New Roman"/>
          <w:snapToGrid w:val="0"/>
          <w:color w:val="auto"/>
          <w:kern w:val="0"/>
          <w:sz w:val="32"/>
          <w:szCs w:val="32"/>
          <w:lang w:val="zh-CN" w:eastAsia="zh-CN"/>
        </w:rPr>
        <w:t>方可</w:t>
      </w:r>
      <w:r>
        <w:rPr>
          <w:rFonts w:hint="eastAsia" w:ascii="仿宋_GB2312" w:hAnsi="宋体" w:eastAsia="仿宋_GB2312" w:cs="Times New Roman"/>
          <w:snapToGrid w:val="0"/>
          <w:color w:val="auto"/>
          <w:kern w:val="0"/>
          <w:sz w:val="32"/>
          <w:szCs w:val="32"/>
          <w:lang w:val="en-US" w:eastAsia="zh-CN"/>
        </w:rPr>
        <w:t>开展营养诊疗活动</w:t>
      </w:r>
      <w:r>
        <w:rPr>
          <w:rFonts w:hint="eastAsia" w:ascii="仿宋_GB2312" w:hAnsi="宋体" w:eastAsia="仿宋_GB2312" w:cs="Times New Roman"/>
          <w:snapToGrid w:val="0"/>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十一</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医疗机构应</w:t>
      </w:r>
      <w:r>
        <w:rPr>
          <w:rFonts w:hint="eastAsia" w:ascii="仿宋_GB2312" w:hAnsi="宋体" w:eastAsia="仿宋_GB2312" w:cs="Times New Roman"/>
          <w:snapToGrid w:val="0"/>
          <w:color w:val="auto"/>
          <w:kern w:val="0"/>
          <w:sz w:val="32"/>
          <w:szCs w:val="32"/>
        </w:rPr>
        <w:t>建立本机构特医食品</w:t>
      </w:r>
      <w:r>
        <w:rPr>
          <w:rFonts w:hint="eastAsia" w:ascii="仿宋_GB2312" w:hAnsi="宋体" w:eastAsia="仿宋_GB2312" w:cs="Times New Roman"/>
          <w:snapToGrid w:val="0"/>
          <w:color w:val="auto"/>
          <w:kern w:val="0"/>
          <w:sz w:val="32"/>
          <w:szCs w:val="32"/>
          <w:lang w:val="en-US" w:eastAsia="zh-CN"/>
        </w:rPr>
        <w:t>原料档案、</w:t>
      </w:r>
      <w:r>
        <w:rPr>
          <w:rFonts w:hint="eastAsia" w:ascii="仿宋_GB2312" w:hAnsi="宋体" w:eastAsia="仿宋_GB2312" w:cs="Times New Roman"/>
          <w:snapToGrid w:val="0"/>
          <w:color w:val="auto"/>
          <w:kern w:val="0"/>
          <w:sz w:val="32"/>
          <w:szCs w:val="32"/>
        </w:rPr>
        <w:t>配制、配送</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留校、</w:t>
      </w:r>
      <w:r>
        <w:rPr>
          <w:rFonts w:hint="eastAsia" w:ascii="仿宋_GB2312" w:hAnsi="宋体" w:eastAsia="仿宋_GB2312" w:cs="Times New Roman"/>
          <w:snapToGrid w:val="0"/>
          <w:color w:val="auto"/>
          <w:kern w:val="0"/>
          <w:sz w:val="32"/>
          <w:szCs w:val="32"/>
        </w:rPr>
        <w:t>保管</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存储</w:t>
      </w:r>
      <w:r>
        <w:rPr>
          <w:rFonts w:hint="eastAsia" w:ascii="仿宋_GB2312" w:hAnsi="宋体" w:eastAsia="仿宋_GB2312" w:cs="Times New Roman"/>
          <w:snapToGrid w:val="0"/>
          <w:color w:val="auto"/>
          <w:kern w:val="0"/>
          <w:sz w:val="32"/>
          <w:szCs w:val="32"/>
          <w:lang w:val="en-US" w:eastAsia="zh-CN"/>
        </w:rPr>
        <w:t>及人员健康档案等制度</w:t>
      </w: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需开展肠内营养治疗的应</w:t>
      </w:r>
      <w:r>
        <w:rPr>
          <w:rFonts w:hint="eastAsia" w:ascii="仿宋_GB2312" w:hAnsi="宋体" w:eastAsia="仿宋_GB2312" w:cs="Times New Roman"/>
          <w:snapToGrid w:val="0"/>
          <w:color w:val="auto"/>
          <w:kern w:val="0"/>
          <w:sz w:val="32"/>
          <w:szCs w:val="32"/>
        </w:rPr>
        <w:t>按标准</w:t>
      </w:r>
      <w:r>
        <w:rPr>
          <w:rFonts w:hint="eastAsia" w:ascii="仿宋_GB2312" w:hAnsi="宋体" w:eastAsia="仿宋_GB2312" w:cs="Times New Roman"/>
          <w:snapToGrid w:val="0"/>
          <w:color w:val="auto"/>
          <w:kern w:val="0"/>
          <w:sz w:val="32"/>
          <w:szCs w:val="32"/>
          <w:lang w:val="en-US" w:eastAsia="zh-CN"/>
        </w:rPr>
        <w:t>建设肠内营养配制室</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患有国务院卫生健康行政部门规定的有碍食品安全疾病和其他传染性疾病的，不得从事特医食品的配制工作。</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lang w:val="en-US" w:eastAsia="zh-CN"/>
        </w:rPr>
        <w:t xml:space="preserve">第十二条  </w:t>
      </w:r>
      <w:r>
        <w:rPr>
          <w:rFonts w:hint="eastAsia" w:ascii="仿宋_GB2312" w:hAnsi="宋体" w:eastAsia="仿宋_GB2312" w:cs="Times New Roman"/>
          <w:snapToGrid w:val="0"/>
          <w:color w:val="auto"/>
          <w:kern w:val="0"/>
          <w:sz w:val="32"/>
          <w:szCs w:val="32"/>
        </w:rPr>
        <w:t>医疗机构应当建立本机构的《医疗机构</w:t>
      </w:r>
      <w:r>
        <w:rPr>
          <w:rFonts w:hint="eastAsia" w:ascii="仿宋_GB2312" w:hAnsi="宋体" w:eastAsia="仿宋_GB2312" w:cs="Times New Roman"/>
          <w:snapToGrid w:val="0"/>
          <w:color w:val="auto"/>
          <w:kern w:val="0"/>
          <w:sz w:val="32"/>
          <w:szCs w:val="32"/>
          <w:lang w:val="en-US" w:eastAsia="zh-CN"/>
        </w:rPr>
        <w:t>特殊医学用途配方食品</w:t>
      </w:r>
      <w:r>
        <w:rPr>
          <w:rFonts w:hint="eastAsia" w:ascii="仿宋_GB2312" w:hAnsi="宋体" w:eastAsia="仿宋_GB2312" w:cs="Times New Roman"/>
          <w:snapToGrid w:val="0"/>
          <w:color w:val="auto"/>
          <w:kern w:val="0"/>
          <w:sz w:val="32"/>
          <w:szCs w:val="32"/>
        </w:rPr>
        <w:t>供应目录》</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依据相关法律法规和技术规范，</w:t>
      </w:r>
      <w:r>
        <w:rPr>
          <w:rFonts w:hint="eastAsia" w:ascii="仿宋_GB2312" w:hAnsi="宋体" w:eastAsia="仿宋_GB2312" w:cs="Times New Roman"/>
          <w:snapToGrid w:val="0"/>
          <w:color w:val="auto"/>
          <w:kern w:val="0"/>
          <w:sz w:val="32"/>
          <w:szCs w:val="32"/>
        </w:rPr>
        <w:t>建立特医食品</w:t>
      </w:r>
      <w:r>
        <w:rPr>
          <w:rFonts w:hint="eastAsia" w:ascii="仿宋_GB2312" w:hAnsi="宋体" w:eastAsia="仿宋_GB2312" w:cs="Times New Roman"/>
          <w:snapToGrid w:val="0"/>
          <w:color w:val="auto"/>
          <w:kern w:val="0"/>
          <w:sz w:val="32"/>
          <w:szCs w:val="32"/>
          <w:lang w:val="en-US" w:eastAsia="zh-CN"/>
        </w:rPr>
        <w:t>产品准入、遴选、审核、评估和退出制度，规范特医食品的领取、使用和收费等管理流程。并定期编写和修订</w:t>
      </w:r>
      <w:r>
        <w:rPr>
          <w:rFonts w:hint="eastAsia" w:ascii="仿宋_GB2312" w:hAnsi="宋体" w:eastAsia="仿宋_GB2312" w:cs="Times New Roman"/>
          <w:snapToGrid w:val="0"/>
          <w:color w:val="auto"/>
          <w:kern w:val="0"/>
          <w:sz w:val="32"/>
          <w:szCs w:val="32"/>
        </w:rPr>
        <w:t>医疗机构特医食品</w:t>
      </w:r>
      <w:r>
        <w:rPr>
          <w:rFonts w:hint="eastAsia" w:ascii="仿宋_GB2312" w:hAnsi="宋体" w:eastAsia="仿宋_GB2312" w:cs="Times New Roman"/>
          <w:snapToGrid w:val="0"/>
          <w:color w:val="auto"/>
          <w:kern w:val="0"/>
          <w:sz w:val="32"/>
          <w:szCs w:val="32"/>
          <w:lang w:val="en-US" w:eastAsia="zh-CN"/>
        </w:rPr>
        <w:t>使用手册</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十三</w:t>
      </w:r>
      <w:r>
        <w:rPr>
          <w:rFonts w:hint="eastAsia" w:ascii="黑体" w:hAnsi="黑体" w:eastAsia="黑体" w:cs="Times New Roman"/>
          <w:snapToGrid w:val="0"/>
          <w:color w:val="auto"/>
          <w:kern w:val="0"/>
          <w:sz w:val="32"/>
          <w:szCs w:val="32"/>
        </w:rPr>
        <w:t>条</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医疗机构开展临床营养诊疗的相关部门应</w:t>
      </w:r>
      <w:r>
        <w:rPr>
          <w:rFonts w:hint="eastAsia" w:ascii="仿宋_GB2312" w:hAnsi="宋体" w:eastAsia="仿宋_GB2312" w:cs="Times New Roman"/>
          <w:snapToGrid w:val="0"/>
          <w:color w:val="auto"/>
          <w:kern w:val="0"/>
          <w:sz w:val="32"/>
          <w:szCs w:val="32"/>
        </w:rPr>
        <w:t>根据临床需求向</w:t>
      </w:r>
      <w:r>
        <w:rPr>
          <w:rFonts w:hint="eastAsia" w:ascii="仿宋_GB2312" w:hAnsi="宋体" w:eastAsia="仿宋_GB2312" w:cs="Times New Roman"/>
          <w:snapToGrid w:val="0"/>
          <w:color w:val="auto"/>
          <w:kern w:val="0"/>
          <w:sz w:val="32"/>
          <w:szCs w:val="32"/>
          <w:lang w:val="en-US" w:eastAsia="zh-CN"/>
        </w:rPr>
        <w:t>医疗机构</w:t>
      </w:r>
      <w:r>
        <w:rPr>
          <w:rFonts w:hint="eastAsia" w:ascii="仿宋_GB2312" w:hAnsi="宋体" w:eastAsia="仿宋_GB2312" w:cs="Times New Roman"/>
          <w:snapToGrid w:val="0"/>
          <w:color w:val="auto"/>
          <w:kern w:val="0"/>
          <w:sz w:val="32"/>
          <w:szCs w:val="32"/>
        </w:rPr>
        <w:t>FSMP</w:t>
      </w:r>
      <w:r>
        <w:rPr>
          <w:rFonts w:hint="eastAsia" w:ascii="仿宋_GB2312" w:hAnsi="宋体" w:eastAsia="仿宋_GB2312" w:cs="Times New Roman"/>
          <w:snapToGrid w:val="0"/>
          <w:color w:val="auto"/>
          <w:kern w:val="0"/>
          <w:sz w:val="32"/>
          <w:szCs w:val="32"/>
          <w:lang w:val="en-US" w:eastAsia="zh-CN"/>
        </w:rPr>
        <w:t>管理</w:t>
      </w:r>
      <w:r>
        <w:rPr>
          <w:rFonts w:hint="eastAsia" w:ascii="仿宋_GB2312" w:hAnsi="宋体" w:eastAsia="仿宋_GB2312" w:cs="Times New Roman"/>
          <w:snapToGrid w:val="0"/>
          <w:color w:val="auto"/>
          <w:kern w:val="0"/>
          <w:sz w:val="32"/>
          <w:szCs w:val="32"/>
        </w:rPr>
        <w:t>委员会提出书面申请，对符合资质的特医食品经FSMP</w:t>
      </w:r>
      <w:r>
        <w:rPr>
          <w:rFonts w:hint="eastAsia" w:ascii="仿宋_GB2312" w:hAnsi="宋体" w:eastAsia="仿宋_GB2312" w:cs="Times New Roman"/>
          <w:snapToGrid w:val="0"/>
          <w:color w:val="auto"/>
          <w:kern w:val="0"/>
          <w:sz w:val="32"/>
          <w:szCs w:val="32"/>
          <w:lang w:val="en-US" w:eastAsia="zh-CN"/>
        </w:rPr>
        <w:t>管理</w:t>
      </w:r>
      <w:r>
        <w:rPr>
          <w:rFonts w:hint="eastAsia" w:ascii="仿宋_GB2312" w:hAnsi="宋体" w:eastAsia="仿宋_GB2312" w:cs="Times New Roman"/>
          <w:snapToGrid w:val="0"/>
          <w:color w:val="auto"/>
          <w:kern w:val="0"/>
          <w:sz w:val="32"/>
          <w:szCs w:val="32"/>
        </w:rPr>
        <w:t>委员会讨论审核通过后，由医院采购部门审批采购。</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十四</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使用特医食品应当严格掌握适应症、禁忌症，按照营养诊疗流程规范应用特医食品。配制过程应严格执行工作流程及操作规范，准确称重配制，严格执行“三查七对”制度。</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第十</w:t>
      </w:r>
      <w:r>
        <w:rPr>
          <w:rFonts w:hint="eastAsia" w:ascii="黑体" w:hAnsi="黑体" w:eastAsia="黑体" w:cs="Times New Roman"/>
          <w:snapToGrid w:val="0"/>
          <w:color w:val="auto"/>
          <w:kern w:val="0"/>
          <w:sz w:val="32"/>
          <w:szCs w:val="32"/>
          <w:lang w:val="en-US" w:eastAsia="zh-CN"/>
        </w:rPr>
        <w:t>五</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医疗机构应建立定期特医食品处方审核机制，对特医食品处方的资质、适宜性、规范性等进行审核，对不合理的特医食品处方进行纠正、处理。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第十</w:t>
      </w:r>
      <w:r>
        <w:rPr>
          <w:rFonts w:hint="eastAsia" w:ascii="黑体" w:hAnsi="黑体" w:eastAsia="黑体" w:cs="Times New Roman"/>
          <w:snapToGrid w:val="0"/>
          <w:color w:val="auto"/>
          <w:kern w:val="0"/>
          <w:sz w:val="32"/>
          <w:szCs w:val="32"/>
          <w:lang w:val="en-US" w:eastAsia="zh-CN"/>
        </w:rPr>
        <w:t>六</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rPr>
        <w:t>医疗机构在使用特医食品时，应规范收费管理，收费应按照相关法律法规执行</w:t>
      </w:r>
      <w:r>
        <w:rPr>
          <w:rFonts w:hint="eastAsia" w:ascii="仿宋_GB2312" w:hAnsi="宋体" w:eastAsia="仿宋_GB2312" w:cs="Times New Roman"/>
          <w:snapToGrid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第十</w:t>
      </w:r>
      <w:r>
        <w:rPr>
          <w:rFonts w:hint="eastAsia" w:ascii="黑体" w:hAnsi="黑体" w:eastAsia="黑体" w:cs="Times New Roman"/>
          <w:snapToGrid w:val="0"/>
          <w:color w:val="auto"/>
          <w:kern w:val="0"/>
          <w:sz w:val="32"/>
          <w:szCs w:val="32"/>
          <w:lang w:val="en-US" w:eastAsia="zh-CN"/>
        </w:rPr>
        <w:t>七</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lang w:val="en-US" w:eastAsia="zh-CN"/>
        </w:rPr>
        <w:t>患者营养处方医嘱、特医食品仓储管理等信息，应与医疗机构医院信息系统（HIS）进行对接，实现特医食品全流程和规范化闭环管理。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十八</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医</w:t>
      </w:r>
      <w:r>
        <w:rPr>
          <w:rFonts w:hint="eastAsia" w:ascii="仿宋_GB2312" w:hAnsi="宋体" w:eastAsia="仿宋_GB2312" w:cs="Times New Roman"/>
          <w:snapToGrid w:val="0"/>
          <w:color w:val="auto"/>
          <w:kern w:val="0"/>
          <w:sz w:val="32"/>
          <w:szCs w:val="32"/>
          <w:lang w:val="en-US" w:eastAsia="zh-CN"/>
        </w:rPr>
        <w:t>疗机构应设立专用的特医食品仓储场所，制定特医食品仓储场所、出入库管理等制度。建立食品安全追溯体系，从具备合法经营资质生产经营单位购进特医食品，查验留存供货者的食品生产经营许可证件和产品注册证书；购进特医食品应查验产品标签、说明书并核对是否与注册内容一致，如实记录并按规定时间保存进货票据、批次检验合格证明。可以采取信息化手段采集、留存相关信息，确保可以追溯。</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十九</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医</w:t>
      </w:r>
      <w:r>
        <w:rPr>
          <w:rFonts w:hint="eastAsia" w:ascii="仿宋_GB2312" w:hAnsi="宋体" w:eastAsia="仿宋_GB2312" w:cs="Times New Roman"/>
          <w:snapToGrid w:val="0"/>
          <w:color w:val="auto"/>
          <w:kern w:val="0"/>
          <w:sz w:val="32"/>
          <w:szCs w:val="32"/>
          <w:lang w:val="en-US" w:eastAsia="zh-CN"/>
        </w:rPr>
        <w:t>疗机构应设立专门的销售区域或柜台（货架），用于贮存、陈列和销售特医食品，不得与普通食品、药品等其他商品混放销售；并在该区域或柜台（货架）显著位置设立提示牌，注明“特殊医学用途配方食品销售专区（或专柜）”字样，大小应当能使消费者醒目辨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lang w:val="en-US" w:eastAsia="zh-CN"/>
        </w:rPr>
        <w:t xml:space="preserve">第二十条  </w:t>
      </w:r>
      <w:r>
        <w:rPr>
          <w:rFonts w:hint="eastAsia" w:ascii="仿宋_GB2312" w:hAnsi="宋体" w:eastAsia="仿宋_GB2312" w:cs="Times New Roman"/>
          <w:snapToGrid w:val="0"/>
          <w:color w:val="auto"/>
          <w:kern w:val="0"/>
          <w:sz w:val="32"/>
          <w:szCs w:val="32"/>
          <w:lang w:val="en-US" w:eastAsia="zh-CN"/>
        </w:rPr>
        <w:t>医疗机构应当建立不合格特医食品处置制度，定期检查库存和货架陈列的特医食品，及时清理破损、变质或者超过保质期等不能保证其安全性和营养充足性的产品。</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lang w:val="en-US" w:eastAsia="zh-CN"/>
        </w:rPr>
        <w:t xml:space="preserve">第二十一条  </w:t>
      </w:r>
      <w:r>
        <w:rPr>
          <w:rFonts w:hint="eastAsia" w:ascii="仿宋_GB2312" w:hAnsi="宋体" w:eastAsia="仿宋_GB2312" w:cs="Times New Roman"/>
          <w:snapToGrid w:val="0"/>
          <w:color w:val="auto"/>
          <w:kern w:val="0"/>
          <w:sz w:val="32"/>
          <w:szCs w:val="32"/>
          <w:lang w:val="en-US" w:eastAsia="zh-CN"/>
        </w:rPr>
        <w:t>医疗机构应当建立不良反应记录制度。对因食用方法、产品特性、消费者个体差异等原因造成的不良反应予以收集记录，并根据有关规定和程序及时反馈给生产厂家及省临床营养质量控制机构。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lang w:val="en-US" w:eastAsia="zh-CN"/>
        </w:rPr>
        <w:t xml:space="preserve">第二十二条  </w:t>
      </w:r>
      <w:r>
        <w:rPr>
          <w:rFonts w:hint="eastAsia" w:ascii="仿宋_GB2312" w:hAnsi="宋体" w:eastAsia="仿宋_GB2312" w:cs="Times New Roman"/>
          <w:snapToGrid w:val="0"/>
          <w:color w:val="auto"/>
          <w:kern w:val="0"/>
          <w:sz w:val="32"/>
          <w:szCs w:val="32"/>
        </w:rPr>
        <w:t>FSMP管理委员会应当开展特医食品临床应用监测工作，分析本机构特医食品使用情况，评估特医食品使用合理性；对不合理使用情况及时采取有效干预措施并定期上报</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省FSMP专家</w:t>
      </w:r>
      <w:r>
        <w:rPr>
          <w:rFonts w:hint="eastAsia" w:ascii="仿宋_GB2312" w:hAnsi="宋体" w:eastAsia="仿宋_GB2312" w:cs="Times New Roman"/>
          <w:snapToGrid w:val="0"/>
          <w:color w:val="auto"/>
          <w:kern w:val="0"/>
          <w:sz w:val="32"/>
          <w:szCs w:val="32"/>
          <w:lang w:eastAsia="zh-CN"/>
        </w:rPr>
        <w:t>委员会</w:t>
      </w:r>
      <w:r>
        <w:rPr>
          <w:rFonts w:hint="eastAsia" w:ascii="仿宋_GB2312" w:hAnsi="宋体" w:eastAsia="仿宋_GB2312" w:cs="Times New Roman"/>
          <w:snapToGrid w:val="0"/>
          <w:color w:val="auto"/>
          <w:kern w:val="0"/>
          <w:sz w:val="32"/>
          <w:szCs w:val="32"/>
          <w:lang w:val="en-US" w:eastAsia="zh-CN"/>
        </w:rPr>
        <w:t>，保证食品安全。</w:t>
      </w: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第</w:t>
      </w:r>
      <w:r>
        <w:rPr>
          <w:rFonts w:hint="eastAsia" w:ascii="黑体" w:hAnsi="黑体" w:eastAsia="黑体" w:cs="Times New Roman"/>
          <w:color w:val="auto"/>
          <w:kern w:val="0"/>
          <w:sz w:val="32"/>
          <w:szCs w:val="32"/>
          <w:lang w:val="en-US" w:eastAsia="zh-CN"/>
        </w:rPr>
        <w:t>四</w:t>
      </w:r>
      <w:r>
        <w:rPr>
          <w:rFonts w:hint="eastAsia" w:ascii="黑体" w:hAnsi="黑体" w:eastAsia="黑体" w:cs="Times New Roman"/>
          <w:color w:val="auto"/>
          <w:kern w:val="0"/>
          <w:sz w:val="32"/>
          <w:szCs w:val="32"/>
        </w:rPr>
        <w:t>章  监督管理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黑体"/>
          <w:snapToGrid w:val="0"/>
          <w:color w:val="auto"/>
          <w:kern w:val="0"/>
          <w:sz w:val="32"/>
          <w:szCs w:val="32"/>
        </w:rPr>
        <w:t>二十</w:t>
      </w:r>
      <w:r>
        <w:rPr>
          <w:rFonts w:hint="eastAsia" w:ascii="黑体" w:hAnsi="黑体" w:eastAsia="黑体" w:cs="黑体"/>
          <w:snapToGrid w:val="0"/>
          <w:color w:val="auto"/>
          <w:kern w:val="0"/>
          <w:sz w:val="32"/>
          <w:szCs w:val="32"/>
          <w:lang w:val="en-US" w:eastAsia="zh-CN"/>
        </w:rPr>
        <w:t>三</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卫生健康行政部门</w:t>
      </w:r>
      <w:r>
        <w:rPr>
          <w:rFonts w:hint="eastAsia" w:ascii="仿宋_GB2312" w:hAnsi="仿宋_GB2312" w:eastAsia="仿宋_GB2312" w:cs="仿宋_GB2312"/>
          <w:snapToGrid w:val="0"/>
          <w:color w:val="auto"/>
          <w:kern w:val="0"/>
          <w:sz w:val="32"/>
          <w:szCs w:val="32"/>
          <w:lang w:val="en-US" w:eastAsia="zh-CN"/>
        </w:rPr>
        <w:t>负责组织开展临床营养评估、考核及质量控制等监督管理工作</w:t>
      </w:r>
      <w:r>
        <w:rPr>
          <w:rFonts w:hint="eastAsia" w:ascii="仿宋_GB2312" w:hAnsi="仿宋_GB2312" w:eastAsia="仿宋_GB2312" w:cs="仿宋_GB2312"/>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省临床营养质量控制中心负责</w:t>
      </w:r>
      <w:r>
        <w:rPr>
          <w:rFonts w:hint="eastAsia" w:ascii="仿宋_GB2312" w:hAnsi="宋体" w:eastAsia="仿宋_GB2312" w:cs="Times New Roman"/>
          <w:snapToGrid w:val="0"/>
          <w:color w:val="auto"/>
          <w:kern w:val="0"/>
          <w:sz w:val="32"/>
          <w:szCs w:val="32"/>
          <w:lang w:val="en-US" w:eastAsia="zh-CN"/>
        </w:rPr>
        <w:t>配合卫生健康行政部门</w:t>
      </w:r>
      <w:r>
        <w:rPr>
          <w:rFonts w:hint="eastAsia" w:ascii="仿宋_GB2312" w:hAnsi="仿宋_GB2312" w:eastAsia="仿宋_GB2312" w:cs="仿宋_GB2312"/>
          <w:snapToGrid w:val="0"/>
          <w:color w:val="auto"/>
          <w:kern w:val="0"/>
          <w:sz w:val="32"/>
          <w:szCs w:val="32"/>
          <w:lang w:val="en-US" w:eastAsia="zh-CN"/>
        </w:rPr>
        <w:t>开展临床营养评估、考核及质量控制等监督管理工作，并对医疗机构</w:t>
      </w:r>
      <w:r>
        <w:rPr>
          <w:rFonts w:hint="eastAsia" w:ascii="仿宋_GB2312" w:hAnsi="宋体" w:eastAsia="仿宋_GB2312" w:cs="Times New Roman"/>
          <w:snapToGrid w:val="0"/>
          <w:color w:val="auto"/>
          <w:kern w:val="0"/>
          <w:sz w:val="32"/>
          <w:szCs w:val="32"/>
        </w:rPr>
        <w:t>特医食品临床应用</w:t>
      </w:r>
      <w:r>
        <w:rPr>
          <w:rFonts w:hint="eastAsia" w:ascii="仿宋_GB2312" w:hAnsi="宋体" w:eastAsia="仿宋_GB2312" w:cs="Times New Roman"/>
          <w:snapToGrid w:val="0"/>
          <w:color w:val="auto"/>
          <w:kern w:val="0"/>
          <w:sz w:val="32"/>
          <w:szCs w:val="32"/>
          <w:lang w:val="en-US" w:eastAsia="zh-CN"/>
        </w:rPr>
        <w:t>进行</w:t>
      </w:r>
      <w:r>
        <w:rPr>
          <w:rFonts w:hint="eastAsia" w:ascii="仿宋_GB2312" w:hAnsi="宋体" w:eastAsia="仿宋_GB2312" w:cs="Times New Roman"/>
          <w:snapToGrid w:val="0"/>
          <w:color w:val="auto"/>
          <w:kern w:val="0"/>
          <w:sz w:val="32"/>
          <w:szCs w:val="32"/>
        </w:rPr>
        <w:t>日常</w:t>
      </w:r>
      <w:r>
        <w:rPr>
          <w:rFonts w:hint="eastAsia" w:ascii="仿宋_GB2312" w:hAnsi="宋体" w:eastAsia="仿宋_GB2312" w:cs="Times New Roman"/>
          <w:snapToGrid w:val="0"/>
          <w:color w:val="auto"/>
          <w:kern w:val="0"/>
          <w:sz w:val="32"/>
          <w:szCs w:val="32"/>
          <w:lang w:val="en-US" w:eastAsia="zh-CN"/>
        </w:rPr>
        <w:t>指导、监管</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黑体" w:hAnsi="黑体" w:eastAsia="黑体" w:cs="黑体"/>
          <w:snapToGrid w:val="0"/>
          <w:color w:val="auto"/>
          <w:kern w:val="0"/>
          <w:sz w:val="32"/>
          <w:szCs w:val="32"/>
        </w:rPr>
        <w:t>第二十</w:t>
      </w:r>
      <w:r>
        <w:rPr>
          <w:rFonts w:hint="eastAsia" w:ascii="黑体" w:hAnsi="黑体" w:eastAsia="黑体" w:cs="黑体"/>
          <w:snapToGrid w:val="0"/>
          <w:color w:val="auto"/>
          <w:kern w:val="0"/>
          <w:sz w:val="32"/>
          <w:szCs w:val="32"/>
          <w:lang w:val="en-US" w:eastAsia="zh-CN"/>
        </w:rPr>
        <w:t>四</w:t>
      </w:r>
      <w:r>
        <w:rPr>
          <w:rFonts w:hint="eastAsia" w:ascii="黑体" w:hAnsi="黑体" w:eastAsia="黑体" w:cs="黑体"/>
          <w:snapToGrid w:val="0"/>
          <w:color w:val="auto"/>
          <w:kern w:val="0"/>
          <w:sz w:val="32"/>
          <w:szCs w:val="32"/>
        </w:rPr>
        <w:t>条</w:t>
      </w:r>
      <w:r>
        <w:rPr>
          <w:rFonts w:hint="eastAsia" w:ascii="黑体" w:hAnsi="黑体" w:eastAsia="黑体" w:cs="黑体"/>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市场监管部门负责</w:t>
      </w:r>
      <w:r>
        <w:rPr>
          <w:rFonts w:hint="eastAsia" w:ascii="仿宋_GB2312" w:hAnsi="仿宋_GB2312" w:eastAsia="仿宋_GB2312" w:cs="仿宋_GB2312"/>
          <w:snapToGrid w:val="0"/>
          <w:color w:val="auto"/>
          <w:kern w:val="0"/>
          <w:sz w:val="32"/>
          <w:szCs w:val="32"/>
          <w:lang w:val="en-US" w:eastAsia="zh-CN"/>
        </w:rPr>
        <w:t>对</w:t>
      </w:r>
      <w:r>
        <w:rPr>
          <w:rFonts w:hint="eastAsia" w:ascii="仿宋_GB2312" w:hAnsi="宋体" w:eastAsia="仿宋_GB2312" w:cs="Times New Roman"/>
          <w:snapToGrid w:val="0"/>
          <w:color w:val="auto"/>
          <w:kern w:val="0"/>
          <w:sz w:val="32"/>
          <w:szCs w:val="32"/>
          <w:lang w:val="en-US" w:eastAsia="zh-CN"/>
        </w:rPr>
        <w:t>医疗机构经营销售</w:t>
      </w:r>
      <w:r>
        <w:rPr>
          <w:rFonts w:hint="eastAsia" w:ascii="仿宋_GB2312" w:hAnsi="宋体" w:eastAsia="仿宋_GB2312" w:cs="Times New Roman"/>
          <w:snapToGrid w:val="0"/>
          <w:color w:val="auto"/>
          <w:kern w:val="0"/>
          <w:sz w:val="32"/>
          <w:szCs w:val="32"/>
        </w:rPr>
        <w:t>特医食品监督管理。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rPr>
        <w:t>第二十</w:t>
      </w:r>
      <w:r>
        <w:rPr>
          <w:rFonts w:hint="eastAsia" w:ascii="黑体" w:hAnsi="黑体" w:eastAsia="黑体" w:cs="黑体"/>
          <w:snapToGrid w:val="0"/>
          <w:color w:val="auto"/>
          <w:kern w:val="0"/>
          <w:sz w:val="32"/>
          <w:szCs w:val="32"/>
          <w:lang w:val="en-US" w:eastAsia="zh-CN"/>
        </w:rPr>
        <w:t>五</w:t>
      </w:r>
      <w:r>
        <w:rPr>
          <w:rFonts w:hint="eastAsia" w:ascii="黑体" w:hAnsi="黑体" w:eastAsia="黑体" w:cs="黑体"/>
          <w:snapToGrid w:val="0"/>
          <w:color w:val="auto"/>
          <w:kern w:val="0"/>
          <w:sz w:val="32"/>
          <w:szCs w:val="32"/>
        </w:rPr>
        <w:t>条</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rPr>
        <w:t>医疗保障部门负责</w:t>
      </w:r>
      <w:r>
        <w:rPr>
          <w:rFonts w:hint="eastAsia" w:ascii="仿宋_GB2312" w:hAnsi="宋体" w:eastAsia="仿宋_GB2312" w:cs="Times New Roman"/>
          <w:snapToGrid w:val="0"/>
          <w:color w:val="auto"/>
          <w:kern w:val="0"/>
          <w:sz w:val="32"/>
          <w:szCs w:val="32"/>
          <w:lang w:val="en-US" w:eastAsia="zh-CN"/>
        </w:rPr>
        <w:t>指导医疗机构做好临床营养医疗服务价格项目管理</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napToGrid w:val="0"/>
          <w:color w:val="auto"/>
          <w:kern w:val="0"/>
          <w:sz w:val="32"/>
          <w:szCs w:val="32"/>
        </w:rPr>
      </w:pPr>
      <w:r>
        <w:rPr>
          <w:rFonts w:hint="eastAsia" w:ascii="黑体" w:hAnsi="黑体" w:eastAsia="黑体" w:cs="黑体"/>
          <w:snapToGrid w:val="0"/>
          <w:color w:val="auto"/>
          <w:kern w:val="0"/>
          <w:sz w:val="32"/>
          <w:szCs w:val="32"/>
          <w:lang w:val="en-US" w:eastAsia="zh-CN"/>
        </w:rPr>
        <w:t>第二十六条</w:t>
      </w:r>
      <w:r>
        <w:rPr>
          <w:rFonts w:hint="eastAsia" w:ascii="仿宋_GB2312" w:hAnsi="仿宋_GB2312" w:eastAsia="仿宋_GB2312" w:cs="仿宋_GB2312"/>
          <w:snapToGrid w:val="0"/>
          <w:color w:val="auto"/>
          <w:kern w:val="0"/>
          <w:sz w:val="32"/>
          <w:szCs w:val="32"/>
          <w:lang w:val="en-US" w:eastAsia="zh-CN"/>
        </w:rPr>
        <w:t xml:space="preserve">  医疗机构应当积极配合卫生健康行政部门、市场监督部门及医疗保障部门依据本部门工作职责组织开展的监督管理工作，不得拒绝和阻挠，不得提供虚假材料。</w:t>
      </w: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 xml:space="preserve">第五章 </w:t>
      </w:r>
      <w:r>
        <w:rPr>
          <w:rFonts w:ascii="黑体" w:hAnsi="黑体" w:eastAsia="黑体" w:cs="Times New Roman"/>
          <w:color w:val="auto"/>
          <w:kern w:val="0"/>
          <w:sz w:val="32"/>
          <w:szCs w:val="32"/>
        </w:rPr>
        <w:t xml:space="preserve"> </w:t>
      </w:r>
      <w:r>
        <w:rPr>
          <w:rFonts w:hint="eastAsia" w:ascii="黑体" w:hAnsi="黑体" w:eastAsia="黑体" w:cs="Times New Roman"/>
          <w:color w:val="auto"/>
          <w:kern w:val="0"/>
          <w:sz w:val="32"/>
          <w:szCs w:val="32"/>
        </w:rPr>
        <w:t xml:space="preserve">附 </w:t>
      </w:r>
      <w:r>
        <w:rPr>
          <w:rFonts w:ascii="黑体" w:hAnsi="黑体" w:eastAsia="黑体" w:cs="Times New Roman"/>
          <w:color w:val="auto"/>
          <w:kern w:val="0"/>
          <w:sz w:val="32"/>
          <w:szCs w:val="32"/>
        </w:rPr>
        <w:t xml:space="preserve"> </w:t>
      </w:r>
      <w:r>
        <w:rPr>
          <w:rFonts w:hint="eastAsia" w:ascii="黑体" w:hAnsi="黑体" w:eastAsia="黑体" w:cs="Times New Roman"/>
          <w:color w:val="auto"/>
          <w:kern w:val="0"/>
          <w:sz w:val="32"/>
          <w:szCs w:val="32"/>
        </w:rPr>
        <w:t>则</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第二十</w:t>
      </w:r>
      <w:r>
        <w:rPr>
          <w:rFonts w:hint="eastAsia" w:ascii="黑体" w:hAnsi="黑体" w:eastAsia="黑体" w:cs="Times New Roman"/>
          <w:snapToGrid w:val="0"/>
          <w:color w:val="auto"/>
          <w:kern w:val="0"/>
          <w:sz w:val="32"/>
          <w:szCs w:val="32"/>
          <w:lang w:val="en-US" w:eastAsia="zh-CN"/>
        </w:rPr>
        <w:t>七</w:t>
      </w:r>
      <w:r>
        <w:rPr>
          <w:rFonts w:hint="eastAsia" w:ascii="黑体" w:hAnsi="黑体" w:eastAsia="黑体" w:cs="Times New Roman"/>
          <w:snapToGrid w:val="0"/>
          <w:color w:val="auto"/>
          <w:kern w:val="0"/>
          <w:sz w:val="32"/>
          <w:szCs w:val="32"/>
        </w:rPr>
        <w:t>条</w:t>
      </w:r>
      <w:r>
        <w:rPr>
          <w:rFonts w:hint="eastAsia" w:ascii="仿宋_GB2312" w:hAnsi="宋体" w:eastAsia="仿宋_GB2312" w:cs="Times New Roman"/>
          <w:snapToGrid w:val="0"/>
          <w:color w:val="auto"/>
          <w:kern w:val="0"/>
          <w:sz w:val="32"/>
          <w:szCs w:val="32"/>
        </w:rPr>
        <w:t xml:space="preserve">  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由</w:t>
      </w:r>
      <w:r>
        <w:rPr>
          <w:rFonts w:hint="eastAsia" w:ascii="仿宋_GB2312" w:hAnsi="宋体" w:eastAsia="仿宋_GB2312" w:cs="Times New Roman"/>
          <w:snapToGrid w:val="0"/>
          <w:color w:val="auto"/>
          <w:kern w:val="0"/>
          <w:sz w:val="32"/>
          <w:szCs w:val="32"/>
          <w:lang w:val="en-US" w:eastAsia="zh-CN"/>
        </w:rPr>
        <w:t>贵州省卫生健康委员会、贵州省市场监督管理局、贵州省医疗保障局依据各自职责负责</w:t>
      </w:r>
      <w:r>
        <w:rPr>
          <w:rFonts w:hint="eastAsia" w:ascii="仿宋_GB2312" w:hAnsi="宋体" w:eastAsia="仿宋_GB2312" w:cs="Times New Roman"/>
          <w:snapToGrid w:val="0"/>
          <w:color w:val="auto"/>
          <w:kern w:val="0"/>
          <w:sz w:val="32"/>
          <w:szCs w:val="32"/>
        </w:rPr>
        <w:t>解释。</w:t>
      </w:r>
      <w:r>
        <w:rPr>
          <w:rFonts w:hint="eastAsia" w:ascii="仿宋_GB2312" w:hAnsi="宋体" w:eastAsia="仿宋_GB2312" w:cs="Times New Roman"/>
          <w:snapToGrid w:val="0"/>
          <w:color w:val="auto"/>
          <w:kern w:val="0"/>
          <w:sz w:val="32"/>
          <w:szCs w:val="32"/>
          <w:lang w:eastAsia="zh-CN"/>
        </w:rPr>
        <w:t>法律法规</w:t>
      </w:r>
      <w:r>
        <w:rPr>
          <w:rFonts w:hint="eastAsia" w:ascii="仿宋_GB2312" w:hAnsi="宋体" w:eastAsia="仿宋_GB2312" w:cs="Times New Roman"/>
          <w:snapToGrid w:val="0"/>
          <w:color w:val="auto"/>
          <w:kern w:val="0"/>
          <w:sz w:val="32"/>
          <w:szCs w:val="32"/>
          <w:lang w:val="en-US" w:eastAsia="zh-CN"/>
        </w:rPr>
        <w:t>、规章和食品安全国家标准另有规定的，从其规定。</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宋体" w:hAnsi="宋体" w:eastAsia="仿宋_GB2312" w:cs="Times New Roman"/>
          <w:snapToGrid w:val="0"/>
          <w:color w:val="auto"/>
          <w:kern w:val="0"/>
          <w:sz w:val="32"/>
          <w:szCs w:val="32"/>
          <w:lang w:val="en-US" w:eastAsia="zh-CN"/>
        </w:rPr>
      </w:pPr>
      <w:bookmarkStart w:id="1" w:name="_GoBack"/>
      <w:bookmarkEnd w:id="1"/>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二十八</w:t>
      </w:r>
      <w:r>
        <w:rPr>
          <w:rFonts w:hint="eastAsia" w:ascii="黑体" w:hAnsi="黑体" w:eastAsia="黑体" w:cs="Times New Roman"/>
          <w:snapToGrid w:val="0"/>
          <w:color w:val="auto"/>
          <w:kern w:val="0"/>
          <w:sz w:val="32"/>
          <w:szCs w:val="32"/>
        </w:rPr>
        <w:t>条</w:t>
      </w:r>
      <w:r>
        <w:rPr>
          <w:rFonts w:hint="eastAsia" w:ascii="仿宋_GB2312" w:hAnsi="宋体" w:eastAsia="仿宋_GB2312" w:cs="Times New Roman"/>
          <w:snapToGrid w:val="0"/>
          <w:color w:val="auto"/>
          <w:kern w:val="0"/>
          <w:sz w:val="32"/>
          <w:szCs w:val="32"/>
        </w:rPr>
        <w:t xml:space="preserve">  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自下发之日起施行。</w:t>
      </w:r>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NjQ2MTJlODViNGIxMjM2MDJjYzVmMGUyODM1ODkifQ=="/>
  </w:docVars>
  <w:rsids>
    <w:rsidRoot w:val="00130606"/>
    <w:rsid w:val="00130606"/>
    <w:rsid w:val="00176086"/>
    <w:rsid w:val="00176C27"/>
    <w:rsid w:val="001C4812"/>
    <w:rsid w:val="001D52F6"/>
    <w:rsid w:val="002A74F5"/>
    <w:rsid w:val="00317329"/>
    <w:rsid w:val="0036746A"/>
    <w:rsid w:val="003961CF"/>
    <w:rsid w:val="00413D12"/>
    <w:rsid w:val="00433B42"/>
    <w:rsid w:val="00496837"/>
    <w:rsid w:val="004C01A8"/>
    <w:rsid w:val="004E1855"/>
    <w:rsid w:val="00594D16"/>
    <w:rsid w:val="00602E83"/>
    <w:rsid w:val="00635275"/>
    <w:rsid w:val="00644EE1"/>
    <w:rsid w:val="00704A4F"/>
    <w:rsid w:val="007A61F4"/>
    <w:rsid w:val="007C07CD"/>
    <w:rsid w:val="007C6C8D"/>
    <w:rsid w:val="00835B96"/>
    <w:rsid w:val="008369FB"/>
    <w:rsid w:val="00862899"/>
    <w:rsid w:val="008A27BD"/>
    <w:rsid w:val="008B040F"/>
    <w:rsid w:val="008B6F6A"/>
    <w:rsid w:val="009E6185"/>
    <w:rsid w:val="00A93163"/>
    <w:rsid w:val="00AA562C"/>
    <w:rsid w:val="00B048DE"/>
    <w:rsid w:val="00B04BEB"/>
    <w:rsid w:val="00B4245C"/>
    <w:rsid w:val="00CF733A"/>
    <w:rsid w:val="00D050CE"/>
    <w:rsid w:val="00D27364"/>
    <w:rsid w:val="00D44664"/>
    <w:rsid w:val="00D73F0D"/>
    <w:rsid w:val="00DF6431"/>
    <w:rsid w:val="00E12A3E"/>
    <w:rsid w:val="00EF75F6"/>
    <w:rsid w:val="00FF061D"/>
    <w:rsid w:val="01370BB0"/>
    <w:rsid w:val="01C97E89"/>
    <w:rsid w:val="021D5ABD"/>
    <w:rsid w:val="024040B1"/>
    <w:rsid w:val="02452286"/>
    <w:rsid w:val="027B3F77"/>
    <w:rsid w:val="04680C46"/>
    <w:rsid w:val="054357F5"/>
    <w:rsid w:val="05833793"/>
    <w:rsid w:val="060E2463"/>
    <w:rsid w:val="06624AC3"/>
    <w:rsid w:val="069B2F85"/>
    <w:rsid w:val="0726083A"/>
    <w:rsid w:val="079B6CD3"/>
    <w:rsid w:val="07D67A3F"/>
    <w:rsid w:val="07E61AEF"/>
    <w:rsid w:val="08230510"/>
    <w:rsid w:val="082F6E96"/>
    <w:rsid w:val="08892414"/>
    <w:rsid w:val="08F01383"/>
    <w:rsid w:val="090D639C"/>
    <w:rsid w:val="09211028"/>
    <w:rsid w:val="093B1200"/>
    <w:rsid w:val="09A164BE"/>
    <w:rsid w:val="09E21A61"/>
    <w:rsid w:val="09EB50A9"/>
    <w:rsid w:val="0B23013D"/>
    <w:rsid w:val="0BE544D4"/>
    <w:rsid w:val="0C197043"/>
    <w:rsid w:val="0CC97E22"/>
    <w:rsid w:val="0D204709"/>
    <w:rsid w:val="0E6B5C3D"/>
    <w:rsid w:val="0E931F32"/>
    <w:rsid w:val="0E9A7F65"/>
    <w:rsid w:val="0EAB1D6C"/>
    <w:rsid w:val="0EB83C54"/>
    <w:rsid w:val="0ED97F1C"/>
    <w:rsid w:val="0F0942D3"/>
    <w:rsid w:val="0FC079EC"/>
    <w:rsid w:val="101D245E"/>
    <w:rsid w:val="113028FF"/>
    <w:rsid w:val="114E34D8"/>
    <w:rsid w:val="12C5230C"/>
    <w:rsid w:val="12CA7F7B"/>
    <w:rsid w:val="13D77A3D"/>
    <w:rsid w:val="14735B1A"/>
    <w:rsid w:val="151856A4"/>
    <w:rsid w:val="163E0BF7"/>
    <w:rsid w:val="16CA6691"/>
    <w:rsid w:val="188872B0"/>
    <w:rsid w:val="18936C9D"/>
    <w:rsid w:val="1902061E"/>
    <w:rsid w:val="195468CF"/>
    <w:rsid w:val="19A33226"/>
    <w:rsid w:val="19F751D1"/>
    <w:rsid w:val="1A3D5D34"/>
    <w:rsid w:val="1B366115"/>
    <w:rsid w:val="1C224F5F"/>
    <w:rsid w:val="1DB33259"/>
    <w:rsid w:val="1EE976CB"/>
    <w:rsid w:val="1FE01D93"/>
    <w:rsid w:val="204360AC"/>
    <w:rsid w:val="2092582A"/>
    <w:rsid w:val="20963088"/>
    <w:rsid w:val="20AB5083"/>
    <w:rsid w:val="20C15701"/>
    <w:rsid w:val="214A59E7"/>
    <w:rsid w:val="214D3FF1"/>
    <w:rsid w:val="21CD364C"/>
    <w:rsid w:val="229E4B03"/>
    <w:rsid w:val="22C11059"/>
    <w:rsid w:val="22D47665"/>
    <w:rsid w:val="22E36145"/>
    <w:rsid w:val="238C58FE"/>
    <w:rsid w:val="23BE5D31"/>
    <w:rsid w:val="23DC1BBC"/>
    <w:rsid w:val="24003FEB"/>
    <w:rsid w:val="242E78CA"/>
    <w:rsid w:val="24721253"/>
    <w:rsid w:val="24A74747"/>
    <w:rsid w:val="24EA628D"/>
    <w:rsid w:val="25FC1475"/>
    <w:rsid w:val="26196C2C"/>
    <w:rsid w:val="261A4766"/>
    <w:rsid w:val="26CD537A"/>
    <w:rsid w:val="274D0225"/>
    <w:rsid w:val="27E55818"/>
    <w:rsid w:val="28845E9A"/>
    <w:rsid w:val="289E7658"/>
    <w:rsid w:val="28E4093C"/>
    <w:rsid w:val="2A091A9A"/>
    <w:rsid w:val="2AA86BCA"/>
    <w:rsid w:val="2BF81910"/>
    <w:rsid w:val="2C5832F9"/>
    <w:rsid w:val="2D314704"/>
    <w:rsid w:val="2F717C9B"/>
    <w:rsid w:val="2F942AAA"/>
    <w:rsid w:val="2FD14504"/>
    <w:rsid w:val="2FEF4E37"/>
    <w:rsid w:val="300B6A9A"/>
    <w:rsid w:val="305500BD"/>
    <w:rsid w:val="3157060F"/>
    <w:rsid w:val="31CF3C3A"/>
    <w:rsid w:val="31F07579"/>
    <w:rsid w:val="324F4397"/>
    <w:rsid w:val="32B47C53"/>
    <w:rsid w:val="33816BF5"/>
    <w:rsid w:val="33F179F4"/>
    <w:rsid w:val="343520DA"/>
    <w:rsid w:val="351F06F8"/>
    <w:rsid w:val="353232FD"/>
    <w:rsid w:val="36052770"/>
    <w:rsid w:val="36BB6E77"/>
    <w:rsid w:val="385F61AB"/>
    <w:rsid w:val="39143B0C"/>
    <w:rsid w:val="396C1483"/>
    <w:rsid w:val="399B0935"/>
    <w:rsid w:val="3A624EAD"/>
    <w:rsid w:val="3B2A4630"/>
    <w:rsid w:val="3BB03D15"/>
    <w:rsid w:val="3D397DF1"/>
    <w:rsid w:val="3E0E5DBF"/>
    <w:rsid w:val="3E465ACB"/>
    <w:rsid w:val="3F335800"/>
    <w:rsid w:val="3F4B243D"/>
    <w:rsid w:val="3F964F11"/>
    <w:rsid w:val="3FC92599"/>
    <w:rsid w:val="3FE33773"/>
    <w:rsid w:val="3FFD54A7"/>
    <w:rsid w:val="403A3E95"/>
    <w:rsid w:val="40CE6434"/>
    <w:rsid w:val="4198365B"/>
    <w:rsid w:val="41AC7B38"/>
    <w:rsid w:val="42A447B3"/>
    <w:rsid w:val="42B852E1"/>
    <w:rsid w:val="42C26D91"/>
    <w:rsid w:val="42F84C21"/>
    <w:rsid w:val="43310A0B"/>
    <w:rsid w:val="43AE7EBE"/>
    <w:rsid w:val="43BA1E27"/>
    <w:rsid w:val="44D41B19"/>
    <w:rsid w:val="450B25E2"/>
    <w:rsid w:val="457E6D09"/>
    <w:rsid w:val="46416A8D"/>
    <w:rsid w:val="46F22C59"/>
    <w:rsid w:val="46F64EA8"/>
    <w:rsid w:val="47570E46"/>
    <w:rsid w:val="476B79CF"/>
    <w:rsid w:val="47962ECA"/>
    <w:rsid w:val="48920AC2"/>
    <w:rsid w:val="498247FA"/>
    <w:rsid w:val="49A73AE6"/>
    <w:rsid w:val="4ABE6EE5"/>
    <w:rsid w:val="4C39745C"/>
    <w:rsid w:val="4C5444FB"/>
    <w:rsid w:val="4DD94122"/>
    <w:rsid w:val="4F6A509C"/>
    <w:rsid w:val="4FA00EEC"/>
    <w:rsid w:val="4FBC6176"/>
    <w:rsid w:val="503A7A80"/>
    <w:rsid w:val="50836406"/>
    <w:rsid w:val="50A4549B"/>
    <w:rsid w:val="51014595"/>
    <w:rsid w:val="5107792E"/>
    <w:rsid w:val="510E7E46"/>
    <w:rsid w:val="520F6D33"/>
    <w:rsid w:val="527F46D5"/>
    <w:rsid w:val="52934F48"/>
    <w:rsid w:val="53537388"/>
    <w:rsid w:val="53E41978"/>
    <w:rsid w:val="541003A7"/>
    <w:rsid w:val="546A26AC"/>
    <w:rsid w:val="54972875"/>
    <w:rsid w:val="54A40322"/>
    <w:rsid w:val="550631FF"/>
    <w:rsid w:val="56325EED"/>
    <w:rsid w:val="56363149"/>
    <w:rsid w:val="570C0A30"/>
    <w:rsid w:val="57422B77"/>
    <w:rsid w:val="579665FF"/>
    <w:rsid w:val="57A05BC6"/>
    <w:rsid w:val="57AC21D2"/>
    <w:rsid w:val="58163F70"/>
    <w:rsid w:val="5831612E"/>
    <w:rsid w:val="5A4A34E7"/>
    <w:rsid w:val="5AD730E2"/>
    <w:rsid w:val="5ADB7E25"/>
    <w:rsid w:val="5AF16E66"/>
    <w:rsid w:val="5AF62AF9"/>
    <w:rsid w:val="5B9562F2"/>
    <w:rsid w:val="5BBE1377"/>
    <w:rsid w:val="5C3926EB"/>
    <w:rsid w:val="5C5912C5"/>
    <w:rsid w:val="5C8146E7"/>
    <w:rsid w:val="5D9634D3"/>
    <w:rsid w:val="5D9803BD"/>
    <w:rsid w:val="5DA12D71"/>
    <w:rsid w:val="5E156046"/>
    <w:rsid w:val="5E2474D2"/>
    <w:rsid w:val="5E3E6CEE"/>
    <w:rsid w:val="5EEE1458"/>
    <w:rsid w:val="5F5F21F0"/>
    <w:rsid w:val="5FFD7074"/>
    <w:rsid w:val="604B6C4B"/>
    <w:rsid w:val="60842DB5"/>
    <w:rsid w:val="60C37D5F"/>
    <w:rsid w:val="62745A3E"/>
    <w:rsid w:val="627F2F47"/>
    <w:rsid w:val="62B242E2"/>
    <w:rsid w:val="62D660DD"/>
    <w:rsid w:val="62EA604C"/>
    <w:rsid w:val="63571FC1"/>
    <w:rsid w:val="63A65EBE"/>
    <w:rsid w:val="63FD29FE"/>
    <w:rsid w:val="652703A2"/>
    <w:rsid w:val="6531066C"/>
    <w:rsid w:val="6548168F"/>
    <w:rsid w:val="65F966DF"/>
    <w:rsid w:val="6694487E"/>
    <w:rsid w:val="67601769"/>
    <w:rsid w:val="678C4C27"/>
    <w:rsid w:val="67EC5502"/>
    <w:rsid w:val="680E7C58"/>
    <w:rsid w:val="69442736"/>
    <w:rsid w:val="698232BF"/>
    <w:rsid w:val="6A057C0E"/>
    <w:rsid w:val="6A213DEF"/>
    <w:rsid w:val="6A3D6867"/>
    <w:rsid w:val="6AD457A6"/>
    <w:rsid w:val="6BA55D9E"/>
    <w:rsid w:val="6BBA50C8"/>
    <w:rsid w:val="6D2C332E"/>
    <w:rsid w:val="6E1C625B"/>
    <w:rsid w:val="6F015307"/>
    <w:rsid w:val="702D0694"/>
    <w:rsid w:val="703920AA"/>
    <w:rsid w:val="70562839"/>
    <w:rsid w:val="708A4C02"/>
    <w:rsid w:val="70FF4551"/>
    <w:rsid w:val="719175FC"/>
    <w:rsid w:val="72550CB9"/>
    <w:rsid w:val="73A632EA"/>
    <w:rsid w:val="73F01E92"/>
    <w:rsid w:val="74153A4B"/>
    <w:rsid w:val="74512C0D"/>
    <w:rsid w:val="746D7468"/>
    <w:rsid w:val="74C556E7"/>
    <w:rsid w:val="75A205F9"/>
    <w:rsid w:val="75A9413C"/>
    <w:rsid w:val="76C4262A"/>
    <w:rsid w:val="772217A4"/>
    <w:rsid w:val="773F5873"/>
    <w:rsid w:val="78751C69"/>
    <w:rsid w:val="788C56B0"/>
    <w:rsid w:val="79E71D50"/>
    <w:rsid w:val="7AF72273"/>
    <w:rsid w:val="7B6E58B3"/>
    <w:rsid w:val="7CB43F60"/>
    <w:rsid w:val="7D6F468A"/>
    <w:rsid w:val="7E9C3D3E"/>
    <w:rsid w:val="7EEB7351"/>
    <w:rsid w:val="7FC922CF"/>
    <w:rsid w:val="7FD45535"/>
    <w:rsid w:val="7FE9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2872</Words>
  <Characters>2934</Characters>
  <Lines>22</Lines>
  <Paragraphs>6</Paragraphs>
  <TotalTime>1</TotalTime>
  <ScaleCrop>false</ScaleCrop>
  <LinksUpToDate>false</LinksUpToDate>
  <CharactersWithSpaces>3015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2021-05-08T11:26:00Z</dcterms:created>
  <dc:creator>lyx</dc:creator>
  <cp:lastModifiedBy>省卫健委</cp:lastModifiedBy>
  <cp:lastPrinted>2020-11-02T00:42:00Z</cp:lastPrinted>
  <dcterms:modified xsi:type="dcterms:W3CDTF">2023-11-30T09:29:46Z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F21E53383C604E429DF2496D0B1EDCC1</vt:lpwstr>
  </property>
  <property fmtid="{D5CDD505-2E9C-101B-9397-08002B2CF9AE}" pid="4" name="KSOSaveFontToCloudKey">
    <vt:lpwstr>520393701_btnclosed</vt:lpwstr>
  </property>
</Properties>
</file>