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20"/>
        </w:tabs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广西壮族自治区医疗机构抗菌药物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临床应用备案表</w:t>
      </w:r>
    </w:p>
    <w:p>
      <w:pPr>
        <w:spacing w:line="600" w:lineRule="exact"/>
        <w:jc w:val="center"/>
        <w:rPr>
          <w:b/>
          <w:sz w:val="36"/>
          <w:szCs w:val="36"/>
        </w:rPr>
      </w:pPr>
    </w:p>
    <w:tbl>
      <w:tblPr>
        <w:tblStyle w:val="7"/>
        <w:tblW w:w="883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医疗机构名称（盖章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抗菌药物通用名称：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剂型：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1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单位价格：</w:t>
            </w:r>
          </w:p>
        </w:tc>
        <w:tc>
          <w:tcPr>
            <w:tcW w:w="47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分级管理级别：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8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883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申请使用该品种的原因及循证医学依据（可另附页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883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医疗机构药事管理与药物治疗学委员会（组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>意见（可另附页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ind w:firstLine="3960" w:firstLineChars="1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主任委员签字：</w:t>
            </w:r>
          </w:p>
          <w:p>
            <w:pPr>
              <w:spacing w:line="60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835" w:type="dxa"/>
            <w:gridSpan w:val="2"/>
            <w:tcBorders>
              <w:tl2br w:val="nil"/>
              <w:tr2bl w:val="nil"/>
            </w:tcBorders>
          </w:tcPr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医疗机构法人代表意见</w:t>
            </w: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</w:p>
          <w:p>
            <w:pPr>
              <w:spacing w:line="600" w:lineRule="exact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签字（盖章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  <w:p>
            <w:pPr>
              <w:spacing w:line="600" w:lineRule="exact"/>
              <w:ind w:firstLine="4920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仿宋_GB2312"/>
          <w:sz w:val="24"/>
          <w:lang w:val="en-US" w:eastAsia="zh-CN"/>
        </w:rPr>
        <w:sectPr>
          <w:footerReference r:id="rId3" w:type="even"/>
          <w:pgSz w:w="11905" w:h="16838"/>
          <w:pgMar w:top="1701" w:right="1417" w:bottom="1417" w:left="1701" w:header="851" w:footer="992" w:gutter="0"/>
          <w:cols w:space="0" w:num="1"/>
          <w:rtlGutter w:val="0"/>
          <w:docGrid w:type="lines" w:linePitch="325" w:charSpace="0"/>
        </w:sectPr>
      </w:pPr>
      <w:r>
        <w:rPr>
          <w:rFonts w:hint="eastAsia" w:eastAsia="仿宋_GB2312"/>
          <w:sz w:val="24"/>
          <w:lang w:val="en-US" w:eastAsia="zh-CN"/>
        </w:rPr>
        <w:t>注：当备案的厂家供货出现短缺时，更换厂家后不再临时行备案手续，经医疗机构</w:t>
      </w:r>
      <w:r>
        <w:rPr>
          <w:rFonts w:eastAsia="仿宋_GB2312"/>
          <w:sz w:val="24"/>
        </w:rPr>
        <w:t>药事管理与药物治疗学委员会</w:t>
      </w:r>
      <w:r>
        <w:rPr>
          <w:rFonts w:hint="eastAsia" w:eastAsia="仿宋_GB2312"/>
          <w:sz w:val="24"/>
          <w:lang w:val="en-US" w:eastAsia="zh-CN"/>
        </w:rPr>
        <w:t>讨论同意，采购同品同规药物继续使用即可。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5"/>
      <w:framePr w:wrap="around" w:vAnchor="text" w:hAnchor="margin" w:xAlign="outside" w:y="1"/>
      <w:ind w:right="360"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vanish/>
      </w:rPr>
      <w:t xml:space="preserve"> </w:t>
    </w:r>
    <w:r>
      <w:rPr>
        <w:rStyle w:val="9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404C365F"/>
    <w:rsid w:val="404C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eastAsia="仿宋_GB2312"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/>
      <w:spacing w:before="240" w:after="60"/>
      <w:jc w:val="center"/>
      <w:outlineLvl w:val="0"/>
    </w:pPr>
    <w:rPr>
      <w:rFonts w:ascii="Cambria" w:hAnsi="Cambria" w:cs="Arial"/>
      <w:b/>
      <w:bCs/>
      <w:sz w:val="32"/>
      <w:szCs w:val="32"/>
      <w:lang w:bidi="ar-SA"/>
    </w:rPr>
  </w:style>
  <w:style w:type="paragraph" w:styleId="5">
    <w:name w:val="footer"/>
    <w:next w:val="6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列出段落1"/>
    <w:basedOn w:val="1"/>
    <w:qFormat/>
    <w:uiPriority w:val="0"/>
    <w:pPr>
      <w:ind w:firstLine="200" w:firstLineChars="200"/>
    </w:p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2023-12-07T03:04:00Z</dcterms:created>
  <dc:creator>粗尾鸭</dc:creator>
  <cp:lastModifiedBy>粗尾鸭</cp:lastModifiedBy>
  <dcterms:modified xsi:type="dcterms:W3CDTF">2023-12-07T03:04:28Z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3335AE473CC14D5C9A9B0CADB14DFA8A_11</vt:lpwstr>
  </property>
</Properties>
</file>