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line="600" w:lineRule="exact"/>
        <w:rPr>
          <w:rFonts w:hint="default" w:ascii="Times New Roman" w:hAnsi="Times New Roman" w:eastAsia="黑体" w:cs="Times New Roman"/>
          <w:b w:val="0"/>
          <w:bCs w:val="0"/>
          <w:color w:val="000000"/>
          <w:kern w:val="0"/>
          <w:sz w:val="32"/>
          <w:szCs w:val="32"/>
          <w:highlight w:val="none"/>
          <w:u w:val="none"/>
          <w:lang w:val="en-US" w:eastAsia="zh-CN" w:bidi="ar-SA"/>
        </w:rPr>
      </w:pPr>
      <w:r>
        <w:rPr>
          <w:rFonts w:hint="default" w:ascii="Times New Roman" w:hAnsi="Times New Roman" w:eastAsia="黑体" w:cs="Times New Roman"/>
          <w:b w:val="0"/>
          <w:bCs w:val="0"/>
          <w:color w:val="000000"/>
          <w:kern w:val="0"/>
          <w:sz w:val="32"/>
          <w:szCs w:val="32"/>
          <w:highlight w:val="none"/>
          <w:u w:val="none"/>
          <w:lang w:val="en-US" w:eastAsia="zh-CN" w:bidi="ar-SA"/>
        </w:rPr>
        <w:t>附件2</w:t>
      </w:r>
    </w:p>
    <w:tbl>
      <w:tblPr>
        <w:tblStyle w:val="15"/>
        <w:tblW w:w="14213"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762"/>
        <w:gridCol w:w="787"/>
        <w:gridCol w:w="763"/>
        <w:gridCol w:w="700"/>
        <w:gridCol w:w="775"/>
        <w:gridCol w:w="738"/>
        <w:gridCol w:w="958"/>
        <w:gridCol w:w="769"/>
        <w:gridCol w:w="713"/>
        <w:gridCol w:w="497"/>
        <w:gridCol w:w="850"/>
        <w:gridCol w:w="567"/>
        <w:gridCol w:w="1311"/>
        <w:gridCol w:w="860"/>
        <w:gridCol w:w="1000"/>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13" w:type="dxa"/>
            <w:gridSpan w:val="17"/>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44"/>
                <w:szCs w:val="44"/>
                <w:u w:val="none"/>
              </w:rPr>
            </w:pPr>
            <w:bookmarkStart w:id="0" w:name="_GoBack"/>
            <w:r>
              <w:rPr>
                <w:rFonts w:hint="eastAsia" w:ascii="方正小标宋简体" w:hAnsi="方正小标宋简体" w:eastAsia="方正小标宋简体" w:cs="方正小标宋简体"/>
                <w:b w:val="0"/>
                <w:bCs/>
                <w:i w:val="0"/>
                <w:color w:val="000000"/>
                <w:kern w:val="0"/>
                <w:sz w:val="44"/>
                <w:szCs w:val="44"/>
                <w:u w:val="none"/>
                <w:lang w:val="en-US" w:eastAsia="zh-CN" w:bidi="ar"/>
              </w:rPr>
              <w:t>XX医疗机构特需医疗服务（市场调节价）项目和价格情况表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213" w:type="dxa"/>
            <w:gridSpan w:val="17"/>
            <w:tcBorders>
              <w:top w:val="nil"/>
              <w:left w:val="nil"/>
              <w:bottom w:val="nil"/>
              <w:right w:val="nil"/>
            </w:tcBorders>
            <w:noWrap/>
            <w:vAlign w:val="center"/>
          </w:tcPr>
          <w:p>
            <w:pPr>
              <w:keepNext w:val="0"/>
              <w:keepLines w:val="0"/>
              <w:widowControl/>
              <w:suppressLineNumbers w:val="0"/>
              <w:spacing w:before="0" w:beforeAutospacing="0" w:after="0" w:afterAutospacing="0" w:line="560" w:lineRule="exact"/>
              <w:ind w:left="0" w:right="0"/>
              <w:jc w:val="both"/>
              <w:textAlignment w:val="center"/>
              <w:rPr>
                <w:rFonts w:hint="eastAsia" w:ascii="黑体" w:hAnsi="黑体" w:eastAsia="黑体" w:cs="黑体"/>
                <w:b w:val="0"/>
                <w:bCs w:val="0"/>
                <w:i w:val="0"/>
                <w:color w:val="000000"/>
                <w:kern w:val="0"/>
                <w:sz w:val="24"/>
                <w:szCs w:val="24"/>
                <w:u w:val="none"/>
                <w:lang w:bidi="ar"/>
              </w:rPr>
            </w:pPr>
            <w:r>
              <w:rPr>
                <w:rFonts w:hint="eastAsia" w:ascii="黑体" w:hAnsi="黑体" w:eastAsia="黑体" w:cs="黑体"/>
                <w:b w:val="0"/>
                <w:bCs w:val="0"/>
                <w:i w:val="0"/>
                <w:color w:val="000000"/>
                <w:kern w:val="0"/>
                <w:sz w:val="24"/>
                <w:szCs w:val="24"/>
                <w:u w:val="none"/>
                <w:lang w:val="en-US" w:eastAsia="zh-CN" w:bidi="ar"/>
              </w:rPr>
              <w:t>医疗机构名称（公章）：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25" w:type="dxa"/>
            <w:gridSpan w:val="4"/>
            <w:tcBorders>
              <w:top w:val="nil"/>
              <w:left w:val="nil"/>
              <w:bottom w:val="nil"/>
              <w:right w:val="nil"/>
            </w:tcBorders>
            <w:noWrap/>
            <w:vAlign w:val="center"/>
          </w:tcPr>
          <w:p>
            <w:pPr>
              <w:keepNext w:val="0"/>
              <w:keepLines w:val="0"/>
              <w:widowControl/>
              <w:suppressLineNumbers w:val="0"/>
              <w:spacing w:before="0" w:beforeAutospacing="0" w:after="0" w:afterAutospacing="0" w:line="560" w:lineRule="exact"/>
              <w:ind w:left="0" w:right="0"/>
              <w:jc w:val="both"/>
              <w:textAlignment w:val="center"/>
              <w:rPr>
                <w:rFonts w:hint="eastAsia" w:ascii="黑体" w:hAnsi="黑体" w:eastAsia="黑体" w:cs="黑体"/>
                <w:b w:val="0"/>
                <w:bCs w:val="0"/>
                <w:i w:val="0"/>
                <w:color w:val="000000"/>
                <w:kern w:val="0"/>
                <w:sz w:val="24"/>
                <w:szCs w:val="24"/>
                <w:u w:val="none"/>
                <w:lang w:bidi="ar"/>
              </w:rPr>
            </w:pPr>
            <w:r>
              <w:rPr>
                <w:rFonts w:hint="eastAsia" w:ascii="黑体" w:hAnsi="黑体" w:eastAsia="黑体" w:cs="黑体"/>
                <w:b w:val="0"/>
                <w:bCs w:val="0"/>
                <w:i w:val="0"/>
                <w:color w:val="000000"/>
                <w:kern w:val="0"/>
                <w:sz w:val="24"/>
                <w:szCs w:val="24"/>
                <w:u w:val="none"/>
                <w:lang w:val="en-US" w:eastAsia="zh-CN" w:bidi="ar"/>
              </w:rPr>
              <w:t>特需服务项目数量合计：</w:t>
            </w:r>
          </w:p>
        </w:tc>
        <w:tc>
          <w:tcPr>
            <w:tcW w:w="7878" w:type="dxa"/>
            <w:gridSpan w:val="10"/>
            <w:tcBorders>
              <w:top w:val="nil"/>
              <w:left w:val="nil"/>
              <w:bottom w:val="nil"/>
              <w:right w:val="nil"/>
            </w:tcBorders>
            <w:noWrap/>
            <w:vAlign w:val="center"/>
          </w:tcPr>
          <w:p>
            <w:pPr>
              <w:keepNext w:val="0"/>
              <w:keepLines w:val="0"/>
              <w:widowControl/>
              <w:suppressLineNumbers w:val="0"/>
              <w:spacing w:before="0" w:beforeAutospacing="0" w:after="0" w:afterAutospacing="0" w:line="560" w:lineRule="exact"/>
              <w:ind w:left="0" w:right="0"/>
              <w:jc w:val="both"/>
              <w:textAlignment w:val="center"/>
              <w:rPr>
                <w:rFonts w:hint="eastAsia" w:ascii="黑体" w:hAnsi="黑体" w:eastAsia="黑体" w:cs="黑体"/>
                <w:b w:val="0"/>
                <w:bCs w:val="0"/>
                <w:i w:val="0"/>
                <w:color w:val="000000"/>
                <w:kern w:val="0"/>
                <w:sz w:val="24"/>
                <w:szCs w:val="24"/>
                <w:u w:val="none"/>
                <w:lang w:bidi="ar"/>
              </w:rPr>
            </w:pPr>
            <w:r>
              <w:rPr>
                <w:rFonts w:hint="eastAsia" w:ascii="黑体" w:hAnsi="黑体" w:eastAsia="黑体" w:cs="黑体"/>
                <w:b w:val="0"/>
                <w:bCs w:val="0"/>
                <w:i w:val="0"/>
                <w:color w:val="000000"/>
                <w:kern w:val="0"/>
                <w:sz w:val="24"/>
                <w:szCs w:val="24"/>
                <w:u w:val="none"/>
                <w:lang w:val="en-US" w:eastAsia="zh-CN" w:bidi="ar"/>
              </w:rPr>
              <w:t>实行市场调节价的项目（含特需服务项目和试行期内新增项目）项目数量：</w:t>
            </w:r>
          </w:p>
        </w:tc>
        <w:tc>
          <w:tcPr>
            <w:tcW w:w="3310" w:type="dxa"/>
            <w:gridSpan w:val="3"/>
            <w:tcBorders>
              <w:top w:val="nil"/>
              <w:left w:val="nil"/>
              <w:bottom w:val="nil"/>
              <w:right w:val="nil"/>
            </w:tcBorders>
            <w:noWrap/>
            <w:vAlign w:val="center"/>
          </w:tcPr>
          <w:p>
            <w:pPr>
              <w:keepNext w:val="0"/>
              <w:keepLines w:val="0"/>
              <w:widowControl/>
              <w:suppressLineNumbers w:val="0"/>
              <w:spacing w:before="0" w:beforeAutospacing="0" w:after="0" w:afterAutospacing="0" w:line="560" w:lineRule="exact"/>
              <w:ind w:left="0" w:right="0" w:firstLine="720" w:firstLineChars="300"/>
              <w:textAlignment w:val="center"/>
              <w:rPr>
                <w:rFonts w:hint="eastAsia" w:ascii="黑体" w:hAnsi="黑体" w:eastAsia="黑体" w:cs="黑体"/>
                <w:b w:val="0"/>
                <w:bCs w:val="0"/>
                <w:i w:val="0"/>
                <w:color w:val="000000"/>
                <w:kern w:val="0"/>
                <w:sz w:val="24"/>
                <w:szCs w:val="24"/>
                <w:u w:val="none"/>
                <w:lang w:bidi="ar"/>
              </w:rPr>
            </w:pPr>
            <w:r>
              <w:rPr>
                <w:rFonts w:hint="eastAsia" w:ascii="黑体" w:hAnsi="黑体" w:eastAsia="黑体" w:cs="黑体"/>
                <w:b w:val="0"/>
                <w:bCs w:val="0"/>
                <w:i w:val="0"/>
                <w:color w:val="000000"/>
                <w:kern w:val="0"/>
                <w:sz w:val="24"/>
                <w:szCs w:val="24"/>
                <w:u w:val="none"/>
                <w:lang w:val="en-US" w:eastAsia="zh-CN" w:bidi="ar"/>
              </w:rPr>
              <w:t>金额单位：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3"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both"/>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序号</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both"/>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spacing w:val="0"/>
                <w:kern w:val="0"/>
                <w:sz w:val="24"/>
                <w:szCs w:val="24"/>
                <w:u w:val="none"/>
                <w:fitText w:val="480" w:id="2010732666"/>
                <w:lang w:val="en-US" w:eastAsia="zh-CN" w:bidi="ar"/>
              </w:rPr>
              <w:t>财务</w:t>
            </w:r>
            <w:r>
              <w:rPr>
                <w:rFonts w:hint="default" w:ascii="Times New Roman" w:hAnsi="Times New Roman" w:eastAsia="仿宋_GB2312" w:cs="Times New Roman"/>
                <w:i w:val="0"/>
                <w:color w:val="000000"/>
                <w:kern w:val="0"/>
                <w:sz w:val="24"/>
                <w:szCs w:val="24"/>
                <w:u w:val="none"/>
                <w:lang w:val="en-US" w:eastAsia="zh-CN" w:bidi="ar"/>
              </w:rPr>
              <w:t>分类</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both"/>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编码</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both"/>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spacing w:val="0"/>
                <w:kern w:val="0"/>
                <w:sz w:val="24"/>
                <w:szCs w:val="24"/>
                <w:u w:val="none"/>
                <w:fitText w:val="480" w:id="429589047"/>
                <w:lang w:val="en-US" w:eastAsia="zh-CN" w:bidi="ar"/>
              </w:rPr>
              <w:t>项目</w:t>
            </w:r>
            <w:r>
              <w:rPr>
                <w:rFonts w:hint="default" w:ascii="Times New Roman" w:hAnsi="Times New Roman" w:eastAsia="仿宋_GB2312" w:cs="Times New Roman"/>
                <w:i w:val="0"/>
                <w:color w:val="000000"/>
                <w:kern w:val="0"/>
                <w:sz w:val="24"/>
                <w:szCs w:val="24"/>
                <w:u w:val="none"/>
                <w:lang w:val="en-US" w:eastAsia="zh-CN" w:bidi="ar"/>
              </w:rPr>
              <w:t>名称</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both"/>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 xml:space="preserve">项目内涵                           </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both"/>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spacing w:val="0"/>
                <w:kern w:val="0"/>
                <w:sz w:val="24"/>
                <w:szCs w:val="24"/>
                <w:u w:val="none"/>
                <w:fitText w:val="480" w:id="366616612"/>
                <w:lang w:val="en-US" w:eastAsia="zh-CN" w:bidi="ar"/>
              </w:rPr>
              <w:t>计价</w:t>
            </w:r>
            <w:r>
              <w:rPr>
                <w:rFonts w:hint="default" w:ascii="Times New Roman" w:hAnsi="Times New Roman" w:eastAsia="仿宋_GB2312" w:cs="Times New Roman"/>
                <w:i w:val="0"/>
                <w:color w:val="000000"/>
                <w:kern w:val="0"/>
                <w:sz w:val="24"/>
                <w:szCs w:val="24"/>
                <w:u w:val="none"/>
                <w:lang w:val="en-US" w:eastAsia="zh-CN" w:bidi="ar"/>
              </w:rPr>
              <w:t>单位</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both"/>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说明</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项目</w:t>
            </w:r>
          </w:p>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总价格</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技术劳务服务费用</w:t>
            </w:r>
          </w:p>
        </w:tc>
        <w:tc>
          <w:tcPr>
            <w:tcW w:w="2627" w:type="dxa"/>
            <w:gridSpan w:val="4"/>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仿宋_GB2312" w:cs="Times New Roman"/>
                <w:b/>
                <w:bCs/>
                <w:i w:val="0"/>
                <w:color w:val="000000"/>
                <w:kern w:val="0"/>
                <w:sz w:val="24"/>
                <w:szCs w:val="24"/>
                <w:u w:val="none"/>
                <w:lang w:bidi="ar"/>
              </w:rPr>
            </w:pPr>
            <w:r>
              <w:rPr>
                <w:rFonts w:hint="default" w:ascii="Times New Roman" w:hAnsi="Times New Roman" w:eastAsia="仿宋_GB2312" w:cs="Times New Roman"/>
                <w:b w:val="0"/>
                <w:bCs w:val="0"/>
                <w:i w:val="0"/>
                <w:color w:val="000000"/>
                <w:kern w:val="0"/>
                <w:sz w:val="24"/>
                <w:szCs w:val="24"/>
                <w:u w:val="none"/>
                <w:lang w:val="en-US" w:eastAsia="zh-CN" w:bidi="ar"/>
              </w:rPr>
              <w:t>一次性耗材价格</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符合列入特需服务的项目</w:t>
            </w:r>
          </w:p>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类别A/B/C/D</w:t>
            </w:r>
          </w:p>
          <w:p>
            <w:pPr>
              <w:pStyle w:val="2"/>
              <w:spacing w:line="240" w:lineRule="exact"/>
              <w:rPr>
                <w:rFonts w:hint="default"/>
              </w:rPr>
            </w:pPr>
            <w:r>
              <w:rPr>
                <w:rFonts w:hint="eastAsia" w:ascii="Times New Roman" w:hAnsi="Times New Roman" w:eastAsia="仿宋_GB2312" w:cs="Times New Roman"/>
                <w:i w:val="0"/>
                <w:color w:val="000000"/>
                <w:kern w:val="0"/>
                <w:sz w:val="24"/>
                <w:szCs w:val="24"/>
                <w:u w:val="none"/>
                <w:lang w:val="en-US" w:eastAsia="zh-CN" w:bidi="ar"/>
              </w:rPr>
              <w:t>（可多选）</w:t>
            </w:r>
          </w:p>
        </w:tc>
        <w:tc>
          <w:tcPr>
            <w:tcW w:w="8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服务例数（仅在年度统计时填报）</w:t>
            </w:r>
          </w:p>
        </w:tc>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收入（仅在年度统计时</w:t>
            </w:r>
          </w:p>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填报）</w:t>
            </w:r>
          </w:p>
        </w:tc>
        <w:tc>
          <w:tcPr>
            <w:tcW w:w="1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both"/>
              <w:textAlignment w:val="center"/>
              <w:rPr>
                <w:rFonts w:hint="default" w:ascii="Times New Roman" w:hAnsi="Times New Roman" w:eastAsia="仿宋_GB2312" w:cs="Times New Roman"/>
                <w:i w:val="0"/>
                <w:color w:val="000000"/>
                <w:kern w:val="0"/>
                <w:sz w:val="24"/>
                <w:szCs w:val="24"/>
                <w:u w:val="none"/>
                <w:lang w:bidi="ar"/>
              </w:rPr>
            </w:pPr>
            <w:r>
              <w:rPr>
                <w:rFonts w:hint="default" w:ascii="Times New Roman" w:hAnsi="Times New Roman" w:eastAsia="仿宋_GB2312" w:cs="Times New Roman"/>
                <w:i w:val="0"/>
                <w:color w:val="000000"/>
                <w:kern w:val="0"/>
                <w:sz w:val="24"/>
                <w:szCs w:val="24"/>
                <w:u w:val="none"/>
                <w:lang w:val="en-US" w:eastAsia="zh-CN" w:bidi="ar"/>
              </w:rPr>
              <w:t>备注（明确拓展的特需服务内容）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13"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i w:val="0"/>
                <w:color w:val="000000"/>
                <w:sz w:val="24"/>
                <w:szCs w:val="24"/>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i w:val="0"/>
                <w:color w:val="000000"/>
                <w:sz w:val="24"/>
                <w:szCs w:val="24"/>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i w:val="0"/>
                <w:color w:val="000000"/>
                <w:sz w:val="24"/>
                <w:szCs w:val="24"/>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i w:val="0"/>
                <w:color w:val="000000"/>
                <w:sz w:val="24"/>
                <w:szCs w:val="24"/>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i w:val="0"/>
                <w:color w:val="000000"/>
                <w:sz w:val="24"/>
                <w:szCs w:val="24"/>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i w:val="0"/>
                <w:color w:val="000000"/>
                <w:sz w:val="24"/>
                <w:szCs w:val="24"/>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i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i w:val="0"/>
                <w:color w:val="000000"/>
                <w:sz w:val="22"/>
                <w:szCs w:val="22"/>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Times New Roman"/>
                <w:i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国家医保医用耗材编码</w:t>
            </w:r>
          </w:p>
        </w:tc>
        <w:tc>
          <w:tcPr>
            <w:tcW w:w="497"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color w:val="000000"/>
                <w:sz w:val="22"/>
                <w:szCs w:val="22"/>
                <w:u w:val="none"/>
              </w:rPr>
            </w:pPr>
            <w:r>
              <w:rPr>
                <w:rFonts w:hint="eastAsia" w:eastAsia="仿宋_GB2312" w:cs="Times New Roman"/>
                <w:i w:val="0"/>
                <w:color w:val="000000"/>
                <w:kern w:val="0"/>
                <w:sz w:val="22"/>
                <w:szCs w:val="22"/>
                <w:u w:val="none"/>
                <w:lang w:val="en-US" w:eastAsia="zh-CN" w:bidi="ar"/>
              </w:rPr>
              <w:t>一次性</w:t>
            </w:r>
            <w:r>
              <w:rPr>
                <w:rFonts w:hint="default" w:ascii="Times New Roman" w:hAnsi="Times New Roman" w:eastAsia="仿宋_GB2312" w:cs="Times New Roman"/>
                <w:i w:val="0"/>
                <w:color w:val="000000"/>
                <w:kern w:val="0"/>
                <w:sz w:val="22"/>
                <w:szCs w:val="22"/>
                <w:u w:val="none"/>
                <w:lang w:val="en-US" w:eastAsia="zh-CN" w:bidi="ar"/>
              </w:rPr>
              <w:t>耗材名称</w:t>
            </w:r>
          </w:p>
        </w:tc>
        <w:tc>
          <w:tcPr>
            <w:tcW w:w="850"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生产企业名称</w:t>
            </w:r>
          </w:p>
        </w:tc>
        <w:tc>
          <w:tcPr>
            <w:tcW w:w="567"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价格</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3" w:type="dxa"/>
            <w:tcBorders>
              <w:top w:val="nil"/>
              <w:left w:val="single" w:color="000000" w:sz="4" w:space="0"/>
              <w:bottom w:val="single" w:color="auto"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62" w:type="dxa"/>
            <w:tcBorders>
              <w:top w:val="nil"/>
              <w:left w:val="single" w:color="000000" w:sz="4" w:space="0"/>
              <w:bottom w:val="single" w:color="auto"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87" w:type="dxa"/>
            <w:tcBorders>
              <w:top w:val="nil"/>
              <w:left w:val="single" w:color="000000" w:sz="4" w:space="0"/>
              <w:bottom w:val="single" w:color="auto"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63" w:type="dxa"/>
            <w:tcBorders>
              <w:top w:val="nil"/>
              <w:left w:val="single" w:color="000000" w:sz="4" w:space="0"/>
              <w:bottom w:val="single" w:color="auto"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00" w:type="dxa"/>
            <w:tcBorders>
              <w:top w:val="nil"/>
              <w:left w:val="single" w:color="000000" w:sz="4" w:space="0"/>
              <w:bottom w:val="single" w:color="auto"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75" w:type="dxa"/>
            <w:tcBorders>
              <w:top w:val="nil"/>
              <w:left w:val="single" w:color="000000" w:sz="4" w:space="0"/>
              <w:bottom w:val="single" w:color="auto"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38" w:type="dxa"/>
            <w:tcBorders>
              <w:top w:val="nil"/>
              <w:left w:val="single" w:color="000000" w:sz="4" w:space="0"/>
              <w:bottom w:val="single" w:color="auto"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958" w:type="dxa"/>
            <w:tcBorders>
              <w:top w:val="single" w:color="000000" w:sz="4" w:space="0"/>
              <w:left w:val="single" w:color="000000" w:sz="4" w:space="0"/>
              <w:bottom w:val="single" w:color="auto"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3" w:type="dxa"/>
            <w:tcBorders>
              <w:top w:val="single" w:color="auto"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62" w:type="dxa"/>
            <w:tcBorders>
              <w:top w:val="single" w:color="auto"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87" w:type="dxa"/>
            <w:tcBorders>
              <w:top w:val="single" w:color="auto"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63" w:type="dxa"/>
            <w:tcBorders>
              <w:top w:val="single" w:color="auto"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00" w:type="dxa"/>
            <w:tcBorders>
              <w:top w:val="single" w:color="auto"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75" w:type="dxa"/>
            <w:tcBorders>
              <w:top w:val="single" w:color="auto"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38" w:type="dxa"/>
            <w:tcBorders>
              <w:top w:val="single" w:color="auto"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958" w:type="dxa"/>
            <w:tcBorders>
              <w:top w:val="single" w:color="auto"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3"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2"/>
                <w:szCs w:val="22"/>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tc>
        <w:tc>
          <w:tcPr>
            <w:tcW w:w="762" w:type="dxa"/>
            <w:tcBorders>
              <w:top w:val="single" w:color="000000" w:sz="4" w:space="0"/>
              <w:left w:val="single" w:color="000000" w:sz="4" w:space="0"/>
              <w:bottom w:val="single" w:color="000000" w:sz="4" w:space="0"/>
              <w:right w:val="single" w:color="000000" w:sz="4" w:space="0"/>
            </w:tcBorders>
            <w:noWrap/>
            <w:vAlign w:val="center"/>
          </w:tcPr>
          <w:p/>
        </w:tc>
        <w:tc>
          <w:tcPr>
            <w:tcW w:w="787" w:type="dxa"/>
            <w:tcBorders>
              <w:top w:val="single" w:color="000000" w:sz="4" w:space="0"/>
              <w:left w:val="single" w:color="000000" w:sz="4" w:space="0"/>
              <w:bottom w:val="single" w:color="000000" w:sz="4" w:space="0"/>
              <w:right w:val="single" w:color="000000" w:sz="4" w:space="0"/>
            </w:tcBorders>
            <w:noWrap/>
            <w:vAlign w:val="center"/>
          </w:tcPr>
          <w:p/>
        </w:tc>
        <w:tc>
          <w:tcPr>
            <w:tcW w:w="763" w:type="dxa"/>
            <w:tcBorders>
              <w:top w:val="single" w:color="000000" w:sz="4" w:space="0"/>
              <w:left w:val="single" w:color="000000" w:sz="4" w:space="0"/>
              <w:bottom w:val="single" w:color="000000" w:sz="4" w:space="0"/>
              <w:right w:val="single" w:color="000000" w:sz="4" w:space="0"/>
            </w:tcBorders>
            <w:noWrap/>
            <w:vAlign w:val="center"/>
          </w:tcPr>
          <w:p/>
        </w:tc>
        <w:tc>
          <w:tcPr>
            <w:tcW w:w="700" w:type="dxa"/>
            <w:tcBorders>
              <w:top w:val="single" w:color="000000" w:sz="4" w:space="0"/>
              <w:left w:val="single" w:color="000000" w:sz="4" w:space="0"/>
              <w:bottom w:val="single" w:color="000000" w:sz="4" w:space="0"/>
              <w:right w:val="single" w:color="000000" w:sz="4" w:space="0"/>
            </w:tcBorders>
            <w:noWrap/>
            <w:vAlign w:val="center"/>
          </w:tcPr>
          <w:p/>
        </w:tc>
        <w:tc>
          <w:tcPr>
            <w:tcW w:w="775" w:type="dxa"/>
            <w:tcBorders>
              <w:top w:val="single" w:color="000000" w:sz="4" w:space="0"/>
              <w:left w:val="single" w:color="000000" w:sz="4" w:space="0"/>
              <w:bottom w:val="single" w:color="000000" w:sz="4" w:space="0"/>
              <w:right w:val="single" w:color="000000" w:sz="4" w:space="0"/>
            </w:tcBorders>
            <w:noWrap/>
            <w:vAlign w:val="center"/>
          </w:tcPr>
          <w:p/>
        </w:tc>
        <w:tc>
          <w:tcPr>
            <w:tcW w:w="738" w:type="dxa"/>
            <w:tcBorders>
              <w:top w:val="single" w:color="000000" w:sz="4" w:space="0"/>
              <w:left w:val="single" w:color="000000" w:sz="4" w:space="0"/>
              <w:bottom w:val="single" w:color="000000" w:sz="4" w:space="0"/>
              <w:right w:val="single" w:color="000000" w:sz="4" w:space="0"/>
            </w:tcBorders>
            <w:noWrap/>
            <w:vAlign w:val="center"/>
          </w:tcPr>
          <w:p/>
        </w:tc>
        <w:tc>
          <w:tcPr>
            <w:tcW w:w="958" w:type="dxa"/>
            <w:tcBorders>
              <w:top w:val="single" w:color="000000" w:sz="4" w:space="0"/>
              <w:left w:val="single" w:color="000000" w:sz="4" w:space="0"/>
              <w:bottom w:val="single" w:color="000000" w:sz="4" w:space="0"/>
              <w:right w:val="single" w:color="000000" w:sz="4" w:space="0"/>
            </w:tcBorders>
            <w:noWrap/>
            <w:vAlign w:val="center"/>
          </w:tcPr>
          <w:p/>
        </w:tc>
        <w:tc>
          <w:tcPr>
            <w:tcW w:w="769" w:type="dxa"/>
            <w:tcBorders>
              <w:top w:val="single" w:color="000000" w:sz="4" w:space="0"/>
              <w:left w:val="single" w:color="000000" w:sz="4" w:space="0"/>
              <w:bottom w:val="single" w:color="000000" w:sz="4" w:space="0"/>
              <w:right w:val="single" w:color="000000" w:sz="4" w:space="0"/>
            </w:tcBorders>
            <w:noWrap/>
            <w:vAlign w:val="center"/>
          </w:tcPr>
          <w:p/>
        </w:tc>
        <w:tc>
          <w:tcPr>
            <w:tcW w:w="713" w:type="dxa"/>
            <w:tcBorders>
              <w:top w:val="single" w:color="000000" w:sz="4" w:space="0"/>
              <w:left w:val="single" w:color="000000" w:sz="4" w:space="0"/>
              <w:bottom w:val="single" w:color="000000" w:sz="4" w:space="0"/>
              <w:right w:val="single" w:color="000000" w:sz="4" w:space="0"/>
            </w:tcBorders>
            <w:noWrap/>
            <w:vAlign w:val="center"/>
          </w:tcPr>
          <w:p/>
        </w:tc>
        <w:tc>
          <w:tcPr>
            <w:tcW w:w="497" w:type="dxa"/>
            <w:tcBorders>
              <w:top w:val="single" w:color="000000" w:sz="4" w:space="0"/>
              <w:left w:val="single" w:color="000000" w:sz="4" w:space="0"/>
              <w:bottom w:val="single" w:color="000000" w:sz="4" w:space="0"/>
              <w:right w:val="single" w:color="000000" w:sz="4" w:space="0"/>
            </w:tcBorders>
            <w:noWrap/>
            <w:vAlign w:val="center"/>
          </w:tcPr>
          <w:p/>
        </w:tc>
        <w:tc>
          <w:tcPr>
            <w:tcW w:w="850" w:type="dxa"/>
            <w:tcBorders>
              <w:top w:val="single" w:color="000000" w:sz="4" w:space="0"/>
              <w:left w:val="single" w:color="000000" w:sz="4" w:space="0"/>
              <w:bottom w:val="single" w:color="000000" w:sz="4" w:space="0"/>
              <w:right w:val="single" w:color="000000" w:sz="4" w:space="0"/>
            </w:tcBorders>
            <w:noWrap/>
            <w:vAlign w:val="center"/>
          </w:tcPr>
          <w:p/>
        </w:tc>
        <w:tc>
          <w:tcPr>
            <w:tcW w:w="567" w:type="dxa"/>
            <w:tcBorders>
              <w:top w:val="single" w:color="000000" w:sz="4" w:space="0"/>
              <w:left w:val="single" w:color="000000" w:sz="4" w:space="0"/>
              <w:bottom w:val="single" w:color="000000" w:sz="4" w:space="0"/>
              <w:right w:val="single" w:color="000000" w:sz="4" w:space="0"/>
            </w:tcBorders>
            <w:noWrap/>
            <w:vAlign w:val="center"/>
          </w:tcPr>
          <w:p/>
        </w:tc>
        <w:tc>
          <w:tcPr>
            <w:tcW w:w="1311" w:type="dxa"/>
            <w:tcBorders>
              <w:top w:val="single" w:color="000000" w:sz="4" w:space="0"/>
              <w:left w:val="single" w:color="000000" w:sz="4" w:space="0"/>
              <w:bottom w:val="single" w:color="000000" w:sz="4" w:space="0"/>
              <w:right w:val="single" w:color="000000" w:sz="4" w:space="0"/>
            </w:tcBorders>
            <w:noWrap/>
            <w:vAlign w:val="center"/>
          </w:tcPr>
          <w:p/>
        </w:tc>
        <w:tc>
          <w:tcPr>
            <w:tcW w:w="860" w:type="dxa"/>
            <w:tcBorders>
              <w:top w:val="single" w:color="000000" w:sz="4" w:space="0"/>
              <w:left w:val="single" w:color="000000" w:sz="4" w:space="0"/>
              <w:bottom w:val="single" w:color="000000" w:sz="4" w:space="0"/>
              <w:right w:val="single" w:color="000000" w:sz="4" w:space="0"/>
            </w:tcBorders>
            <w:noWrap/>
            <w:vAlign w:val="center"/>
          </w:tcPr>
          <w:p/>
        </w:tc>
        <w:tc>
          <w:tcPr>
            <w:tcW w:w="1000" w:type="dxa"/>
            <w:tcBorders>
              <w:top w:val="single" w:color="000000" w:sz="4" w:space="0"/>
              <w:left w:val="single" w:color="000000" w:sz="4" w:space="0"/>
              <w:bottom w:val="single" w:color="000000" w:sz="4" w:space="0"/>
              <w:right w:val="single" w:color="000000" w:sz="4" w:space="0"/>
            </w:tcBorders>
            <w:noWrap/>
            <w:vAlign w:val="center"/>
          </w:tcPr>
          <w:p/>
        </w:tc>
        <w:tc>
          <w:tcPr>
            <w:tcW w:w="1450" w:type="dxa"/>
            <w:tcBorders>
              <w:top w:val="single" w:color="000000" w:sz="4" w:space="0"/>
              <w:left w:val="single" w:color="000000" w:sz="4" w:space="0"/>
              <w:bottom w:val="single" w:color="000000" w:sz="4" w:space="0"/>
              <w:right w:val="single" w:color="000000"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4"/>
                <w:szCs w:val="24"/>
                <w:u w:val="none"/>
              </w:rPr>
            </w:pPr>
          </w:p>
        </w:tc>
        <w:tc>
          <w:tcPr>
            <w:tcW w:w="8879" w:type="dxa"/>
            <w:gridSpan w:val="1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特需医疗服务收入占医疗机构年度医疗收入比例（%）</w:t>
            </w:r>
          </w:p>
        </w:tc>
        <w:tc>
          <w:tcPr>
            <w:tcW w:w="317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i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仅在年度统计时填报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4"/>
                <w:szCs w:val="24"/>
                <w:u w:val="none"/>
              </w:rPr>
            </w:pPr>
          </w:p>
        </w:tc>
        <w:tc>
          <w:tcPr>
            <w:tcW w:w="8879" w:type="dxa"/>
            <w:gridSpan w:val="1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实行市场调节价的项目（含特需服务项目和试行期内新增项目）占医疗机构年度医疗收入比例（%）</w:t>
            </w:r>
          </w:p>
        </w:tc>
        <w:tc>
          <w:tcPr>
            <w:tcW w:w="317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i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仅在年度统计时填报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8879" w:type="dxa"/>
            <w:gridSpan w:val="1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特需服务项目占医疗机构年度</w:t>
            </w:r>
            <w:r>
              <w:rPr>
                <w:rFonts w:hint="eastAsia" w:eastAsia="仿宋_GB2312" w:cs="Times New Roman"/>
                <w:i w:val="0"/>
                <w:color w:val="000000"/>
                <w:kern w:val="0"/>
                <w:sz w:val="24"/>
                <w:szCs w:val="24"/>
                <w:u w:val="none"/>
                <w:lang w:val="en-US" w:eastAsia="zh-CN" w:bidi="ar"/>
              </w:rPr>
              <w:t>已</w:t>
            </w:r>
            <w:r>
              <w:rPr>
                <w:rFonts w:hint="default" w:ascii="Times New Roman" w:hAnsi="Times New Roman" w:eastAsia="仿宋_GB2312" w:cs="Times New Roman"/>
                <w:i w:val="0"/>
                <w:color w:val="000000"/>
                <w:kern w:val="0"/>
                <w:sz w:val="24"/>
                <w:szCs w:val="24"/>
                <w:u w:val="none"/>
                <w:lang w:val="en-US" w:eastAsia="zh-CN" w:bidi="ar"/>
              </w:rPr>
              <w:t>开展的医疗服务价格项目比例（%）</w:t>
            </w:r>
          </w:p>
        </w:tc>
        <w:tc>
          <w:tcPr>
            <w:tcW w:w="317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i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仅在年度统计时填报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8879"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实行市场调节价的项目（含特需服务项目和试行期内新增项目）占医疗机构年度</w:t>
            </w:r>
            <w:r>
              <w:rPr>
                <w:rFonts w:hint="eastAsia" w:eastAsia="仿宋_GB2312" w:cs="Times New Roman"/>
                <w:i w:val="0"/>
                <w:color w:val="000000"/>
                <w:kern w:val="0"/>
                <w:sz w:val="24"/>
                <w:szCs w:val="24"/>
                <w:u w:val="none"/>
                <w:lang w:val="en-US" w:eastAsia="zh-CN" w:bidi="ar"/>
              </w:rPr>
              <w:t>已</w:t>
            </w:r>
            <w:r>
              <w:rPr>
                <w:rFonts w:hint="default" w:ascii="Times New Roman" w:hAnsi="Times New Roman" w:eastAsia="仿宋_GB2312" w:cs="Times New Roman"/>
                <w:i w:val="0"/>
                <w:color w:val="000000"/>
                <w:kern w:val="0"/>
                <w:sz w:val="24"/>
                <w:szCs w:val="24"/>
                <w:u w:val="none"/>
                <w:lang w:val="en-US" w:eastAsia="zh-CN" w:bidi="ar"/>
              </w:rPr>
              <w:t>开展的医疗服务价格项目总数量比例（%）</w:t>
            </w:r>
          </w:p>
        </w:tc>
        <w:tc>
          <w:tcPr>
            <w:tcW w:w="317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i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仅在年度统计时填报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0000"/>
                <w:sz w:val="22"/>
                <w:szCs w:val="22"/>
                <w:u w:val="none"/>
              </w:rPr>
            </w:pPr>
          </w:p>
        </w:tc>
        <w:tc>
          <w:tcPr>
            <w:tcW w:w="8879"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上年度已开展的基本医疗服务项目数量及服务量</w:t>
            </w:r>
          </w:p>
        </w:tc>
        <w:tc>
          <w:tcPr>
            <w:tcW w:w="317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i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仅在年度统计时填报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4213" w:type="dxa"/>
            <w:gridSpan w:val="17"/>
            <w:tcBorders>
              <w:top w:val="nil"/>
              <w:left w:val="nil"/>
              <w:bottom w:val="nil"/>
              <w:right w:val="nil"/>
            </w:tcBorders>
            <w:noWrap w:val="0"/>
            <w:vAlign w:val="center"/>
          </w:tcPr>
          <w:p>
            <w:pPr>
              <w:keepNext w:val="0"/>
              <w:keepLines w:val="0"/>
              <w:widowControl/>
              <w:suppressLineNumbers w:val="0"/>
              <w:spacing w:before="0" w:beforeAutospacing="0" w:after="0" w:afterAutospacing="0" w:line="400" w:lineRule="exact"/>
              <w:ind w:left="0" w:right="0" w:firstLine="480" w:firstLineChars="20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注：1.此表作为医疗机构申报备案和报送年度情况时使用，一式两份，医疗保障部门和医疗机构分别存档。其中，备案事项如有调整的（一次性耗材部分有变动的除外），医疗机构应重新备案。                                                               </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w:t>
            </w:r>
            <w:r>
              <w:rPr>
                <w:rFonts w:hint="eastAsia" w:eastAsia="仿宋_GB2312" w:cs="Times New Roman"/>
                <w:i w:val="0"/>
                <w:color w:val="000000"/>
                <w:kern w:val="0"/>
                <w:sz w:val="24"/>
                <w:szCs w:val="24"/>
                <w:u w:val="none"/>
                <w:lang w:val="en-US" w:eastAsia="zh-CN" w:bidi="ar"/>
              </w:rPr>
              <w:t xml:space="preserve"> </w:t>
            </w:r>
            <w:r>
              <w:rPr>
                <w:rFonts w:hint="default" w:ascii="Times New Roman" w:hAnsi="Times New Roman" w:eastAsia="仿宋_GB2312" w:cs="Times New Roman"/>
                <w:i w:val="0"/>
                <w:color w:val="000000"/>
                <w:kern w:val="0"/>
                <w:sz w:val="24"/>
                <w:szCs w:val="24"/>
                <w:u w:val="none"/>
                <w:lang w:val="en-US" w:eastAsia="zh-CN" w:bidi="ar"/>
              </w:rPr>
              <w:t>2.</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项目内涵</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应包括基本医疗服务的内涵、除外内容，</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备注</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中明确拓展的特需服务内容，实施一口价；</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w:t>
            </w:r>
            <w:r>
              <w:rPr>
                <w:rFonts w:hint="eastAsia" w:eastAsia="仿宋_GB2312" w:cs="Times New Roman"/>
                <w:i w:val="0"/>
                <w:color w:val="000000"/>
                <w:kern w:val="0"/>
                <w:sz w:val="24"/>
                <w:szCs w:val="24"/>
                <w:u w:val="none"/>
                <w:lang w:val="en-US" w:eastAsia="zh-CN" w:bidi="ar"/>
              </w:rPr>
              <w:t xml:space="preserve"> </w:t>
            </w:r>
            <w:r>
              <w:rPr>
                <w:rFonts w:hint="default" w:ascii="Times New Roman" w:hAnsi="Times New Roman" w:eastAsia="仿宋_GB2312" w:cs="Times New Roman"/>
                <w:i w:val="0"/>
                <w:color w:val="000000"/>
                <w:kern w:val="0"/>
                <w:sz w:val="24"/>
                <w:szCs w:val="24"/>
                <w:u w:val="none"/>
                <w:lang w:val="en-US" w:eastAsia="zh-CN" w:bidi="ar"/>
              </w:rPr>
              <w:t>3.项目总价格的价格构成包括技术劳务服务和一次性耗材。其中：技术劳务服务价格</w:t>
            </w:r>
            <w:r>
              <w:rPr>
                <w:rFonts w:hint="eastAsia" w:eastAsia="仿宋_GB2312" w:cs="Times New Roman"/>
                <w:i w:val="0"/>
                <w:color w:val="000000"/>
                <w:kern w:val="0"/>
                <w:sz w:val="24"/>
                <w:szCs w:val="24"/>
                <w:u w:val="none"/>
                <w:lang w:val="en-US" w:eastAsia="zh-CN" w:bidi="ar"/>
              </w:rPr>
              <w:t>包含</w:t>
            </w:r>
            <w:r>
              <w:rPr>
                <w:rFonts w:hint="default" w:ascii="Times New Roman" w:hAnsi="Times New Roman" w:eastAsia="仿宋_GB2312" w:cs="Times New Roman"/>
                <w:i w:val="0"/>
                <w:color w:val="000000"/>
                <w:kern w:val="0"/>
                <w:sz w:val="24"/>
                <w:szCs w:val="24"/>
                <w:u w:val="none"/>
                <w:lang w:val="en-US" w:eastAsia="zh-CN" w:bidi="ar"/>
              </w:rPr>
              <w:t>医护人员劳务服务费用</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分摊费用和基本物耗；</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一次性耗材</w:t>
            </w:r>
            <w:r>
              <w:rPr>
                <w:rFonts w:hint="eastAsia" w:eastAsia="仿宋_GB2312" w:cs="Times New Roman"/>
                <w:i w:val="0"/>
                <w:color w:val="000000"/>
                <w:kern w:val="0"/>
                <w:sz w:val="24"/>
                <w:szCs w:val="24"/>
                <w:u w:val="none"/>
                <w:lang w:val="en-US" w:eastAsia="zh-CN" w:bidi="ar"/>
              </w:rPr>
              <w:t>价格”</w:t>
            </w:r>
            <w:r>
              <w:rPr>
                <w:rFonts w:hint="default" w:ascii="Times New Roman" w:hAnsi="Times New Roman" w:eastAsia="仿宋_GB2312" w:cs="Times New Roman"/>
                <w:i w:val="0"/>
                <w:color w:val="000000"/>
                <w:kern w:val="0"/>
                <w:sz w:val="24"/>
                <w:szCs w:val="24"/>
                <w:u w:val="none"/>
                <w:lang w:val="en-US" w:eastAsia="zh-CN" w:bidi="ar"/>
              </w:rPr>
              <w:t xml:space="preserve">是指诊疗过程中患者需要使用的主要一次性耗材，价格可以为价格区间，不包括基本物耗。同一特需项目医疗机构可根据不同技术或耗材制定不同档次的一口价，供患者选择。                                                                                                                                           </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w:t>
            </w:r>
            <w:r>
              <w:rPr>
                <w:rFonts w:hint="eastAsia" w:eastAsia="仿宋_GB2312" w:cs="Times New Roman"/>
                <w:i w:val="0"/>
                <w:color w:val="000000"/>
                <w:kern w:val="0"/>
                <w:sz w:val="24"/>
                <w:szCs w:val="24"/>
                <w:u w:val="none"/>
                <w:lang w:val="en-US" w:eastAsia="zh-CN" w:bidi="ar"/>
              </w:rPr>
              <w:t xml:space="preserve">  </w:t>
            </w:r>
            <w:r>
              <w:rPr>
                <w:rFonts w:hint="default" w:ascii="Times New Roman" w:hAnsi="Times New Roman" w:eastAsia="仿宋_GB2312" w:cs="Times New Roman"/>
                <w:i w:val="0"/>
                <w:color w:val="000000"/>
                <w:kern w:val="0"/>
                <w:sz w:val="24"/>
                <w:szCs w:val="24"/>
                <w:u w:val="none"/>
                <w:lang w:val="en-US" w:eastAsia="zh-CN" w:bidi="ar"/>
              </w:rPr>
              <w:t>4.</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符合列入特需服务的项目类别</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指：A.我省现行基本医疗服务价格项目目录中属于</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一般医疗服务</w:t>
            </w:r>
            <w:r>
              <w:rPr>
                <w:rFonts w:hint="eastAsia"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 xml:space="preserve">项目；B.属于市级以上临床重点专科的项目；C.以非疾病治疗为目的的项目；D.现行价格构成中技术劳务占比未达60%的项目。表格填写类别的对应字母。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2262" w:type="dxa"/>
            <w:gridSpan w:val="3"/>
            <w:tcBorders>
              <w:top w:val="nil"/>
              <w:left w:val="nil"/>
              <w:bottom w:val="nil"/>
              <w:right w:val="nil"/>
            </w:tcBorders>
            <w:noWrap/>
            <w:vAlign w:val="center"/>
          </w:tcPr>
          <w:p>
            <w:pPr>
              <w:keepNext w:val="0"/>
              <w:keepLines w:val="0"/>
              <w:suppressLineNumbers w:val="0"/>
              <w:spacing w:before="0" w:beforeAutospacing="0" w:after="0" w:afterAutospacing="0" w:line="400" w:lineRule="exact"/>
              <w:ind w:left="0" w:right="0" w:firstLine="480" w:firstLineChars="200"/>
              <w:jc w:val="left"/>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填报人：</w:t>
            </w:r>
          </w:p>
        </w:tc>
        <w:tc>
          <w:tcPr>
            <w:tcW w:w="2976" w:type="dxa"/>
            <w:gridSpan w:val="4"/>
            <w:tcBorders>
              <w:top w:val="nil"/>
              <w:left w:val="nil"/>
              <w:bottom w:val="nil"/>
              <w:right w:val="nil"/>
            </w:tcBorders>
            <w:noWrap/>
            <w:vAlign w:val="center"/>
          </w:tcPr>
          <w:p>
            <w:pPr>
              <w:keepNext w:val="0"/>
              <w:keepLines w:val="0"/>
              <w:suppressLineNumbers w:val="0"/>
              <w:spacing w:before="0" w:beforeAutospacing="0" w:after="0" w:afterAutospacing="0" w:line="400" w:lineRule="exact"/>
              <w:ind w:left="0" w:right="0" w:firstLine="480" w:firstLineChars="200"/>
              <w:jc w:val="left"/>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填报日期：</w:t>
            </w:r>
          </w:p>
        </w:tc>
        <w:tc>
          <w:tcPr>
            <w:tcW w:w="2937" w:type="dxa"/>
            <w:gridSpan w:val="4"/>
            <w:tcBorders>
              <w:top w:val="nil"/>
              <w:left w:val="nil"/>
              <w:bottom w:val="nil"/>
              <w:right w:val="nil"/>
            </w:tcBorders>
            <w:noWrap w:val="0"/>
            <w:vAlign w:val="center"/>
          </w:tcPr>
          <w:p>
            <w:pPr>
              <w:keepNext w:val="0"/>
              <w:keepLines w:val="0"/>
              <w:suppressLineNumbers w:val="0"/>
              <w:spacing w:before="0" w:beforeAutospacing="0" w:after="0" w:afterAutospacing="0" w:line="400" w:lineRule="exact"/>
              <w:ind w:left="0" w:right="0" w:firstLine="480" w:firstLineChars="200"/>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4"/>
                <w:szCs w:val="24"/>
                <w:u w:val="none"/>
                <w:lang w:val="en-US" w:eastAsia="zh-CN" w:bidi="ar"/>
              </w:rPr>
              <w:t>联系方式：</w:t>
            </w:r>
          </w:p>
        </w:tc>
        <w:tc>
          <w:tcPr>
            <w:tcW w:w="850" w:type="dxa"/>
            <w:tcBorders>
              <w:top w:val="nil"/>
              <w:left w:val="nil"/>
              <w:bottom w:val="nil"/>
              <w:right w:val="nil"/>
            </w:tcBorders>
            <w:noWrap/>
            <w:vAlign w:val="center"/>
          </w:tcPr>
          <w:p>
            <w:pPr>
              <w:keepNext w:val="0"/>
              <w:keepLines w:val="0"/>
              <w:suppressLineNumbers w:val="0"/>
              <w:spacing w:before="0" w:beforeAutospacing="0" w:after="0" w:afterAutospacing="0" w:line="400" w:lineRule="exact"/>
              <w:ind w:left="0" w:right="0" w:firstLine="440" w:firstLineChars="200"/>
              <w:rPr>
                <w:rFonts w:hint="default" w:ascii="Times New Roman" w:hAnsi="Times New Roman" w:eastAsia="仿宋_GB2312" w:cs="Times New Roman"/>
                <w:i w:val="0"/>
                <w:color w:val="000000"/>
                <w:sz w:val="22"/>
                <w:szCs w:val="22"/>
                <w:u w:val="none"/>
              </w:rPr>
            </w:pPr>
          </w:p>
        </w:tc>
        <w:tc>
          <w:tcPr>
            <w:tcW w:w="567" w:type="dxa"/>
            <w:tcBorders>
              <w:top w:val="nil"/>
              <w:left w:val="nil"/>
              <w:bottom w:val="nil"/>
              <w:right w:val="nil"/>
            </w:tcBorders>
            <w:noWrap/>
            <w:vAlign w:val="center"/>
          </w:tcPr>
          <w:p>
            <w:pPr>
              <w:keepNext w:val="0"/>
              <w:keepLines w:val="0"/>
              <w:suppressLineNumbers w:val="0"/>
              <w:spacing w:before="0" w:beforeAutospacing="0" w:after="0" w:afterAutospacing="0" w:line="400" w:lineRule="exact"/>
              <w:ind w:left="0" w:right="0" w:firstLine="440" w:firstLineChars="200"/>
              <w:rPr>
                <w:rFonts w:hint="default" w:ascii="Times New Roman" w:hAnsi="Times New Roman" w:eastAsia="仿宋_GB2312" w:cs="Times New Roman"/>
                <w:i w:val="0"/>
                <w:color w:val="000000"/>
                <w:sz w:val="22"/>
                <w:szCs w:val="22"/>
                <w:u w:val="none"/>
              </w:rPr>
            </w:pPr>
          </w:p>
        </w:tc>
        <w:tc>
          <w:tcPr>
            <w:tcW w:w="1311" w:type="dxa"/>
            <w:tcBorders>
              <w:top w:val="nil"/>
              <w:left w:val="nil"/>
              <w:bottom w:val="nil"/>
              <w:right w:val="nil"/>
            </w:tcBorders>
            <w:noWrap/>
            <w:vAlign w:val="center"/>
          </w:tcPr>
          <w:p>
            <w:pPr>
              <w:keepNext w:val="0"/>
              <w:keepLines w:val="0"/>
              <w:suppressLineNumbers w:val="0"/>
              <w:spacing w:before="0" w:beforeAutospacing="0" w:after="0" w:afterAutospacing="0" w:line="400" w:lineRule="exact"/>
              <w:ind w:left="0" w:right="0" w:firstLine="440" w:firstLineChars="200"/>
              <w:rPr>
                <w:rFonts w:hint="default" w:ascii="Times New Roman" w:hAnsi="Times New Roman" w:eastAsia="仿宋_GB2312" w:cs="Times New Roman"/>
                <w:i w:val="0"/>
                <w:color w:val="000000"/>
                <w:sz w:val="22"/>
                <w:szCs w:val="22"/>
                <w:u w:val="none"/>
              </w:rPr>
            </w:pPr>
          </w:p>
        </w:tc>
        <w:tc>
          <w:tcPr>
            <w:tcW w:w="860" w:type="dxa"/>
            <w:tcBorders>
              <w:top w:val="nil"/>
              <w:left w:val="nil"/>
              <w:bottom w:val="nil"/>
              <w:right w:val="nil"/>
            </w:tcBorders>
            <w:noWrap/>
            <w:vAlign w:val="center"/>
          </w:tcPr>
          <w:p>
            <w:pPr>
              <w:keepNext w:val="0"/>
              <w:keepLines w:val="0"/>
              <w:suppressLineNumbers w:val="0"/>
              <w:spacing w:before="0" w:beforeAutospacing="0" w:after="0" w:afterAutospacing="0" w:line="400" w:lineRule="exact"/>
              <w:ind w:left="0" w:right="0" w:firstLine="440" w:firstLineChars="200"/>
              <w:rPr>
                <w:rFonts w:hint="default" w:ascii="Times New Roman" w:hAnsi="Times New Roman" w:eastAsia="仿宋_GB2312" w:cs="Times New Roman"/>
                <w:i w:val="0"/>
                <w:color w:val="000000"/>
                <w:sz w:val="22"/>
                <w:szCs w:val="22"/>
                <w:u w:val="none"/>
              </w:rPr>
            </w:pPr>
          </w:p>
        </w:tc>
        <w:tc>
          <w:tcPr>
            <w:tcW w:w="1000" w:type="dxa"/>
            <w:tcBorders>
              <w:top w:val="nil"/>
              <w:left w:val="nil"/>
              <w:bottom w:val="nil"/>
              <w:right w:val="nil"/>
            </w:tcBorders>
            <w:noWrap/>
            <w:vAlign w:val="center"/>
          </w:tcPr>
          <w:p>
            <w:pPr>
              <w:keepNext w:val="0"/>
              <w:keepLines w:val="0"/>
              <w:suppressLineNumbers w:val="0"/>
              <w:spacing w:before="0" w:beforeAutospacing="0" w:after="0" w:afterAutospacing="0" w:line="400" w:lineRule="exact"/>
              <w:ind w:left="0" w:right="0" w:firstLine="440" w:firstLineChars="200"/>
              <w:rPr>
                <w:rFonts w:hint="default" w:ascii="Times New Roman" w:hAnsi="Times New Roman" w:eastAsia="仿宋_GB2312" w:cs="Times New Roman"/>
                <w:i w:val="0"/>
                <w:color w:val="000000"/>
                <w:sz w:val="22"/>
                <w:szCs w:val="22"/>
                <w:u w:val="none"/>
              </w:rPr>
            </w:pPr>
          </w:p>
        </w:tc>
        <w:tc>
          <w:tcPr>
            <w:tcW w:w="1450" w:type="dxa"/>
            <w:tcBorders>
              <w:top w:val="nil"/>
              <w:left w:val="nil"/>
              <w:bottom w:val="nil"/>
              <w:right w:val="nil"/>
            </w:tcBorders>
            <w:noWrap/>
            <w:vAlign w:val="center"/>
          </w:tcPr>
          <w:p>
            <w:pPr>
              <w:keepNext w:val="0"/>
              <w:keepLines w:val="0"/>
              <w:suppressLineNumbers w:val="0"/>
              <w:spacing w:before="0" w:beforeAutospacing="0" w:after="0" w:afterAutospacing="0" w:line="400" w:lineRule="exact"/>
              <w:ind w:left="0" w:right="0" w:firstLine="440" w:firstLineChars="200"/>
              <w:rPr>
                <w:rFonts w:hint="default" w:ascii="Times New Roman" w:hAnsi="Times New Roman" w:eastAsia="仿宋_GB2312" w:cs="Times New Roman"/>
                <w:i w:val="0"/>
                <w:color w:val="000000"/>
                <w:sz w:val="22"/>
                <w:szCs w:val="22"/>
                <w:u w:val="none"/>
              </w:rPr>
            </w:pP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2"/>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261E6"/>
    <w:multiLevelType w:val="multilevel"/>
    <w:tmpl w:val="2B9261E6"/>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F1744"/>
    <w:rsid w:val="5D2F1744"/>
    <w:rsid w:val="644C1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link w:val="17"/>
    <w:semiHidden/>
    <w:unhideWhenUsed/>
    <w:qFormat/>
    <w:uiPriority w:val="0"/>
    <w:pPr>
      <w:keepNext/>
      <w:keepLines/>
      <w:numPr>
        <w:ilvl w:val="1"/>
        <w:numId w:val="1"/>
      </w:numPr>
      <w:spacing w:before="260" w:after="260" w:line="416" w:lineRule="auto"/>
      <w:outlineLvl w:val="1"/>
    </w:pPr>
    <w:rPr>
      <w:rFonts w:ascii="Arial" w:hAnsi="Arial" w:eastAsia="宋体" w:cs="Times New Roman"/>
      <w:b/>
      <w:bCs/>
      <w:sz w:val="28"/>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7">
    <w:name w:val="标题 2 Char"/>
    <w:basedOn w:val="16"/>
    <w:link w:val="4"/>
    <w:qFormat/>
    <w:uiPriority w:val="0"/>
    <w:rPr>
      <w:rFonts w:ascii="Arial" w:hAnsi="Arial" w:eastAsia="宋体" w:cs="Times New Roman"/>
      <w:b/>
      <w:bCs/>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2023-12-29T09:44:00Z</dcterms:created>
  <dc:creator>李华润（驻场）</dc:creator>
  <cp:lastModifiedBy>李华润（驻场）</cp:lastModifiedBy>
  <dcterms:modified xsi:type="dcterms:W3CDTF">2023-12-29T09:45:36Z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DD6003DBCEC04AD2BE189B21DD423418</vt:lpwstr>
  </property>
</Properties>
</file>