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both"/>
        <w:rPr>
          <w:rFonts w:hint="eastAsia" w:ascii="仿宋_GB2312" w:hAnsi="仿宋_GB2312" w:eastAsia="仿宋_GB2312" w:cs="仿宋_GB2312"/>
          <w:sz w:val="32"/>
          <w:szCs w:val="32"/>
          <w:lang w:val="en-US" w:eastAsia="zh-CN"/>
        </w:rPr>
      </w:pPr>
      <w:bookmarkStart w:id="0" w:name="_GoBack"/>
      <w:bookmarkEnd w:id="0"/>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《辽宁省药品检查管理办法实施</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细则（药品生产）（试行）》修订条款说明</w:t>
      </w:r>
    </w:p>
    <w:p>
      <w:pPr>
        <w:jc w:val="center"/>
        <w:rPr>
          <w:rFonts w:ascii="方正小标宋_GBK" w:hAnsi="方正小标宋_GBK" w:eastAsia="方正小标宋_GBK" w:cs="方正小标宋_GBK"/>
          <w:sz w:val="40"/>
          <w:szCs w:val="40"/>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将第一条修改为“为加强药品生产监督管理，规范药品生产检查行为，根据《中华人民共和国药品管理法》《中华人民共和国疫苗管理法》《药品生产监督管理办法》《药品检查管理办法（试行）》（以下简称《检查办法》）等相关法律法规规章及规范性文件，结合我省药品生产检查实际，制定本细则。”</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二、将第八条修改为“检查派出处室（生产处、注册处、稽查处）组织实施的药品生产监督检查按照以下程序执行。中心组织实施的符合性检查按照《检查办法》等规定程序执行。”</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将第十条修改为：“检查派出处室负责组建检查组实施检查。检查组一般由2名以上检查员组成。检查员应具备与被检查企业、品种相适应的专业知识、培训经历或者从业经验。检查组实行组长负责制，组员责任制。检查工作中遇到复杂疑难问题，可选派相关领域专家或向国家局申请派出检查员指导现场检查。”</w:t>
      </w:r>
      <w:r>
        <w:rPr>
          <w:rFonts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第十五条修改为“按照风险管理原则，检查期间检查组可结合年度监督抽验计划、协查及有因检查等工作需要，按照《药品抽样原则及程序》，对被检查企业的产品、中间体、原辅包等同步开展抽样工作。所抽取样品的经费、检验费用由省局承担。”</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将第十六条修改为“检查期间发现被检查企业涉嫌存在违法违规问题或可能存在药品质量安全风险的，执法人员应立即依法开展调查、固定证据，必要时可采取协查、延伸检查、联合检查等方式开展深入调查，并将发现的问题和处理建议向检查派出处室负责人报告。检查组中执法人员不足2名的，负责被检查企业监管工作的处室应派出执法人员参与检查工作。检查派出处室应当在3日内对药品质量安全风险进行风险评估，对可能存在重大违法违规行为或严重安全隐患的，应在当日进行风险评估。如有证据证明药品存在质量问题或者其他安全隐患的，应依据《中华人民共和国药品管理法》第九十九条规定采取暂停生产、销售、使用等风险控制措施，同时责令被检查企业全面回顾分析已上市药品风险，必要时依法采取召回措施。涉及违法行为的应依法立案查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检查企业为受托生产企业（以下简称受托方），持有人为省内企业的，受托方所在地稽查处将与委托生产药品相关的涉嫌违法违规问题或药品质量安全风险通报持有人所在地稽查处，持有人所在地稽查处应当在上述规定时限内进行风险评估，采取相应风险控制措施，必要时监督持有人对已上市药品采取召回等措施；持有人为省外企业的，生产处将与委托生产药品相关的涉嫌违法违规问题或药品质量安全风险通报持有人所在地省级药品监督管理部门。”</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六、将原《细则》第二十九条现场检查结论内容调整为第二十一条，并修改为“现场检查结论分为符合要求、待整改后评定、不符合要求。许可现场检查结论分为符合要求、不符合要求。”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七、将原《细则》第三十条内容调整到第二十二条。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将原《细则》第二十三条序号调整为第二十五条，并修改为“现场检查结束后，被检查企业应当针对缺陷项目进行整改，并于30个工作日内向派出检查处室提交整改报告；缺陷项目经派出检查处室审核后作出调整重新发放的，整改时限可延长10个工作日；无法按期完成整改的，应当制定切实可行的整改计划，整改完成后，应当及时将整改情况形成补充整改报告报送派出检查处室。必要时，检查派出处室可以对被检查企业整改落实情况进行现场检查。被检查企业在整改期间应当主动结合发现的缺陷和风险，采取必要的风险控制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现场检查结论审核后为“不符合要求”的，按照本细则第三十九条执行。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检查派出处室在后续现场检查时应确认被检查企业最近一次缺陷整改及整改计划完成情况。”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九、将原《细则》第二十四条序号调整为</w:t>
      </w:r>
      <w:r>
        <w:rPr>
          <w:rFonts w:ascii="仿宋_GB2312" w:hAnsi="仿宋_GB2312" w:eastAsia="仿宋_GB2312" w:cs="仿宋_GB2312"/>
          <w:sz w:val="32"/>
          <w:szCs w:val="32"/>
        </w:rPr>
        <w:t>第二十六条</w:t>
      </w:r>
      <w:r>
        <w:rPr>
          <w:rFonts w:hint="eastAsia" w:ascii="仿宋_GB2312" w:hAnsi="仿宋_GB2312" w:eastAsia="仿宋_GB2312" w:cs="仿宋_GB2312"/>
          <w:sz w:val="32"/>
          <w:szCs w:val="32"/>
        </w:rPr>
        <w:t>并修改为“各类检查应以发现违法违规问题和防控药品质量安全风险为中心，检查派出部门要全面分析被检查企业历史监管情况、生产企业的生产场地情况、变更情况及年度报告等内容，结合被检查企业品种特性、检查发起原因和年度检查工作要求，全面评估企业、品种风险，基于风险突出重点检查内容，制定针对性检查方案。”</w:t>
      </w:r>
      <w:r>
        <w:rPr>
          <w:rFonts w:ascii="仿宋_GB2312" w:hAnsi="仿宋_GB2312" w:eastAsia="仿宋_GB2312" w:cs="仿宋_GB2312"/>
          <w:sz w:val="32"/>
          <w:szCs w:val="32"/>
        </w:rPr>
        <w:t xml:space="preserve">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十、将第二十六条序号调整为第二十八条并修改为“每次检查内容以检查方案中重点检查内容为准。常规检查原则上应关注以下内容：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（一）持有人、药品生产企业执行有关法律、法规、规章及药品质量标准情况；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（二）持有人、药品生产企业执行药品生产质量管理规范和技术标准情况；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（三）药品生产、质量、经营以及物料与产品管理等相关记录和数据的真实性、准确性、完整性和可追溯性，与财务相关数据的匹配性；</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（四）持有人及其关键人员主体责任清单落实情况；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（五）持有人、药品生产企业质量管理、风险控制能力及药品上市后风险管理计划实施情况；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（六）产品年度报告及变更管理情况；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（七）最近一次监督检查缺陷整改完成情况；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（八）药物警戒质量管理规范执行情况；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（九）疫苗储存、运输管理规范执行情况；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（十）药品委托生产协议及质量协议执行情况；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（十一）药品上市许可持有人质量管理、风险防控能力；</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（十二）需要检查的其他内容。”</w:t>
      </w:r>
      <w:r>
        <w:rPr>
          <w:rFonts w:ascii="仿宋_GB2312" w:hAnsi="仿宋_GB2312" w:eastAsia="仿宋_GB2312" w:cs="仿宋_GB2312"/>
          <w:sz w:val="32"/>
          <w:szCs w:val="32"/>
        </w:rPr>
        <w:t xml:space="preserve"> </w:t>
      </w:r>
    </w:p>
    <w:p>
      <w:pPr>
        <w:ind w:left="630" w:leftChars="300"/>
        <w:rPr>
          <w:rFonts w:ascii="仿宋_GB2312" w:hAnsi="仿宋_GB2312" w:eastAsia="仿宋_GB2312" w:cs="仿宋_GB2312"/>
          <w:sz w:val="32"/>
          <w:szCs w:val="32"/>
        </w:rPr>
      </w:pPr>
      <w:r>
        <w:rPr>
          <w:rFonts w:hint="eastAsia" w:ascii="仿宋_GB2312" w:hAnsi="仿宋_GB2312" w:eastAsia="仿宋_GB2312" w:cs="仿宋_GB2312"/>
          <w:sz w:val="32"/>
          <w:szCs w:val="32"/>
        </w:rPr>
        <w:t>十一、将原《细则》第四章“检查结论和评定标准”修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改为“综合评定”。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十二、将原《细则》第二十九条序号调整为第三十一条，并修改为“综合评定结论分为符合要求、不符合要求。综合评定结论的评定标准如下：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（一）未发现缺陷或者缺陷质量安全风险轻微、质量管理体系比较健全的，或者发现缺陷有一定质量安全风险经整改可以有效控制风险且质量管理体系能够有效运行的，评定结论为符合要求。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（二）发现缺陷有严重质量安全风险，质量管理体系不能有效运行的，评定结论为不符合要求。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发现缺陷有一定质量安全风险经整改仍未有效控制风险，或者质量管理体系仍不能有效运行的，评定结论为不符合要求。”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将原《细则》第三十一、三十二条部分内容合并，序号调整为三十二条，内容修改为“现场检查结束后，检查派出处室应及时审核现场笔录，形成审核意见。必要时检查派出处室可对缺陷项目和现场检查结论进行重新调整和认定，并及时将调整后的缺陷项目书面提供给被检查企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现场检查结论审核后为“符合要求”的，综合评定程序可简化。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现场检查结论审核后为“待整改后评定”的，检查派出处室应结合企业整改报告审核情况及时形成综合评定结论。必要时检查派出处室可现场确认企业整改情况。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现场检查结论审核后为“不符合要求”的，检查派出处室依据审核意见形成综合评定结论。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遇复杂问题（如涉嫌存在违法违规、影响检查结论等问题），检查派出处室应及时组织风险研判，对存在质量安全风险的，及时采取风险防控措施。必要时可邀请监管、检验、审评、药物警戒等专家参加风险研判、综合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现场检查结论为待整改后评定、不符合要求及未形成现场检查结论的，综合评定过程应有记录。中心组织实施的符合性检查，综合评定过程应有记录。”删除“许可检查综合评定时限为20个工作日。”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十四、新增“第三十三条 检查派出处室应及时将综合评定结论告知被检查企业。涉及符合性检查的，省局向被检查企业发放符合性检查告知书。”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十五、将原《细则》第三十四条序号调整为第三十五条，内容调整为“结果处置按照以下标准执行：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（一）综合评定结论为“符合要求”的，不需要采取其他风险控制措施。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现场检查时发现缺陷有一定质量风险，经整改后综合评定结论为“符合要求”的，必要时按照《中华人民共和国药品管理法》第九十九条第三款、《药品生产监督管理办法》第五十九条第（一）项相应采取告诫、约谈、限期整改等风险控制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综合评定结论为“不符合要求”的，依据《中华人民共和国药品管理法》第九十九条第三款、《药品生产监督管理办法》第五十九条第（二）项相应采取暂停生产、销售、使用、进口等风险控制措施，对于影响已上市产品质量的，持有人、药品生产企业应采取召回措施。持有人、药品生产企业应召回而未召回的，应责令召回，消除安全隐患。除首次申请相关许可证的情形外，应按照《中华人民共和国药品管理法》第一百二十六条等相关规定进行处置。待持有人、药品生产企业申请解除风险控制措施时一并核查、确认缺陷整改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（四）检查发现违法违规行为属于《中华人民共和国药品管理法》第一百二十六条规定以外情形的，按照相关法律法规规定依法查处。</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将原《细则》第四十条序号调整为第四十一条，内容修改为“生产处负责跨省联合检查协调、信息通报工作。协调跨省委托生产、委托储存、委托运输的受托方所在地省局，配合组成联合检查组，对持有人跨省委托质量管理责任落实情况开展联合检查。联合检查组应当由双方各选派不少于2名检查人员组成，检查组长由省局选派，检查组成员包括持有人所在地稽查处监管人员等。”增加“联合检查组应当由双方各选派不少于2名检查人员组成，检查组长由省局选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十七、将原《细则》第四十四条序号调整为第四十五条，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并修改为“中心应按照《检查办法》等相关规定，结合本细则检查内容及工作实际，建立符合性检查工作程序，强化检查发现问题与稽查办案的有效衔接，持续完善质量管理体系，提升检查实效。”</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将原《细则》第四十六条序号调整为第四十七条，并修改为“中心收到检查报告后，在15个工作日内审核检查报告，发现被检查企业涉嫌存在违法违规问题或综合评定结论为“不符合要求”，但检查组现场未移交驻地稽查处的，应在报告审核后5个工作日内将涉嫌存在的违法违规问题书面移交驻地稽查处开展深入调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中心将现场检查和综合评定过程中移交的问题同步报送生产处。”</w:t>
      </w:r>
      <w:r>
        <w:rPr>
          <w:rFonts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B1"/>
    <w:rsid w:val="00007522"/>
    <w:rsid w:val="004B2BCB"/>
    <w:rsid w:val="006C0CB1"/>
    <w:rsid w:val="00BD2740"/>
    <w:rsid w:val="01C0409D"/>
    <w:rsid w:val="042E7014"/>
    <w:rsid w:val="04EB53D0"/>
    <w:rsid w:val="071F1D96"/>
    <w:rsid w:val="092B4D42"/>
    <w:rsid w:val="0AF5064F"/>
    <w:rsid w:val="0CFB64FA"/>
    <w:rsid w:val="0D6F508B"/>
    <w:rsid w:val="0F310C80"/>
    <w:rsid w:val="12E87474"/>
    <w:rsid w:val="135D297D"/>
    <w:rsid w:val="14FD0D58"/>
    <w:rsid w:val="15702E3B"/>
    <w:rsid w:val="177C3A68"/>
    <w:rsid w:val="192C51BB"/>
    <w:rsid w:val="19C9102E"/>
    <w:rsid w:val="1A864BB5"/>
    <w:rsid w:val="1AA35F47"/>
    <w:rsid w:val="1B492A33"/>
    <w:rsid w:val="1B7E46DA"/>
    <w:rsid w:val="1BA7203C"/>
    <w:rsid w:val="1BB32C09"/>
    <w:rsid w:val="1BE40518"/>
    <w:rsid w:val="1D7D694F"/>
    <w:rsid w:val="1DA92ABB"/>
    <w:rsid w:val="1E674ACA"/>
    <w:rsid w:val="24DA3801"/>
    <w:rsid w:val="25F15D33"/>
    <w:rsid w:val="26A727B2"/>
    <w:rsid w:val="26E500FA"/>
    <w:rsid w:val="28C53100"/>
    <w:rsid w:val="29740BF2"/>
    <w:rsid w:val="29E71F15"/>
    <w:rsid w:val="2A77622C"/>
    <w:rsid w:val="2B8B04B0"/>
    <w:rsid w:val="2F3F5353"/>
    <w:rsid w:val="2F5934F4"/>
    <w:rsid w:val="30BF3870"/>
    <w:rsid w:val="31A74B4B"/>
    <w:rsid w:val="355577EA"/>
    <w:rsid w:val="35EA5EEA"/>
    <w:rsid w:val="39153309"/>
    <w:rsid w:val="3A697856"/>
    <w:rsid w:val="3B3E0490"/>
    <w:rsid w:val="3D597D3F"/>
    <w:rsid w:val="3DD50019"/>
    <w:rsid w:val="3ECF4711"/>
    <w:rsid w:val="3F642F10"/>
    <w:rsid w:val="40E734B1"/>
    <w:rsid w:val="43A03C8B"/>
    <w:rsid w:val="466061A5"/>
    <w:rsid w:val="48761D7A"/>
    <w:rsid w:val="490B177D"/>
    <w:rsid w:val="4A686673"/>
    <w:rsid w:val="4A8374B8"/>
    <w:rsid w:val="4AE70526"/>
    <w:rsid w:val="4D2A4394"/>
    <w:rsid w:val="4F41574B"/>
    <w:rsid w:val="501D38FF"/>
    <w:rsid w:val="5079689E"/>
    <w:rsid w:val="507B723E"/>
    <w:rsid w:val="527F1EAC"/>
    <w:rsid w:val="55E85135"/>
    <w:rsid w:val="568056E1"/>
    <w:rsid w:val="570C2A0F"/>
    <w:rsid w:val="577B00D7"/>
    <w:rsid w:val="59A33C64"/>
    <w:rsid w:val="5A905038"/>
    <w:rsid w:val="5DCC509D"/>
    <w:rsid w:val="61A23E28"/>
    <w:rsid w:val="63EB196D"/>
    <w:rsid w:val="65612FE5"/>
    <w:rsid w:val="666D4998"/>
    <w:rsid w:val="67065ED0"/>
    <w:rsid w:val="68511546"/>
    <w:rsid w:val="6F0A2DC6"/>
    <w:rsid w:val="6F9621EE"/>
    <w:rsid w:val="6FB528FE"/>
    <w:rsid w:val="706315B8"/>
    <w:rsid w:val="706875C4"/>
    <w:rsid w:val="71D13345"/>
    <w:rsid w:val="744D7609"/>
    <w:rsid w:val="754A5D11"/>
    <w:rsid w:val="76230974"/>
    <w:rsid w:val="78E279F3"/>
    <w:rsid w:val="7A316C0C"/>
    <w:rsid w:val="7A385C3E"/>
    <w:rsid w:val="7AEC555F"/>
    <w:rsid w:val="7AFA1471"/>
    <w:rsid w:val="7B2136EF"/>
    <w:rsid w:val="7D1B0618"/>
    <w:rsid w:val="7DA26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578</Words>
  <Characters>3296</Characters>
  <Lines>27</Lines>
  <Paragraphs>7</Paragraphs>
  <TotalTime>4</TotalTime>
  <ScaleCrop>false</ScaleCrop>
  <LinksUpToDate>false</LinksUpToDate>
  <CharactersWithSpaces>3867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2023-07-27T08:48:00Z</dcterms:created>
  <dc:creator>zhj</dc:creator>
  <cp:lastModifiedBy>赵红菊</cp:lastModifiedBy>
  <cp:lastPrinted>2023-11-27T02:31:00Z</cp:lastPrinted>
  <dcterms:modified xsi:type="dcterms:W3CDTF">2023-12-06T02:37:55Z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