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20" w:lineRule="exact"/>
        <w:jc w:val="left"/>
        <w:rPr>
          <w:rFonts w:hint="eastAsia"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eastAsia="zh-CN"/>
        </w:rPr>
        <w:t>附件</w:t>
      </w:r>
      <w:r>
        <w:rPr>
          <w:rFonts w:hint="eastAsia" w:ascii="黑体" w:hAnsi="黑体" w:eastAsia="黑体" w:cs="黑体"/>
          <w:bCs/>
          <w:color w:val="000000"/>
          <w:kern w:val="0"/>
          <w:sz w:val="32"/>
          <w:szCs w:val="32"/>
          <w:highlight w:val="none"/>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简体" w:cs="Times New Roman"/>
          <w:color w:val="000000"/>
          <w:sz w:val="36"/>
          <w:szCs w:val="32"/>
          <w:highlight w:val="none"/>
          <w:lang w:val="en-US" w:eastAsia="zh-CN"/>
        </w:rPr>
      </w:pPr>
      <w:r>
        <w:rPr>
          <w:rFonts w:hint="default" w:ascii="Times New Roman" w:hAnsi="Times New Roman" w:eastAsia="方正小标宋简体" w:cs="Times New Roman"/>
          <w:color w:val="000000"/>
          <w:sz w:val="36"/>
          <w:szCs w:val="32"/>
          <w:highlight w:val="none"/>
          <w:lang w:val="en-US" w:eastAsia="zh-CN"/>
        </w:rPr>
        <w:t>麻醉药品和精神药品定点经营</w:t>
      </w:r>
      <w:r>
        <w:rPr>
          <w:rFonts w:hint="eastAsia" w:ascii="Times New Roman" w:hAnsi="Times New Roman" w:eastAsia="方正小标宋简体" w:cs="Times New Roman"/>
          <w:color w:val="000000"/>
          <w:sz w:val="36"/>
          <w:szCs w:val="32"/>
          <w:highlight w:val="none"/>
          <w:lang w:val="en-US" w:eastAsia="zh-CN"/>
        </w:rPr>
        <w:t>遴选</w:t>
      </w:r>
      <w:r>
        <w:rPr>
          <w:rFonts w:hint="default" w:ascii="Times New Roman" w:hAnsi="Times New Roman" w:eastAsia="方正小标宋简体" w:cs="Times New Roman"/>
          <w:color w:val="000000"/>
          <w:sz w:val="36"/>
          <w:szCs w:val="32"/>
          <w:highlight w:val="none"/>
          <w:lang w:val="en-US" w:eastAsia="zh-CN"/>
        </w:rPr>
        <w:t>申请表</w:t>
      </w:r>
    </w:p>
    <w:tbl>
      <w:tblPr>
        <w:tblStyle w:val="6"/>
        <w:tblpPr w:leftFromText="180" w:rightFromText="180" w:vertAnchor="text" w:horzAnchor="page" w:tblpXSpec="center" w:tblpY="20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2700"/>
        <w:gridCol w:w="180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15"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企业名称（盖章）</w:t>
            </w:r>
          </w:p>
        </w:tc>
        <w:tc>
          <w:tcPr>
            <w:tcW w:w="6468" w:type="dxa"/>
            <w:gridSpan w:val="3"/>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15" w:type="dxa"/>
            <w:noWrap w:val="0"/>
            <w:vAlign w:val="center"/>
          </w:tcPr>
          <w:p>
            <w:pPr>
              <w:spacing w:beforeLines="0" w:afterLines="0" w:line="62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rPr>
              <w:t>许可证编号</w:t>
            </w:r>
          </w:p>
        </w:tc>
        <w:tc>
          <w:tcPr>
            <w:tcW w:w="6468" w:type="dxa"/>
            <w:gridSpan w:val="3"/>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15"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发证日期</w:t>
            </w:r>
          </w:p>
        </w:tc>
        <w:tc>
          <w:tcPr>
            <w:tcW w:w="2700"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c>
          <w:tcPr>
            <w:tcW w:w="1800"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有效期至</w:t>
            </w:r>
          </w:p>
        </w:tc>
        <w:tc>
          <w:tcPr>
            <w:tcW w:w="1968"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15"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注册地址</w:t>
            </w:r>
          </w:p>
        </w:tc>
        <w:tc>
          <w:tcPr>
            <w:tcW w:w="6468" w:type="dxa"/>
            <w:gridSpan w:val="3"/>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15" w:type="dxa"/>
            <w:noWrap w:val="0"/>
            <w:vAlign w:val="center"/>
          </w:tcPr>
          <w:p>
            <w:pPr>
              <w:spacing w:beforeLines="0" w:afterLines="0" w:line="36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rPr>
              <w:t>仓库地址</w:t>
            </w:r>
          </w:p>
        </w:tc>
        <w:tc>
          <w:tcPr>
            <w:tcW w:w="2700" w:type="dxa"/>
            <w:noWrap w:val="0"/>
            <w:vAlign w:val="center"/>
          </w:tcPr>
          <w:p>
            <w:pPr>
              <w:spacing w:beforeLines="0" w:afterLines="0" w:line="36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p>
        </w:tc>
        <w:tc>
          <w:tcPr>
            <w:tcW w:w="1800" w:type="dxa"/>
            <w:noWrap w:val="0"/>
            <w:vAlign w:val="center"/>
          </w:tcPr>
          <w:p>
            <w:pPr>
              <w:tabs>
                <w:tab w:val="left" w:pos="441"/>
              </w:tabs>
              <w:spacing w:beforeLines="0" w:afterLines="0" w:line="360" w:lineRule="exact"/>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rPr>
              <w:t>是否变更/增加仓库地址</w:t>
            </w:r>
          </w:p>
        </w:tc>
        <w:tc>
          <w:tcPr>
            <w:tcW w:w="1968" w:type="dxa"/>
            <w:noWrap w:val="0"/>
            <w:vAlign w:val="center"/>
          </w:tcPr>
          <w:p>
            <w:pPr>
              <w:spacing w:beforeLines="0" w:afterLines="0" w:line="62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15"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经营范围</w:t>
            </w:r>
          </w:p>
        </w:tc>
        <w:tc>
          <w:tcPr>
            <w:tcW w:w="2700" w:type="dxa"/>
            <w:noWrap w:val="0"/>
            <w:vAlign w:val="center"/>
          </w:tcPr>
          <w:p>
            <w:pPr>
              <w:spacing w:beforeLines="0" w:afterLines="0" w:line="620" w:lineRule="exact"/>
              <w:jc w:val="center"/>
              <w:rPr>
                <w:rFonts w:hint="eastAsia" w:ascii="仿宋_GB2312" w:hAnsi="仿宋_GB2312" w:eastAsia="仿宋_GB2312" w:cs="仿宋_GB2312"/>
                <w:color w:val="000000"/>
                <w:sz w:val="24"/>
                <w:szCs w:val="24"/>
                <w:highlight w:val="none"/>
                <w:vertAlign w:val="baseline"/>
                <w:lang w:val="en-US" w:eastAsia="zh-CN"/>
              </w:rPr>
            </w:pPr>
          </w:p>
        </w:tc>
        <w:tc>
          <w:tcPr>
            <w:tcW w:w="3768" w:type="dxa"/>
            <w:gridSpan w:val="2"/>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申请增加“麻醉药品和第一类精神药品（供药责任区域：×××）/第二类精神药品”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15" w:type="dxa"/>
            <w:noWrap w:val="0"/>
            <w:vAlign w:val="center"/>
          </w:tcPr>
          <w:p>
            <w:pPr>
              <w:spacing w:beforeLines="0" w:afterLines="0" w:line="36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rPr>
              <w:t>联系人</w:t>
            </w:r>
          </w:p>
        </w:tc>
        <w:tc>
          <w:tcPr>
            <w:tcW w:w="2700" w:type="dxa"/>
            <w:noWrap w:val="0"/>
            <w:vAlign w:val="center"/>
          </w:tcPr>
          <w:p>
            <w:pPr>
              <w:spacing w:beforeLines="0" w:afterLines="0" w:line="36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p>
        </w:tc>
        <w:tc>
          <w:tcPr>
            <w:tcW w:w="1800" w:type="dxa"/>
            <w:noWrap w:val="0"/>
            <w:vAlign w:val="center"/>
          </w:tcPr>
          <w:p>
            <w:pPr>
              <w:spacing w:beforeLines="0" w:afterLines="0" w:line="360" w:lineRule="exact"/>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rPr>
              <w:t>邮政编码</w:t>
            </w:r>
          </w:p>
        </w:tc>
        <w:tc>
          <w:tcPr>
            <w:tcW w:w="1968"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15"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联系电话</w:t>
            </w:r>
          </w:p>
        </w:tc>
        <w:tc>
          <w:tcPr>
            <w:tcW w:w="2700"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p>
        </w:tc>
        <w:tc>
          <w:tcPr>
            <w:tcW w:w="1800"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传真</w:t>
            </w:r>
          </w:p>
        </w:tc>
        <w:tc>
          <w:tcPr>
            <w:tcW w:w="1968"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15"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法定代表人或</w:t>
            </w:r>
          </w:p>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企业负责人（签字）</w:t>
            </w:r>
          </w:p>
        </w:tc>
        <w:tc>
          <w:tcPr>
            <w:tcW w:w="2700"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p>
        </w:tc>
        <w:tc>
          <w:tcPr>
            <w:tcW w:w="1800"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申报人（签字）</w:t>
            </w:r>
          </w:p>
        </w:tc>
        <w:tc>
          <w:tcPr>
            <w:tcW w:w="1968" w:type="dxa"/>
            <w:noWrap w:val="0"/>
            <w:vAlign w:val="center"/>
          </w:tcPr>
          <w:p>
            <w:pPr>
              <w:spacing w:beforeLines="0" w:afterLines="0" w:line="360" w:lineRule="exact"/>
              <w:jc w:val="center"/>
              <w:rPr>
                <w:rFonts w:hint="eastAsia" w:ascii="仿宋_GB2312" w:hAnsi="仿宋_GB2312" w:eastAsia="仿宋_GB2312" w:cs="仿宋_GB2312"/>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2615" w:type="dxa"/>
            <w:noWrap w:val="0"/>
            <w:vAlign w:val="top"/>
          </w:tcPr>
          <w:p>
            <w:pPr>
              <w:autoSpaceDE w:val="0"/>
              <w:autoSpaceDN w:val="0"/>
              <w:spacing w:beforeLines="0" w:afterLines="0" w:line="620" w:lineRule="exact"/>
              <w:jc w:val="both"/>
              <w:rPr>
                <w:rFonts w:hint="eastAsia" w:ascii="仿宋_GB2312" w:hAnsi="仿宋_GB2312" w:eastAsia="仿宋_GB2312" w:cs="仿宋_GB2312"/>
                <w:color w:val="000000"/>
                <w:sz w:val="24"/>
                <w:szCs w:val="24"/>
                <w:highlight w:val="none"/>
                <w:vertAlign w:val="baseline"/>
                <w:lang w:val="zh-CN" w:eastAsia="zh-CN"/>
              </w:rPr>
            </w:pPr>
            <w:r>
              <w:rPr>
                <w:rFonts w:hint="eastAsia" w:ascii="仿宋_GB2312" w:hAnsi="仿宋_GB2312" w:eastAsia="仿宋_GB2312" w:cs="仿宋_GB2312"/>
                <w:color w:val="000000"/>
                <w:sz w:val="24"/>
                <w:szCs w:val="24"/>
                <w:highlight w:val="none"/>
                <w:vertAlign w:val="baseline"/>
                <w:lang w:val="zh-CN" w:eastAsia="zh-CN"/>
              </w:rPr>
              <w:t>企业申报事由</w:t>
            </w:r>
          </w:p>
          <w:p>
            <w:pPr>
              <w:autoSpaceDE w:val="0"/>
              <w:autoSpaceDN w:val="0"/>
              <w:spacing w:beforeLines="0" w:afterLines="0" w:line="620" w:lineRule="exact"/>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4"/>
                <w:szCs w:val="24"/>
                <w:highlight w:val="none"/>
                <w:vertAlign w:val="baseline"/>
                <w:lang w:val="zh-CN" w:eastAsia="zh-CN"/>
              </w:rPr>
              <w:t>及自查情况</w:t>
            </w:r>
          </w:p>
          <w:p>
            <w:pPr>
              <w:spacing w:beforeLines="0" w:afterLines="0" w:line="620" w:lineRule="exact"/>
              <w:jc w:val="both"/>
              <w:rPr>
                <w:rFonts w:hint="eastAsia" w:ascii="仿宋_GB2312" w:hAnsi="仿宋_GB2312" w:eastAsia="仿宋_GB2312" w:cs="仿宋_GB2312"/>
                <w:color w:val="000000"/>
                <w:sz w:val="24"/>
                <w:szCs w:val="24"/>
                <w:highlight w:val="none"/>
                <w:vertAlign w:val="baseline"/>
                <w:lang w:val="en-US" w:eastAsia="zh-CN"/>
              </w:rPr>
            </w:pPr>
          </w:p>
        </w:tc>
        <w:tc>
          <w:tcPr>
            <w:tcW w:w="6468" w:type="dxa"/>
            <w:gridSpan w:val="3"/>
            <w:noWrap w:val="0"/>
            <w:vAlign w:val="top"/>
          </w:tcPr>
          <w:p>
            <w:pPr>
              <w:spacing w:beforeLines="0" w:afterLines="0" w:line="620" w:lineRule="exact"/>
              <w:jc w:val="both"/>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1"/>
                <w:szCs w:val="21"/>
                <w:highlight w:val="none"/>
              </w:rPr>
              <w:t>请</w:t>
            </w:r>
            <w:r>
              <w:rPr>
                <w:rFonts w:hint="eastAsia" w:ascii="仿宋_GB2312" w:hAnsi="仿宋_GB2312" w:eastAsia="仿宋_GB2312" w:cs="仿宋_GB2312"/>
                <w:color w:val="000000"/>
                <w:sz w:val="21"/>
                <w:szCs w:val="21"/>
                <w:highlight w:val="none"/>
                <w:lang w:eastAsia="zh-CN"/>
              </w:rPr>
              <w:t>在表内简要说明并附申请</w:t>
            </w:r>
            <w:r>
              <w:rPr>
                <w:rFonts w:hint="eastAsia" w:ascii="仿宋_GB2312" w:hAnsi="仿宋_GB2312" w:eastAsia="仿宋_GB2312" w:cs="仿宋_GB2312"/>
                <w:color w:val="000000"/>
                <w:sz w:val="21"/>
                <w:szCs w:val="21"/>
                <w:highlight w:val="none"/>
              </w:rPr>
              <w:t>企业的书面报告</w:t>
            </w:r>
            <w:r>
              <w:rPr>
                <w:rFonts w:hint="eastAsia" w:ascii="仿宋_GB2312" w:hAnsi="仿宋_GB2312" w:eastAsia="仿宋_GB2312" w:cs="仿宋_GB2312"/>
                <w:color w:val="000000"/>
                <w:sz w:val="21"/>
                <w:szCs w:val="21"/>
                <w:highlight w:val="none"/>
                <w:lang w:eastAsia="zh-CN"/>
              </w:rPr>
              <w:t>，报告</w:t>
            </w:r>
            <w:r>
              <w:rPr>
                <w:rFonts w:hint="eastAsia" w:ascii="仿宋_GB2312" w:hAnsi="仿宋_GB2312" w:eastAsia="仿宋_GB2312" w:cs="仿宋_GB2312"/>
                <w:color w:val="000000"/>
                <w:sz w:val="21"/>
                <w:szCs w:val="21"/>
                <w:highlight w:val="none"/>
              </w:rPr>
              <w:t>标准:1.以公司红头正式文件报送</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2.包括申请</w:t>
            </w:r>
            <w:r>
              <w:rPr>
                <w:rFonts w:hint="eastAsia" w:ascii="仿宋_GB2312" w:hAnsi="仿宋_GB2312" w:eastAsia="仿宋_GB2312" w:cs="仿宋_GB2312"/>
                <w:color w:val="000000"/>
                <w:sz w:val="21"/>
                <w:szCs w:val="21"/>
                <w:highlight w:val="none"/>
                <w:lang w:eastAsia="zh-CN"/>
              </w:rPr>
              <w:t>企业</w:t>
            </w:r>
            <w:r>
              <w:rPr>
                <w:rFonts w:hint="eastAsia" w:ascii="仿宋_GB2312" w:hAnsi="仿宋_GB2312" w:eastAsia="仿宋_GB2312" w:cs="仿宋_GB2312"/>
                <w:color w:val="000000"/>
                <w:sz w:val="21"/>
                <w:szCs w:val="21"/>
                <w:highlight w:val="none"/>
              </w:rPr>
              <w:t>的基本情况</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人员、场地、设施、拟经营的品种、范围等，内容</w:t>
            </w:r>
            <w:r>
              <w:rPr>
                <w:rFonts w:hint="eastAsia" w:ascii="仿宋_GB2312" w:hAnsi="仿宋_GB2312" w:eastAsia="仿宋_GB2312" w:cs="仿宋_GB2312"/>
                <w:color w:val="000000"/>
                <w:sz w:val="21"/>
                <w:szCs w:val="21"/>
                <w:highlight w:val="none"/>
                <w:lang w:eastAsia="zh-CN"/>
              </w:rPr>
              <w:t>真实、</w:t>
            </w:r>
            <w:r>
              <w:rPr>
                <w:rFonts w:hint="eastAsia" w:ascii="仿宋_GB2312" w:hAnsi="仿宋_GB2312" w:eastAsia="仿宋_GB2312" w:cs="仿宋_GB2312"/>
                <w:color w:val="000000"/>
                <w:sz w:val="21"/>
                <w:szCs w:val="21"/>
                <w:highlight w:val="none"/>
              </w:rPr>
              <w:t>全面</w:t>
            </w:r>
            <w:r>
              <w:rPr>
                <w:rFonts w:hint="eastAsia" w:ascii="仿宋_GB2312" w:hAnsi="仿宋_GB2312" w:eastAsia="仿宋_GB2312" w:cs="仿宋_GB2312"/>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2615" w:type="dxa"/>
            <w:noWrap w:val="0"/>
            <w:vAlign w:val="top"/>
          </w:tcPr>
          <w:p>
            <w:pPr>
              <w:autoSpaceDE w:val="0"/>
              <w:autoSpaceDN w:val="0"/>
              <w:spacing w:beforeLines="0" w:afterLines="0" w:line="400" w:lineRule="exact"/>
              <w:jc w:val="both"/>
              <w:rPr>
                <w:rFonts w:hint="eastAsia" w:ascii="仿宋_GB2312" w:hAnsi="仿宋_GB2312" w:eastAsia="仿宋_GB2312" w:cs="仿宋_GB2312"/>
                <w:color w:val="000000"/>
                <w:sz w:val="24"/>
                <w:szCs w:val="24"/>
                <w:highlight w:val="none"/>
                <w:vertAlign w:val="baseline"/>
                <w:lang w:val="zh-CN" w:eastAsia="zh-CN"/>
              </w:rPr>
            </w:pPr>
            <w:r>
              <w:rPr>
                <w:rFonts w:hint="eastAsia" w:ascii="仿宋_GB2312" w:hAnsi="仿宋_GB2312" w:eastAsia="仿宋_GB2312" w:cs="仿宋_GB2312"/>
                <w:color w:val="000000"/>
                <w:sz w:val="24"/>
                <w:szCs w:val="24"/>
                <w:highlight w:val="none"/>
                <w:vertAlign w:val="baseline"/>
                <w:lang w:val="zh-CN" w:eastAsia="zh-CN"/>
              </w:rPr>
              <w:t>市（州）市场监督管理局审查意见</w:t>
            </w:r>
          </w:p>
          <w:p>
            <w:pPr>
              <w:autoSpaceDE w:val="0"/>
              <w:autoSpaceDN w:val="0"/>
              <w:spacing w:beforeLines="0" w:afterLines="0" w:line="400" w:lineRule="exact"/>
              <w:jc w:val="both"/>
              <w:rPr>
                <w:rFonts w:hint="eastAsia" w:ascii="仿宋_GB2312" w:hAnsi="仿宋_GB2312" w:eastAsia="仿宋_GB2312" w:cs="仿宋_GB2312"/>
                <w:color w:val="000000"/>
                <w:sz w:val="24"/>
                <w:szCs w:val="24"/>
                <w:highlight w:val="none"/>
                <w:vertAlign w:val="baseline"/>
                <w:lang w:val="zh-CN" w:eastAsia="zh-CN"/>
              </w:rPr>
            </w:pPr>
            <w:r>
              <w:rPr>
                <w:rFonts w:hint="eastAsia" w:ascii="仿宋_GB2312" w:hAnsi="仿宋_GB2312" w:eastAsia="仿宋_GB2312" w:cs="仿宋_GB2312"/>
                <w:color w:val="000000"/>
                <w:sz w:val="24"/>
                <w:szCs w:val="24"/>
                <w:highlight w:val="none"/>
                <w:vertAlign w:val="baseline"/>
                <w:lang w:val="zh-CN" w:eastAsia="zh-CN"/>
              </w:rPr>
              <w:t xml:space="preserve"> </w:t>
            </w:r>
            <w:r>
              <w:rPr>
                <w:rFonts w:hint="eastAsia" w:ascii="仿宋_GB2312" w:hAnsi="仿宋_GB2312" w:eastAsia="仿宋_GB2312" w:cs="仿宋_GB2312"/>
                <w:color w:val="000000"/>
                <w:sz w:val="24"/>
                <w:szCs w:val="24"/>
                <w:highlight w:val="none"/>
                <w:vertAlign w:val="baseline"/>
                <w:lang w:val="en-US" w:eastAsia="zh-CN"/>
              </w:rPr>
              <w:t xml:space="preserve">      </w:t>
            </w:r>
            <w:r>
              <w:rPr>
                <w:rFonts w:hint="eastAsia" w:ascii="仿宋_GB2312" w:hAnsi="仿宋_GB2312" w:eastAsia="仿宋_GB2312" w:cs="仿宋_GB2312"/>
                <w:color w:val="000000"/>
                <w:sz w:val="24"/>
                <w:szCs w:val="24"/>
                <w:highlight w:val="none"/>
                <w:vertAlign w:val="baseline"/>
                <w:lang w:val="zh-CN" w:eastAsia="zh-CN"/>
              </w:rPr>
              <w:t xml:space="preserve">  </w:t>
            </w:r>
          </w:p>
          <w:p>
            <w:pPr>
              <w:spacing w:beforeLines="0" w:afterLines="0" w:line="400" w:lineRule="exact"/>
              <w:ind w:firstLine="6720" w:firstLineChars="2800"/>
              <w:jc w:val="both"/>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zh-CN" w:eastAsia="zh-CN"/>
              </w:rPr>
              <w:t>年</w:t>
            </w:r>
          </w:p>
        </w:tc>
        <w:tc>
          <w:tcPr>
            <w:tcW w:w="6468" w:type="dxa"/>
            <w:gridSpan w:val="3"/>
            <w:noWrap w:val="0"/>
            <w:vAlign w:val="top"/>
          </w:tcPr>
          <w:p>
            <w:pPr>
              <w:spacing w:beforeLines="0" w:afterLines="0" w:line="400" w:lineRule="exact"/>
              <w:ind w:firstLine="6720" w:firstLineChars="2800"/>
              <w:jc w:val="both"/>
              <w:rPr>
                <w:rFonts w:hint="eastAsia" w:ascii="仿宋_GB2312" w:hAnsi="仿宋_GB2312" w:eastAsia="仿宋_GB2312" w:cs="仿宋_GB2312"/>
                <w:color w:val="000000"/>
                <w:sz w:val="24"/>
                <w:szCs w:val="24"/>
                <w:highlight w:val="none"/>
                <w:vertAlign w:val="baseline"/>
                <w:lang w:val="zh-CN" w:eastAsia="zh-CN"/>
              </w:rPr>
            </w:pPr>
          </w:p>
        </w:tc>
      </w:tr>
    </w:tbl>
    <w:p>
      <w:pPr>
        <w:keepNext w:val="0"/>
        <w:keepLines w:val="0"/>
        <w:pageBreakBefore w:val="0"/>
        <w:widowControl w:val="0"/>
        <w:kinsoku/>
        <w:wordWrap/>
        <w:overflowPunct/>
        <w:topLinePunct w:val="0"/>
        <w:autoSpaceDE/>
        <w:autoSpaceDN/>
        <w:bidi w:val="0"/>
        <w:adjustRightInd/>
        <w:snapToGrid/>
        <w:spacing w:beforeLines="0" w:afterLines="0" w:line="620" w:lineRule="exact"/>
        <w:jc w:val="both"/>
        <w:textAlignment w:val="auto"/>
        <w:rPr>
          <w:rFonts w:hint="default" w:ascii="Times New Roman" w:hAnsi="Times New Roman" w:eastAsia="宋体" w:cs="Times New Roman"/>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 xml:space="preserve"> </w:t>
      </w:r>
      <w:r>
        <w:rPr>
          <w:rFonts w:hint="eastAsia" w:ascii="仿宋_GB2312" w:hAnsi="仿宋_GB2312" w:eastAsia="仿宋_GB2312" w:cs="仿宋_GB2312"/>
          <w:color w:val="000000"/>
          <w:sz w:val="24"/>
          <w:szCs w:val="22"/>
          <w:highlight w:val="none"/>
        </w:rPr>
        <w:t>说明：表中空间不足，可附页。</w:t>
      </w:r>
      <w:r>
        <w:rPr>
          <w:rFonts w:hint="eastAsia" w:ascii="仿宋_GB2312" w:hAnsi="仿宋_GB2312" w:eastAsia="仿宋_GB2312" w:cs="仿宋_GB2312"/>
          <w:b w:val="0"/>
          <w:bCs w:val="0"/>
          <w:color w:val="000000"/>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cs="Times New Roman"/>
          <w:color w:val="000000"/>
          <w:szCs w:val="21"/>
          <w:highlight w:val="none"/>
          <w:lang w:val="zh-CN"/>
        </w:rPr>
        <w:br w:type="page"/>
      </w:r>
      <w:r>
        <w:rPr>
          <w:rFonts w:hint="eastAsia" w:ascii="黑体" w:hAnsi="黑体" w:eastAsia="黑体" w:cs="黑体"/>
          <w:color w:val="000000"/>
          <w:sz w:val="32"/>
          <w:szCs w:val="32"/>
          <w:highlight w:val="none"/>
          <w:lang w:val="zh-CN"/>
        </w:rPr>
        <w:t>附件</w:t>
      </w:r>
      <w:r>
        <w:rPr>
          <w:rFonts w:hint="eastAsia" w:ascii="黑体" w:hAnsi="黑体" w:eastAsia="黑体" w:cs="黑体"/>
          <w:bCs/>
          <w:color w:val="000000"/>
          <w:kern w:val="0"/>
          <w:sz w:val="32"/>
          <w:szCs w:val="32"/>
          <w:highlight w:val="none"/>
          <w:lang w:val="en-US" w:eastAsia="zh-CN"/>
        </w:rPr>
        <w:t>2</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zh-CN"/>
        </w:rPr>
        <w:t>申请成为</w:t>
      </w:r>
      <w:r>
        <w:rPr>
          <w:rFonts w:hint="default" w:ascii="Times New Roman" w:hAnsi="Times New Roman" w:eastAsia="方正小标宋简体" w:cs="Times New Roman"/>
          <w:color w:val="000000"/>
          <w:sz w:val="44"/>
          <w:szCs w:val="44"/>
          <w:highlight w:val="none"/>
          <w:lang w:val="en-US" w:eastAsia="zh-CN"/>
        </w:rPr>
        <w:t>麻醉药品和精神药品定点</w:t>
      </w:r>
      <w:r>
        <w:rPr>
          <w:rFonts w:hint="default" w:ascii="Times New Roman" w:hAnsi="Times New Roman" w:eastAsia="方正小标宋简体" w:cs="Times New Roman"/>
          <w:color w:val="000000"/>
          <w:sz w:val="44"/>
          <w:szCs w:val="44"/>
          <w:highlight w:val="none"/>
          <w:lang w:val="zh-CN"/>
        </w:rPr>
        <w:t>批发企业</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jc w:val="center"/>
        <w:textAlignment w:val="auto"/>
        <w:rPr>
          <w:rFonts w:hint="default" w:ascii="Times New Roman" w:hAnsi="Times New Roman" w:eastAsia="方正小标宋简体" w:cs="Times New Roman"/>
          <w:color w:val="000000"/>
          <w:sz w:val="44"/>
          <w:szCs w:val="44"/>
          <w:highlight w:val="none"/>
          <w:lang w:val="zh-CN"/>
        </w:rPr>
      </w:pPr>
      <w:r>
        <w:rPr>
          <w:rFonts w:hint="default" w:ascii="Times New Roman" w:hAnsi="Times New Roman" w:eastAsia="方正小标宋简体" w:cs="Times New Roman"/>
          <w:color w:val="000000"/>
          <w:sz w:val="44"/>
          <w:szCs w:val="44"/>
          <w:highlight w:val="none"/>
          <w:lang w:val="zh-CN"/>
        </w:rPr>
        <w:t>报送资料</w:t>
      </w:r>
      <w:r>
        <w:rPr>
          <w:rFonts w:hint="eastAsia" w:ascii="Times New Roman" w:hAnsi="Times New Roman" w:eastAsia="方正小标宋简体" w:cs="Times New Roman"/>
          <w:color w:val="000000"/>
          <w:sz w:val="44"/>
          <w:szCs w:val="44"/>
          <w:highlight w:val="none"/>
          <w:lang w:val="zh-CN"/>
        </w:rPr>
        <w:t>清单</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一、加盖企业公章的《药品经营许可证》、《营业执照》复印件；</w:t>
      </w:r>
      <w:r>
        <w:rPr>
          <w:rFonts w:hint="eastAsia" w:ascii="Times New Roman" w:hAnsi="Times New Roman" w:eastAsia="仿宋_GB2312" w:cs="Times New Roman"/>
          <w:color w:val="000000"/>
          <w:sz w:val="32"/>
          <w:szCs w:val="32"/>
          <w:highlight w:val="none"/>
          <w:lang w:val="zh-CN"/>
        </w:rPr>
        <w:t>经办人员法定代表人授权</w:t>
      </w:r>
      <w:r>
        <w:rPr>
          <w:rFonts w:hint="default" w:ascii="Times New Roman" w:hAnsi="Times New Roman" w:eastAsia="仿宋_GB2312" w:cs="Times New Roman"/>
          <w:color w:val="000000"/>
          <w:sz w:val="32"/>
          <w:szCs w:val="32"/>
          <w:highlight w:val="none"/>
          <w:lang w:val="zh-CN"/>
        </w:rPr>
        <w:t>委托书；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二、企业储存仓库产权或租赁文件复印件，仓库布局图（麻醉药品和第一类精神药品</w:t>
      </w:r>
      <w:r>
        <w:rPr>
          <w:rFonts w:hint="eastAsia" w:ascii="Times New Roman" w:hAnsi="Times New Roman" w:eastAsia="仿宋_GB2312" w:cs="Times New Roman"/>
          <w:color w:val="000000"/>
          <w:sz w:val="32"/>
          <w:szCs w:val="32"/>
          <w:highlight w:val="none"/>
          <w:lang w:val="zh-CN"/>
        </w:rPr>
        <w:t>专</w:t>
      </w:r>
      <w:r>
        <w:rPr>
          <w:rFonts w:hint="default" w:ascii="Times New Roman" w:hAnsi="Times New Roman" w:eastAsia="仿宋_GB2312" w:cs="Times New Roman"/>
          <w:color w:val="000000"/>
          <w:sz w:val="32"/>
          <w:szCs w:val="32"/>
          <w:highlight w:val="none"/>
          <w:lang w:val="zh-CN"/>
        </w:rPr>
        <w:t>库</w:t>
      </w:r>
      <w:r>
        <w:rPr>
          <w:rFonts w:hint="eastAsia" w:ascii="Times New Roman" w:hAnsi="Times New Roman" w:eastAsia="仿宋_GB2312" w:cs="Times New Roman"/>
          <w:color w:val="000000"/>
          <w:sz w:val="32"/>
          <w:szCs w:val="32"/>
          <w:highlight w:val="none"/>
          <w:lang w:val="zh-CN"/>
        </w:rPr>
        <w:t>布局图</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标注第二类精神药品</w:t>
      </w:r>
      <w:r>
        <w:rPr>
          <w:rFonts w:hint="eastAsia" w:ascii="Times New Roman" w:hAnsi="Times New Roman" w:eastAsia="仿宋_GB2312" w:cs="Times New Roman"/>
          <w:color w:val="000000"/>
          <w:sz w:val="32"/>
          <w:szCs w:val="32"/>
          <w:highlight w:val="none"/>
          <w:lang w:val="zh-CN"/>
        </w:rPr>
        <w:t>专</w:t>
      </w:r>
      <w:r>
        <w:rPr>
          <w:rFonts w:hint="default" w:ascii="Times New Roman" w:hAnsi="Times New Roman" w:eastAsia="仿宋_GB2312" w:cs="Times New Roman"/>
          <w:color w:val="000000"/>
          <w:sz w:val="32"/>
          <w:szCs w:val="32"/>
          <w:highlight w:val="none"/>
          <w:lang w:val="zh-CN"/>
        </w:rPr>
        <w:t>库或专柜位置），储存设施、设备目录，安全设施明细，安全运输设备明细；</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三、麻醉药品和第一类精神药品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第二类精神药品经营专门机构、人员的设置情况以及企业负责人、质量负责人、麻醉药品和第一类精神药品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第二类精神药品经营管理负责人情况；</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四、麻醉药品和第一类精神药品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第二类精神药品经营安全的管理制度；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五、企业安全管理和向药品监督管理部门或其指定机构报送经营信息的网络说明材料和操作手册；</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六、企业以及其工作人员近</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zh-CN"/>
        </w:rPr>
        <w:t>年内没有违反有关药品管理、禁毒等法律法规规章规定</w:t>
      </w:r>
      <w:r>
        <w:rPr>
          <w:rFonts w:hint="eastAsia" w:ascii="Times New Roman" w:hAnsi="Times New Roman" w:eastAsia="仿宋_GB2312" w:cs="Times New Roman"/>
          <w:color w:val="000000"/>
          <w:sz w:val="32"/>
          <w:szCs w:val="32"/>
          <w:highlight w:val="none"/>
          <w:lang w:val="zh-CN"/>
        </w:rPr>
        <w:t>受到行政处罚</w:t>
      </w:r>
      <w:r>
        <w:rPr>
          <w:rFonts w:hint="default" w:ascii="Times New Roman" w:hAnsi="Times New Roman" w:eastAsia="仿宋_GB2312" w:cs="Times New Roman"/>
          <w:color w:val="000000"/>
          <w:sz w:val="32"/>
          <w:szCs w:val="32"/>
          <w:highlight w:val="none"/>
          <w:lang w:val="zh-CN"/>
        </w:rPr>
        <w:t>行为的情况说明；</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七、企业</w:t>
      </w:r>
      <w:r>
        <w:rPr>
          <w:rFonts w:hint="eastAsia" w:ascii="Times New Roman" w:hAnsi="Times New Roman" w:eastAsia="仿宋_GB2312" w:cs="Times New Roman"/>
          <w:color w:val="000000"/>
          <w:sz w:val="32"/>
          <w:szCs w:val="32"/>
          <w:highlight w:val="none"/>
          <w:lang w:val="zh-CN"/>
        </w:rPr>
        <w:t>对照《</w:t>
      </w:r>
      <w:r>
        <w:rPr>
          <w:rFonts w:hint="eastAsia" w:ascii="Times New Roman" w:hAnsi="Times New Roman" w:eastAsia="仿宋_GB2312" w:cs="Times New Roman"/>
          <w:color w:val="000000"/>
          <w:sz w:val="32"/>
          <w:szCs w:val="32"/>
          <w:highlight w:val="none"/>
          <w:lang w:val="zh-CN" w:eastAsia="zh-CN"/>
        </w:rPr>
        <w:t>麻醉药品和精神药品定点批发企</w:t>
      </w:r>
      <w:r>
        <w:rPr>
          <w:rFonts w:hint="eastAsia" w:ascii="Times New Roman" w:hAnsi="Times New Roman" w:eastAsia="仿宋_GB2312" w:cs="Times New Roman"/>
          <w:color w:val="000000"/>
          <w:sz w:val="32"/>
          <w:szCs w:val="32"/>
          <w:highlight w:val="none"/>
          <w:lang w:val="zh-CN"/>
        </w:rPr>
        <w:t>业</w:t>
      </w:r>
      <w:r>
        <w:rPr>
          <w:rFonts w:hint="default" w:ascii="Times New Roman" w:hAnsi="Times New Roman" w:eastAsia="仿宋_GB2312" w:cs="Times New Roman"/>
          <w:color w:val="000000"/>
          <w:sz w:val="32"/>
          <w:szCs w:val="32"/>
          <w:highlight w:val="none"/>
          <w:lang w:val="zh-CN"/>
        </w:rPr>
        <w:t>遴选评分标准</w:t>
      </w:r>
      <w:r>
        <w:rPr>
          <w:rFonts w:hint="eastAsia" w:ascii="Times New Roman" w:hAnsi="Times New Roman" w:eastAsia="仿宋_GB2312" w:cs="Times New Roman"/>
          <w:color w:val="000000"/>
          <w:sz w:val="32"/>
          <w:szCs w:val="32"/>
          <w:highlight w:val="none"/>
          <w:lang w:val="zh-CN"/>
        </w:rPr>
        <w:t>》的自查报告及相关证明材料；</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eastAsia"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八、</w:t>
      </w:r>
      <w:r>
        <w:rPr>
          <w:rFonts w:hint="eastAsia" w:ascii="Times New Roman" w:hAnsi="Times New Roman" w:eastAsia="仿宋_GB2312" w:cs="Times New Roman"/>
          <w:color w:val="000000"/>
          <w:sz w:val="32"/>
          <w:szCs w:val="32"/>
          <w:highlight w:val="none"/>
          <w:lang w:val="zh-CN"/>
        </w:rPr>
        <w:t>申报材料真实性承诺书。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3"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说明：</w:t>
      </w:r>
      <w:r>
        <w:rPr>
          <w:rFonts w:hint="default" w:ascii="Times New Roman" w:hAnsi="Times New Roman" w:eastAsia="仿宋_GB2312" w:cs="Times New Roman"/>
          <w:color w:val="000000"/>
          <w:sz w:val="32"/>
          <w:szCs w:val="32"/>
          <w:highlight w:val="none"/>
          <w:lang w:val="en-US" w:eastAsia="zh-CN"/>
        </w:rPr>
        <w:t>相关资料必须逐页加盖企业公章原印章，如无原印章视为无效。</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t>附件</w:t>
      </w:r>
      <w:r>
        <w:rPr>
          <w:rFonts w:hint="default" w:ascii="黑体" w:hAnsi="黑体" w:eastAsia="黑体" w:cs="黑体"/>
          <w:bCs/>
          <w:color w:val="000000"/>
          <w:kern w:val="0"/>
          <w:sz w:val="32"/>
          <w:szCs w:val="32"/>
          <w:highlight w:val="none"/>
          <w:lang w:val="en-US" w:eastAsia="zh-CN"/>
        </w:rPr>
        <w:t>3</w:t>
      </w:r>
    </w:p>
    <w:p>
      <w:pPr>
        <w:spacing w:beforeLines="0" w:afterLines="0" w:line="620" w:lineRule="exact"/>
        <w:jc w:val="center"/>
        <w:rPr>
          <w:rFonts w:hint="default" w:ascii="Times New Roman" w:hAnsi="Times New Roman" w:eastAsia="方正小标宋简体" w:cs="Times New Roman"/>
          <w:bCs/>
          <w:color w:val="000000"/>
          <w:kern w:val="0"/>
          <w:sz w:val="36"/>
          <w:szCs w:val="36"/>
          <w:highlight w:val="none"/>
        </w:rPr>
      </w:pPr>
      <w:r>
        <w:rPr>
          <w:rFonts w:hint="default" w:ascii="Times New Roman" w:hAnsi="Times New Roman" w:eastAsia="方正小标宋简体" w:cs="Times New Roman"/>
          <w:bCs/>
          <w:color w:val="000000"/>
          <w:kern w:val="0"/>
          <w:sz w:val="36"/>
          <w:szCs w:val="36"/>
          <w:highlight w:val="none"/>
        </w:rPr>
        <w:t>麻醉药品和第一类精神药品区域性批发企业验收标准</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1</w:t>
      </w:r>
      <w:r>
        <w:rPr>
          <w:rFonts w:hint="eastAsia" w:ascii="Times New Roman" w:hAnsi="Times New Roman" w:eastAsia="仿宋_GB2312" w:cs="Times New Roman"/>
          <w:color w:val="000000"/>
          <w:kern w:val="0"/>
          <w:sz w:val="30"/>
          <w:szCs w:val="30"/>
          <w:highlight w:val="none"/>
          <w:lang w:val="en-US" w:eastAsia="zh-CN"/>
        </w:rPr>
        <w:t>.</w:t>
      </w:r>
      <w:r>
        <w:rPr>
          <w:rFonts w:hint="default" w:ascii="Times New Roman" w:hAnsi="Times New Roman" w:eastAsia="仿宋_GB2312" w:cs="Times New Roman"/>
          <w:color w:val="000000"/>
          <w:kern w:val="0"/>
          <w:sz w:val="30"/>
          <w:szCs w:val="30"/>
          <w:highlight w:val="none"/>
          <w:lang w:val="en" w:eastAsia="zh-CN"/>
        </w:rPr>
        <w:t xml:space="preserve"> </w:t>
      </w:r>
      <w:r>
        <w:rPr>
          <w:rFonts w:hint="default" w:ascii="Times New Roman" w:hAnsi="Times New Roman" w:eastAsia="仿宋_GB2312" w:cs="Times New Roman"/>
          <w:color w:val="000000"/>
          <w:kern w:val="0"/>
          <w:sz w:val="30"/>
          <w:szCs w:val="30"/>
          <w:highlight w:val="none"/>
        </w:rPr>
        <w:t>区域性批发企业验收检查项目共29项，其中关键项目14项（条款号前加“*”），一般项目15项。关键项目如不合格则称为严重缺陷，一般项目如不合格则称为一般缺陷。</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2</w:t>
      </w:r>
      <w:r>
        <w:rPr>
          <w:rFonts w:hint="default" w:ascii="Times New Roman" w:hAnsi="Times New Roman" w:eastAsia="仿宋_GB2312" w:cs="Times New Roman"/>
          <w:color w:val="000000"/>
          <w:kern w:val="0"/>
          <w:sz w:val="30"/>
          <w:szCs w:val="30"/>
          <w:highlight w:val="none"/>
          <w:lang w:val="en"/>
        </w:rPr>
        <w:t xml:space="preserve">. </w:t>
      </w:r>
      <w:r>
        <w:rPr>
          <w:rFonts w:hint="default" w:ascii="Times New Roman" w:hAnsi="Times New Roman" w:eastAsia="仿宋_GB2312" w:cs="Times New Roman"/>
          <w:color w:val="000000"/>
          <w:kern w:val="0"/>
          <w:sz w:val="30"/>
          <w:szCs w:val="30"/>
          <w:highlight w:val="none"/>
        </w:rPr>
        <w:t>结果评定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270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67"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项目</w:t>
            </w:r>
          </w:p>
        </w:tc>
        <w:tc>
          <w:tcPr>
            <w:tcW w:w="323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严重缺陷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一般缺陷</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≤3</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default" w:ascii="Times New Roman" w:hAnsi="Times New Roman" w:cs="Times New Roman"/>
                <w:color w:val="000000"/>
                <w:ker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不通过验收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＞3</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default" w:ascii="Times New Roman" w:hAnsi="Times New Roman" w:cs="Times New Roman"/>
                <w:color w:val="000000"/>
                <w:kern w:val="0"/>
                <w:sz w:val="24"/>
                <w:szCs w:val="22"/>
                <w:highlight w:val="none"/>
              </w:rPr>
            </w:pPr>
          </w:p>
        </w:tc>
      </w:tr>
    </w:tbl>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3</w:t>
      </w:r>
      <w:r>
        <w:rPr>
          <w:rFonts w:hint="default" w:ascii="Times New Roman" w:hAnsi="Times New Roman" w:eastAsia="仿宋_GB2312" w:cs="Times New Roman"/>
          <w:color w:val="000000"/>
          <w:kern w:val="0"/>
          <w:sz w:val="30"/>
          <w:szCs w:val="30"/>
          <w:highlight w:val="none"/>
          <w:lang w:val="en"/>
        </w:rPr>
        <w:t xml:space="preserve">. </w:t>
      </w:r>
      <w:r>
        <w:rPr>
          <w:rFonts w:hint="default" w:ascii="Times New Roman" w:hAnsi="Times New Roman" w:eastAsia="仿宋_GB2312" w:cs="Times New Roman"/>
          <w:color w:val="000000"/>
          <w:kern w:val="0"/>
          <w:sz w:val="30"/>
          <w:szCs w:val="30"/>
          <w:highlight w:val="none"/>
        </w:rPr>
        <w:t>验收检查项目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一、机构与人员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*101</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企业法定代表人为麻醉药品和第一类精神药品安全管理第一责任人。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*102</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企业应建立以主要负责人为首的独立麻醉药品和第一类精神药品经营管理机构，并明确相关岗位和人员职责。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*103</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企业及其工作人员近</w:t>
            </w:r>
            <w:r>
              <w:rPr>
                <w:rFonts w:hint="eastAsia" w:ascii="仿宋_GB2312" w:hAnsi="仿宋_GB2312" w:eastAsia="仿宋_GB2312" w:cs="仿宋_GB2312"/>
                <w:color w:val="000000"/>
                <w:kern w:val="0"/>
                <w:sz w:val="24"/>
                <w:szCs w:val="22"/>
                <w:highlight w:val="none"/>
                <w:lang w:val="en-US" w:eastAsia="zh-CN"/>
              </w:rPr>
              <w:t>2</w:t>
            </w:r>
            <w:r>
              <w:rPr>
                <w:rFonts w:hint="eastAsia" w:ascii="仿宋_GB2312" w:hAnsi="仿宋_GB2312" w:eastAsia="仿宋_GB2312" w:cs="仿宋_GB2312"/>
                <w:color w:val="000000"/>
                <w:kern w:val="0"/>
                <w:sz w:val="24"/>
                <w:szCs w:val="22"/>
                <w:highlight w:val="none"/>
              </w:rPr>
              <w:t>年内无违反</w:t>
            </w:r>
            <w:r>
              <w:rPr>
                <w:rFonts w:hint="eastAsia" w:ascii="仿宋_GB2312" w:hAnsi="仿宋_GB2312" w:eastAsia="仿宋_GB2312" w:cs="仿宋_GB2312"/>
                <w:color w:val="000000"/>
                <w:kern w:val="0"/>
                <w:sz w:val="24"/>
                <w:szCs w:val="22"/>
                <w:highlight w:val="none"/>
                <w:lang w:eastAsia="zh-CN"/>
              </w:rPr>
              <w:t>药品管理、</w:t>
            </w:r>
            <w:r>
              <w:rPr>
                <w:rFonts w:hint="eastAsia" w:ascii="仿宋_GB2312" w:hAnsi="仿宋_GB2312" w:eastAsia="仿宋_GB2312" w:cs="仿宋_GB2312"/>
                <w:color w:val="000000"/>
                <w:kern w:val="0"/>
                <w:sz w:val="24"/>
                <w:szCs w:val="22"/>
                <w:highlight w:val="none"/>
              </w:rPr>
              <w:t>禁毒</w:t>
            </w:r>
            <w:r>
              <w:rPr>
                <w:rFonts w:hint="eastAsia" w:ascii="仿宋_GB2312" w:hAnsi="仿宋_GB2312" w:eastAsia="仿宋_GB2312" w:cs="仿宋_GB2312"/>
                <w:color w:val="000000"/>
                <w:kern w:val="0"/>
                <w:sz w:val="24"/>
                <w:szCs w:val="22"/>
                <w:highlight w:val="none"/>
                <w:lang w:eastAsia="zh-CN"/>
              </w:rPr>
              <w:t>等</w:t>
            </w:r>
            <w:r>
              <w:rPr>
                <w:rFonts w:hint="eastAsia" w:ascii="仿宋_GB2312" w:hAnsi="仿宋_GB2312" w:eastAsia="仿宋_GB2312" w:cs="仿宋_GB2312"/>
                <w:color w:val="000000"/>
                <w:kern w:val="0"/>
                <w:sz w:val="24"/>
                <w:szCs w:val="22"/>
                <w:highlight w:val="none"/>
              </w:rPr>
              <w:t>法律法规</w:t>
            </w:r>
            <w:r>
              <w:rPr>
                <w:rFonts w:hint="eastAsia" w:ascii="仿宋_GB2312" w:hAnsi="仿宋_GB2312" w:eastAsia="仿宋_GB2312" w:cs="仿宋_GB2312"/>
                <w:color w:val="000000"/>
                <w:kern w:val="0"/>
                <w:sz w:val="24"/>
                <w:szCs w:val="22"/>
                <w:highlight w:val="none"/>
                <w:lang w:eastAsia="zh-CN"/>
              </w:rPr>
              <w:t>规章</w:t>
            </w:r>
            <w:r>
              <w:rPr>
                <w:rFonts w:hint="eastAsia" w:ascii="仿宋_GB2312" w:hAnsi="仿宋_GB2312" w:eastAsia="仿宋_GB2312" w:cs="仿宋_GB2312"/>
                <w:color w:val="000000"/>
                <w:kern w:val="0"/>
                <w:sz w:val="24"/>
                <w:szCs w:val="22"/>
                <w:highlight w:val="none"/>
              </w:rPr>
              <w:t>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104</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企业法定代表人、主要负责人应了解麻醉药品和第一类精神药品管理法规的基本原则和要求。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105</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应配备专人负责麻醉药品和第一类精神药品的经营管理。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106</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麻醉药品和第一类精神药品</w:t>
            </w:r>
            <w:r>
              <w:rPr>
                <w:rFonts w:hint="eastAsia" w:ascii="仿宋_GB2312" w:hAnsi="仿宋_GB2312" w:eastAsia="仿宋_GB2312" w:cs="仿宋_GB2312"/>
                <w:color w:val="000000"/>
                <w:sz w:val="24"/>
                <w:szCs w:val="28"/>
                <w:highlight w:val="none"/>
              </w:rPr>
              <w:t>管理人员和直接业务人员</w:t>
            </w:r>
            <w:r>
              <w:rPr>
                <w:rFonts w:hint="eastAsia" w:ascii="仿宋_GB2312" w:hAnsi="仿宋_GB2312" w:eastAsia="仿宋_GB2312" w:cs="仿宋_GB2312"/>
                <w:color w:val="000000"/>
                <w:kern w:val="0"/>
                <w:sz w:val="24"/>
                <w:szCs w:val="22"/>
                <w:highlight w:val="none"/>
              </w:rPr>
              <w:t>应熟悉麻醉药品和第一类精神药品相关知识和管理法律法规</w:t>
            </w:r>
            <w:r>
              <w:rPr>
                <w:rFonts w:hint="eastAsia" w:ascii="仿宋_GB2312" w:hAnsi="仿宋_GB2312" w:eastAsia="仿宋_GB2312" w:cs="仿宋_GB2312"/>
                <w:color w:val="000000"/>
                <w:sz w:val="24"/>
                <w:szCs w:val="28"/>
                <w:highlight w:val="none"/>
              </w:rPr>
              <w:t>，并相对稳定</w:t>
            </w:r>
            <w:r>
              <w:rPr>
                <w:rFonts w:hint="eastAsia" w:ascii="仿宋_GB2312" w:hAnsi="仿宋_GB2312" w:eastAsia="仿宋_GB2312" w:cs="仿宋_GB2312"/>
                <w:color w:val="000000"/>
                <w:ker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107</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应建立麻醉药品和第一类精神药品管理人员和直接业务人员培训制度，每年相关业务培训不少于10学时。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*108</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企业近</w:t>
            </w:r>
            <w:r>
              <w:rPr>
                <w:rFonts w:hint="eastAsia" w:ascii="仿宋_GB2312" w:hAnsi="仿宋_GB2312" w:eastAsia="仿宋_GB2312" w:cs="仿宋_GB2312"/>
                <w:color w:val="000000"/>
                <w:sz w:val="24"/>
                <w:szCs w:val="28"/>
                <w:highlight w:val="none"/>
                <w:lang w:val="en-US" w:eastAsia="zh-CN"/>
              </w:rPr>
              <w:t>2</w:t>
            </w:r>
            <w:r>
              <w:rPr>
                <w:rFonts w:hint="eastAsia" w:ascii="仿宋_GB2312" w:hAnsi="仿宋_GB2312" w:eastAsia="仿宋_GB2312" w:cs="仿宋_GB2312"/>
                <w:color w:val="000000"/>
                <w:sz w:val="24"/>
                <w:szCs w:val="28"/>
                <w:highlight w:val="none"/>
              </w:rPr>
              <w:t>年内未因违规经营假劣药品受到行政处罚</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lang w:val="en-US" w:eastAsia="zh-CN"/>
              </w:rPr>
              <w:t>法律法规另有规定的除外</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二、储存管理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*209</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企业应设置麻醉药品和第一类精神药品专用仓库。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*210</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专用仓库应安装监控设施和自动报警系统，报警装置应与当地公安部门报警系统联网。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*211</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专用仓库应实施双人双锁管理，具有相应的防火设施。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212</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专用仓库产权应为企业所有或者签订有5年以上租赁合同，仓库面积和布局应与经营品种相适应。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213</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照品种建立有储存麻醉药品和第一类精神药品的专用账册，内容包含：购进日期、购进企业、药品名称、规格、批号、购进数量、销售日期、销售单位、销售数量、结存数量等，并按规定时间保存至药品有效期满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*214</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应建立麻醉药品和第一类精神药品库管制度，确保入库双人验收，出库双人复核，做到账</w:t>
            </w:r>
            <w:r>
              <w:rPr>
                <w:rFonts w:hint="eastAsia" w:ascii="仿宋_GB2312" w:hAnsi="仿宋_GB2312" w:eastAsia="仿宋_GB2312" w:cs="仿宋_GB2312"/>
                <w:color w:val="000000"/>
                <w:kern w:val="0"/>
                <w:sz w:val="24"/>
                <w:szCs w:val="22"/>
                <w:highlight w:val="none"/>
                <w:lang w:eastAsia="zh-CN"/>
              </w:rPr>
              <w:t>货</w:t>
            </w:r>
            <w:r>
              <w:rPr>
                <w:rFonts w:hint="eastAsia" w:ascii="仿宋_GB2312" w:hAnsi="仿宋_GB2312" w:eastAsia="仿宋_GB2312" w:cs="仿宋_GB2312"/>
                <w:color w:val="000000"/>
                <w:kern w:val="0"/>
                <w:sz w:val="24"/>
                <w:szCs w:val="22"/>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215</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应建立麻醉药品和第一类精神药品储存、安全管理、丢失、被盗案件报告、24小时值班等管理制度，内容应全面、具有可操作性、符合相关规定，记录内容和格式应全面、合理。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216</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应有独立的办理入库和出库手续用的专用单据，单据内容应包含：出入库日期、购进和销售单位、药品名称、规格、批号、数量、经手人、复核人签字等。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217</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应建立有麻醉药品和第一类精神药品销毁制度，对过期、损坏的麻醉药品和第一类精神药品登记造册，及时依法销毁处置。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三、购入和销售管理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*318</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应建立麻醉药品和第一类精神药品购进、验收、销售管理制度，内容应全面、具有可操作性，符合相关规定，同时明确供药范围，保证供药职责。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319</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应制定医疗机构审计制度，建立医疗机构的供药档案。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*320</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应具备向供药责任区内医疗机构和其他购药单位安全及时运输麻醉药品和第一类精神药品的能力。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321</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应建立麻醉药品和第一类精神药品运输、邮寄管理制度，内容应全面、具有可操作性、符合相关规定。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*322</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应明确相对固定的麻醉药品和第一类精神药品运输方式和人员，由专人负责押运，实行双人收发、双人记录，应有安全保障措施。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323</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pacing w:val="-4"/>
                <w:kern w:val="0"/>
                <w:sz w:val="24"/>
                <w:szCs w:val="22"/>
                <w:highlight w:val="none"/>
              </w:rPr>
              <w:t>麻醉药品和第一类精神药品购进、验收、销售管理记录内容和格式应全面、合理</w:t>
            </w:r>
            <w:r>
              <w:rPr>
                <w:rFonts w:hint="eastAsia" w:ascii="仿宋_GB2312" w:hAnsi="仿宋_GB2312" w:eastAsia="仿宋_GB2312" w:cs="仿宋_GB2312"/>
                <w:color w:val="000000"/>
                <w:ker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*324</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销售制度应明确：销售麻醉药品和第一类精神药品时应当核实并记录企业或单位资质文件、采购人员身份证明、</w:t>
            </w:r>
            <w:r>
              <w:rPr>
                <w:rFonts w:hint="eastAsia" w:ascii="仿宋_GB2312" w:hAnsi="仿宋_GB2312" w:eastAsia="仿宋_GB2312" w:cs="仿宋_GB2312"/>
                <w:color w:val="000000"/>
                <w:kern w:val="0"/>
                <w:sz w:val="24"/>
                <w:szCs w:val="22"/>
                <w:highlight w:val="none"/>
                <w:lang w:eastAsia="zh-CN"/>
              </w:rPr>
              <w:t>法定代表人</w:t>
            </w:r>
            <w:r>
              <w:rPr>
                <w:rFonts w:hint="eastAsia" w:ascii="仿宋_GB2312" w:hAnsi="仿宋_GB2312" w:eastAsia="仿宋_GB2312" w:cs="仿宋_GB2312"/>
                <w:color w:val="000000"/>
                <w:kern w:val="0"/>
                <w:sz w:val="24"/>
                <w:szCs w:val="22"/>
                <w:highlight w:val="none"/>
              </w:rPr>
              <w:t>委托书，确认身份无误后方可销售。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*325</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2"/>
                <w:highlight w:val="none"/>
              </w:rPr>
              <w:t>应按规定加入特殊药品信息报告系统，有通过网络实施企业安全管理和向药品监督管理部门或其指定机构报送经营信息的能力。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四、安全管理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426</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应建立对本单位安全经营的评价机制，定期开展安全制度执行情况自检，并进行及时整改。自检应有记录，记录内容应真实，符合规定。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427</w:t>
            </w:r>
          </w:p>
        </w:tc>
        <w:tc>
          <w:tcPr>
            <w:tcW w:w="7852"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应建立定期对安全设施、设备进行检查、保养和维护的制度，并有详细记录。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*428</w:t>
            </w:r>
          </w:p>
        </w:tc>
        <w:tc>
          <w:tcPr>
            <w:tcW w:w="7852"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应按规定对所经营的麻醉药品和第一类精神药品的质量进行管理。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429</w:t>
            </w:r>
          </w:p>
        </w:tc>
        <w:tc>
          <w:tcPr>
            <w:tcW w:w="7852"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应建立安全管理制度，发生被盗、被抢、丢失或者其他流入非法渠道情形的，应采取必要控制措施，按规定及时报告所在地县级公安机关和药监部门。</w:t>
            </w:r>
          </w:p>
        </w:tc>
      </w:tr>
    </w:tbl>
    <w:p>
      <w:pPr>
        <w:adjustRightInd w:val="0"/>
        <w:snapToGrid w:val="0"/>
        <w:spacing w:beforeLines="0" w:afterLines="0" w:line="620" w:lineRule="exact"/>
        <w:jc w:val="left"/>
        <w:rPr>
          <w:rFonts w:hint="default" w:ascii="Times New Roman" w:hAnsi="Times New Roman" w:eastAsia="黑体" w:cs="Times New Roman"/>
          <w:bCs/>
          <w:color w:val="000000"/>
          <w:sz w:val="32"/>
          <w:szCs w:val="32"/>
          <w:highlight w:val="none"/>
          <w:lang w:val="en-US" w:eastAsia="zh-CN"/>
        </w:rPr>
      </w:pPr>
    </w:p>
    <w:p>
      <w:pPr>
        <w:adjustRightInd w:val="0"/>
        <w:snapToGrid w:val="0"/>
        <w:spacing w:beforeLines="0" w:afterLines="0" w:line="620" w:lineRule="exact"/>
        <w:jc w:val="left"/>
        <w:rPr>
          <w:rFonts w:hint="default" w:ascii="Times New Roman" w:hAnsi="Times New Roman" w:eastAsia="黑体" w:cs="Times New Roman"/>
          <w:bCs/>
          <w:color w:val="00000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default"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br w:type="page"/>
      </w:r>
      <w:r>
        <w:rPr>
          <w:rFonts w:hint="eastAsia" w:ascii="黑体" w:hAnsi="黑体" w:eastAsia="黑体" w:cs="黑体"/>
          <w:bCs/>
          <w:color w:val="000000"/>
          <w:kern w:val="0"/>
          <w:sz w:val="32"/>
          <w:szCs w:val="32"/>
          <w:highlight w:val="none"/>
          <w:lang w:val="en-US" w:eastAsia="zh-CN"/>
        </w:rPr>
        <w:t>附件4</w:t>
      </w:r>
    </w:p>
    <w:p>
      <w:pPr>
        <w:adjustRightInd w:val="0"/>
        <w:snapToGrid w:val="0"/>
        <w:spacing w:beforeLines="0" w:afterLines="0" w:line="62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第二类精神药品批发企业验收标准</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1</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第二类精神药品批发企业验收检查项目共29项，其中关键项目13项（条款号前加“*”），一般项目16项。</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2</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关键项目如不合格则称为严重缺陷，一般项目如不合格则称为一般缺陷。</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验收检查时，根据批发企业确定相应的检查项目，按照确定的比例计算不合格项目数。</w:t>
      </w:r>
    </w:p>
    <w:p>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3</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结果评定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70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9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项目</w:t>
            </w:r>
          </w:p>
        </w:tc>
        <w:tc>
          <w:tcPr>
            <w:tcW w:w="323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严重缺陷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一般缺陷</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≤5</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left"/>
              <w:rPr>
                <w:rFonts w:hint="default" w:ascii="Times New Roman" w:hAnsi="Times New Roman" w:cs="Times New Roman"/>
                <w:color w:val="000000"/>
                <w:ker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不通过验收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＞5</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left"/>
              <w:rPr>
                <w:rFonts w:hint="default" w:ascii="Times New Roman" w:hAnsi="Times New Roman" w:cs="Times New Roman"/>
                <w:color w:val="000000"/>
                <w:kern w:val="0"/>
                <w:sz w:val="24"/>
                <w:szCs w:val="22"/>
                <w:highlight w:val="none"/>
              </w:rPr>
            </w:pPr>
          </w:p>
        </w:tc>
      </w:tr>
    </w:tbl>
    <w:tbl>
      <w:tblPr>
        <w:tblStyle w:val="5"/>
        <w:tblpPr w:leftFromText="180" w:rightFromText="180" w:vertAnchor="text" w:horzAnchor="page" w:tblpX="1672" w:tblpY="4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一、机构与人员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*101</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企业法定代表人为第二类精神药品安全管理第一责任人。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*102</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企业应建立以主要负责人为首的独立第二类精神药品经营管理机构，并明确相关岗位和人员职责。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*103</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企业及其工作人员近</w:t>
            </w:r>
            <w:r>
              <w:rPr>
                <w:rFonts w:hint="eastAsia" w:ascii="仿宋_GB2312" w:hAnsi="仿宋_GB2312" w:eastAsia="仿宋_GB2312" w:cs="仿宋_GB2312"/>
                <w:color w:val="000000"/>
                <w:kern w:val="0"/>
                <w:sz w:val="24"/>
                <w:szCs w:val="22"/>
                <w:highlight w:val="none"/>
                <w:lang w:val="en-US" w:eastAsia="zh-CN"/>
              </w:rPr>
              <w:t>2</w:t>
            </w:r>
            <w:r>
              <w:rPr>
                <w:rFonts w:hint="eastAsia" w:ascii="仿宋_GB2312" w:hAnsi="仿宋_GB2312" w:eastAsia="仿宋_GB2312" w:cs="仿宋_GB2312"/>
                <w:color w:val="000000"/>
                <w:kern w:val="0"/>
                <w:sz w:val="24"/>
                <w:szCs w:val="22"/>
                <w:highlight w:val="none"/>
              </w:rPr>
              <w:t>年内无违反</w:t>
            </w:r>
            <w:r>
              <w:rPr>
                <w:rFonts w:hint="eastAsia" w:ascii="仿宋_GB2312" w:hAnsi="仿宋_GB2312" w:eastAsia="仿宋_GB2312" w:cs="仿宋_GB2312"/>
                <w:color w:val="000000"/>
                <w:kern w:val="0"/>
                <w:sz w:val="24"/>
                <w:szCs w:val="22"/>
                <w:highlight w:val="none"/>
                <w:lang w:eastAsia="zh-CN"/>
              </w:rPr>
              <w:t>药品管理、</w:t>
            </w:r>
            <w:r>
              <w:rPr>
                <w:rFonts w:hint="eastAsia" w:ascii="仿宋_GB2312" w:hAnsi="仿宋_GB2312" w:eastAsia="仿宋_GB2312" w:cs="仿宋_GB2312"/>
                <w:color w:val="000000"/>
                <w:kern w:val="0"/>
                <w:sz w:val="24"/>
                <w:szCs w:val="22"/>
                <w:highlight w:val="none"/>
              </w:rPr>
              <w:t>禁毒</w:t>
            </w:r>
            <w:r>
              <w:rPr>
                <w:rFonts w:hint="eastAsia" w:ascii="仿宋_GB2312" w:hAnsi="仿宋_GB2312" w:eastAsia="仿宋_GB2312" w:cs="仿宋_GB2312"/>
                <w:color w:val="000000"/>
                <w:kern w:val="0"/>
                <w:sz w:val="24"/>
                <w:szCs w:val="22"/>
                <w:highlight w:val="none"/>
                <w:lang w:eastAsia="zh-CN"/>
              </w:rPr>
              <w:t>等</w:t>
            </w:r>
            <w:r>
              <w:rPr>
                <w:rFonts w:hint="eastAsia" w:ascii="仿宋_GB2312" w:hAnsi="仿宋_GB2312" w:eastAsia="仿宋_GB2312" w:cs="仿宋_GB2312"/>
                <w:color w:val="000000"/>
                <w:kern w:val="0"/>
                <w:sz w:val="24"/>
                <w:szCs w:val="22"/>
                <w:highlight w:val="none"/>
              </w:rPr>
              <w:t>法律法规</w:t>
            </w:r>
            <w:r>
              <w:rPr>
                <w:rFonts w:hint="eastAsia" w:ascii="仿宋_GB2312" w:hAnsi="仿宋_GB2312" w:eastAsia="仿宋_GB2312" w:cs="仿宋_GB2312"/>
                <w:color w:val="000000"/>
                <w:kern w:val="0"/>
                <w:sz w:val="24"/>
                <w:szCs w:val="22"/>
                <w:highlight w:val="none"/>
                <w:lang w:eastAsia="zh-CN"/>
              </w:rPr>
              <w:t>规章</w:t>
            </w:r>
            <w:r>
              <w:rPr>
                <w:rFonts w:hint="eastAsia" w:ascii="仿宋_GB2312" w:hAnsi="仿宋_GB2312" w:eastAsia="仿宋_GB2312" w:cs="仿宋_GB2312"/>
                <w:color w:val="000000"/>
                <w:kern w:val="0"/>
                <w:sz w:val="24"/>
                <w:szCs w:val="22"/>
                <w:highlight w:val="none"/>
              </w:rPr>
              <w:t>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104</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企业法定代表人、主要负责人应了解第二类精神药品管理法规的基本原则和要求。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105</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应配备专人负责第二类精神药品的经营管理。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106</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第二类精神药品</w:t>
            </w:r>
            <w:r>
              <w:rPr>
                <w:rFonts w:hint="eastAsia" w:ascii="仿宋_GB2312" w:hAnsi="仿宋_GB2312" w:eastAsia="仿宋_GB2312" w:cs="仿宋_GB2312"/>
                <w:color w:val="000000"/>
                <w:sz w:val="24"/>
                <w:szCs w:val="28"/>
                <w:highlight w:val="none"/>
              </w:rPr>
              <w:t>管理人员和直接业务人员</w:t>
            </w:r>
            <w:r>
              <w:rPr>
                <w:rFonts w:hint="eastAsia" w:ascii="仿宋_GB2312" w:hAnsi="仿宋_GB2312" w:eastAsia="仿宋_GB2312" w:cs="仿宋_GB2312"/>
                <w:color w:val="000000"/>
                <w:kern w:val="0"/>
                <w:sz w:val="24"/>
                <w:szCs w:val="22"/>
                <w:highlight w:val="none"/>
              </w:rPr>
              <w:t>应熟悉第二类精神药品的相关知识和管理法律法规</w:t>
            </w:r>
            <w:r>
              <w:rPr>
                <w:rFonts w:hint="eastAsia" w:ascii="仿宋_GB2312" w:hAnsi="仿宋_GB2312" w:eastAsia="仿宋_GB2312" w:cs="仿宋_GB2312"/>
                <w:color w:val="000000"/>
                <w:sz w:val="24"/>
                <w:szCs w:val="28"/>
                <w:highlight w:val="none"/>
              </w:rPr>
              <w:t>，并相对稳定</w:t>
            </w:r>
            <w:r>
              <w:rPr>
                <w:rFonts w:hint="eastAsia" w:ascii="仿宋_GB2312" w:hAnsi="仿宋_GB2312" w:eastAsia="仿宋_GB2312" w:cs="仿宋_GB2312"/>
                <w:color w:val="000000"/>
                <w:ker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107</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应建立第二类精神药品管理人员和直接业务人员培训制度，每年相关业务培训不少于10学时。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108</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2"/>
                <w:highlight w:val="none"/>
              </w:rPr>
              <w:t>批发企业如由分支机构承担经营活动，应有法人委托书，同一法人只可有一家机构承担经营活动。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*109</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企业近</w:t>
            </w:r>
            <w:r>
              <w:rPr>
                <w:rFonts w:hint="eastAsia" w:ascii="仿宋_GB2312" w:hAnsi="仿宋_GB2312" w:eastAsia="仿宋_GB2312" w:cs="仿宋_GB2312"/>
                <w:color w:val="000000"/>
                <w:sz w:val="24"/>
                <w:szCs w:val="28"/>
                <w:highlight w:val="none"/>
                <w:lang w:val="en-US" w:eastAsia="zh-CN"/>
              </w:rPr>
              <w:t>2</w:t>
            </w:r>
            <w:r>
              <w:rPr>
                <w:rFonts w:hint="eastAsia" w:ascii="仿宋_GB2312" w:hAnsi="仿宋_GB2312" w:eastAsia="仿宋_GB2312" w:cs="仿宋_GB2312"/>
                <w:color w:val="000000"/>
                <w:sz w:val="24"/>
                <w:szCs w:val="28"/>
                <w:highlight w:val="none"/>
              </w:rPr>
              <w:t>年内未因违规经营假劣药品受到行政处罚</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lang w:val="en-US" w:eastAsia="zh-CN"/>
              </w:rPr>
              <w:t>法律法规另有规定的除外</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二、储存管理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*210</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企业应设置第二类精神药品专用仓库或专柜。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*211</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专用仓库或专柜应安装监控设施和自动报警系统，报警装置与当地公安部门的报警系统或由公安部门指定的可提供联网警护服务的单位报警系统联网。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*212</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专用仓库或专柜应实施双人双锁管理，具有相应的防火设施。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213</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专用仓库产权应为企业所有或者签订有5年以上租赁合同，仓库面积和布局应与经营品种相适应。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214</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照品种建立有储存第二类精神药品的专用账册，内容包含：购进日期、购进企业、药品名称、规格、批号、购进数量、销售日期、销售单位、销售数量、结存数量等，并按规定时间保存至药品有效期满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*215</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应建立第二类精神药品库管制度，确保入库双人验收，出库双人复核，做到账</w:t>
            </w:r>
            <w:r>
              <w:rPr>
                <w:rFonts w:hint="eastAsia" w:ascii="仿宋_GB2312" w:hAnsi="仿宋_GB2312" w:eastAsia="仿宋_GB2312" w:cs="仿宋_GB2312"/>
                <w:color w:val="000000"/>
                <w:kern w:val="0"/>
                <w:sz w:val="24"/>
                <w:szCs w:val="22"/>
                <w:highlight w:val="none"/>
                <w:lang w:eastAsia="zh-CN"/>
              </w:rPr>
              <w:t>货</w:t>
            </w:r>
            <w:r>
              <w:rPr>
                <w:rFonts w:hint="eastAsia" w:ascii="仿宋_GB2312" w:hAnsi="仿宋_GB2312" w:eastAsia="仿宋_GB2312" w:cs="仿宋_GB2312"/>
                <w:color w:val="000000"/>
                <w:kern w:val="0"/>
                <w:sz w:val="24"/>
                <w:szCs w:val="22"/>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216</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应建立第二类精神药品储存、安全管理、丢失、被盗案件报告、24小时值班等管理制度，内容应全面、具有可操作性、符合相关规定，记录内容和格式应全面、合理。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217</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应有独立的办理入库和出库手续用的专用单据，单据内容应包含：出入库日期、购进和销售单位、药品名称、规格、批号、数量、经手人、复核人签字等。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218</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应建立第二类精神药品销毁制度，对过期、损坏的第二类精神药品登记造册，及时依法销毁处置。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三、购入和销售管理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*319</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应建立第二类精神药品购进、验收、销售管理制度，内容应全面、具有可操作性，符合相关规定。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320</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应制定购买方审计制度，建立购买方的审计档案。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321</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应建立第二类精神药品运输、邮寄管理制度，内容应全面、具有可操作性、符合相关规定。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*322</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应明确相对固定的第二类精神药品管理人员，实行双人收发、双人记录。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323</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pacing w:val="-4"/>
                <w:kern w:val="0"/>
                <w:sz w:val="24"/>
                <w:szCs w:val="22"/>
                <w:highlight w:val="none"/>
              </w:rPr>
              <w:t>第二类精神药品购进、验收、销售管理记录内容和格式应全面、合理</w:t>
            </w:r>
            <w:r>
              <w:rPr>
                <w:rFonts w:hint="eastAsia" w:ascii="仿宋_GB2312" w:hAnsi="仿宋_GB2312" w:eastAsia="仿宋_GB2312" w:cs="仿宋_GB2312"/>
                <w:color w:val="000000"/>
                <w:ker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*324</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销售制度应明确：销售第二类精神药品时应当核实并记录企业或单位资质文件、采购人员身份证明、法人委托书，确认身份无误后方可销售。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*325</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2"/>
                <w:highlight w:val="none"/>
              </w:rPr>
              <w:t>应按规定加入特殊药品信息报告系统，有通过网络实施企业安全管理和向药品监督管理部门或其指定机构报送经营信息的能力。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四、安全管理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426</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应建立对本单位安全经营的评价机制，定期开展安全制度执行情况自检，并进行及时整改。自检应有记录，记录内容应真实，符合规定。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427</w:t>
            </w:r>
          </w:p>
        </w:tc>
        <w:tc>
          <w:tcPr>
            <w:tcW w:w="79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应建立定期对安全设施、设备进行检查、保养和维护的制度，并有详细记录。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*428</w:t>
            </w:r>
          </w:p>
        </w:tc>
        <w:tc>
          <w:tcPr>
            <w:tcW w:w="79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应按规定对所经营的第二类精神药品的质量进行管理。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429</w:t>
            </w:r>
          </w:p>
        </w:tc>
        <w:tc>
          <w:tcPr>
            <w:tcW w:w="79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应建立第二类精神药品退货管理制度，退回的第二类精神药品应登记造册并按规定处理。</w:t>
            </w:r>
          </w:p>
        </w:tc>
      </w:tr>
    </w:tbl>
    <w:p>
      <w:pPr>
        <w:keepNext w:val="0"/>
        <w:keepLines w:val="0"/>
        <w:pageBreakBefore w:val="0"/>
        <w:widowControl w:val="0"/>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黑体" w:cs="Times New Roman"/>
          <w:bCs/>
          <w:color w:val="000000"/>
          <w:sz w:val="32"/>
          <w:szCs w:val="32"/>
          <w:highlight w:val="none"/>
          <w:lang w:val="en-US" w:eastAsia="zh-CN"/>
        </w:rPr>
      </w:pPr>
      <w:r>
        <w:rPr>
          <w:rFonts w:hint="default" w:ascii="Times New Roman" w:hAnsi="Times New Roman" w:eastAsia="仿宋_GB2312" w:cs="Times New Roman"/>
          <w:color w:val="000000"/>
          <w:sz w:val="28"/>
          <w:szCs w:val="22"/>
          <w:highlight w:val="none"/>
        </w:rPr>
        <w:br w:type="page"/>
      </w:r>
      <w:r>
        <w:rPr>
          <w:rFonts w:hint="eastAsia" w:ascii="黑体" w:hAnsi="黑体" w:eastAsia="黑体" w:cs="黑体"/>
          <w:color w:val="000000"/>
          <w:sz w:val="28"/>
          <w:szCs w:val="22"/>
          <w:highlight w:val="none"/>
          <w:lang w:eastAsia="zh-CN"/>
        </w:rPr>
        <w:t>附件</w:t>
      </w:r>
      <w:r>
        <w:rPr>
          <w:rFonts w:hint="eastAsia" w:ascii="黑体" w:hAnsi="黑体" w:eastAsia="黑体" w:cs="黑体"/>
          <w:bCs/>
          <w:color w:val="000000"/>
          <w:kern w:val="0"/>
          <w:sz w:val="32"/>
          <w:szCs w:val="32"/>
          <w:highlight w:val="none"/>
          <w:lang w:val="en-US" w:eastAsia="zh-CN"/>
        </w:rPr>
        <w:t>5</w:t>
      </w:r>
    </w:p>
    <w:p>
      <w:pPr>
        <w:spacing w:beforeLines="0" w:afterLines="0" w:line="62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麻醉药品和精神药品定点批发企业</w:t>
      </w:r>
    </w:p>
    <w:p>
      <w:pPr>
        <w:spacing w:beforeLines="0" w:afterLines="0" w:line="62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现场检查报告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25"/>
        <w:gridCol w:w="2130"/>
        <w:gridCol w:w="132"/>
        <w:gridCol w:w="1998"/>
        <w:gridCol w:w="15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05" w:type="dxa"/>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企业名称</w:t>
            </w:r>
          </w:p>
        </w:tc>
        <w:tc>
          <w:tcPr>
            <w:tcW w:w="6617" w:type="dxa"/>
            <w:gridSpan w:val="6"/>
            <w:tcBorders>
              <w:top w:val="single" w:color="auto" w:sz="8"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8"/>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9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经营许可证编号</w:t>
            </w:r>
          </w:p>
        </w:tc>
        <w:tc>
          <w:tcPr>
            <w:tcW w:w="248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w w:val="90"/>
                <w:sz w:val="28"/>
                <w:szCs w:val="30"/>
                <w:highlight w:val="none"/>
              </w:rPr>
            </w:pPr>
          </w:p>
        </w:tc>
        <w:tc>
          <w:tcPr>
            <w:tcW w:w="21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有 效 期</w:t>
            </w:r>
          </w:p>
        </w:tc>
        <w:tc>
          <w:tcPr>
            <w:tcW w:w="1982"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8"/>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9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申报定点类别</w:t>
            </w:r>
          </w:p>
        </w:tc>
        <w:tc>
          <w:tcPr>
            <w:tcW w:w="248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w w:val="90"/>
                <w:sz w:val="28"/>
                <w:szCs w:val="30"/>
                <w:highlight w:val="none"/>
              </w:rPr>
            </w:pPr>
          </w:p>
        </w:tc>
        <w:tc>
          <w:tcPr>
            <w:tcW w:w="21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检查时间</w:t>
            </w:r>
          </w:p>
        </w:tc>
        <w:tc>
          <w:tcPr>
            <w:tcW w:w="1982" w:type="dxa"/>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color w:val="000000"/>
                <w:sz w:val="28"/>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beforeLines="0" w:afterLines="0" w:line="40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检查依据</w:t>
            </w:r>
          </w:p>
        </w:tc>
        <w:tc>
          <w:tcPr>
            <w:tcW w:w="6617" w:type="dxa"/>
            <w:gridSpan w:val="6"/>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color w:val="000000"/>
                <w:sz w:val="28"/>
                <w:szCs w:val="30"/>
                <w:highlight w:val="none"/>
              </w:rPr>
            </w:pPr>
            <w:r>
              <w:rPr>
                <w:rFonts w:hint="eastAsia" w:ascii="仿宋_GB2312" w:hAnsi="仿宋_GB2312" w:eastAsia="仿宋_GB2312" w:cs="仿宋_GB2312"/>
                <w:color w:val="000000"/>
                <w:sz w:val="24"/>
                <w:szCs w:val="30"/>
                <w:highlight w:val="none"/>
              </w:rPr>
              <w:t>《麻醉药品和精神药品管理条例》、《麻醉药品和精神药品经营管理办法》（试行）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8522" w:type="dxa"/>
            <w:gridSpan w:val="7"/>
            <w:tcBorders>
              <w:top w:val="single" w:color="auto" w:sz="6"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条 款 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b/>
                <w:bCs/>
                <w:color w:val="000000"/>
                <w:sz w:val="24"/>
                <w:szCs w:val="30"/>
                <w:highlight w:val="none"/>
              </w:rPr>
            </w:pP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总条款数</w:t>
            </w: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严重缺陷数</w:t>
            </w: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一般缺陷数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r>
              <w:rPr>
                <w:rFonts w:hint="eastAsia" w:ascii="仿宋_GB2312" w:hAnsi="仿宋_GB2312" w:eastAsia="仿宋_GB2312" w:cs="仿宋_GB2312"/>
                <w:color w:val="000000"/>
                <w:sz w:val="24"/>
                <w:szCs w:val="30"/>
                <w:highlight w:val="none"/>
              </w:rPr>
              <w:t>机构和人员</w:t>
            </w: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r>
              <w:rPr>
                <w:rFonts w:hint="eastAsia" w:ascii="仿宋_GB2312" w:hAnsi="仿宋_GB2312" w:eastAsia="仿宋_GB2312" w:cs="仿宋_GB2312"/>
                <w:color w:val="000000"/>
                <w:sz w:val="24"/>
                <w:szCs w:val="22"/>
                <w:highlight w:val="none"/>
              </w:rPr>
              <w:t>购入和销售管理</w:t>
            </w: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r>
              <w:rPr>
                <w:rFonts w:hint="eastAsia" w:ascii="仿宋_GB2312" w:hAnsi="仿宋_GB2312" w:eastAsia="仿宋_GB2312" w:cs="仿宋_GB2312"/>
                <w:color w:val="000000"/>
                <w:sz w:val="24"/>
                <w:szCs w:val="22"/>
                <w:highlight w:val="none"/>
              </w:rPr>
              <w:t>储存管理</w:t>
            </w: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r>
              <w:rPr>
                <w:rFonts w:hint="eastAsia" w:ascii="仿宋_GB2312" w:hAnsi="仿宋_GB2312" w:eastAsia="仿宋_GB2312" w:cs="仿宋_GB2312"/>
                <w:color w:val="000000"/>
                <w:sz w:val="24"/>
                <w:szCs w:val="22"/>
                <w:highlight w:val="none"/>
              </w:rPr>
              <w:t>安全管理</w:t>
            </w: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30" w:type="dxa"/>
            <w:gridSpan w:val="2"/>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r>
              <w:rPr>
                <w:rFonts w:hint="eastAsia" w:ascii="仿宋_GB2312" w:hAnsi="仿宋_GB2312" w:eastAsia="仿宋_GB2312" w:cs="仿宋_GB2312"/>
                <w:color w:val="000000"/>
                <w:sz w:val="24"/>
                <w:szCs w:val="22"/>
                <w:highlight w:val="none"/>
              </w:rPr>
              <w:t>合计</w:t>
            </w:r>
          </w:p>
        </w:tc>
        <w:tc>
          <w:tcPr>
            <w:tcW w:w="2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c>
          <w:tcPr>
            <w:tcW w:w="2132" w:type="dxa"/>
            <w:gridSpan w:val="2"/>
            <w:tcBorders>
              <w:top w:val="single" w:color="auto" w:sz="6"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eastAsia" w:ascii="仿宋_GB2312" w:hAnsi="仿宋_GB2312" w:eastAsia="仿宋_GB2312" w:cs="仿宋_GB2312"/>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jc w:val="center"/>
        </w:trPr>
        <w:tc>
          <w:tcPr>
            <w:tcW w:w="8522" w:type="dxa"/>
            <w:gridSpan w:val="7"/>
            <w:tcBorders>
              <w:top w:val="single" w:color="auto" w:sz="6" w:space="0"/>
              <w:left w:val="single" w:color="auto" w:sz="8" w:space="0"/>
              <w:bottom w:val="single"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严重缺陷项目（分条款详细说明）</w:t>
            </w:r>
          </w:p>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color w:val="000000"/>
                <w:sz w:val="24"/>
                <w:szCs w:val="30"/>
                <w:highlight w:val="none"/>
              </w:rPr>
            </w:pPr>
          </w:p>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一般缺陷项目（分条款详细说明）：</w:t>
            </w:r>
          </w:p>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color w:val="000000"/>
                <w:sz w:val="24"/>
                <w:szCs w:val="30"/>
                <w:highlight w:val="none"/>
              </w:rPr>
            </w:pPr>
          </w:p>
          <w:p>
            <w:pPr>
              <w:keepNext w:val="0"/>
              <w:keepLines w:val="0"/>
              <w:pageBreakBefore w:val="0"/>
              <w:widowControl w:val="0"/>
              <w:tabs>
                <w:tab w:val="left" w:pos="1889"/>
              </w:tabs>
              <w:kinsoku/>
              <w:wordWrap/>
              <w:overflowPunct/>
              <w:topLinePunct w:val="0"/>
              <w:autoSpaceDE/>
              <w:autoSpaceDN/>
              <w:bidi w:val="0"/>
              <w:spacing w:beforeLines="0" w:afterLines="0" w:line="400" w:lineRule="exact"/>
              <w:jc w:val="left"/>
              <w:textAlignment w:val="auto"/>
              <w:rPr>
                <w:rFonts w:hint="eastAsia" w:ascii="仿宋_GB2312" w:hAnsi="仿宋_GB2312" w:eastAsia="仿宋_GB2312" w:cs="仿宋_GB2312"/>
                <w:color w:val="000000"/>
                <w:sz w:val="24"/>
                <w:szCs w:val="30"/>
                <w:highlight w:val="none"/>
              </w:rPr>
            </w:pPr>
            <w:r>
              <w:rPr>
                <w:rFonts w:hint="eastAsia" w:ascii="仿宋_GB2312" w:hAnsi="仿宋_GB2312" w:eastAsia="仿宋_GB2312" w:cs="仿宋_GB2312"/>
                <w:color w:val="000000"/>
                <w:sz w:val="24"/>
                <w:szCs w:val="30"/>
                <w:highlight w:val="none"/>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522" w:type="dxa"/>
            <w:gridSpan w:val="7"/>
            <w:tcBorders>
              <w:top w:val="single" w:color="auto" w:sz="6"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bCs/>
                <w:color w:val="000000"/>
                <w:sz w:val="24"/>
                <w:szCs w:val="30"/>
                <w:highlight w:val="none"/>
              </w:rPr>
            </w:pPr>
            <w:r>
              <w:rPr>
                <w:rFonts w:hint="eastAsia" w:ascii="仿宋_GB2312" w:hAnsi="仿宋_GB2312" w:eastAsia="仿宋_GB2312" w:cs="仿宋_GB2312"/>
                <w:bCs/>
                <w:color w:val="000000"/>
                <w:sz w:val="24"/>
                <w:szCs w:val="30"/>
                <w:highlight w:val="none"/>
              </w:rPr>
              <w:t>检查人员签名：</w:t>
            </w:r>
          </w:p>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bCs/>
                <w:color w:val="000000"/>
                <w:sz w:val="24"/>
                <w:szCs w:val="30"/>
                <w:highlight w:val="none"/>
              </w:rPr>
            </w:pPr>
            <w:r>
              <w:rPr>
                <w:rFonts w:hint="eastAsia" w:ascii="仿宋_GB2312" w:hAnsi="仿宋_GB2312" w:eastAsia="仿宋_GB2312" w:cs="仿宋_GB2312"/>
                <w:bCs/>
                <w:color w:val="000000"/>
                <w:sz w:val="24"/>
                <w:szCs w:val="3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8522" w:type="dxa"/>
            <w:gridSpan w:val="7"/>
            <w:tcBorders>
              <w:top w:val="single" w:color="auto" w:sz="6"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bCs/>
                <w:color w:val="000000"/>
                <w:sz w:val="24"/>
                <w:szCs w:val="30"/>
                <w:highlight w:val="none"/>
              </w:rPr>
            </w:pPr>
            <w:r>
              <w:rPr>
                <w:rFonts w:hint="eastAsia" w:ascii="仿宋_GB2312" w:hAnsi="仿宋_GB2312" w:eastAsia="仿宋_GB2312" w:cs="仿宋_GB2312"/>
                <w:bCs/>
                <w:color w:val="000000"/>
                <w:sz w:val="24"/>
                <w:szCs w:val="30"/>
                <w:highlight w:val="none"/>
              </w:rPr>
              <w:t>企业法定代表人或负责人职务：                    签名：</w:t>
            </w:r>
          </w:p>
          <w:p>
            <w:pPr>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仿宋_GB2312" w:hAnsi="仿宋_GB2312" w:eastAsia="仿宋_GB2312" w:cs="仿宋_GB2312"/>
                <w:bCs/>
                <w:color w:val="000000"/>
                <w:sz w:val="24"/>
                <w:szCs w:val="30"/>
                <w:highlight w:val="none"/>
              </w:rPr>
            </w:pPr>
            <w:r>
              <w:rPr>
                <w:rFonts w:hint="eastAsia" w:ascii="仿宋_GB2312" w:hAnsi="仿宋_GB2312" w:eastAsia="仿宋_GB2312" w:cs="仿宋_GB2312"/>
                <w:bCs/>
                <w:color w:val="000000"/>
                <w:sz w:val="24"/>
                <w:szCs w:val="30"/>
                <w:highlight w:val="none"/>
              </w:rPr>
              <w:t xml:space="preserve">                                                  年   月   日</w:t>
            </w:r>
          </w:p>
        </w:tc>
      </w:tr>
    </w:tbl>
    <w:p>
      <w:pPr>
        <w:keepNext w:val="0"/>
        <w:keepLines w:val="0"/>
        <w:pageBreakBefore w:val="0"/>
        <w:widowControl w:val="0"/>
        <w:kinsoku/>
        <w:wordWrap/>
        <w:overflowPunct/>
        <w:topLinePunct w:val="0"/>
        <w:autoSpaceDE/>
        <w:autoSpaceDN/>
        <w:bidi w:val="0"/>
        <w:spacing w:beforeLines="0" w:afterLines="0" w:line="560" w:lineRule="exact"/>
        <w:ind w:firstLine="240" w:firstLineChars="100"/>
        <w:textAlignment w:val="auto"/>
        <w:rPr>
          <w:rFonts w:ascii="Calibri" w:hAnsi="Calibri"/>
          <w:color w:val="000000"/>
          <w:szCs w:val="22"/>
          <w:highlight w:val="none"/>
        </w:rPr>
      </w:pPr>
      <w:r>
        <w:rPr>
          <w:rFonts w:hint="eastAsia" w:ascii="仿宋_GB2312" w:hAnsi="仿宋_GB2312" w:eastAsia="仿宋_GB2312" w:cs="仿宋_GB2312"/>
          <w:color w:val="000000"/>
          <w:sz w:val="24"/>
          <w:szCs w:val="22"/>
          <w:highlight w:val="none"/>
        </w:rPr>
        <w:t>说明：1</w:t>
      </w:r>
      <w:r>
        <w:rPr>
          <w:rFonts w:hint="default" w:ascii="仿宋_GB2312" w:hAnsi="仿宋_GB2312" w:eastAsia="仿宋_GB2312" w:cs="仿宋_GB2312"/>
          <w:color w:val="000000"/>
          <w:sz w:val="24"/>
          <w:szCs w:val="22"/>
          <w:highlight w:val="none"/>
          <w:lang w:val="en"/>
        </w:rPr>
        <w:t xml:space="preserve">. </w:t>
      </w:r>
      <w:r>
        <w:rPr>
          <w:rFonts w:hint="eastAsia" w:ascii="仿宋_GB2312" w:hAnsi="仿宋_GB2312" w:eastAsia="仿宋_GB2312" w:cs="仿宋_GB2312"/>
          <w:color w:val="000000"/>
          <w:sz w:val="24"/>
          <w:szCs w:val="22"/>
          <w:highlight w:val="none"/>
        </w:rPr>
        <w:t>表中空间不足，可附页。2</w:t>
      </w:r>
      <w:r>
        <w:rPr>
          <w:rFonts w:hint="default" w:ascii="仿宋_GB2312" w:hAnsi="仿宋_GB2312" w:eastAsia="仿宋_GB2312" w:cs="仿宋_GB2312"/>
          <w:color w:val="000000"/>
          <w:sz w:val="24"/>
          <w:szCs w:val="22"/>
          <w:highlight w:val="none"/>
          <w:lang w:val="en"/>
        </w:rPr>
        <w:t xml:space="preserve">. </w:t>
      </w:r>
      <w:r>
        <w:rPr>
          <w:rFonts w:hint="eastAsia" w:ascii="仿宋_GB2312" w:hAnsi="仿宋_GB2312" w:eastAsia="仿宋_GB2312" w:cs="仿宋_GB2312"/>
          <w:color w:val="000000"/>
          <w:sz w:val="24"/>
          <w:szCs w:val="22"/>
          <w:highlight w:val="none"/>
        </w:rPr>
        <w:t>此表签字复印无效。</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br w:type="page"/>
      </w:r>
      <w:r>
        <w:rPr>
          <w:rFonts w:hint="eastAsia" w:ascii="黑体" w:hAnsi="黑体" w:eastAsia="黑体" w:cs="黑体"/>
          <w:bCs/>
          <w:color w:val="000000"/>
          <w:kern w:val="0"/>
          <w:sz w:val="32"/>
          <w:szCs w:val="32"/>
          <w:highlight w:val="none"/>
          <w:lang w:val="en-US" w:eastAsia="zh-CN"/>
        </w:rPr>
        <w:t>附件6</w:t>
      </w:r>
    </w:p>
    <w:p>
      <w:pPr>
        <w:spacing w:beforeLines="0" w:afterLines="0" w:line="560" w:lineRule="exact"/>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麻醉药品和精神药品定点</w:t>
      </w:r>
    </w:p>
    <w:p>
      <w:pPr>
        <w:spacing w:beforeLines="0" w:afterLines="0" w:line="560" w:lineRule="exact"/>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批发企遴选评分标准</w:t>
      </w:r>
    </w:p>
    <w:tbl>
      <w:tblPr>
        <w:tblStyle w:val="6"/>
        <w:tblpPr w:leftFromText="180" w:rightFromText="180" w:vertAnchor="text" w:horzAnchor="page" w:tblpXSpec="center" w:tblpY="344"/>
        <w:tblOverlap w:val="never"/>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42"/>
        <w:gridCol w:w="712"/>
        <w:gridCol w:w="6366"/>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8"/>
                <w:szCs w:val="28"/>
                <w:highlight w:val="none"/>
                <w:vertAlign w:val="baseline"/>
                <w:lang w:val="en-US" w:eastAsia="zh-CN"/>
              </w:rPr>
            </w:pPr>
            <w:r>
              <w:rPr>
                <w:rFonts w:hint="eastAsia" w:ascii="黑体" w:hAnsi="黑体" w:eastAsia="黑体" w:cs="黑体"/>
                <w:color w:val="000000"/>
                <w:sz w:val="28"/>
                <w:szCs w:val="28"/>
                <w:highlight w:val="none"/>
                <w:vertAlign w:val="baseline"/>
                <w:lang w:val="en-US" w:eastAsia="zh-CN"/>
              </w:rPr>
              <w:t>序号</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8"/>
                <w:szCs w:val="28"/>
                <w:highlight w:val="none"/>
                <w:vertAlign w:val="baseline"/>
                <w:lang w:val="en-US" w:eastAsia="zh-CN"/>
              </w:rPr>
            </w:pPr>
            <w:r>
              <w:rPr>
                <w:rFonts w:hint="eastAsia" w:ascii="黑体" w:hAnsi="黑体" w:eastAsia="黑体" w:cs="黑体"/>
                <w:color w:val="000000"/>
                <w:sz w:val="28"/>
                <w:szCs w:val="28"/>
                <w:highlight w:val="none"/>
                <w:vertAlign w:val="baseline"/>
                <w:lang w:val="en-US" w:eastAsia="zh-CN"/>
              </w:rPr>
              <w:t>项目</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8"/>
                <w:szCs w:val="28"/>
                <w:highlight w:val="none"/>
                <w:vertAlign w:val="baseline"/>
                <w:lang w:val="en-US" w:eastAsia="zh-CN"/>
              </w:rPr>
            </w:pPr>
            <w:r>
              <w:rPr>
                <w:rFonts w:hint="eastAsia" w:ascii="黑体" w:hAnsi="黑体" w:eastAsia="黑体" w:cs="黑体"/>
                <w:color w:val="000000"/>
                <w:sz w:val="28"/>
                <w:szCs w:val="28"/>
                <w:highlight w:val="none"/>
                <w:vertAlign w:val="baseline"/>
                <w:lang w:val="en-US" w:eastAsia="zh-CN"/>
              </w:rPr>
              <w:t>分值</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8"/>
                <w:szCs w:val="28"/>
                <w:highlight w:val="none"/>
                <w:vertAlign w:val="baseline"/>
                <w:lang w:val="en-US" w:eastAsia="zh-CN"/>
              </w:rPr>
            </w:pPr>
            <w:r>
              <w:rPr>
                <w:rFonts w:hint="eastAsia" w:ascii="黑体" w:hAnsi="黑体" w:eastAsia="黑体" w:cs="黑体"/>
                <w:color w:val="000000"/>
                <w:sz w:val="28"/>
                <w:szCs w:val="28"/>
                <w:highlight w:val="none"/>
                <w:vertAlign w:val="baseline"/>
                <w:lang w:val="en-US" w:eastAsia="zh-CN"/>
              </w:rPr>
              <w:t>评分细则</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color w:val="000000"/>
                <w:sz w:val="28"/>
                <w:szCs w:val="28"/>
                <w:highlight w:val="none"/>
                <w:vertAlign w:val="baseline"/>
                <w:lang w:val="en-US" w:eastAsia="zh-CN"/>
              </w:rPr>
            </w:pPr>
            <w:r>
              <w:rPr>
                <w:rFonts w:hint="eastAsia" w:ascii="黑体" w:hAnsi="黑体" w:eastAsia="黑体" w:cs="黑体"/>
                <w:color w:val="000000"/>
                <w:sz w:val="28"/>
                <w:szCs w:val="28"/>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rPr>
              <w:t>药品</w:t>
            </w:r>
            <w:r>
              <w:rPr>
                <w:rFonts w:hint="eastAsia" w:ascii="仿宋_GB2312" w:hAnsi="仿宋_GB2312" w:eastAsia="仿宋_GB2312" w:cs="仿宋_GB2312"/>
                <w:color w:val="000000"/>
                <w:sz w:val="21"/>
                <w:szCs w:val="21"/>
                <w:highlight w:val="none"/>
                <w:lang w:eastAsia="zh-CN"/>
              </w:rPr>
              <w:t>批发</w:t>
            </w:r>
            <w:r>
              <w:rPr>
                <w:rFonts w:hint="eastAsia" w:ascii="仿宋_GB2312" w:hAnsi="仿宋_GB2312" w:eastAsia="仿宋_GB2312" w:cs="仿宋_GB2312"/>
                <w:color w:val="000000"/>
                <w:sz w:val="21"/>
                <w:szCs w:val="21"/>
                <w:highlight w:val="none"/>
              </w:rPr>
              <w:t>企业</w:t>
            </w:r>
            <w:r>
              <w:rPr>
                <w:rFonts w:hint="eastAsia" w:ascii="仿宋_GB2312" w:hAnsi="仿宋_GB2312" w:eastAsia="仿宋_GB2312" w:cs="仿宋_GB2312"/>
                <w:color w:val="000000"/>
                <w:sz w:val="21"/>
                <w:szCs w:val="21"/>
                <w:highlight w:val="none"/>
                <w:lang w:eastAsia="zh-CN"/>
              </w:rPr>
              <w:t>基本</w:t>
            </w:r>
            <w:r>
              <w:rPr>
                <w:rFonts w:hint="eastAsia" w:ascii="仿宋_GB2312" w:hAnsi="仿宋_GB2312" w:eastAsia="仿宋_GB2312" w:cs="仿宋_GB2312"/>
                <w:color w:val="000000"/>
                <w:sz w:val="21"/>
                <w:szCs w:val="21"/>
                <w:highlight w:val="none"/>
              </w:rPr>
              <w:t>条件</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10</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符合</w:t>
            </w:r>
            <w:r>
              <w:rPr>
                <w:rFonts w:hint="eastAsia" w:ascii="仿宋_GB2312" w:hAnsi="仿宋_GB2312" w:eastAsia="仿宋_GB2312" w:cs="仿宋_GB2312"/>
                <w:color w:val="000000"/>
                <w:sz w:val="21"/>
                <w:szCs w:val="21"/>
                <w:highlight w:val="none"/>
                <w:lang w:eastAsia="zh-CN"/>
              </w:rPr>
              <w:t>办法第五条规定</w:t>
            </w:r>
            <w:r>
              <w:rPr>
                <w:rFonts w:hint="eastAsia" w:ascii="仿宋_GB2312" w:hAnsi="仿宋_GB2312" w:eastAsia="仿宋_GB2312" w:cs="仿宋_GB2312"/>
                <w:color w:val="000000"/>
                <w:sz w:val="21"/>
                <w:szCs w:val="21"/>
                <w:highlight w:val="none"/>
              </w:rPr>
              <w:t>条件</w:t>
            </w:r>
            <w:r>
              <w:rPr>
                <w:rFonts w:hint="eastAsia" w:ascii="仿宋_GB2312" w:hAnsi="仿宋_GB2312" w:eastAsia="仿宋_GB2312" w:cs="仿宋_GB2312"/>
                <w:color w:val="000000"/>
                <w:sz w:val="21"/>
                <w:szCs w:val="21"/>
                <w:highlight w:val="none"/>
                <w:lang w:eastAsia="zh-CN"/>
              </w:rPr>
              <w:t>的得</w:t>
            </w:r>
            <w:r>
              <w:rPr>
                <w:rFonts w:hint="eastAsia" w:ascii="仿宋_GB2312" w:hAnsi="仿宋_GB2312" w:eastAsia="仿宋_GB2312" w:cs="仿宋_GB2312"/>
                <w:color w:val="000000"/>
                <w:sz w:val="21"/>
                <w:szCs w:val="21"/>
                <w:highlight w:val="none"/>
                <w:lang w:val="en-US" w:eastAsia="zh-CN"/>
              </w:rPr>
              <w:t>10分，有一项不符合的得0分并取消</w:t>
            </w:r>
            <w:r>
              <w:rPr>
                <w:rFonts w:hint="eastAsia" w:ascii="仿宋_GB2312" w:hAnsi="仿宋_GB2312" w:eastAsia="仿宋_GB2312" w:cs="仿宋_GB2312"/>
                <w:color w:val="000000"/>
                <w:sz w:val="21"/>
                <w:szCs w:val="21"/>
                <w:highlight w:val="none"/>
                <w:vertAlign w:val="baseline"/>
                <w:lang w:val="en-US" w:eastAsia="zh-CN"/>
              </w:rPr>
              <w:t>遴选资格</w:t>
            </w:r>
            <w:r>
              <w:rPr>
                <w:rFonts w:hint="eastAsia" w:ascii="仿宋_GB2312" w:hAnsi="仿宋_GB2312" w:eastAsia="仿宋_GB2312" w:cs="仿宋_GB2312"/>
                <w:color w:val="000000"/>
                <w:sz w:val="21"/>
                <w:szCs w:val="21"/>
                <w:highlight w:val="none"/>
                <w:lang w:val="en-US" w:eastAsia="zh-CN"/>
              </w:rPr>
              <w:t>。</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2</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企业药品经营管理经验</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10</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jc w:val="both"/>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rPr>
              <w:t>连续从事药品经营</w:t>
            </w:r>
            <w:r>
              <w:rPr>
                <w:rFonts w:hint="eastAsia" w:ascii="仿宋_GB2312" w:hAnsi="仿宋_GB2312" w:eastAsia="仿宋_GB2312" w:cs="仿宋_GB2312"/>
                <w:color w:val="000000"/>
                <w:sz w:val="21"/>
                <w:szCs w:val="21"/>
                <w:highlight w:val="none"/>
                <w:lang w:eastAsia="zh-CN"/>
              </w:rPr>
              <w:t>满</w:t>
            </w:r>
            <w:r>
              <w:rPr>
                <w:rFonts w:hint="eastAsia" w:ascii="仿宋_GB2312" w:hAnsi="仿宋_GB2312" w:eastAsia="仿宋_GB2312" w:cs="仿宋_GB2312"/>
                <w:color w:val="000000"/>
                <w:sz w:val="21"/>
                <w:szCs w:val="21"/>
                <w:highlight w:val="none"/>
                <w:lang w:val="en-US" w:eastAsia="zh-CN"/>
              </w:rPr>
              <w:t>3</w:t>
            </w:r>
            <w:r>
              <w:rPr>
                <w:rFonts w:hint="eastAsia" w:ascii="仿宋_GB2312" w:hAnsi="仿宋_GB2312" w:eastAsia="仿宋_GB2312" w:cs="仿宋_GB2312"/>
                <w:color w:val="000000"/>
                <w:sz w:val="21"/>
                <w:szCs w:val="21"/>
                <w:highlight w:val="none"/>
              </w:rPr>
              <w:t>年</w:t>
            </w: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eastAsia="仿宋_GB2312" w:cs="仿宋_GB2312"/>
                <w:color w:val="000000"/>
                <w:sz w:val="21"/>
                <w:szCs w:val="21"/>
                <w:highlight w:val="none"/>
                <w:lang w:eastAsia="zh-CN"/>
              </w:rPr>
              <w:t>年得</w:t>
            </w:r>
            <w:r>
              <w:rPr>
                <w:rFonts w:hint="eastAsia" w:ascii="仿宋_GB2312" w:hAnsi="仿宋_GB2312" w:eastAsia="仿宋_GB2312" w:cs="仿宋_GB2312"/>
                <w:color w:val="000000"/>
                <w:sz w:val="21"/>
                <w:szCs w:val="21"/>
                <w:highlight w:val="none"/>
                <w:lang w:val="en-US" w:eastAsia="zh-CN"/>
              </w:rPr>
              <w:t>9分，</w:t>
            </w:r>
            <w:r>
              <w:rPr>
                <w:rFonts w:hint="eastAsia" w:ascii="仿宋_GB2312" w:hAnsi="仿宋_GB2312" w:eastAsia="仿宋_GB2312" w:cs="仿宋_GB2312"/>
                <w:b w:val="0"/>
                <w:bCs w:val="0"/>
                <w:color w:val="000000"/>
                <w:sz w:val="21"/>
                <w:szCs w:val="21"/>
                <w:highlight w:val="none"/>
                <w:lang w:val="en-US" w:eastAsia="zh-CN"/>
              </w:rPr>
              <w:t>达不到的得0分并取消遴选资格</w:t>
            </w:r>
            <w:r>
              <w:rPr>
                <w:rFonts w:hint="eastAsia" w:ascii="仿宋_GB2312" w:hAnsi="仿宋_GB2312" w:eastAsia="仿宋_GB2312" w:cs="仿宋_GB2312"/>
                <w:color w:val="000000"/>
                <w:sz w:val="21"/>
                <w:szCs w:val="21"/>
                <w:highlight w:val="none"/>
                <w:lang w:val="en-US" w:eastAsia="zh-CN"/>
              </w:rPr>
              <w:t>；每增加一年加0.1分，加满10分为止。</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3</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lang w:eastAsia="zh-CN"/>
              </w:rPr>
              <w:t>企业药品仓储条件</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15</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lang w:eastAsia="zh-CN"/>
              </w:rPr>
              <w:t>企业药品仓储面积达到</w:t>
            </w:r>
            <w:r>
              <w:rPr>
                <w:rFonts w:hint="eastAsia" w:ascii="仿宋_GB2312" w:hAnsi="仿宋_GB2312" w:eastAsia="仿宋_GB2312" w:cs="仿宋_GB2312"/>
                <w:color w:val="000000"/>
                <w:sz w:val="21"/>
                <w:szCs w:val="21"/>
                <w:highlight w:val="none"/>
                <w:lang w:val="en-US" w:eastAsia="zh-CN"/>
              </w:rPr>
              <w:t>5000平方米（区域性批发企业）/3000平方米（第二类精神药品批发企业）得4分，每增加500平方米加0.1分，加满5分为止；</w:t>
            </w:r>
            <w:r>
              <w:rPr>
                <w:rFonts w:hint="eastAsia" w:ascii="仿宋_GB2312" w:hAnsi="仿宋_GB2312" w:eastAsia="仿宋_GB2312" w:cs="仿宋_GB2312"/>
                <w:b w:val="0"/>
                <w:bCs w:val="0"/>
                <w:color w:val="000000"/>
                <w:sz w:val="21"/>
                <w:szCs w:val="21"/>
                <w:highlight w:val="none"/>
                <w:lang w:val="en-US" w:eastAsia="zh-CN"/>
              </w:rPr>
              <w:t>达不到的得0分</w:t>
            </w:r>
            <w:r>
              <w:rPr>
                <w:rFonts w:hint="eastAsia" w:ascii="仿宋_GB2312" w:hAnsi="仿宋_GB2312" w:eastAsia="仿宋_GB2312" w:cs="仿宋_GB2312"/>
                <w:color w:val="000000"/>
                <w:sz w:val="21"/>
                <w:szCs w:val="21"/>
                <w:highlight w:val="none"/>
                <w:lang w:val="en-US" w:eastAsia="zh-CN"/>
              </w:rPr>
              <w:t>。麻醉药品和第一类精神药品专库面积达到50平方米/第二类精神药品专库或专柜达到50平方米或者30立方米得9分，每增加10平方米/10平方米或者10立方米加0.2分，加满10分为止；</w:t>
            </w:r>
            <w:r>
              <w:rPr>
                <w:rFonts w:hint="eastAsia" w:ascii="仿宋_GB2312" w:hAnsi="仿宋_GB2312" w:eastAsia="仿宋_GB2312" w:cs="仿宋_GB2312"/>
                <w:b w:val="0"/>
                <w:bCs w:val="0"/>
                <w:color w:val="000000"/>
                <w:sz w:val="21"/>
                <w:szCs w:val="21"/>
                <w:highlight w:val="none"/>
                <w:lang w:val="en-US" w:eastAsia="zh-CN"/>
              </w:rPr>
              <w:t>达不到的得0分</w:t>
            </w:r>
            <w:r>
              <w:rPr>
                <w:rFonts w:hint="eastAsia" w:ascii="仿宋_GB2312" w:hAnsi="仿宋_GB2312" w:eastAsia="仿宋_GB2312" w:cs="仿宋_GB2312"/>
                <w:color w:val="000000"/>
                <w:sz w:val="21"/>
                <w:szCs w:val="21"/>
                <w:highlight w:val="none"/>
                <w:lang w:val="en-US" w:eastAsia="zh-CN"/>
              </w:rPr>
              <w:t>。</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4</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zh-CN" w:eastAsia="zh-CN"/>
              </w:rPr>
              <w:t>企业</w:t>
            </w:r>
            <w:r>
              <w:rPr>
                <w:rFonts w:hint="default" w:ascii="仿宋_GB2312" w:hAnsi="仿宋_GB2312" w:eastAsia="仿宋_GB2312" w:cs="仿宋_GB2312"/>
                <w:color w:val="000000"/>
                <w:sz w:val="21"/>
                <w:szCs w:val="21"/>
                <w:highlight w:val="none"/>
                <w:lang w:val="zh-CN" w:eastAsia="zh-CN"/>
              </w:rPr>
              <w:t>药品配送能力</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15</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经营药品品种（含规格）达到</w:t>
            </w:r>
            <w:r>
              <w:rPr>
                <w:rFonts w:hint="eastAsia" w:ascii="仿宋_GB2312" w:hAnsi="仿宋_GB2312" w:eastAsia="仿宋_GB2312" w:cs="仿宋_GB2312"/>
                <w:color w:val="000000"/>
                <w:sz w:val="21"/>
                <w:szCs w:val="21"/>
                <w:highlight w:val="none"/>
                <w:lang w:val="en-US" w:eastAsia="zh-CN"/>
              </w:rPr>
              <w:t>3000个的得3分，每增加100个加0.1分，加满5分为止；达不到的扣3分。药品配送车辆（封闭式货车）达到10辆的得9分，每增加1辆加0.2分，加满10分为止；达不到的，少1辆扣3分，然后每少1辆扣1分。</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5</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企业经营规模和经营效益</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15</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lang w:eastAsia="zh-CN"/>
              </w:rPr>
              <w:t>上一年度药品</w:t>
            </w:r>
            <w:r>
              <w:rPr>
                <w:rFonts w:hint="eastAsia" w:ascii="仿宋_GB2312" w:hAnsi="仿宋_GB2312" w:eastAsia="仿宋_GB2312" w:cs="仿宋_GB2312"/>
                <w:color w:val="000000"/>
                <w:sz w:val="21"/>
                <w:szCs w:val="21"/>
                <w:highlight w:val="none"/>
              </w:rPr>
              <w:t>销售额</w:t>
            </w:r>
            <w:r>
              <w:rPr>
                <w:rFonts w:hint="eastAsia" w:ascii="仿宋_GB2312" w:hAnsi="仿宋_GB2312" w:eastAsia="仿宋_GB2312" w:cs="仿宋_GB2312"/>
                <w:color w:val="000000"/>
                <w:sz w:val="21"/>
                <w:szCs w:val="21"/>
                <w:highlight w:val="none"/>
                <w:lang w:eastAsia="zh-CN"/>
              </w:rPr>
              <w:t>达到</w:t>
            </w:r>
            <w:r>
              <w:rPr>
                <w:rFonts w:hint="eastAsia" w:ascii="仿宋_GB2312" w:hAnsi="仿宋_GB2312" w:eastAsia="仿宋_GB2312" w:cs="仿宋_GB2312"/>
                <w:color w:val="000000"/>
                <w:sz w:val="21"/>
                <w:szCs w:val="21"/>
                <w:highlight w:val="none"/>
                <w:lang w:val="en-US" w:eastAsia="zh-CN"/>
              </w:rPr>
              <w:t>3亿元（区域性批发企业）/1亿元（第二类精神药品批发企业）得4分，每增加5000万元加0.1分，加满5分为止；</w:t>
            </w:r>
            <w:r>
              <w:rPr>
                <w:rFonts w:hint="eastAsia" w:ascii="仿宋_GB2312" w:hAnsi="仿宋_GB2312" w:eastAsia="仿宋_GB2312" w:cs="仿宋_GB2312"/>
                <w:b w:val="0"/>
                <w:bCs w:val="0"/>
                <w:color w:val="000000"/>
                <w:sz w:val="21"/>
                <w:szCs w:val="21"/>
                <w:highlight w:val="none"/>
                <w:lang w:val="en-US" w:eastAsia="zh-CN"/>
              </w:rPr>
              <w:t>达不到的得0分</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lang w:eastAsia="zh-CN"/>
              </w:rPr>
              <w:t>上一年度企业净</w:t>
            </w:r>
            <w:r>
              <w:rPr>
                <w:rFonts w:hint="eastAsia" w:ascii="仿宋_GB2312" w:hAnsi="仿宋_GB2312" w:eastAsia="仿宋_GB2312" w:cs="仿宋_GB2312"/>
                <w:color w:val="000000"/>
                <w:sz w:val="21"/>
                <w:szCs w:val="21"/>
                <w:highlight w:val="none"/>
                <w:lang w:val="zh-CN"/>
              </w:rPr>
              <w:t>利润率达到</w:t>
            </w:r>
            <w:r>
              <w:rPr>
                <w:rFonts w:hint="eastAsia" w:ascii="仿宋_GB2312" w:hAnsi="仿宋_GB2312" w:eastAsia="仿宋_GB2312" w:cs="仿宋_GB2312"/>
                <w:color w:val="000000"/>
                <w:sz w:val="21"/>
                <w:szCs w:val="21"/>
                <w:highlight w:val="none"/>
                <w:lang w:val="en-US" w:eastAsia="zh-CN"/>
              </w:rPr>
              <w:t>3%得4分，每增加0.2个百分点加0.1分，加满5分为止；每减少0.2个百分点扣0.2分，扣完5分为止。</w:t>
            </w:r>
            <w:r>
              <w:rPr>
                <w:rFonts w:hint="eastAsia" w:ascii="仿宋_GB2312" w:hAnsi="仿宋_GB2312" w:eastAsia="仿宋_GB2312" w:cs="仿宋_GB2312"/>
                <w:color w:val="000000"/>
                <w:sz w:val="21"/>
                <w:szCs w:val="21"/>
                <w:highlight w:val="none"/>
                <w:lang w:val="zh-CN"/>
              </w:rPr>
              <w:t>资产负债率低于</w:t>
            </w:r>
            <w:r>
              <w:rPr>
                <w:rFonts w:hint="eastAsia" w:ascii="仿宋_GB2312" w:hAnsi="仿宋_GB2312" w:eastAsia="仿宋_GB2312" w:cs="仿宋_GB2312"/>
                <w:color w:val="000000"/>
                <w:sz w:val="21"/>
                <w:szCs w:val="21"/>
                <w:highlight w:val="none"/>
                <w:lang w:val="en-US" w:eastAsia="zh-CN"/>
              </w:rPr>
              <w:t>50%得4分，每升高2个百分点扣0.1分，扣完5分为止；每降低2个百分点加0.1分，加满5分为止。</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6</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企业守法诚信经营情况</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15</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rPr>
              <w:t>企业及其工作人员最近</w:t>
            </w: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eastAsia="仿宋_GB2312" w:cs="仿宋_GB2312"/>
                <w:color w:val="000000"/>
                <w:sz w:val="21"/>
                <w:szCs w:val="21"/>
                <w:highlight w:val="none"/>
              </w:rPr>
              <w:t>年内无违反药品管理、禁毒等法规受到行政处罚的行为</w:t>
            </w:r>
            <w:r>
              <w:rPr>
                <w:rFonts w:hint="eastAsia" w:ascii="仿宋_GB2312" w:hAnsi="仿宋_GB2312" w:eastAsia="仿宋_GB2312" w:cs="仿宋_GB2312"/>
                <w:color w:val="000000"/>
                <w:sz w:val="21"/>
                <w:szCs w:val="21"/>
                <w:highlight w:val="none"/>
                <w:lang w:eastAsia="zh-CN"/>
              </w:rPr>
              <w:t>，得</w:t>
            </w:r>
            <w:r>
              <w:rPr>
                <w:rFonts w:hint="eastAsia" w:ascii="仿宋_GB2312" w:hAnsi="仿宋_GB2312" w:eastAsia="仿宋_GB2312" w:cs="仿宋_GB2312"/>
                <w:color w:val="000000"/>
                <w:sz w:val="21"/>
                <w:szCs w:val="21"/>
                <w:highlight w:val="none"/>
                <w:lang w:val="en-US" w:eastAsia="zh-CN"/>
              </w:rPr>
              <w:t>15分；受到警告或者没收违法所得处罚的一次扣1分，受到罚款处罚的一次扣2分，受到责令停业整顿处罚的一次扣3分，受到禁止从业处罚的1人次扣3分（同一处罚决定按扣分多的计算），扣完15分为止。涉嫌犯罪被刑事立案或被刑事处罚、免予刑事处罚的取消</w:t>
            </w:r>
            <w:r>
              <w:rPr>
                <w:rFonts w:hint="eastAsia" w:ascii="仿宋_GB2312" w:hAnsi="仿宋_GB2312" w:eastAsia="仿宋_GB2312" w:cs="仿宋_GB2312"/>
                <w:color w:val="000000"/>
                <w:sz w:val="21"/>
                <w:szCs w:val="21"/>
                <w:highlight w:val="none"/>
                <w:vertAlign w:val="baseline"/>
                <w:lang w:val="en-US" w:eastAsia="zh-CN"/>
              </w:rPr>
              <w:t>遴选资格。</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Calibri" w:eastAsia="仿宋_GB2312"/>
                <w:color w:val="000000"/>
                <w:sz w:val="21"/>
                <w:szCs w:val="21"/>
                <w:highlight w:val="none"/>
                <w:vertAlign w:val="baseline"/>
                <w:lang w:val="en-US" w:eastAsia="zh-CN"/>
              </w:rPr>
              <w:t>7</w:t>
            </w:r>
          </w:p>
        </w:tc>
        <w:tc>
          <w:tcPr>
            <w:tcW w:w="13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符合验收标准情况</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20</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有其他不符合验收标准情形，未通过现场检查的得0分并取消遴选资格；通过现场检查但存在</w:t>
            </w:r>
            <w:r>
              <w:rPr>
                <w:rFonts w:hint="eastAsia" w:ascii="仿宋_GB2312" w:hAnsi="仿宋_GB2312" w:eastAsia="仿宋_GB2312" w:cs="仿宋_GB2312"/>
                <w:color w:val="000000"/>
                <w:kern w:val="0"/>
                <w:sz w:val="21"/>
                <w:szCs w:val="21"/>
                <w:highlight w:val="none"/>
              </w:rPr>
              <w:t>一般缺陷</w:t>
            </w:r>
            <w:r>
              <w:rPr>
                <w:rFonts w:hint="eastAsia" w:ascii="仿宋_GB2312" w:hAnsi="仿宋_GB2312" w:eastAsia="仿宋_GB2312" w:cs="仿宋_GB2312"/>
                <w:color w:val="000000"/>
                <w:kern w:val="0"/>
                <w:sz w:val="21"/>
                <w:szCs w:val="21"/>
                <w:highlight w:val="none"/>
                <w:lang w:eastAsia="zh-CN"/>
              </w:rPr>
              <w:t>项的，每项扣</w:t>
            </w:r>
            <w:r>
              <w:rPr>
                <w:rFonts w:hint="eastAsia" w:ascii="仿宋_GB2312" w:hAnsi="仿宋_GB2312" w:eastAsia="仿宋_GB2312" w:cs="仿宋_GB2312"/>
                <w:color w:val="000000"/>
                <w:kern w:val="0"/>
                <w:sz w:val="21"/>
                <w:szCs w:val="21"/>
                <w:highlight w:val="none"/>
                <w:lang w:val="en-US" w:eastAsia="zh-CN"/>
              </w:rPr>
              <w:t>1.5分，扣完为止。</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合计</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_GB2312" w:hAnsi="仿宋_GB2312" w:eastAsia="仿宋_GB2312" w:cs="仿宋_GB2312"/>
                <w:color w:val="000000"/>
                <w:sz w:val="21"/>
                <w:szCs w:val="21"/>
                <w:highlight w:val="none"/>
                <w:vertAlign w:val="baseline"/>
                <w:lang w:val="en-US" w:eastAsia="zh-CN"/>
              </w:rPr>
            </w:pPr>
            <w:r>
              <w:rPr>
                <w:rFonts w:hint="eastAsia" w:ascii="仿宋_GB2312" w:hAnsi="仿宋_GB2312" w:eastAsia="仿宋_GB2312" w:cs="仿宋_GB2312"/>
                <w:color w:val="000000"/>
                <w:sz w:val="21"/>
                <w:szCs w:val="21"/>
                <w:highlight w:val="none"/>
                <w:vertAlign w:val="baseline"/>
                <w:lang w:val="en-US" w:eastAsia="zh-CN"/>
              </w:rPr>
              <w:t>100</w:t>
            </w:r>
          </w:p>
        </w:tc>
        <w:tc>
          <w:tcPr>
            <w:tcW w:w="63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仿宋_GB2312" w:eastAsia="仿宋_GB2312" w:cs="仿宋_GB2312"/>
                <w:color w:val="000000"/>
                <w:sz w:val="21"/>
                <w:szCs w:val="21"/>
                <w:highlight w:val="none"/>
                <w:vertAlign w:val="baseline"/>
                <w:lang w:val="en-US" w:eastAsia="zh-CN"/>
              </w:rPr>
            </w:pP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仿宋_GB2312" w:hAnsi="Calibri" w:eastAsia="仿宋_GB2312"/>
                <w:color w:val="000000"/>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Lines="0" w:afterLines="0" w:line="620" w:lineRule="exact"/>
        <w:textAlignment w:val="auto"/>
        <w:rPr>
          <w:rFonts w:ascii="Calibri" w:hAnsi="Calibri"/>
          <w:color w:val="000000"/>
          <w:szCs w:val="22"/>
          <w:highlight w:val="none"/>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default" w:ascii="Times New Roman" w:hAnsi="Times New Roman" w:eastAsia="仿宋_GB2312" w:cs="Times New Roman"/>
          <w:sz w:val="32"/>
          <w:szCs w:val="32"/>
        </w:rPr>
      </w:pPr>
    </w:p>
    <w:p>
      <w:pPr>
        <w:tabs>
          <w:tab w:val="left" w:pos="7380"/>
          <w:tab w:val="left" w:pos="7920"/>
        </w:tabs>
        <w:spacing w:line="500" w:lineRule="exact"/>
        <w:jc w:val="left"/>
        <w:rPr>
          <w:rFonts w:hint="default" w:ascii="Times New Roman" w:hAnsi="Times New Roman" w:eastAsia="黑体" w:cs="Times New Roman"/>
          <w:lang w:eastAsia="zh-CN"/>
        </w:rPr>
      </w:pPr>
    </w:p>
    <w:sectPr>
      <w:headerReference r:id="rId3" w:type="default"/>
      <w:footerReference r:id="rId4" w:type="default"/>
      <w:pgSz w:w="11906" w:h="16838"/>
      <w:pgMar w:top="1701" w:right="1588" w:bottom="1814" w:left="1588" w:header="709" w:footer="709" w:gutter="0"/>
      <w:pgNumType w:fmt="numberInDash"/>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rPr>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wNjU0MWRhMjExNjY2Y2RlOGU1MTNmOTZiOTM1M2UifQ=="/>
  </w:docVars>
  <w:rsids>
    <w:rsidRoot w:val="00E57431"/>
    <w:rsid w:val="00001CEF"/>
    <w:rsid w:val="0001009F"/>
    <w:rsid w:val="00013CA8"/>
    <w:rsid w:val="00020AE2"/>
    <w:rsid w:val="00061516"/>
    <w:rsid w:val="00065F05"/>
    <w:rsid w:val="0008483A"/>
    <w:rsid w:val="000954D7"/>
    <w:rsid w:val="00097836"/>
    <w:rsid w:val="000A7172"/>
    <w:rsid w:val="000B2842"/>
    <w:rsid w:val="000B730E"/>
    <w:rsid w:val="000C741B"/>
    <w:rsid w:val="000D5DB2"/>
    <w:rsid w:val="000D619C"/>
    <w:rsid w:val="000F2784"/>
    <w:rsid w:val="00101C98"/>
    <w:rsid w:val="00102087"/>
    <w:rsid w:val="00130FFB"/>
    <w:rsid w:val="001353EA"/>
    <w:rsid w:val="0014730C"/>
    <w:rsid w:val="00152141"/>
    <w:rsid w:val="00155695"/>
    <w:rsid w:val="00155F61"/>
    <w:rsid w:val="00156BB7"/>
    <w:rsid w:val="0018138F"/>
    <w:rsid w:val="0018256E"/>
    <w:rsid w:val="001A3B8B"/>
    <w:rsid w:val="001A4E39"/>
    <w:rsid w:val="001B1BB7"/>
    <w:rsid w:val="001C12C7"/>
    <w:rsid w:val="001E625F"/>
    <w:rsid w:val="001F458F"/>
    <w:rsid w:val="001F691E"/>
    <w:rsid w:val="00200616"/>
    <w:rsid w:val="00204E9A"/>
    <w:rsid w:val="00227994"/>
    <w:rsid w:val="00232972"/>
    <w:rsid w:val="00234660"/>
    <w:rsid w:val="00243B35"/>
    <w:rsid w:val="00260043"/>
    <w:rsid w:val="00290759"/>
    <w:rsid w:val="002A0D4C"/>
    <w:rsid w:val="002C7044"/>
    <w:rsid w:val="002D0603"/>
    <w:rsid w:val="002D2D4D"/>
    <w:rsid w:val="0031230E"/>
    <w:rsid w:val="00326935"/>
    <w:rsid w:val="00326F1A"/>
    <w:rsid w:val="003316C4"/>
    <w:rsid w:val="00334A99"/>
    <w:rsid w:val="00346E9F"/>
    <w:rsid w:val="00367185"/>
    <w:rsid w:val="003717CF"/>
    <w:rsid w:val="003724A8"/>
    <w:rsid w:val="003737CF"/>
    <w:rsid w:val="00375F15"/>
    <w:rsid w:val="00381C7B"/>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5D9A"/>
    <w:rsid w:val="005B1E6A"/>
    <w:rsid w:val="005B57B7"/>
    <w:rsid w:val="005B7AE0"/>
    <w:rsid w:val="005D4941"/>
    <w:rsid w:val="005E0300"/>
    <w:rsid w:val="005E380F"/>
    <w:rsid w:val="0060381F"/>
    <w:rsid w:val="006213BE"/>
    <w:rsid w:val="0062245A"/>
    <w:rsid w:val="006456AA"/>
    <w:rsid w:val="00654596"/>
    <w:rsid w:val="006622B9"/>
    <w:rsid w:val="006905B4"/>
    <w:rsid w:val="00691BFB"/>
    <w:rsid w:val="006A1C95"/>
    <w:rsid w:val="006A1F69"/>
    <w:rsid w:val="006A5275"/>
    <w:rsid w:val="006D39FD"/>
    <w:rsid w:val="006E52EA"/>
    <w:rsid w:val="006E68EA"/>
    <w:rsid w:val="006E7BB4"/>
    <w:rsid w:val="006F1095"/>
    <w:rsid w:val="00702CE5"/>
    <w:rsid w:val="007111FA"/>
    <w:rsid w:val="007154FA"/>
    <w:rsid w:val="007253B9"/>
    <w:rsid w:val="00731B17"/>
    <w:rsid w:val="00737DEB"/>
    <w:rsid w:val="0074318A"/>
    <w:rsid w:val="007474DC"/>
    <w:rsid w:val="00747EA5"/>
    <w:rsid w:val="007570BC"/>
    <w:rsid w:val="00766B8B"/>
    <w:rsid w:val="00767084"/>
    <w:rsid w:val="00770AD3"/>
    <w:rsid w:val="0077267B"/>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0724"/>
    <w:rsid w:val="0091521F"/>
    <w:rsid w:val="009171E4"/>
    <w:rsid w:val="00924D19"/>
    <w:rsid w:val="009547ED"/>
    <w:rsid w:val="00957D4E"/>
    <w:rsid w:val="00977570"/>
    <w:rsid w:val="00980A13"/>
    <w:rsid w:val="00983F20"/>
    <w:rsid w:val="009973D3"/>
    <w:rsid w:val="009A4595"/>
    <w:rsid w:val="009C3C0F"/>
    <w:rsid w:val="009C3C96"/>
    <w:rsid w:val="009D71AC"/>
    <w:rsid w:val="009E12B0"/>
    <w:rsid w:val="009E32F2"/>
    <w:rsid w:val="009E3FC5"/>
    <w:rsid w:val="009E6508"/>
    <w:rsid w:val="009E70D1"/>
    <w:rsid w:val="00A13D31"/>
    <w:rsid w:val="00A14B5C"/>
    <w:rsid w:val="00A14EB7"/>
    <w:rsid w:val="00A31AAC"/>
    <w:rsid w:val="00A351EB"/>
    <w:rsid w:val="00A3591F"/>
    <w:rsid w:val="00A53EB5"/>
    <w:rsid w:val="00A57F6C"/>
    <w:rsid w:val="00A60416"/>
    <w:rsid w:val="00A61C4E"/>
    <w:rsid w:val="00A73F17"/>
    <w:rsid w:val="00A85A4F"/>
    <w:rsid w:val="00AA4ACF"/>
    <w:rsid w:val="00AA5A84"/>
    <w:rsid w:val="00AB1C51"/>
    <w:rsid w:val="00AB265A"/>
    <w:rsid w:val="00AD5C7E"/>
    <w:rsid w:val="00AE07D5"/>
    <w:rsid w:val="00AE763D"/>
    <w:rsid w:val="00AF3C4C"/>
    <w:rsid w:val="00AF56A7"/>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1245C"/>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05CCA"/>
    <w:rsid w:val="00D26A90"/>
    <w:rsid w:val="00D3261F"/>
    <w:rsid w:val="00D37F2D"/>
    <w:rsid w:val="00D43EC7"/>
    <w:rsid w:val="00D5555C"/>
    <w:rsid w:val="00D60E22"/>
    <w:rsid w:val="00D61A44"/>
    <w:rsid w:val="00D67008"/>
    <w:rsid w:val="00D818FF"/>
    <w:rsid w:val="00D9400D"/>
    <w:rsid w:val="00DA2360"/>
    <w:rsid w:val="00DA569D"/>
    <w:rsid w:val="00DB0612"/>
    <w:rsid w:val="00DC7D95"/>
    <w:rsid w:val="00DE3DCF"/>
    <w:rsid w:val="00DF2545"/>
    <w:rsid w:val="00E10AB7"/>
    <w:rsid w:val="00E20BAF"/>
    <w:rsid w:val="00E25E77"/>
    <w:rsid w:val="00E3555B"/>
    <w:rsid w:val="00E42B6B"/>
    <w:rsid w:val="00E47B33"/>
    <w:rsid w:val="00E50732"/>
    <w:rsid w:val="00E55F10"/>
    <w:rsid w:val="00E57431"/>
    <w:rsid w:val="00E63DBD"/>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215D5"/>
    <w:rsid w:val="00F30B55"/>
    <w:rsid w:val="00F3366F"/>
    <w:rsid w:val="00F520C3"/>
    <w:rsid w:val="00F634ED"/>
    <w:rsid w:val="00F851B8"/>
    <w:rsid w:val="00F9376A"/>
    <w:rsid w:val="00FA1CD6"/>
    <w:rsid w:val="00FA62C9"/>
    <w:rsid w:val="00FB75BE"/>
    <w:rsid w:val="00FC72C4"/>
    <w:rsid w:val="00FD33BC"/>
    <w:rsid w:val="00FF0D0B"/>
    <w:rsid w:val="00FF0D3B"/>
    <w:rsid w:val="140131D4"/>
    <w:rsid w:val="1B9FCFAF"/>
    <w:rsid w:val="287C6B15"/>
    <w:rsid w:val="3EFE9779"/>
    <w:rsid w:val="3F55393D"/>
    <w:rsid w:val="3FBBF8DD"/>
    <w:rsid w:val="3FEE9ECA"/>
    <w:rsid w:val="564E3B6A"/>
    <w:rsid w:val="58BD523D"/>
    <w:rsid w:val="5BED5B9A"/>
    <w:rsid w:val="5C1443BE"/>
    <w:rsid w:val="5FEFC6F7"/>
    <w:rsid w:val="61FFA8C7"/>
    <w:rsid w:val="773BCC58"/>
    <w:rsid w:val="77B7896C"/>
    <w:rsid w:val="7D3F89BD"/>
    <w:rsid w:val="7DCF3396"/>
    <w:rsid w:val="7FDBC5F3"/>
    <w:rsid w:val="A7EF8458"/>
    <w:rsid w:val="AFCDFD9E"/>
    <w:rsid w:val="B5DF7A16"/>
    <w:rsid w:val="BD7F3FE7"/>
    <w:rsid w:val="BFBD7143"/>
    <w:rsid w:val="DFE57AD6"/>
    <w:rsid w:val="EC7C6883"/>
    <w:rsid w:val="F2EF2F58"/>
    <w:rsid w:val="F5632CD2"/>
    <w:rsid w:val="F5FD7D8A"/>
    <w:rsid w:val="FA7B130B"/>
    <w:rsid w:val="FABF3813"/>
    <w:rsid w:val="FEDEC067"/>
    <w:rsid w:val="FFF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Words>
  <Characters>54</Characters>
  <Lines>3</Lines>
  <Paragraphs>1</Paragraphs>
  <TotalTime>5</TotalTime>
  <ScaleCrop>false</ScaleCrop>
  <LinksUpToDate>false</LinksUpToDate>
  <CharactersWithSpaces>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2019-08-11T17:27:00Z</dcterms:created>
  <dc:creator>蔡娟</dc:creator>
  <cp:lastModifiedBy>WPS_1648090689</cp:lastModifiedBy>
  <cp:lastPrinted>2023-10-13T17:13:00Z</cp:lastPrinted>
  <dcterms:modified xsi:type="dcterms:W3CDTF">2023-10-16T01:04:36Z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892724EE25264F1CB117A6BA0AE35739_13</vt:lpwstr>
  </property>
  <property fmtid="{D5CDD505-2E9C-101B-9397-08002B2CF9AE}" pid="4" name="文种">
    <vt:lpwstr>unknow</vt:lpwstr>
  </property>
</Properties>
</file>