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60" w:lineRule="exact"/>
        <w:rPr>
          <w:rFonts w:hint="default" w:ascii="黑体" w:hAnsi="黑体" w:eastAsia="黑体"/>
          <w:color w:val="000000"/>
          <w:sz w:val="32"/>
          <w:szCs w:val="32"/>
          <w:lang w:val="en-US" w:eastAsia="zh-CN"/>
        </w:rPr>
      </w:pPr>
      <w:r>
        <w:rPr>
          <w:rFonts w:hint="eastAsia" w:ascii="黑体" w:hAnsi="黑体" w:eastAsia="黑体"/>
          <w:color w:val="000000"/>
          <w:sz w:val="32"/>
          <w:szCs w:val="32"/>
        </w:rPr>
        <w:t>附件</w:t>
      </w:r>
    </w:p>
    <w:p>
      <w:pPr>
        <w:jc w:val="center"/>
        <w:rPr>
          <w:rFonts w:hint="eastAsia" w:ascii="方正小标宋简体" w:hAnsi="方正小标宋简体" w:eastAsia="方正小标宋简体"/>
          <w:sz w:val="44"/>
          <w:szCs w:val="44"/>
          <w:lang w:val="en-US" w:eastAsia="zh-CN"/>
        </w:rPr>
      </w:pPr>
      <w:bookmarkStart w:id="0" w:name="_GoBack"/>
      <w:r>
        <w:rPr>
          <w:rFonts w:hint="eastAsia" w:ascii="方正小标宋简体" w:hAnsi="方正小标宋简体" w:eastAsia="方正小标宋简体"/>
          <w:sz w:val="44"/>
          <w:szCs w:val="44"/>
          <w:lang w:val="en-US" w:eastAsia="zh-CN"/>
        </w:rPr>
        <w:t>陕西省卫生健康监管领域轻微违法行为首次免罚清单</w:t>
      </w:r>
    </w:p>
    <w:bookmarkEnd w:id="0"/>
    <w:tbl>
      <w:tblPr>
        <w:tblStyle w:val="6"/>
        <w:tblW w:w="1312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282"/>
        <w:gridCol w:w="241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28" w:type="dxa"/>
            <w:noWrap w:val="0"/>
            <w:vAlign w:val="center"/>
          </w:tcPr>
          <w:p>
            <w:pPr>
              <w:jc w:val="center"/>
              <w:rPr>
                <w:rFonts w:ascii="黑体" w:hAnsi="黑体" w:eastAsia="黑体"/>
                <w:sz w:val="24"/>
                <w:szCs w:val="24"/>
              </w:rPr>
            </w:pPr>
            <w:r>
              <w:rPr>
                <w:rFonts w:hint="eastAsia" w:ascii="黑体" w:hAnsi="黑体" w:eastAsia="黑体"/>
                <w:sz w:val="24"/>
                <w:szCs w:val="24"/>
              </w:rPr>
              <w:t>序号</w:t>
            </w:r>
          </w:p>
        </w:tc>
        <w:tc>
          <w:tcPr>
            <w:tcW w:w="3282" w:type="dxa"/>
            <w:noWrap w:val="0"/>
            <w:vAlign w:val="center"/>
          </w:tcPr>
          <w:p>
            <w:pPr>
              <w:jc w:val="center"/>
              <w:rPr>
                <w:rFonts w:hint="eastAsia" w:ascii="黑体" w:hAnsi="黑体" w:eastAsia="黑体"/>
                <w:sz w:val="24"/>
                <w:szCs w:val="24"/>
                <w:lang w:eastAsia="zh-CN"/>
              </w:rPr>
            </w:pPr>
            <w:r>
              <w:rPr>
                <w:rFonts w:hint="eastAsia" w:ascii="黑体" w:hAnsi="黑体" w:eastAsia="黑体"/>
                <w:sz w:val="24"/>
                <w:szCs w:val="24"/>
                <w:lang w:val="en-US" w:eastAsia="zh-CN"/>
              </w:rPr>
              <w:t>违法行为</w:t>
            </w:r>
          </w:p>
        </w:tc>
        <w:tc>
          <w:tcPr>
            <w:tcW w:w="2410" w:type="dxa"/>
            <w:noWrap w:val="0"/>
            <w:vAlign w:val="center"/>
          </w:tcPr>
          <w:p>
            <w:pPr>
              <w:jc w:val="center"/>
              <w:rPr>
                <w:rFonts w:hint="eastAsia" w:ascii="黑体" w:hAnsi="黑体" w:eastAsia="黑体"/>
                <w:sz w:val="24"/>
                <w:szCs w:val="24"/>
                <w:lang w:eastAsia="zh-CN"/>
              </w:rPr>
            </w:pPr>
            <w:r>
              <w:rPr>
                <w:rFonts w:hint="eastAsia" w:ascii="黑体" w:hAnsi="黑体" w:eastAsia="黑体"/>
                <w:sz w:val="24"/>
                <w:szCs w:val="24"/>
                <w:lang w:val="en-US" w:eastAsia="zh-CN"/>
              </w:rPr>
              <w:t>不予</w:t>
            </w:r>
            <w:r>
              <w:rPr>
                <w:rFonts w:hint="eastAsia" w:ascii="黑体" w:hAnsi="黑体" w:eastAsia="黑体"/>
                <w:sz w:val="24"/>
                <w:szCs w:val="24"/>
              </w:rPr>
              <w:t>处罚</w:t>
            </w:r>
            <w:r>
              <w:rPr>
                <w:rFonts w:hint="eastAsia" w:ascii="黑体" w:hAnsi="黑体" w:eastAsia="黑体"/>
                <w:sz w:val="24"/>
                <w:szCs w:val="24"/>
                <w:lang w:val="en-US" w:eastAsia="zh-CN"/>
              </w:rPr>
              <w:t>条件</w:t>
            </w:r>
          </w:p>
        </w:tc>
        <w:tc>
          <w:tcPr>
            <w:tcW w:w="6600" w:type="dxa"/>
            <w:noWrap w:val="0"/>
            <w:vAlign w:val="center"/>
          </w:tcPr>
          <w:p>
            <w:pPr>
              <w:jc w:val="center"/>
              <w:rPr>
                <w:rFonts w:hint="eastAsia" w:ascii="黑体" w:hAnsi="黑体" w:eastAsia="黑体"/>
                <w:sz w:val="24"/>
                <w:szCs w:val="24"/>
                <w:lang w:val="en-US" w:eastAsia="zh-CN"/>
              </w:rPr>
            </w:pPr>
            <w:r>
              <w:rPr>
                <w:rFonts w:hint="eastAsia" w:ascii="黑体" w:hAnsi="黑体" w:eastAsia="黑体"/>
                <w:sz w:val="24"/>
                <w:szCs w:val="24"/>
                <w:lang w:val="en-US" w:eastAsia="zh-CN"/>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120" w:type="dxa"/>
            <w:gridSpan w:val="4"/>
            <w:noWrap w:val="0"/>
            <w:vAlign w:val="top"/>
          </w:tcPr>
          <w:p>
            <w:pPr>
              <w:jc w:val="left"/>
              <w:rPr>
                <w:rFonts w:hint="default" w:ascii="黑体" w:hAnsi="黑体" w:eastAsia="黑体"/>
                <w:sz w:val="28"/>
                <w:szCs w:val="28"/>
                <w:lang w:val="en-US" w:eastAsia="zh-CN"/>
              </w:rPr>
            </w:pPr>
            <w:r>
              <w:rPr>
                <w:rFonts w:hint="eastAsia" w:ascii="黑体" w:hAnsi="黑体" w:eastAsia="黑体"/>
                <w:sz w:val="28"/>
                <w:szCs w:val="28"/>
                <w:lang w:val="en-US" w:eastAsia="zh-CN"/>
              </w:rPr>
              <w:t>一、传染病防治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2" w:hRule="exact"/>
        </w:trPr>
        <w:tc>
          <w:tcPr>
            <w:tcW w:w="828"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1</w:t>
            </w:r>
          </w:p>
        </w:tc>
        <w:tc>
          <w:tcPr>
            <w:tcW w:w="3282" w:type="dxa"/>
            <w:noWrap w:val="0"/>
            <w:vAlign w:val="center"/>
          </w:tcPr>
          <w:p>
            <w:pPr>
              <w:jc w:val="left"/>
              <w:rPr>
                <w:rFonts w:hint="eastAsia"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医疗卫生机构违反《消毒管理办法》第四条规定，未建立消毒管理组织，或未制定消毒管理制度的</w:t>
            </w:r>
          </w:p>
        </w:tc>
        <w:tc>
          <w:tcPr>
            <w:tcW w:w="241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初次违法</w:t>
            </w:r>
            <w:r>
              <w:rPr>
                <w:rFonts w:hint="eastAsia" w:ascii="Times New Roman" w:hAnsi="Times New Roman" w:eastAsia="仿宋_GB2312" w:cs="Times New Roman"/>
                <w:kern w:val="0"/>
                <w:sz w:val="24"/>
                <w:szCs w:val="24"/>
                <w:highlight w:val="none"/>
                <w:lang w:val="en-US" w:eastAsia="zh-CN" w:bidi="ar"/>
              </w:rPr>
              <w:t>且危害后果轻微并及时</w:t>
            </w:r>
            <w:r>
              <w:rPr>
                <w:rFonts w:hint="default" w:ascii="Times New Roman" w:hAnsi="Times New Roman" w:eastAsia="仿宋_GB2312" w:cs="Times New Roman"/>
                <w:kern w:val="0"/>
                <w:sz w:val="24"/>
                <w:szCs w:val="24"/>
                <w:highlight w:val="none"/>
                <w:lang w:val="en-US" w:eastAsia="zh-CN" w:bidi="ar"/>
              </w:rPr>
              <w:t>改正</w:t>
            </w:r>
          </w:p>
        </w:tc>
        <w:tc>
          <w:tcPr>
            <w:tcW w:w="6600" w:type="dxa"/>
            <w:noWrap w:val="0"/>
            <w:vAlign w:val="center"/>
          </w:tcPr>
          <w:p>
            <w:pPr>
              <w:jc w:val="left"/>
              <w:rPr>
                <w:rFonts w:hint="default" w:ascii="Times New Roman" w:hAnsi="Times New Roman" w:eastAsia="仿宋_GB2312"/>
                <w:kern w:val="0"/>
                <w:sz w:val="24"/>
                <w:highlight w:val="none"/>
                <w:lang w:val="en-US" w:eastAsia="zh-CN" w:bidi="ar"/>
              </w:rPr>
            </w:pPr>
            <w:r>
              <w:rPr>
                <w:rFonts w:hint="default" w:ascii="Times New Roman" w:hAnsi="Times New Roman" w:eastAsia="仿宋_GB2312"/>
                <w:kern w:val="0"/>
                <w:sz w:val="24"/>
                <w:highlight w:val="none"/>
                <w:lang w:val="en-US" w:eastAsia="zh-CN" w:bidi="ar"/>
              </w:rPr>
              <w:t>《消毒管理办法》第四十一条 医疗卫生机构违反本办法第四条、第五条、第六条、第七条、第八条、第九条规定的，由县级以上地方卫生计生行政部门责令限期改正，可以处5000元以下罚款;造成感染性疾病暴发的，可以处5000元以上20000元以下罚款。</w:t>
            </w:r>
          </w:p>
          <w:p>
            <w:pPr>
              <w:jc w:val="left"/>
              <w:rPr>
                <w:rFonts w:hint="default" w:ascii="Times New Roman" w:hAnsi="Times New Roman" w:eastAsia="仿宋_GB2312"/>
                <w:kern w:val="0"/>
                <w:sz w:val="24"/>
                <w:highlight w:val="none"/>
                <w:lang w:val="en-US" w:eastAsia="zh-CN" w:bidi="ar"/>
              </w:rPr>
            </w:pPr>
            <w:r>
              <w:rPr>
                <w:rFonts w:hint="default" w:ascii="Times New Roman" w:hAnsi="Times New Roman" w:eastAsia="仿宋_GB2312"/>
                <w:kern w:val="0"/>
                <w:sz w:val="24"/>
                <w:highlight w:val="none"/>
                <w:lang w:val="en-US" w:eastAsia="zh-CN" w:bidi="ar"/>
              </w:rPr>
              <w:t>《消毒管理办法》</w:t>
            </w:r>
            <w:r>
              <w:rPr>
                <w:rFonts w:hint="default" w:ascii="Times New Roman" w:hAnsi="Times New Roman" w:eastAsia="仿宋_GB2312" w:cs="Times New Roman"/>
                <w:kern w:val="0"/>
                <w:sz w:val="24"/>
                <w:szCs w:val="24"/>
                <w:highlight w:val="none"/>
                <w:lang w:val="en-US" w:eastAsia="zh-CN" w:bidi="ar"/>
              </w:rPr>
              <w:t>第四条：医疗卫生机构应当建立消毒管理组织，制定消毒管理制度，执行国家有关规范、标准和规定，定期开展消毒与灭菌效果检测工作。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trPr>
        <w:tc>
          <w:tcPr>
            <w:tcW w:w="13120" w:type="dxa"/>
            <w:gridSpan w:val="4"/>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黑体" w:hAnsi="黑体" w:eastAsia="黑体"/>
                <w:sz w:val="24"/>
                <w:szCs w:val="24"/>
                <w:lang w:val="en-US" w:eastAsia="zh-CN"/>
              </w:rPr>
              <w:t>二、医疗卫生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exact"/>
        </w:trPr>
        <w:tc>
          <w:tcPr>
            <w:tcW w:w="828"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2</w:t>
            </w:r>
          </w:p>
        </w:tc>
        <w:tc>
          <w:tcPr>
            <w:tcW w:w="3282"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未按照规定建立医疗器械临床使用管理工作制度的</w:t>
            </w:r>
          </w:p>
        </w:tc>
        <w:tc>
          <w:tcPr>
            <w:tcW w:w="241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初次违法</w:t>
            </w:r>
            <w:r>
              <w:rPr>
                <w:rFonts w:hint="eastAsia" w:ascii="Times New Roman" w:hAnsi="Times New Roman" w:eastAsia="仿宋_GB2312" w:cs="Times New Roman"/>
                <w:kern w:val="0"/>
                <w:sz w:val="24"/>
                <w:szCs w:val="24"/>
                <w:highlight w:val="none"/>
                <w:lang w:val="en-US" w:eastAsia="zh-CN" w:bidi="ar"/>
              </w:rPr>
              <w:t>且危害后果轻微并及时</w:t>
            </w:r>
            <w:r>
              <w:rPr>
                <w:rFonts w:hint="default" w:ascii="Times New Roman" w:hAnsi="Times New Roman" w:eastAsia="仿宋_GB2312" w:cs="Times New Roman"/>
                <w:kern w:val="0"/>
                <w:sz w:val="24"/>
                <w:szCs w:val="24"/>
                <w:highlight w:val="none"/>
                <w:lang w:val="en-US" w:eastAsia="zh-CN" w:bidi="ar"/>
              </w:rPr>
              <w:t>改正</w:t>
            </w:r>
          </w:p>
        </w:tc>
        <w:tc>
          <w:tcPr>
            <w:tcW w:w="660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医疗器械临床使用管理办法》第四十五条第（一）项：医疗机构违反本办法规定，有下列情形之一的，由县级以上地方卫生健康主管部门责令改正，给予警告；情节严重的，可以并处五千元以上三万元以下罚款：（一）未按照规定建立医疗器械临床使用管理工作制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8" w:hRule="exact"/>
        </w:trPr>
        <w:tc>
          <w:tcPr>
            <w:tcW w:w="828"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3</w:t>
            </w:r>
          </w:p>
        </w:tc>
        <w:tc>
          <w:tcPr>
            <w:tcW w:w="3282" w:type="dxa"/>
            <w:noWrap w:val="0"/>
            <w:vAlign w:val="center"/>
          </w:tcPr>
          <w:p>
            <w:pPr>
              <w:jc w:val="left"/>
              <w:rPr>
                <w:rFonts w:hint="eastAsia"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使用单位未按照要求建立医疗器械不良事件监测工作制度的</w:t>
            </w:r>
          </w:p>
        </w:tc>
        <w:tc>
          <w:tcPr>
            <w:tcW w:w="241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初次违法</w:t>
            </w:r>
            <w:r>
              <w:rPr>
                <w:rFonts w:hint="eastAsia" w:ascii="Times New Roman" w:hAnsi="Times New Roman" w:eastAsia="仿宋_GB2312" w:cs="Times New Roman"/>
                <w:kern w:val="0"/>
                <w:sz w:val="24"/>
                <w:szCs w:val="24"/>
                <w:highlight w:val="none"/>
                <w:lang w:val="en-US" w:eastAsia="zh-CN" w:bidi="ar"/>
              </w:rPr>
              <w:t>且危害后果轻微并及时</w:t>
            </w:r>
            <w:r>
              <w:rPr>
                <w:rFonts w:hint="default" w:ascii="Times New Roman" w:hAnsi="Times New Roman" w:eastAsia="仿宋_GB2312" w:cs="Times New Roman"/>
                <w:kern w:val="0"/>
                <w:sz w:val="24"/>
                <w:szCs w:val="24"/>
                <w:highlight w:val="none"/>
                <w:lang w:val="en-US" w:eastAsia="zh-CN" w:bidi="ar"/>
              </w:rPr>
              <w:t>改正</w:t>
            </w:r>
          </w:p>
        </w:tc>
        <w:tc>
          <w:tcPr>
            <w:tcW w:w="6600" w:type="dxa"/>
            <w:vMerge w:val="restart"/>
            <w:noWrap w:val="0"/>
            <w:vAlign w:val="center"/>
          </w:tcPr>
          <w:p>
            <w:pPr>
              <w:jc w:val="left"/>
              <w:rPr>
                <w:rFonts w:hint="eastAsia"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 xml:space="preserve">《医疗器械不良事件监测和再评价管理办法 </w:t>
            </w:r>
            <w:r>
              <w:rPr>
                <w:rFonts w:hint="eastAsia" w:ascii="Times New Roman" w:hAnsi="Times New Roman" w:eastAsia="仿宋_GB2312" w:cs="Times New Roman"/>
                <w:kern w:val="0"/>
                <w:sz w:val="24"/>
                <w:szCs w:val="24"/>
                <w:highlight w:val="none"/>
                <w:lang w:val="en-US" w:eastAsia="zh-CN" w:bidi="ar"/>
              </w:rPr>
              <w:fldChar w:fldCharType="begin"/>
            </w:r>
            <w:r>
              <w:rPr>
                <w:rFonts w:hint="eastAsia" w:ascii="Times New Roman" w:hAnsi="Times New Roman" w:eastAsia="仿宋_GB2312" w:cs="Times New Roman"/>
                <w:kern w:val="0"/>
                <w:sz w:val="24"/>
                <w:szCs w:val="24"/>
                <w:highlight w:val="none"/>
                <w:lang w:val="en-US" w:eastAsia="zh-CN" w:bidi="ar"/>
              </w:rPr>
              <w:instrText xml:space="preserve"> HYPERLINK "https://baike.so.com/create/edit/?eid=25060127&amp;sid=26031776" </w:instrText>
            </w:r>
            <w:r>
              <w:rPr>
                <w:rFonts w:hint="eastAsia" w:ascii="Times New Roman" w:hAnsi="Times New Roman" w:eastAsia="仿宋_GB2312" w:cs="Times New Roman"/>
                <w:kern w:val="0"/>
                <w:sz w:val="24"/>
                <w:szCs w:val="24"/>
                <w:highlight w:val="none"/>
                <w:lang w:val="en-US" w:eastAsia="zh-CN" w:bidi="ar"/>
              </w:rPr>
              <w:fldChar w:fldCharType="separate"/>
            </w:r>
            <w:r>
              <w:rPr>
                <w:rFonts w:hint="eastAsia" w:ascii="Times New Roman" w:hAnsi="Times New Roman" w:eastAsia="仿宋_GB2312" w:cs="Times New Roman"/>
                <w:kern w:val="0"/>
                <w:sz w:val="24"/>
                <w:szCs w:val="24"/>
                <w:highlight w:val="none"/>
                <w:lang w:val="en-US" w:eastAsia="zh-CN" w:bidi="ar"/>
              </w:rPr>
              <w:fldChar w:fldCharType="end"/>
            </w:r>
            <w:r>
              <w:rPr>
                <w:rFonts w:hint="eastAsia" w:ascii="Times New Roman" w:hAnsi="Times New Roman" w:eastAsia="仿宋_GB2312" w:cs="Times New Roman"/>
                <w:kern w:val="0"/>
                <w:sz w:val="24"/>
                <w:szCs w:val="24"/>
                <w:highlight w:val="none"/>
                <w:lang w:val="en-US" w:eastAsia="zh-CN" w:bidi="ar"/>
              </w:rPr>
              <w:t>》</w:t>
            </w:r>
          </w:p>
          <w:p>
            <w:pPr>
              <w:jc w:val="left"/>
              <w:rPr>
                <w:rFonts w:hint="eastAsia"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第七十四条：医疗器械经营企业、使用单位有下列情形之一的，由县级以上药品监督管理部门和卫生行政部门依据各自职责责令改正，给予警告;拒不改正的，处5000元以上2万元以下罚款：</w:t>
            </w:r>
          </w:p>
          <w:p>
            <w:pPr>
              <w:jc w:val="left"/>
              <w:rPr>
                <w:rFonts w:hint="eastAsia"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(一)未按照要求建立医疗器械不良事件监测工作制度的;</w:t>
            </w:r>
          </w:p>
          <w:p>
            <w:pPr>
              <w:jc w:val="left"/>
              <w:rPr>
                <w:rFonts w:hint="eastAsia"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(四)应当注册而未注册为国家医疗器械不良事件监测信息系统用户的;</w:t>
            </w:r>
          </w:p>
          <w:p>
            <w:pPr>
              <w:jc w:val="left"/>
              <w:rPr>
                <w:rFonts w:hint="eastAsia" w:ascii="Times New Roman" w:hAnsi="Times New Roman" w:eastAsia="仿宋_GB2312" w:cs="Times New Roman"/>
                <w:kern w:val="0"/>
                <w:sz w:val="24"/>
                <w:szCs w:val="24"/>
                <w:highlight w:val="none"/>
                <w:lang w:val="en-US" w:eastAsia="zh-CN" w:bidi="ar"/>
              </w:rPr>
            </w:pPr>
          </w:p>
          <w:p>
            <w:pPr>
              <w:jc w:val="left"/>
              <w:rPr>
                <w:rFonts w:hint="eastAsia"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第七十五条持有人、经营企业、使用单位按照本办法要求报告、调查、评价、处置医疗器械不良事件，主动消除或者减轻危害后果的，对其相关违法行为，依照《中华人民共和国行政处罚法》的规定从轻或者减轻处罚。违法行为轻微并及时纠正，没有造成危害后果的，不予处罚，但不免除其依法应当承担的其他法律责任。</w:t>
            </w:r>
          </w:p>
          <w:p>
            <w:pPr>
              <w:jc w:val="left"/>
              <w:rPr>
                <w:rFonts w:hint="eastAsia" w:ascii="Times New Roman" w:hAnsi="Times New Roman" w:eastAsia="仿宋_GB2312" w:cs="Times New Roman"/>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exact"/>
        </w:trPr>
        <w:tc>
          <w:tcPr>
            <w:tcW w:w="828"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4</w:t>
            </w:r>
          </w:p>
        </w:tc>
        <w:tc>
          <w:tcPr>
            <w:tcW w:w="3282" w:type="dxa"/>
            <w:noWrap w:val="0"/>
            <w:vAlign w:val="center"/>
          </w:tcPr>
          <w:p>
            <w:pPr>
              <w:jc w:val="left"/>
              <w:rPr>
                <w:rFonts w:hint="eastAsia"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应当注册而未注册为国家医疗器械不良事件监测信息系统用户的</w:t>
            </w:r>
          </w:p>
        </w:tc>
        <w:tc>
          <w:tcPr>
            <w:tcW w:w="241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初次违法</w:t>
            </w:r>
            <w:r>
              <w:rPr>
                <w:rFonts w:hint="eastAsia" w:ascii="Times New Roman" w:hAnsi="Times New Roman" w:eastAsia="仿宋_GB2312" w:cs="Times New Roman"/>
                <w:kern w:val="0"/>
                <w:sz w:val="24"/>
                <w:szCs w:val="24"/>
                <w:highlight w:val="none"/>
                <w:lang w:val="en-US" w:eastAsia="zh-CN" w:bidi="ar"/>
              </w:rPr>
              <w:t>且危害后果轻微并及时</w:t>
            </w:r>
            <w:r>
              <w:rPr>
                <w:rFonts w:hint="default" w:ascii="Times New Roman" w:hAnsi="Times New Roman" w:eastAsia="仿宋_GB2312" w:cs="Times New Roman"/>
                <w:kern w:val="0"/>
                <w:sz w:val="24"/>
                <w:szCs w:val="24"/>
                <w:highlight w:val="none"/>
                <w:lang w:val="en-US" w:eastAsia="zh-CN" w:bidi="ar"/>
              </w:rPr>
              <w:t>改正</w:t>
            </w:r>
          </w:p>
        </w:tc>
        <w:tc>
          <w:tcPr>
            <w:tcW w:w="6600" w:type="dxa"/>
            <w:vMerge w:val="continue"/>
            <w:noWrap w:val="0"/>
            <w:vAlign w:val="center"/>
          </w:tcPr>
          <w:p>
            <w:pPr>
              <w:jc w:val="center"/>
              <w:rPr>
                <w:rFonts w:hint="eastAsia" w:ascii="仿宋_GB2312" w:hAnsi="仿宋_GB2312" w:eastAsia="仿宋_GB2312" w:cs="仿宋_GB2312"/>
                <w:i w:val="0"/>
                <w:caps w:val="0"/>
                <w:color w:val="000000"/>
                <w:spacing w:val="0"/>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3120" w:type="dxa"/>
            <w:gridSpan w:val="4"/>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黑体" w:hAnsi="黑体" w:eastAsia="黑体"/>
                <w:sz w:val="24"/>
                <w:szCs w:val="24"/>
                <w:lang w:val="en-US" w:eastAsia="zh-CN"/>
              </w:rPr>
              <w:t>三、公共卫生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exact"/>
        </w:trPr>
        <w:tc>
          <w:tcPr>
            <w:tcW w:w="828"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5</w:t>
            </w:r>
          </w:p>
        </w:tc>
        <w:tc>
          <w:tcPr>
            <w:tcW w:w="3282"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寄宿制学校未为寄宿学生配备洗漱、洗澡等卫生设施的</w:t>
            </w:r>
          </w:p>
        </w:tc>
        <w:tc>
          <w:tcPr>
            <w:tcW w:w="241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初次违法</w:t>
            </w:r>
            <w:r>
              <w:rPr>
                <w:rFonts w:hint="eastAsia" w:ascii="Times New Roman" w:hAnsi="Times New Roman" w:eastAsia="仿宋_GB2312" w:cs="Times New Roman"/>
                <w:kern w:val="0"/>
                <w:sz w:val="24"/>
                <w:szCs w:val="24"/>
                <w:highlight w:val="none"/>
                <w:lang w:val="en-US" w:eastAsia="zh-CN" w:bidi="ar"/>
              </w:rPr>
              <w:t>且危害后果轻微并及时</w:t>
            </w:r>
            <w:r>
              <w:rPr>
                <w:rFonts w:hint="default" w:ascii="Times New Roman" w:hAnsi="Times New Roman" w:eastAsia="仿宋_GB2312" w:cs="Times New Roman"/>
                <w:kern w:val="0"/>
                <w:sz w:val="24"/>
                <w:szCs w:val="24"/>
                <w:highlight w:val="none"/>
                <w:lang w:val="en-US" w:eastAsia="zh-CN" w:bidi="ar"/>
              </w:rPr>
              <w:t>改正</w:t>
            </w:r>
          </w:p>
        </w:tc>
        <w:tc>
          <w:tcPr>
            <w:tcW w:w="660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《学校卫生工作条例》第三十三条  违反本条例第六条第一款、第七条和第十条规定的，由卫生行政部门对直接责任单位或者个人给予警告并责令限期改进。情节严重的，可以同时建议教育行政部门给予行政处分。</w:t>
            </w:r>
          </w:p>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《学校卫生工作条例》第七条：学校应当按照有关规定为学生设置厕所和洗手设施。寄宿制学校应当为学生提供相应的洗漱、洗澡等卫生设施。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exact"/>
        </w:trPr>
        <w:tc>
          <w:tcPr>
            <w:tcW w:w="828"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6</w:t>
            </w:r>
          </w:p>
        </w:tc>
        <w:tc>
          <w:tcPr>
            <w:tcW w:w="3282"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公共场所经营者未按规定对公共场所</w:t>
            </w:r>
            <w:r>
              <w:rPr>
                <w:rFonts w:hint="eastAsia" w:ascii="Times New Roman" w:hAnsi="Times New Roman" w:eastAsia="仿宋_GB2312" w:cs="Times New Roman"/>
                <w:kern w:val="0"/>
                <w:sz w:val="24"/>
                <w:szCs w:val="24"/>
                <w:highlight w:val="none"/>
                <w:lang w:val="en-US" w:eastAsia="zh-CN" w:bidi="ar"/>
              </w:rPr>
              <w:t>微小气候、采光、照明、噪声</w:t>
            </w:r>
            <w:r>
              <w:rPr>
                <w:rFonts w:hint="default" w:ascii="Times New Roman" w:hAnsi="Times New Roman" w:eastAsia="仿宋_GB2312" w:cs="Times New Roman"/>
                <w:kern w:val="0"/>
                <w:sz w:val="24"/>
                <w:szCs w:val="24"/>
                <w:highlight w:val="none"/>
                <w:lang w:val="en-US" w:eastAsia="zh-CN" w:bidi="ar"/>
              </w:rPr>
              <w:t>卫生质量进行卫生检测</w:t>
            </w:r>
            <w:r>
              <w:rPr>
                <w:rFonts w:hint="eastAsia" w:ascii="Times New Roman" w:hAnsi="Times New Roman" w:eastAsia="仿宋_GB2312" w:cs="Times New Roman"/>
                <w:kern w:val="0"/>
                <w:sz w:val="24"/>
                <w:szCs w:val="24"/>
                <w:highlight w:val="none"/>
                <w:lang w:val="en-US" w:eastAsia="zh-CN" w:bidi="ar"/>
              </w:rPr>
              <w:t>不超过2项</w:t>
            </w:r>
            <w:r>
              <w:rPr>
                <w:rFonts w:hint="default" w:ascii="Times New Roman" w:hAnsi="Times New Roman" w:eastAsia="仿宋_GB2312" w:cs="Times New Roman"/>
                <w:kern w:val="0"/>
                <w:sz w:val="24"/>
                <w:szCs w:val="24"/>
                <w:highlight w:val="none"/>
                <w:lang w:val="en-US" w:eastAsia="zh-CN" w:bidi="ar"/>
              </w:rPr>
              <w:t>的</w:t>
            </w:r>
          </w:p>
        </w:tc>
        <w:tc>
          <w:tcPr>
            <w:tcW w:w="241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初次违法</w:t>
            </w:r>
            <w:r>
              <w:rPr>
                <w:rFonts w:hint="eastAsia" w:ascii="Times New Roman" w:hAnsi="Times New Roman" w:eastAsia="仿宋_GB2312" w:cs="Times New Roman"/>
                <w:kern w:val="0"/>
                <w:sz w:val="24"/>
                <w:szCs w:val="24"/>
                <w:highlight w:val="none"/>
                <w:lang w:val="en-US" w:eastAsia="zh-CN" w:bidi="ar"/>
              </w:rPr>
              <w:t>且危害后果轻微并及时</w:t>
            </w:r>
            <w:r>
              <w:rPr>
                <w:rFonts w:hint="default" w:ascii="Times New Roman" w:hAnsi="Times New Roman" w:eastAsia="仿宋_GB2312" w:cs="Times New Roman"/>
                <w:kern w:val="0"/>
                <w:sz w:val="24"/>
                <w:szCs w:val="24"/>
                <w:highlight w:val="none"/>
                <w:lang w:val="en-US" w:eastAsia="zh-CN" w:bidi="ar"/>
              </w:rPr>
              <w:t>改正</w:t>
            </w:r>
          </w:p>
          <w:p>
            <w:pPr>
              <w:jc w:val="left"/>
              <w:rPr>
                <w:rFonts w:hint="default" w:ascii="Times New Roman" w:hAnsi="Times New Roman" w:eastAsia="仿宋_GB2312" w:cs="Times New Roman"/>
                <w:kern w:val="0"/>
                <w:sz w:val="24"/>
                <w:szCs w:val="24"/>
                <w:highlight w:val="none"/>
                <w:lang w:val="en-US" w:eastAsia="zh-CN" w:bidi="ar"/>
              </w:rPr>
            </w:pPr>
          </w:p>
        </w:tc>
        <w:tc>
          <w:tcPr>
            <w:tcW w:w="660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《公共场所卫生管理条例实施细则》第三十六条第（一）项  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13120" w:type="dxa"/>
            <w:gridSpan w:val="4"/>
            <w:noWrap w:val="0"/>
            <w:vAlign w:val="center"/>
          </w:tcPr>
          <w:p>
            <w:pPr>
              <w:jc w:val="left"/>
              <w:rPr>
                <w:rFonts w:hint="default" w:ascii="Times New Roman" w:hAnsi="Times New Roman" w:eastAsia="仿宋_GB2312" w:cs="Times New Roman"/>
                <w:kern w:val="0"/>
                <w:sz w:val="24"/>
                <w:szCs w:val="24"/>
                <w:highlight w:val="none"/>
                <w:lang w:bidi="ar"/>
              </w:rPr>
            </w:pPr>
            <w:r>
              <w:rPr>
                <w:rFonts w:hint="eastAsia" w:ascii="黑体" w:hAnsi="黑体" w:eastAsia="黑体"/>
                <w:sz w:val="24"/>
                <w:szCs w:val="24"/>
                <w:lang w:val="en-US" w:eastAsia="zh-CN"/>
              </w:rPr>
              <w:t>四、职业卫生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exact"/>
        </w:trPr>
        <w:tc>
          <w:tcPr>
            <w:tcW w:w="828" w:type="dxa"/>
            <w:noWrap w:val="0"/>
            <w:vAlign w:val="center"/>
          </w:tcPr>
          <w:p>
            <w:pPr>
              <w:jc w:val="left"/>
              <w:rPr>
                <w:rFonts w:hint="eastAsia"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7</w:t>
            </w:r>
          </w:p>
        </w:tc>
        <w:tc>
          <w:tcPr>
            <w:tcW w:w="3282"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工作场所职业病危害因素检测、评价结果没有存档、上报、公布的</w:t>
            </w:r>
          </w:p>
        </w:tc>
        <w:tc>
          <w:tcPr>
            <w:tcW w:w="241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初次违法</w:t>
            </w:r>
            <w:r>
              <w:rPr>
                <w:rFonts w:hint="eastAsia" w:ascii="Times New Roman" w:hAnsi="Times New Roman" w:eastAsia="仿宋_GB2312" w:cs="Times New Roman"/>
                <w:kern w:val="0"/>
                <w:sz w:val="24"/>
                <w:szCs w:val="24"/>
                <w:highlight w:val="none"/>
                <w:lang w:val="en-US" w:eastAsia="zh-CN" w:bidi="ar"/>
              </w:rPr>
              <w:t>且危害后果轻微并及时</w:t>
            </w:r>
            <w:r>
              <w:rPr>
                <w:rFonts w:hint="default" w:ascii="Times New Roman" w:hAnsi="Times New Roman" w:eastAsia="仿宋_GB2312" w:cs="Times New Roman"/>
                <w:kern w:val="0"/>
                <w:sz w:val="24"/>
                <w:szCs w:val="24"/>
                <w:highlight w:val="none"/>
                <w:lang w:val="en-US" w:eastAsia="zh-CN" w:bidi="ar"/>
              </w:rPr>
              <w:t>改正</w:t>
            </w:r>
          </w:p>
        </w:tc>
        <w:tc>
          <w:tcPr>
            <w:tcW w:w="6600" w:type="dxa"/>
            <w:vMerge w:val="restart"/>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《中华人民共和国职业病防治法》第七十条：违反本法规定，有下列行为之一的，由卫生行政部门给予警告，责令限期改正；逾期不改正的，处十万元以下的罚款：</w:t>
            </w:r>
          </w:p>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w:t>
            </w:r>
            <w:r>
              <w:rPr>
                <w:rFonts w:hint="eastAsia" w:ascii="Times New Roman" w:hAnsi="Times New Roman" w:eastAsia="仿宋_GB2312" w:cs="Times New Roman"/>
                <w:kern w:val="0"/>
                <w:sz w:val="24"/>
                <w:szCs w:val="24"/>
                <w:highlight w:val="none"/>
                <w:lang w:val="en-US" w:eastAsia="zh-CN" w:bidi="ar"/>
              </w:rPr>
              <w:t>一</w:t>
            </w:r>
            <w:r>
              <w:rPr>
                <w:rFonts w:hint="default" w:ascii="Times New Roman" w:hAnsi="Times New Roman" w:eastAsia="仿宋_GB2312" w:cs="Times New Roman"/>
                <w:kern w:val="0"/>
                <w:sz w:val="24"/>
                <w:szCs w:val="24"/>
                <w:highlight w:val="none"/>
                <w:lang w:val="en-US" w:eastAsia="zh-CN" w:bidi="ar"/>
              </w:rPr>
              <w:t>）</w:t>
            </w:r>
            <w:r>
              <w:rPr>
                <w:rFonts w:hint="eastAsia" w:ascii="Times New Roman" w:hAnsi="Times New Roman" w:eastAsia="仿宋_GB2312" w:cs="Times New Roman"/>
                <w:kern w:val="0"/>
                <w:sz w:val="24"/>
                <w:szCs w:val="24"/>
                <w:highlight w:val="none"/>
                <w:lang w:val="en-US" w:eastAsia="zh-CN" w:bidi="ar"/>
              </w:rPr>
              <w:t>工作场所职业病危害因素检测、评价结果没有存档、上报、公布的；</w:t>
            </w:r>
          </w:p>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w:t>
            </w:r>
            <w:r>
              <w:rPr>
                <w:rFonts w:hint="eastAsia" w:ascii="Times New Roman" w:hAnsi="Times New Roman" w:eastAsia="仿宋_GB2312" w:cs="Times New Roman"/>
                <w:kern w:val="0"/>
                <w:sz w:val="24"/>
                <w:szCs w:val="24"/>
                <w:highlight w:val="none"/>
                <w:lang w:val="en-US" w:eastAsia="zh-CN" w:bidi="ar"/>
              </w:rPr>
              <w:t>二</w:t>
            </w:r>
            <w:r>
              <w:rPr>
                <w:rFonts w:hint="default" w:ascii="Times New Roman" w:hAnsi="Times New Roman" w:eastAsia="仿宋_GB2312" w:cs="Times New Roman"/>
                <w:kern w:val="0"/>
                <w:sz w:val="24"/>
                <w:szCs w:val="24"/>
                <w:highlight w:val="none"/>
                <w:lang w:val="en-US" w:eastAsia="zh-CN" w:bidi="ar"/>
              </w:rPr>
              <w:t>）未采取本法第二十条规定的职业病防治管理措施的；</w:t>
            </w:r>
          </w:p>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w:t>
            </w:r>
            <w:r>
              <w:rPr>
                <w:rFonts w:hint="eastAsia" w:ascii="Times New Roman" w:hAnsi="Times New Roman" w:eastAsia="仿宋_GB2312" w:cs="Times New Roman"/>
                <w:kern w:val="0"/>
                <w:sz w:val="24"/>
                <w:szCs w:val="24"/>
                <w:highlight w:val="none"/>
                <w:lang w:val="en-US" w:eastAsia="zh-CN" w:bidi="ar"/>
              </w:rPr>
              <w:t>三</w:t>
            </w:r>
            <w:r>
              <w:rPr>
                <w:rFonts w:hint="default" w:ascii="Times New Roman" w:hAnsi="Times New Roman" w:eastAsia="仿宋_GB2312" w:cs="Times New Roman"/>
                <w:kern w:val="0"/>
                <w:sz w:val="24"/>
                <w:szCs w:val="24"/>
                <w:highlight w:val="none"/>
                <w:lang w:val="en-US" w:eastAsia="zh-CN" w:bidi="ar"/>
              </w:rPr>
              <w:t>）</w:t>
            </w:r>
            <w:r>
              <w:rPr>
                <w:rFonts w:hint="eastAsia" w:ascii="Times New Roman" w:hAnsi="Times New Roman" w:eastAsia="仿宋_GB2312" w:cs="Times New Roman"/>
                <w:kern w:val="0"/>
                <w:sz w:val="24"/>
                <w:szCs w:val="24"/>
                <w:highlight w:val="none"/>
                <w:lang w:val="en-US" w:eastAsia="zh-CN" w:bidi="ar"/>
              </w:rPr>
              <w:t>未按照规定公布有关职业病防治的规章制度、操作规程、职业病危害事故应急救援措施的；</w:t>
            </w:r>
          </w:p>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《中华人民共和国职业病防治法》第二十条：用人单位应当采取下列职业病防治管理措施：</w:t>
            </w:r>
          </w:p>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（一）设置或者指定职业卫生管理机构或者组织，配备专职或者兼职的职业卫生管理人员，负责本单位的职业病防治工作；</w:t>
            </w:r>
          </w:p>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（二）制定职业病防治计划和实施方案；</w:t>
            </w:r>
          </w:p>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（三）建立、健全职业卫生管理制度和操作规程；</w:t>
            </w:r>
          </w:p>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（五）建立、健全工作场所职业病危害因素监测及评价制度；</w:t>
            </w:r>
          </w:p>
          <w:p>
            <w:pPr>
              <w:jc w:val="left"/>
              <w:rPr>
                <w:rFonts w:hint="default" w:ascii="Times New Roman" w:hAnsi="Times New Roman" w:eastAsia="仿宋_GB2312" w:cs="Times New Roman"/>
                <w:kern w:val="0"/>
                <w:sz w:val="24"/>
                <w:szCs w:val="24"/>
                <w:highlight w:val="none"/>
                <w:lang w:val="en-US" w:eastAsia="zh-CN" w:bidi="ar"/>
              </w:rPr>
            </w:pPr>
          </w:p>
          <w:p>
            <w:pPr>
              <w:jc w:val="left"/>
              <w:rPr>
                <w:rFonts w:hint="default" w:ascii="Times New Roman" w:hAnsi="Times New Roman" w:eastAsia="仿宋_GB2312" w:cs="Times New Roman"/>
                <w:kern w:val="0"/>
                <w:sz w:val="24"/>
                <w:szCs w:val="24"/>
                <w:highlight w:val="none"/>
                <w:lang w:val="en-US" w:eastAsia="zh-CN" w:bidi="ar"/>
              </w:rPr>
            </w:pPr>
          </w:p>
          <w:p>
            <w:pPr>
              <w:jc w:val="left"/>
              <w:rPr>
                <w:rFonts w:hint="default" w:ascii="Times New Roman" w:hAnsi="Times New Roman" w:eastAsia="仿宋_GB2312" w:cs="Times New Roman"/>
                <w:kern w:val="0"/>
                <w:sz w:val="24"/>
                <w:szCs w:val="24"/>
                <w:highlight w:val="none"/>
                <w:lang w:val="en-US" w:eastAsia="zh-CN" w:bidi="ar"/>
              </w:rPr>
            </w:pPr>
          </w:p>
          <w:p>
            <w:pPr>
              <w:jc w:val="left"/>
              <w:rPr>
                <w:rFonts w:hint="default" w:ascii="Times New Roman" w:hAnsi="Times New Roman" w:eastAsia="仿宋_GB2312" w:cs="Times New Roman"/>
                <w:kern w:val="0"/>
                <w:sz w:val="24"/>
                <w:szCs w:val="24"/>
                <w:highlight w:val="none"/>
                <w:lang w:val="en-US" w:eastAsia="zh-CN" w:bidi="ar"/>
              </w:rPr>
            </w:pPr>
          </w:p>
          <w:p>
            <w:pPr>
              <w:jc w:val="left"/>
              <w:rPr>
                <w:rFonts w:hint="default" w:ascii="Times New Roman" w:hAnsi="Times New Roman" w:eastAsia="仿宋_GB2312" w:cs="Times New Roman"/>
                <w:kern w:val="0"/>
                <w:sz w:val="24"/>
                <w:szCs w:val="24"/>
                <w:highlight w:val="none"/>
                <w:lang w:val="en-US" w:eastAsia="zh-CN" w:bidi="ar"/>
              </w:rPr>
            </w:pPr>
          </w:p>
          <w:p>
            <w:pPr>
              <w:jc w:val="left"/>
              <w:rPr>
                <w:rFonts w:hint="default" w:ascii="Times New Roman" w:hAnsi="Times New Roman" w:eastAsia="仿宋_GB2312" w:cs="Times New Roman"/>
                <w:kern w:val="0"/>
                <w:sz w:val="24"/>
                <w:szCs w:val="24"/>
                <w:highlight w:val="none"/>
                <w:lang w:val="en-US" w:eastAsia="zh-CN" w:bidi="ar"/>
              </w:rPr>
            </w:pPr>
          </w:p>
          <w:p>
            <w:pPr>
              <w:jc w:val="left"/>
              <w:rPr>
                <w:rFonts w:hint="default" w:ascii="Times New Roman" w:hAnsi="Times New Roman" w:eastAsia="仿宋_GB2312" w:cs="Times New Roman"/>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exact"/>
        </w:trPr>
        <w:tc>
          <w:tcPr>
            <w:tcW w:w="828"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8</w:t>
            </w:r>
          </w:p>
        </w:tc>
        <w:tc>
          <w:tcPr>
            <w:tcW w:w="3282" w:type="dxa"/>
            <w:noWrap w:val="0"/>
            <w:vAlign w:val="center"/>
          </w:tcPr>
          <w:p>
            <w:pPr>
              <w:jc w:val="left"/>
              <w:rPr>
                <w:rFonts w:hint="eastAsia"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用人单位未按要求设置或者指定职业卫生管理机构或者组织，配备专职或者兼职的职业卫生管理人员，负责本单位的职业病防治工作</w:t>
            </w:r>
          </w:p>
        </w:tc>
        <w:tc>
          <w:tcPr>
            <w:tcW w:w="241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初次违法</w:t>
            </w:r>
            <w:r>
              <w:rPr>
                <w:rFonts w:hint="eastAsia" w:ascii="Times New Roman" w:hAnsi="Times New Roman" w:eastAsia="仿宋_GB2312" w:cs="Times New Roman"/>
                <w:kern w:val="0"/>
                <w:sz w:val="24"/>
                <w:szCs w:val="24"/>
                <w:highlight w:val="none"/>
                <w:lang w:val="en-US" w:eastAsia="zh-CN" w:bidi="ar"/>
              </w:rPr>
              <w:t>且危害后果轻微并及时</w:t>
            </w:r>
            <w:r>
              <w:rPr>
                <w:rFonts w:hint="default" w:ascii="Times New Roman" w:hAnsi="Times New Roman" w:eastAsia="仿宋_GB2312" w:cs="Times New Roman"/>
                <w:kern w:val="0"/>
                <w:sz w:val="24"/>
                <w:szCs w:val="24"/>
                <w:highlight w:val="none"/>
                <w:lang w:val="en-US" w:eastAsia="zh-CN" w:bidi="ar"/>
              </w:rPr>
              <w:t>改正</w:t>
            </w:r>
          </w:p>
        </w:tc>
        <w:tc>
          <w:tcPr>
            <w:tcW w:w="6600" w:type="dxa"/>
            <w:vMerge w:val="continue"/>
            <w:noWrap w:val="0"/>
            <w:vAlign w:val="center"/>
          </w:tcPr>
          <w:p>
            <w:pPr>
              <w:jc w:val="both"/>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exact"/>
        </w:trPr>
        <w:tc>
          <w:tcPr>
            <w:tcW w:w="828"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9</w:t>
            </w:r>
          </w:p>
        </w:tc>
        <w:tc>
          <w:tcPr>
            <w:tcW w:w="3282" w:type="dxa"/>
            <w:noWrap w:val="0"/>
            <w:vAlign w:val="center"/>
          </w:tcPr>
          <w:p>
            <w:pPr>
              <w:jc w:val="left"/>
              <w:rPr>
                <w:rFonts w:hint="eastAsia"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未按规定制定职业病防治计划和实施方案</w:t>
            </w:r>
          </w:p>
        </w:tc>
        <w:tc>
          <w:tcPr>
            <w:tcW w:w="241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初次违法</w:t>
            </w:r>
            <w:r>
              <w:rPr>
                <w:rFonts w:hint="eastAsia" w:ascii="Times New Roman" w:hAnsi="Times New Roman" w:eastAsia="仿宋_GB2312" w:cs="Times New Roman"/>
                <w:kern w:val="0"/>
                <w:sz w:val="24"/>
                <w:szCs w:val="24"/>
                <w:highlight w:val="none"/>
                <w:lang w:val="en-US" w:eastAsia="zh-CN" w:bidi="ar"/>
              </w:rPr>
              <w:t>且危害后果轻微并及时</w:t>
            </w:r>
            <w:r>
              <w:rPr>
                <w:rFonts w:hint="default" w:ascii="Times New Roman" w:hAnsi="Times New Roman" w:eastAsia="仿宋_GB2312" w:cs="Times New Roman"/>
                <w:kern w:val="0"/>
                <w:sz w:val="24"/>
                <w:szCs w:val="24"/>
                <w:highlight w:val="none"/>
                <w:lang w:val="en-US" w:eastAsia="zh-CN" w:bidi="ar"/>
              </w:rPr>
              <w:t>改正</w:t>
            </w:r>
          </w:p>
        </w:tc>
        <w:tc>
          <w:tcPr>
            <w:tcW w:w="6600" w:type="dxa"/>
            <w:vMerge w:val="continue"/>
            <w:noWrap w:val="0"/>
            <w:vAlign w:val="center"/>
          </w:tcPr>
          <w:p>
            <w:pPr>
              <w:jc w:val="both"/>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828"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10</w:t>
            </w:r>
          </w:p>
        </w:tc>
        <w:tc>
          <w:tcPr>
            <w:tcW w:w="3282" w:type="dxa"/>
            <w:noWrap w:val="0"/>
            <w:vAlign w:val="center"/>
          </w:tcPr>
          <w:p>
            <w:pPr>
              <w:jc w:val="left"/>
              <w:rPr>
                <w:rFonts w:hint="eastAsia"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用人单位未按规定建立、健全职业卫生管理制度和操作规程</w:t>
            </w:r>
          </w:p>
        </w:tc>
        <w:tc>
          <w:tcPr>
            <w:tcW w:w="241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初次违法</w:t>
            </w:r>
            <w:r>
              <w:rPr>
                <w:rFonts w:hint="eastAsia" w:ascii="Times New Roman" w:hAnsi="Times New Roman" w:eastAsia="仿宋_GB2312" w:cs="Times New Roman"/>
                <w:kern w:val="0"/>
                <w:sz w:val="24"/>
                <w:szCs w:val="24"/>
                <w:highlight w:val="none"/>
                <w:lang w:val="en-US" w:eastAsia="zh-CN" w:bidi="ar"/>
              </w:rPr>
              <w:t>且危害后果轻微并及时</w:t>
            </w:r>
            <w:r>
              <w:rPr>
                <w:rFonts w:hint="default" w:ascii="Times New Roman" w:hAnsi="Times New Roman" w:eastAsia="仿宋_GB2312" w:cs="Times New Roman"/>
                <w:kern w:val="0"/>
                <w:sz w:val="24"/>
                <w:szCs w:val="24"/>
                <w:highlight w:val="none"/>
                <w:lang w:val="en-US" w:eastAsia="zh-CN" w:bidi="ar"/>
              </w:rPr>
              <w:t>改正</w:t>
            </w:r>
          </w:p>
        </w:tc>
        <w:tc>
          <w:tcPr>
            <w:tcW w:w="6600" w:type="dxa"/>
            <w:vMerge w:val="restart"/>
            <w:noWrap w:val="0"/>
            <w:vAlign w:val="center"/>
          </w:tcPr>
          <w:p>
            <w:pPr>
              <w:jc w:val="left"/>
              <w:rPr>
                <w:rFonts w:hint="eastAsia"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《工作场所职业卫生管理规定》第四十八条：用人单位有下列情形之一的,给予警告,责令限期改正；逾期未改正的,处10万元以下的罚款:</w:t>
            </w:r>
          </w:p>
          <w:p>
            <w:pPr>
              <w:jc w:val="left"/>
              <w:rPr>
                <w:rFonts w:hint="eastAsia"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（一）未按照规定制定职业病防治计划和实施方案的；</w:t>
            </w:r>
          </w:p>
          <w:p>
            <w:pPr>
              <w:jc w:val="left"/>
              <w:rPr>
                <w:rFonts w:hint="eastAsia"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（二）未按照规定设置或者指定职业卫生管理机构或者组织,或者未配备专职或者兼职的职业卫生管理人员的；</w:t>
            </w:r>
          </w:p>
          <w:p>
            <w:pPr>
              <w:jc w:val="left"/>
              <w:rPr>
                <w:rFonts w:hint="eastAsia"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（三）未按照规定建立、健全职业卫生管理制度和操作规程的；</w:t>
            </w:r>
          </w:p>
          <w:p>
            <w:pPr>
              <w:jc w:val="left"/>
              <w:rPr>
                <w:rFonts w:hint="eastAsia"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（五）未建立、健全工作场所职业病危害因素监测及评价制度的；</w:t>
            </w:r>
          </w:p>
          <w:p>
            <w:pPr>
              <w:jc w:val="left"/>
              <w:rPr>
                <w:rFonts w:hint="eastAsia"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（六）未按照规定公布有关职业病防治的规章制度、操作规程、职业病危害事故应急救援措施的；</w:t>
            </w:r>
          </w:p>
          <w:p>
            <w:pPr>
              <w:jc w:val="left"/>
              <w:rPr>
                <w:rFonts w:hint="eastAsia"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（八）工作场所职业病危害因素检测、评价结果未按照规定存档、上报和公布的。</w:t>
            </w:r>
          </w:p>
          <w:p>
            <w:pPr>
              <w:jc w:val="left"/>
              <w:rPr>
                <w:rFonts w:hint="eastAsia" w:ascii="Times New Roman" w:hAnsi="Times New Roman" w:eastAsia="仿宋_GB2312" w:cs="Times New Roman"/>
                <w:b w:val="0"/>
                <w:bCs w:val="0"/>
                <w:kern w:val="0"/>
                <w:sz w:val="24"/>
                <w:szCs w:val="24"/>
                <w:highlight w:val="none"/>
                <w:lang w:val="en-US" w:eastAsia="zh-CN" w:bidi="ar"/>
              </w:rPr>
            </w:pPr>
          </w:p>
          <w:p>
            <w:pPr>
              <w:jc w:val="left"/>
              <w:rPr>
                <w:rFonts w:hint="eastAsia" w:ascii="Times New Roman" w:hAnsi="Times New Roman" w:eastAsia="仿宋_GB2312" w:cs="Times New Roman"/>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828"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11</w:t>
            </w:r>
          </w:p>
        </w:tc>
        <w:tc>
          <w:tcPr>
            <w:tcW w:w="3282" w:type="dxa"/>
            <w:noWrap w:val="0"/>
            <w:vAlign w:val="center"/>
          </w:tcPr>
          <w:p>
            <w:pPr>
              <w:jc w:val="left"/>
              <w:rPr>
                <w:rFonts w:hint="eastAsia"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用人单位未建立、健全工作场所职业病危害因素监测及评价制度</w:t>
            </w:r>
          </w:p>
        </w:tc>
        <w:tc>
          <w:tcPr>
            <w:tcW w:w="241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初次违法</w:t>
            </w:r>
            <w:r>
              <w:rPr>
                <w:rFonts w:hint="eastAsia" w:ascii="Times New Roman" w:hAnsi="Times New Roman" w:eastAsia="仿宋_GB2312" w:cs="Times New Roman"/>
                <w:kern w:val="0"/>
                <w:sz w:val="24"/>
                <w:szCs w:val="24"/>
                <w:highlight w:val="none"/>
                <w:lang w:val="en-US" w:eastAsia="zh-CN" w:bidi="ar"/>
              </w:rPr>
              <w:t>且危害后果轻微并及时</w:t>
            </w:r>
            <w:r>
              <w:rPr>
                <w:rFonts w:hint="default" w:ascii="Times New Roman" w:hAnsi="Times New Roman" w:eastAsia="仿宋_GB2312" w:cs="Times New Roman"/>
                <w:kern w:val="0"/>
                <w:sz w:val="24"/>
                <w:szCs w:val="24"/>
                <w:highlight w:val="none"/>
                <w:lang w:val="en-US" w:eastAsia="zh-CN" w:bidi="ar"/>
              </w:rPr>
              <w:t>改正</w:t>
            </w:r>
          </w:p>
        </w:tc>
        <w:tc>
          <w:tcPr>
            <w:tcW w:w="6600" w:type="dxa"/>
            <w:vMerge w:val="continue"/>
            <w:noWrap w:val="0"/>
            <w:vAlign w:val="center"/>
          </w:tcPr>
          <w:p>
            <w:pPr>
              <w:pStyle w:val="4"/>
              <w:ind w:left="0" w:leftChars="0" w:firstLine="0" w:firstLineChars="0"/>
              <w:rPr>
                <w:rFonts w:hint="eastAsia"/>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exact"/>
        </w:trPr>
        <w:tc>
          <w:tcPr>
            <w:tcW w:w="828"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12</w:t>
            </w:r>
          </w:p>
        </w:tc>
        <w:tc>
          <w:tcPr>
            <w:tcW w:w="3282"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eastAsia" w:ascii="Times New Roman" w:hAnsi="Times New Roman" w:eastAsia="仿宋_GB2312" w:cs="Times New Roman"/>
                <w:kern w:val="0"/>
                <w:sz w:val="24"/>
                <w:szCs w:val="24"/>
                <w:highlight w:val="none"/>
                <w:lang w:val="en-US" w:eastAsia="zh-CN" w:bidi="ar"/>
              </w:rPr>
              <w:t>用人单位未按照规定公布有关职业病防治的规章制度、操作规程、职业病危害事故应急救援措施的</w:t>
            </w:r>
          </w:p>
        </w:tc>
        <w:tc>
          <w:tcPr>
            <w:tcW w:w="2410" w:type="dxa"/>
            <w:noWrap w:val="0"/>
            <w:vAlign w:val="center"/>
          </w:tcPr>
          <w:p>
            <w:pPr>
              <w:jc w:val="left"/>
              <w:rPr>
                <w:rFonts w:hint="default" w:ascii="Times New Roman" w:hAnsi="Times New Roman" w:eastAsia="仿宋_GB2312" w:cs="Times New Roman"/>
                <w:kern w:val="0"/>
                <w:sz w:val="24"/>
                <w:szCs w:val="24"/>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初次违法</w:t>
            </w:r>
            <w:r>
              <w:rPr>
                <w:rFonts w:hint="eastAsia" w:ascii="Times New Roman" w:hAnsi="Times New Roman" w:eastAsia="仿宋_GB2312" w:cs="Times New Roman"/>
                <w:kern w:val="0"/>
                <w:sz w:val="24"/>
                <w:szCs w:val="24"/>
                <w:highlight w:val="none"/>
                <w:lang w:val="en-US" w:eastAsia="zh-CN" w:bidi="ar"/>
              </w:rPr>
              <w:t>且危害后果轻微并及时</w:t>
            </w:r>
            <w:r>
              <w:rPr>
                <w:rFonts w:hint="default" w:ascii="Times New Roman" w:hAnsi="Times New Roman" w:eastAsia="仿宋_GB2312" w:cs="Times New Roman"/>
                <w:kern w:val="0"/>
                <w:sz w:val="24"/>
                <w:szCs w:val="24"/>
                <w:highlight w:val="none"/>
                <w:lang w:val="en-US" w:eastAsia="zh-CN" w:bidi="ar"/>
              </w:rPr>
              <w:t>改正</w:t>
            </w:r>
          </w:p>
        </w:tc>
        <w:tc>
          <w:tcPr>
            <w:tcW w:w="6600" w:type="dxa"/>
            <w:vMerge w:val="continue"/>
            <w:noWrap w:val="0"/>
            <w:vAlign w:val="center"/>
          </w:tcPr>
          <w:p>
            <w:pPr>
              <w:jc w:val="left"/>
              <w:rPr>
                <w:rFonts w:hint="eastAsia" w:ascii="仿宋_GB2312" w:hAnsi="仿宋_GB2312" w:eastAsia="仿宋_GB2312" w:cs="仿宋_GB2312"/>
                <w:color w:val="000000"/>
                <w:kern w:val="2"/>
                <w:sz w:val="24"/>
                <w:szCs w:val="24"/>
                <w:lang w:val="en-US" w:eastAsia="zh-CN" w:bidi="ar-SA"/>
              </w:rPr>
            </w:pPr>
          </w:p>
        </w:tc>
      </w:tr>
    </w:tbl>
    <w:p>
      <w:pPr>
        <w:pStyle w:val="4"/>
        <w:ind w:left="0" w:leftChars="0" w:firstLine="0" w:firstLineChars="0"/>
        <w:rPr>
          <w:rFonts w:hint="default"/>
          <w:sz w:val="24"/>
          <w:szCs w:val="24"/>
          <w:lang w:val="en-US" w:eastAsia="zh-CN"/>
        </w:rPr>
        <w:sectPr>
          <w:pgSz w:w="16838" w:h="11906" w:orient="landscape"/>
          <w:pgMar w:top="1800" w:right="1440" w:bottom="1800" w:left="1440" w:header="851" w:footer="992" w:gutter="0"/>
          <w:cols w:space="720" w:num="1"/>
          <w:docGrid w:type="lines" w:linePitch="312" w:charSpace="0"/>
        </w:sectPr>
      </w:pPr>
    </w:p>
    <w:p>
      <w:pPr>
        <w:pStyle w:val="4"/>
        <w:numPr>
          <w:ilvl w:val="0"/>
          <w:numId w:val="0"/>
        </w:numPr>
        <w:jc w:val="left"/>
        <w:rPr>
          <w:rFonts w:hint="eastAsia" w:ascii="仿宋_GB2312" w:hAnsi="仿宋_GB2312" w:eastAsia="仿宋_GB2312" w:cs="仿宋_GB2312"/>
          <w:i w:val="0"/>
          <w:caps w:val="0"/>
          <w:color w:val="000000"/>
          <w:spacing w:val="0"/>
          <w:sz w:val="32"/>
          <w:szCs w:val="32"/>
          <w:shd w:val="clear" w:color="auto" w:fill="FFFFFF"/>
          <w:lang w:val="en-US" w:eastAsia="zh-CN"/>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E2B1A"/>
    <w:rsid w:val="67CE2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 w:type="paragraph" w:styleId="3">
    <w:name w:val="Body Text"/>
    <w:basedOn w:val="1"/>
    <w:qFormat/>
    <w:uiPriority w:val="0"/>
    <w:pPr>
      <w:spacing w:after="120"/>
    </w:pPr>
  </w:style>
  <w:style w:type="paragraph" w:styleId="4">
    <w:name w:val="Body Text First Indent"/>
    <w:basedOn w:val="3"/>
    <w:qFormat/>
    <w:uiPriority w:val="0"/>
    <w:pPr>
      <w:ind w:firstLine="420" w:firstLineChars="100"/>
    </w:p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2023-10-19T08:25:00Z</dcterms:created>
  <dc:creator>HP</dc:creator>
  <cp:lastModifiedBy>HP</cp:lastModifiedBy>
  <dcterms:modified xsi:type="dcterms:W3CDTF">2023-10-19T08:25:31Z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