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bookmarkStart w:id="0" w:name="_GoBack"/>
      <w:bookmarkEnd w:id="0"/>
    </w:p>
    <w:p>
      <w:pPr>
        <w:jc w:val="center"/>
        <w:rPr>
          <w:rFonts w:hint="eastAsia" w:ascii="黑体" w:hAnsi="黑体" w:eastAsia="黑体" w:cs="黑体"/>
          <w:sz w:val="32"/>
          <w:szCs w:val="32"/>
        </w:rPr>
      </w:pPr>
      <w:r>
        <w:rPr>
          <w:rFonts w:hint="eastAsia" w:ascii="黑体" w:hAnsi="黑体" w:eastAsia="黑体" w:cs="黑体"/>
          <w:sz w:val="32"/>
          <w:szCs w:val="32"/>
        </w:rPr>
        <w:t>记分规则</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（推荐）</w:t>
      </w:r>
    </w:p>
    <w:p>
      <w:pPr>
        <w:jc w:val="center"/>
        <w:rPr>
          <w:rFonts w:hint="eastAsia"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记分在一个自然年度内累加计算，下一个自然年度自动清零。记分档次分为1—3分、4—6分、7—9分。在同一次监督检查中，发现涉及医疗保障基金使用的相关责任人员有不同类型违法违规行为的，应分别记分，累加分值。同一违法违规行为涉及不同负面情形的，按最高分值记分，不分别记分。多点执业的医师、药师在各执业点记分累积计算。记分涉及行政处罚、协议处理的，以行政处罚、协议处理作出时为记分时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【记1—3分情形】涉及医疗保障基金使用的相关责任人员出现以下负面情形，一个自然年度内，根据行为性质和负有一般责任、重要责任、主要责任的责任程度，每次记1分—3分：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人员所在定点医药机构违反服务协议受到医保经办机构以2号令第三十八条（一）（二）（四）款、3号令第三十五条（一）（三）款及（二）款的“暂停结算”等方式作出协议处理，该人员负有责任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（二）药品耗材集中带量采购中，相关人员无正当理由超过规定要求大量使用高价非中选产品或可替代品种的；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（三）同通用名药品中，已有同质量层次、价格适宜药品在集中采购平台挂网销售，相关人员仍发起同品种其他厂牌高价药品采购需求申请的；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（四）其他应记1分—3分的情形。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【记4—6分情形】涉及医疗保障基金使用的相关责任人员出现以下负面情形，一个自然年度内，根据行为性质和负有一般责任、重要责任、主要责任的责任程度，每次记4—6分：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（一）相关人员所在定点医药机构或科室涉及违反医疗保障相关法律法规，受到医疗保障行政部门依据《条例》第三十八条、第三十九条作出行政处罚，该人员负有责任的；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（二）其他应记4—6分的情形。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【记7—9分情形】涉及医疗保障基金使用的相关人员出现以下负面情形，一个自然年度内，根据行为性质和负有一般责任、重要责任、主要责任的责任程度，每次记分7—9分：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（一）相关人员所在定点医药机构或科室涉及违反医疗保障相关法律法规，受到医疗保障行政部门依据《条例》第四十条作出行政处罚，该医务人员负有责任的；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（二）为非登记备案相关人员，或登记备案状态为中止、终止的相关责任人员冒名提供医保费用结算的；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（三）其他应记7—9分的情形。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【记分结果应用】定点医药机构应当根据经办机构作出的记分结果和中止、终止处理措施，对涉及医疗保障基金使用的医务人员采取相应管理措施：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（一）一个自然年度内记分超过9分，或连续两个自然年度分别记分超过6分的，登记备案状态应当维护为中止，期限为1个月以上6个月以下；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（二）一个自然年度内记分达到12分，或连续两个自然年度分别记分超过9分，登记备案状态应当维护为终止。终止之日起1年内不得再次申请登记备案。</w:t>
      </w:r>
    </w:p>
    <w:p>
      <w:pPr>
        <w:pStyle w:val="2"/>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ZGRlOTYyZjRlZDA0MDA4ZDYwZGY2ZjFjN2E4NGQifQ=="/>
  </w:docVars>
  <w:rsids>
    <w:rsidRoot w:val="453E4B5B"/>
    <w:rsid w:val="01F30B9E"/>
    <w:rsid w:val="07A774EA"/>
    <w:rsid w:val="0A083831"/>
    <w:rsid w:val="0FC621DE"/>
    <w:rsid w:val="2CB505CF"/>
    <w:rsid w:val="3A9348BE"/>
    <w:rsid w:val="453E4B5B"/>
    <w:rsid w:val="479A150D"/>
    <w:rsid w:val="48694A7A"/>
    <w:rsid w:val="4ACC1626"/>
    <w:rsid w:val="4C3A0C47"/>
    <w:rsid w:val="5AAC74DE"/>
    <w:rsid w:val="610C68D8"/>
    <w:rsid w:val="6CC22335"/>
    <w:rsid w:val="743B50B2"/>
    <w:rsid w:val="7D3E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2023-10-09T07:39:00Z</dcterms:created>
  <dc:creator>郝成军</dc:creator>
  <cp:lastModifiedBy>xy</cp:lastModifiedBy>
  <cp:lastPrinted>2023-10-11T01:51:00Z</cp:lastPrinted>
  <dcterms:modified xsi:type="dcterms:W3CDTF">2023-10-12T09:19:53Z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38AFA61CC1E249149BDEC4B0F3B386A5_11</vt:lpwstr>
  </property>
</Properties>
</file>