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left"/>
        <w:rPr>
          <w:rFonts w:hint="eastAsia" w:ascii="黑体" w:hAnsi="黑体" w:eastAsia="黑体" w:cs="黑体"/>
          <w:w w:val="95"/>
          <w:sz w:val="32"/>
          <w:szCs w:val="32"/>
        </w:rPr>
      </w:pPr>
      <w:r>
        <w:rPr>
          <w:rFonts w:hint="eastAsia" w:ascii="黑体" w:hAnsi="黑体" w:eastAsia="黑体" w:cs="黑体"/>
          <w:w w:val="95"/>
          <w:sz w:val="32"/>
          <w:szCs w:val="32"/>
        </w:rPr>
        <w:t>附件3</w:t>
      </w:r>
    </w:p>
    <w:tbl>
      <w:tblPr>
        <w:tblStyle w:val="3"/>
        <w:tblW w:w="13536" w:type="dxa"/>
        <w:tblInd w:w="-340" w:type="dxa"/>
        <w:tblLayout w:type="fixed"/>
        <w:tblCellMar>
          <w:top w:w="0" w:type="dxa"/>
          <w:left w:w="0" w:type="dxa"/>
          <w:bottom w:w="0" w:type="dxa"/>
          <w:right w:w="0" w:type="dxa"/>
        </w:tblCellMar>
      </w:tblPr>
      <w:tblGrid>
        <w:gridCol w:w="1512"/>
        <w:gridCol w:w="1476"/>
        <w:gridCol w:w="5592"/>
        <w:gridCol w:w="3960"/>
        <w:gridCol w:w="996"/>
      </w:tblGrid>
      <w:tr>
        <w:tblPrEx>
          <w:tblCellMar>
            <w:top w:w="0" w:type="dxa"/>
            <w:left w:w="0" w:type="dxa"/>
            <w:bottom w:w="0" w:type="dxa"/>
            <w:right w:w="0" w:type="dxa"/>
          </w:tblCellMar>
        </w:tblPrEx>
        <w:trPr>
          <w:trHeight w:val="588" w:hRule="atLeast"/>
        </w:trPr>
        <w:tc>
          <w:tcPr>
            <w:tcW w:w="13536" w:type="dxa"/>
            <w:gridSpan w:val="5"/>
            <w:tcBorders>
              <w:top w:val="nil"/>
              <w:left w:val="nil"/>
              <w:bottom w:val="nil"/>
              <w:right w:val="nil"/>
            </w:tcBorders>
            <w:noWrap/>
            <w:tcMar>
              <w:top w:w="12" w:type="dxa"/>
              <w:left w:w="12" w:type="dxa"/>
              <w:right w:w="12" w:type="dxa"/>
            </w:tcMar>
            <w:vAlign w:val="center"/>
          </w:tcPr>
          <w:p>
            <w:pPr>
              <w:widowControl/>
              <w:jc w:val="center"/>
              <w:textAlignment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kern w:val="0"/>
                <w:sz w:val="44"/>
                <w:szCs w:val="44"/>
              </w:rPr>
              <w:t>自治区老年友善基层医疗机构建设评价标准</w:t>
            </w:r>
          </w:p>
        </w:tc>
      </w:tr>
      <w:tr>
        <w:tblPrEx>
          <w:tblCellMar>
            <w:top w:w="0" w:type="dxa"/>
            <w:left w:w="0" w:type="dxa"/>
            <w:bottom w:w="0" w:type="dxa"/>
            <w:right w:w="0" w:type="dxa"/>
          </w:tblCellMar>
        </w:tblPrEx>
        <w:trPr>
          <w:trHeight w:val="660" w:hRule="atLeast"/>
        </w:trPr>
        <w:tc>
          <w:tcPr>
            <w:tcW w:w="15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黑体" w:hAnsi="宋体" w:eastAsia="黑体" w:cs="黑体"/>
                <w:sz w:val="24"/>
              </w:rPr>
            </w:pPr>
            <w:r>
              <w:rPr>
                <w:rFonts w:hint="eastAsia" w:ascii="黑体" w:hAnsi="宋体" w:eastAsia="黑体" w:cs="黑体"/>
                <w:kern w:val="0"/>
                <w:sz w:val="24"/>
              </w:rPr>
              <w:t>评价项目</w:t>
            </w:r>
          </w:p>
        </w:tc>
        <w:tc>
          <w:tcPr>
            <w:tcW w:w="14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黑体" w:hAnsi="宋体" w:eastAsia="黑体" w:cs="黑体"/>
                <w:sz w:val="24"/>
              </w:rPr>
            </w:pPr>
            <w:r>
              <w:rPr>
                <w:rFonts w:hint="eastAsia" w:ascii="黑体" w:hAnsi="宋体" w:eastAsia="黑体" w:cs="黑体"/>
                <w:kern w:val="0"/>
                <w:sz w:val="24"/>
              </w:rPr>
              <w:t>评价内容</w:t>
            </w:r>
          </w:p>
        </w:tc>
        <w:tc>
          <w:tcPr>
            <w:tcW w:w="55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黑体" w:hAnsi="宋体" w:eastAsia="黑体" w:cs="黑体"/>
                <w:sz w:val="24"/>
              </w:rPr>
            </w:pPr>
            <w:r>
              <w:rPr>
                <w:rFonts w:hint="eastAsia" w:ascii="黑体" w:hAnsi="宋体" w:eastAsia="黑体" w:cs="黑体"/>
                <w:kern w:val="0"/>
                <w:sz w:val="24"/>
              </w:rPr>
              <w:t>评价要点及评分标准</w:t>
            </w:r>
          </w:p>
        </w:tc>
        <w:tc>
          <w:tcPr>
            <w:tcW w:w="3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黑体" w:hAnsi="宋体" w:eastAsia="黑体" w:cs="黑体"/>
                <w:sz w:val="24"/>
              </w:rPr>
            </w:pPr>
            <w:r>
              <w:rPr>
                <w:rFonts w:hint="eastAsia" w:ascii="黑体" w:hAnsi="宋体" w:eastAsia="黑体" w:cs="黑体"/>
                <w:kern w:val="0"/>
                <w:sz w:val="24"/>
              </w:rPr>
              <w:t>评价方法</w:t>
            </w:r>
          </w:p>
        </w:tc>
        <w:tc>
          <w:tcPr>
            <w:tcW w:w="9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黑体" w:hAnsi="宋体" w:eastAsia="黑体" w:cs="黑体"/>
                <w:sz w:val="24"/>
              </w:rPr>
            </w:pPr>
            <w:r>
              <w:rPr>
                <w:rFonts w:hint="eastAsia" w:ascii="黑体" w:hAnsi="宋体" w:eastAsia="黑体" w:cs="黑体"/>
                <w:kern w:val="0"/>
                <w:sz w:val="24"/>
              </w:rPr>
              <w:t>得分</w:t>
            </w:r>
          </w:p>
        </w:tc>
      </w:tr>
      <w:tr>
        <w:tblPrEx>
          <w:tblCellMar>
            <w:top w:w="0" w:type="dxa"/>
            <w:left w:w="0" w:type="dxa"/>
            <w:bottom w:w="0" w:type="dxa"/>
            <w:right w:w="0" w:type="dxa"/>
          </w:tblCellMar>
        </w:tblPrEx>
        <w:trPr>
          <w:trHeight w:val="620" w:hRule="atLeast"/>
        </w:trPr>
        <w:tc>
          <w:tcPr>
            <w:tcW w:w="151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一、老年友善文化（10分）</w:t>
            </w:r>
          </w:p>
        </w:tc>
        <w:tc>
          <w:tcPr>
            <w:tcW w:w="1476"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cs="宋体"/>
                <w:sz w:val="20"/>
                <w:szCs w:val="20"/>
              </w:rPr>
            </w:pPr>
            <w:r>
              <w:rPr>
                <w:rFonts w:hint="eastAsia" w:ascii="宋体" w:hAnsi="宋体" w:cs="宋体"/>
                <w:kern w:val="0"/>
                <w:sz w:val="20"/>
                <w:szCs w:val="20"/>
              </w:rPr>
              <w:t>1.文化建设（3分）</w:t>
            </w:r>
          </w:p>
        </w:tc>
        <w:tc>
          <w:tcPr>
            <w:tcW w:w="559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1.1  医院愿景或文化中有</w:t>
            </w:r>
            <w:r>
              <w:rPr>
                <w:rStyle w:val="5"/>
                <w:rFonts w:hint="default"/>
                <w:w w:val="80"/>
              </w:rPr>
              <w:t>关爱</w:t>
            </w:r>
            <w:r>
              <w:rPr>
                <w:rStyle w:val="6"/>
                <w:rFonts w:hint="default"/>
                <w:w w:val="80"/>
              </w:rPr>
              <w:t>老年人，致力于提升老年人健康、尊严等的内容</w:t>
            </w:r>
            <w:r>
              <w:rPr>
                <w:rStyle w:val="6"/>
                <w:w w:val="80"/>
              </w:rPr>
              <w:t>。</w:t>
            </w:r>
            <w:r>
              <w:rPr>
                <w:rStyle w:val="6"/>
                <w:rFonts w:hint="default"/>
                <w:w w:val="80"/>
              </w:rPr>
              <w:t>（2分）</w:t>
            </w:r>
          </w:p>
        </w:tc>
        <w:tc>
          <w:tcPr>
            <w:tcW w:w="396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cs="宋体"/>
                <w:w w:val="80"/>
                <w:sz w:val="20"/>
                <w:szCs w:val="20"/>
              </w:rPr>
            </w:pPr>
            <w:r>
              <w:rPr>
                <w:rFonts w:hint="eastAsia" w:ascii="宋体" w:hAnsi="宋体" w:cs="宋体"/>
                <w:w w:val="80"/>
                <w:kern w:val="0"/>
                <w:sz w:val="20"/>
                <w:szCs w:val="20"/>
              </w:rPr>
              <w:t>查看医院网站、微信公众号、局域网络电视的医院文化板块；查阅医院宣传资料等有无体现尊老、爱老的文化内容。</w:t>
            </w:r>
          </w:p>
        </w:tc>
        <w:tc>
          <w:tcPr>
            <w:tcW w:w="996"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560" w:hRule="atLeast"/>
        </w:trPr>
        <w:tc>
          <w:tcPr>
            <w:tcW w:w="151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47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hAnsi="宋体" w:cs="宋体"/>
                <w:sz w:val="20"/>
                <w:szCs w:val="20"/>
              </w:rPr>
            </w:pPr>
          </w:p>
        </w:tc>
        <w:tc>
          <w:tcPr>
            <w:tcW w:w="559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w w:val="80"/>
                <w:sz w:val="20"/>
                <w:szCs w:val="20"/>
              </w:rPr>
            </w:pPr>
          </w:p>
        </w:tc>
        <w:tc>
          <w:tcPr>
            <w:tcW w:w="3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hAnsi="宋体" w:cs="宋体"/>
                <w:w w:val="80"/>
                <w:sz w:val="20"/>
                <w:szCs w:val="20"/>
              </w:rPr>
            </w:pPr>
          </w:p>
        </w:tc>
        <w:tc>
          <w:tcPr>
            <w:tcW w:w="99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480" w:hRule="atLeast"/>
        </w:trPr>
        <w:tc>
          <w:tcPr>
            <w:tcW w:w="151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47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hAnsi="宋体" w:cs="宋体"/>
                <w:sz w:val="20"/>
                <w:szCs w:val="20"/>
              </w:rPr>
            </w:pPr>
          </w:p>
        </w:tc>
        <w:tc>
          <w:tcPr>
            <w:tcW w:w="55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1.2  职工手册、行为守则等规范中有对老年人态度、行为、礼貌用语等的要求。（</w:t>
            </w:r>
            <w:r>
              <w:rPr>
                <w:rStyle w:val="5"/>
                <w:rFonts w:hint="default"/>
                <w:w w:val="80"/>
              </w:rPr>
              <w:t>1</w:t>
            </w:r>
            <w:r>
              <w:rPr>
                <w:rStyle w:val="6"/>
                <w:rFonts w:hint="default"/>
                <w:w w:val="80"/>
              </w:rPr>
              <w:t>分）</w:t>
            </w:r>
          </w:p>
        </w:tc>
        <w:tc>
          <w:tcPr>
            <w:tcW w:w="3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查看医院职工手册、宣传材料等上有无相关内容。</w:t>
            </w:r>
          </w:p>
        </w:tc>
        <w:tc>
          <w:tcPr>
            <w:tcW w:w="9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1220" w:hRule="atLeast"/>
        </w:trPr>
        <w:tc>
          <w:tcPr>
            <w:tcW w:w="151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476"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cs="宋体"/>
                <w:sz w:val="20"/>
                <w:szCs w:val="20"/>
              </w:rPr>
            </w:pPr>
            <w:r>
              <w:rPr>
                <w:rFonts w:hint="eastAsia" w:ascii="宋体" w:hAnsi="宋体" w:cs="宋体"/>
                <w:kern w:val="0"/>
                <w:sz w:val="20"/>
                <w:szCs w:val="20"/>
              </w:rPr>
              <w:t>2.友善氛围（3分）</w:t>
            </w:r>
          </w:p>
        </w:tc>
        <w:tc>
          <w:tcPr>
            <w:tcW w:w="55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2.1 在院内开展尊老、助老、护老等活动，老年人就医受到尊重；有投诉管理机制。（2分）</w:t>
            </w:r>
          </w:p>
        </w:tc>
        <w:tc>
          <w:tcPr>
            <w:tcW w:w="3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现场观察医疗机构工作人员与老年患者的沟通方式（态度、语言、文字、图片等），实地巡查门、急诊引导老人就诊、检查、取药等情况。现场随机调研病人及家属的满意度。</w:t>
            </w:r>
          </w:p>
        </w:tc>
        <w:tc>
          <w:tcPr>
            <w:tcW w:w="9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620" w:hRule="atLeast"/>
        </w:trPr>
        <w:tc>
          <w:tcPr>
            <w:tcW w:w="151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47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hAnsi="宋体" w:cs="宋体"/>
                <w:sz w:val="20"/>
                <w:szCs w:val="20"/>
              </w:rPr>
            </w:pPr>
          </w:p>
        </w:tc>
        <w:tc>
          <w:tcPr>
            <w:tcW w:w="55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2.2  在院外</w:t>
            </w:r>
            <w:r>
              <w:rPr>
                <w:rStyle w:val="5"/>
                <w:rFonts w:hint="default"/>
                <w:w w:val="80"/>
              </w:rPr>
              <w:t>定期</w:t>
            </w:r>
            <w:r>
              <w:rPr>
                <w:rStyle w:val="6"/>
                <w:rFonts w:hint="default"/>
                <w:w w:val="80"/>
              </w:rPr>
              <w:t>开展尊老、爱老、孝老相关宣传、义诊等公益活动</w:t>
            </w:r>
            <w:r>
              <w:rPr>
                <w:rStyle w:val="6"/>
                <w:w w:val="80"/>
              </w:rPr>
              <w:t>。</w:t>
            </w:r>
            <w:r>
              <w:rPr>
                <w:rStyle w:val="6"/>
                <w:rFonts w:hint="default"/>
                <w:w w:val="80"/>
              </w:rPr>
              <w:t>（1分）</w:t>
            </w:r>
          </w:p>
        </w:tc>
        <w:tc>
          <w:tcPr>
            <w:tcW w:w="3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查阅义诊活动的记录、图片和宣传报道。</w:t>
            </w:r>
          </w:p>
        </w:tc>
        <w:tc>
          <w:tcPr>
            <w:tcW w:w="9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1060" w:hRule="atLeast"/>
        </w:trPr>
        <w:tc>
          <w:tcPr>
            <w:tcW w:w="151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476"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cs="宋体"/>
                <w:sz w:val="20"/>
                <w:szCs w:val="20"/>
              </w:rPr>
            </w:pPr>
            <w:r>
              <w:rPr>
                <w:rFonts w:hint="eastAsia" w:ascii="宋体" w:hAnsi="宋体" w:cs="宋体"/>
                <w:kern w:val="0"/>
                <w:sz w:val="20"/>
                <w:szCs w:val="20"/>
              </w:rPr>
              <w:t>3.健康宣教（2分）</w:t>
            </w:r>
          </w:p>
        </w:tc>
        <w:tc>
          <w:tcPr>
            <w:tcW w:w="55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 xml:space="preserve">3.1 </w:t>
            </w:r>
            <w:r>
              <w:rPr>
                <w:rStyle w:val="5"/>
                <w:rFonts w:hint="default"/>
                <w:w w:val="80"/>
              </w:rPr>
              <w:t xml:space="preserve"> 有针对老年人的健康教育制度及向老年人定期提供健康宣教服务、中医养生保健的宣教服务</w:t>
            </w:r>
            <w:r>
              <w:rPr>
                <w:rStyle w:val="5"/>
                <w:w w:val="80"/>
              </w:rPr>
              <w:t>。</w:t>
            </w:r>
            <w:r>
              <w:rPr>
                <w:rStyle w:val="5"/>
                <w:rFonts w:hint="default"/>
                <w:w w:val="80"/>
              </w:rPr>
              <w:t>（1分）</w:t>
            </w:r>
          </w:p>
        </w:tc>
        <w:tc>
          <w:tcPr>
            <w:tcW w:w="3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查看机构健康宣教制度、老年人就诊区域有无针对老年人的健康宣教手册、</w:t>
            </w:r>
            <w:r>
              <w:rPr>
                <w:rStyle w:val="5"/>
                <w:rFonts w:hint="default"/>
                <w:w w:val="80"/>
              </w:rPr>
              <w:t>展板</w:t>
            </w:r>
            <w:r>
              <w:rPr>
                <w:rStyle w:val="6"/>
                <w:rFonts w:hint="default"/>
                <w:w w:val="80"/>
              </w:rPr>
              <w:t>。</w:t>
            </w:r>
          </w:p>
        </w:tc>
        <w:tc>
          <w:tcPr>
            <w:tcW w:w="9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900" w:hRule="atLeast"/>
        </w:trPr>
        <w:tc>
          <w:tcPr>
            <w:tcW w:w="151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47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hAnsi="宋体" w:cs="宋体"/>
                <w:sz w:val="20"/>
                <w:szCs w:val="20"/>
              </w:rPr>
            </w:pPr>
          </w:p>
        </w:tc>
        <w:tc>
          <w:tcPr>
            <w:tcW w:w="55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3.2  以方便老年人</w:t>
            </w:r>
            <w:r>
              <w:rPr>
                <w:rStyle w:val="5"/>
                <w:rFonts w:hint="default"/>
                <w:w w:val="80"/>
              </w:rPr>
              <w:t>阅览</w:t>
            </w:r>
            <w:r>
              <w:rPr>
                <w:rStyle w:val="6"/>
                <w:rFonts w:hint="default"/>
                <w:w w:val="80"/>
              </w:rPr>
              <w:t>的方式向老年人公示各类便民服务信息，包括但不限于服务时间、收费标准和服务流程等</w:t>
            </w:r>
            <w:r>
              <w:rPr>
                <w:rStyle w:val="6"/>
                <w:w w:val="80"/>
              </w:rPr>
              <w:t>。</w:t>
            </w:r>
            <w:r>
              <w:rPr>
                <w:rStyle w:val="6"/>
                <w:rFonts w:hint="default"/>
                <w:w w:val="80"/>
              </w:rPr>
              <w:t>（</w:t>
            </w:r>
            <w:r>
              <w:rPr>
                <w:rStyle w:val="5"/>
                <w:rFonts w:hint="default"/>
                <w:w w:val="80"/>
              </w:rPr>
              <w:t>1</w:t>
            </w:r>
            <w:r>
              <w:rPr>
                <w:rStyle w:val="6"/>
                <w:rFonts w:hint="default"/>
                <w:w w:val="80"/>
              </w:rPr>
              <w:t>分）</w:t>
            </w:r>
          </w:p>
        </w:tc>
        <w:tc>
          <w:tcPr>
            <w:tcW w:w="3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cs="宋体"/>
                <w:w w:val="80"/>
                <w:sz w:val="20"/>
                <w:szCs w:val="20"/>
              </w:rPr>
            </w:pPr>
            <w:r>
              <w:rPr>
                <w:rFonts w:hint="eastAsia" w:ascii="宋体" w:hAnsi="宋体" w:cs="宋体"/>
                <w:w w:val="80"/>
                <w:kern w:val="0"/>
                <w:sz w:val="20"/>
                <w:szCs w:val="20"/>
              </w:rPr>
              <w:t>查看门诊触摸屏、专家介绍、服务流程和物价公示等。</w:t>
            </w:r>
          </w:p>
        </w:tc>
        <w:tc>
          <w:tcPr>
            <w:tcW w:w="9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940" w:hRule="atLeast"/>
        </w:trPr>
        <w:tc>
          <w:tcPr>
            <w:tcW w:w="151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476"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cs="宋体"/>
                <w:sz w:val="20"/>
                <w:szCs w:val="20"/>
              </w:rPr>
            </w:pPr>
            <w:r>
              <w:rPr>
                <w:rFonts w:hint="eastAsia" w:ascii="宋体" w:hAnsi="宋体" w:cs="宋体"/>
                <w:kern w:val="0"/>
                <w:sz w:val="20"/>
                <w:szCs w:val="20"/>
              </w:rPr>
              <w:t>4.社会工作与志愿者服</w:t>
            </w:r>
            <w:r>
              <w:rPr>
                <w:rStyle w:val="5"/>
                <w:rFonts w:hint="default"/>
              </w:rPr>
              <w:t>务</w:t>
            </w:r>
            <w:r>
              <w:rPr>
                <w:rStyle w:val="6"/>
                <w:rFonts w:hint="default"/>
              </w:rPr>
              <w:t>（2分）</w:t>
            </w:r>
          </w:p>
        </w:tc>
        <w:tc>
          <w:tcPr>
            <w:tcW w:w="55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4.1  有关于社会工作者或志愿者为老年人开展服务的相关规章制度，并为老年人提供服务。（1分）</w:t>
            </w:r>
          </w:p>
        </w:tc>
        <w:tc>
          <w:tcPr>
            <w:tcW w:w="3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查看相关的组织机构、制度职责和记录，与1-2个</w:t>
            </w:r>
            <w:r>
              <w:rPr>
                <w:rStyle w:val="7"/>
                <w:rFonts w:hint="default"/>
                <w:w w:val="80"/>
              </w:rPr>
              <w:t>社会工作者或志愿者访谈。</w:t>
            </w:r>
          </w:p>
        </w:tc>
        <w:tc>
          <w:tcPr>
            <w:tcW w:w="9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1140" w:hRule="atLeast"/>
        </w:trPr>
        <w:tc>
          <w:tcPr>
            <w:tcW w:w="151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47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hAnsi="宋体" w:cs="宋体"/>
                <w:sz w:val="20"/>
                <w:szCs w:val="20"/>
              </w:rPr>
            </w:pPr>
          </w:p>
        </w:tc>
        <w:tc>
          <w:tcPr>
            <w:tcW w:w="55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4.2  有关于志愿者及志愿服务的管理制度；有为老年人提供导医、陪伴等志愿服务；有老年志愿者、离退休医务人员等的积极参与。（1分 ）</w:t>
            </w:r>
          </w:p>
        </w:tc>
        <w:tc>
          <w:tcPr>
            <w:tcW w:w="3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查</w:t>
            </w:r>
            <w:r>
              <w:rPr>
                <w:rStyle w:val="6"/>
                <w:rFonts w:hint="default"/>
                <w:w w:val="80"/>
              </w:rPr>
              <w:t>看导诊台、自助挂号机、服务台等处</w:t>
            </w:r>
            <w:r>
              <w:rPr>
                <w:rStyle w:val="6"/>
                <w:rFonts w:hint="eastAsia"/>
                <w:w w:val="80"/>
                <w:lang w:val="en-US" w:eastAsia="zh-CN"/>
              </w:rPr>
              <w:t>志</w:t>
            </w:r>
            <w:bookmarkStart w:id="0" w:name="_GoBack"/>
            <w:bookmarkEnd w:id="0"/>
            <w:r>
              <w:rPr>
                <w:rStyle w:val="6"/>
                <w:rFonts w:hint="default"/>
                <w:w w:val="80"/>
              </w:rPr>
              <w:t>愿者的服务情况，查看招募志愿者或离退休人员的信息资料。</w:t>
            </w:r>
          </w:p>
        </w:tc>
        <w:tc>
          <w:tcPr>
            <w:tcW w:w="9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1020" w:hRule="atLeast"/>
        </w:trPr>
        <w:tc>
          <w:tcPr>
            <w:tcW w:w="151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二、老年友善管理（15分）</w:t>
            </w:r>
          </w:p>
        </w:tc>
        <w:tc>
          <w:tcPr>
            <w:tcW w:w="1476"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cs="宋体"/>
                <w:sz w:val="20"/>
                <w:szCs w:val="20"/>
              </w:rPr>
            </w:pPr>
            <w:r>
              <w:rPr>
                <w:rFonts w:hint="eastAsia" w:ascii="宋体" w:hAnsi="宋体" w:cs="宋体"/>
                <w:kern w:val="0"/>
                <w:sz w:val="20"/>
                <w:szCs w:val="20"/>
              </w:rPr>
              <w:t>5.保障机制（5分）</w:t>
            </w:r>
          </w:p>
        </w:tc>
        <w:tc>
          <w:tcPr>
            <w:tcW w:w="55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5.1  有老年友善管理相关规章制度和组织领导架构、自我评价机制，并成册可用（1分）；制定相关措施鼓励本机构职工参与老年友善相关工作。（1分）</w:t>
            </w:r>
          </w:p>
        </w:tc>
        <w:tc>
          <w:tcPr>
            <w:tcW w:w="3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查看规章制度、评价体系等相关文件。</w:t>
            </w:r>
          </w:p>
        </w:tc>
        <w:tc>
          <w:tcPr>
            <w:tcW w:w="9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860" w:hRule="atLeast"/>
        </w:trPr>
        <w:tc>
          <w:tcPr>
            <w:tcW w:w="151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47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hAnsi="宋体" w:cs="宋体"/>
                <w:sz w:val="20"/>
                <w:szCs w:val="20"/>
              </w:rPr>
            </w:pPr>
          </w:p>
        </w:tc>
        <w:tc>
          <w:tcPr>
            <w:tcW w:w="55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5.2  有建设老年友善基层医疗卫生机构的年度工作计划、总结、督导检查记录和整改措施，并有记录可查。（2分）</w:t>
            </w:r>
          </w:p>
        </w:tc>
        <w:tc>
          <w:tcPr>
            <w:tcW w:w="3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查看相关计划、工作记录</w:t>
            </w:r>
            <w:r>
              <w:rPr>
                <w:rStyle w:val="7"/>
                <w:rFonts w:hint="default"/>
                <w:w w:val="80"/>
              </w:rPr>
              <w:t>及上级督导检查单位，次数，及督导标准。</w:t>
            </w:r>
          </w:p>
        </w:tc>
        <w:tc>
          <w:tcPr>
            <w:tcW w:w="9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800" w:hRule="atLeast"/>
        </w:trPr>
        <w:tc>
          <w:tcPr>
            <w:tcW w:w="151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47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hAnsi="宋体" w:cs="宋体"/>
                <w:sz w:val="20"/>
                <w:szCs w:val="20"/>
              </w:rPr>
            </w:pPr>
          </w:p>
        </w:tc>
        <w:tc>
          <w:tcPr>
            <w:tcW w:w="55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5.3  机构有开展老年友善服务相关工作专项经费 。（1分）</w:t>
            </w:r>
          </w:p>
        </w:tc>
        <w:tc>
          <w:tcPr>
            <w:tcW w:w="3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查看相关经费预算、相关支出凭证。</w:t>
            </w:r>
          </w:p>
        </w:tc>
        <w:tc>
          <w:tcPr>
            <w:tcW w:w="9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1240" w:hRule="atLeast"/>
        </w:trPr>
        <w:tc>
          <w:tcPr>
            <w:tcW w:w="151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476"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cs="宋体"/>
                <w:sz w:val="20"/>
                <w:szCs w:val="20"/>
              </w:rPr>
            </w:pPr>
            <w:r>
              <w:rPr>
                <w:rFonts w:hint="eastAsia" w:ascii="宋体" w:hAnsi="宋体" w:cs="宋体"/>
                <w:kern w:val="0"/>
                <w:sz w:val="20"/>
                <w:szCs w:val="20"/>
              </w:rPr>
              <w:t>6.管理与培训 （5分）</w:t>
            </w:r>
          </w:p>
        </w:tc>
        <w:tc>
          <w:tcPr>
            <w:tcW w:w="55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6.1  有开展涉老医疗服务新项目或科研工作的伦理审查制度，并成册可用（1分）（有则加1分，无则不扣分）（社区卫生服务中心、乡镇卫生院、护理院等如未开展相应科研项目，不扣分）</w:t>
            </w:r>
          </w:p>
        </w:tc>
        <w:tc>
          <w:tcPr>
            <w:tcW w:w="3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查看受试者老人的知情同意书和相关记录。</w:t>
            </w:r>
          </w:p>
        </w:tc>
        <w:tc>
          <w:tcPr>
            <w:tcW w:w="9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1140" w:hRule="atLeast"/>
        </w:trPr>
        <w:tc>
          <w:tcPr>
            <w:tcW w:w="151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47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hAnsi="宋体" w:cs="宋体"/>
                <w:sz w:val="20"/>
                <w:szCs w:val="20"/>
              </w:rPr>
            </w:pPr>
          </w:p>
        </w:tc>
        <w:tc>
          <w:tcPr>
            <w:tcW w:w="55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6.2  有健全的老年医疗、康复和护理相关培训制度（2分）；定期开展老年心理学、老年照护、沟通交流技巧、</w:t>
            </w:r>
            <w:r>
              <w:rPr>
                <w:rStyle w:val="5"/>
                <w:rFonts w:hint="default"/>
                <w:w w:val="80"/>
              </w:rPr>
              <w:t>老年中医养生</w:t>
            </w:r>
            <w:r>
              <w:rPr>
                <w:rStyle w:val="6"/>
                <w:rFonts w:hint="default"/>
                <w:w w:val="80"/>
              </w:rPr>
              <w:t>等内容的培训</w:t>
            </w:r>
            <w:r>
              <w:rPr>
                <w:rStyle w:val="6"/>
                <w:w w:val="80"/>
              </w:rPr>
              <w:t>。</w:t>
            </w:r>
            <w:r>
              <w:rPr>
                <w:rStyle w:val="6"/>
                <w:rFonts w:hint="default"/>
                <w:w w:val="80"/>
              </w:rPr>
              <w:t>（2分）</w:t>
            </w:r>
          </w:p>
        </w:tc>
        <w:tc>
          <w:tcPr>
            <w:tcW w:w="3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查看机构相关制度、文件等及工作记录；查看相关的培训计划、课程表、培训课件和签到表等，访谈1-2名医生、护士的培训情况，观察医护人员与老年患者交流的情况。</w:t>
            </w:r>
          </w:p>
        </w:tc>
        <w:tc>
          <w:tcPr>
            <w:tcW w:w="9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840" w:hRule="atLeast"/>
        </w:trPr>
        <w:tc>
          <w:tcPr>
            <w:tcW w:w="151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476"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cs="宋体"/>
                <w:sz w:val="20"/>
                <w:szCs w:val="20"/>
              </w:rPr>
            </w:pPr>
            <w:r>
              <w:rPr>
                <w:rFonts w:hint="eastAsia" w:ascii="宋体" w:hAnsi="宋体" w:cs="宋体"/>
                <w:kern w:val="0"/>
                <w:sz w:val="20"/>
                <w:szCs w:val="20"/>
              </w:rPr>
              <w:t>7.分级诊疗（5分）</w:t>
            </w:r>
          </w:p>
        </w:tc>
        <w:tc>
          <w:tcPr>
            <w:tcW w:w="55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7.1  有负责老年患者转诊管理的部门和相关规章制度，并有相关实施记录。（1分）</w:t>
            </w:r>
          </w:p>
        </w:tc>
        <w:tc>
          <w:tcPr>
            <w:tcW w:w="3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查看转诊管理部门的制度、职责和服务流程。</w:t>
            </w:r>
          </w:p>
        </w:tc>
        <w:tc>
          <w:tcPr>
            <w:tcW w:w="9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800" w:hRule="atLeast"/>
        </w:trPr>
        <w:tc>
          <w:tcPr>
            <w:tcW w:w="151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47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hAnsi="宋体" w:cs="宋体"/>
                <w:sz w:val="20"/>
                <w:szCs w:val="20"/>
              </w:rPr>
            </w:pPr>
          </w:p>
        </w:tc>
        <w:tc>
          <w:tcPr>
            <w:tcW w:w="55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7.2  参与区域医联体、医养联合体建设，有协议。（2分）</w:t>
            </w:r>
          </w:p>
        </w:tc>
        <w:tc>
          <w:tcPr>
            <w:tcW w:w="3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查看医联体、医养联合体建设的相关文件，巡查和分析医院各病区的管理模式。</w:t>
            </w:r>
          </w:p>
        </w:tc>
        <w:tc>
          <w:tcPr>
            <w:tcW w:w="9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1140" w:hRule="atLeast"/>
        </w:trPr>
        <w:tc>
          <w:tcPr>
            <w:tcW w:w="151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47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hAnsi="宋体" w:cs="宋体"/>
                <w:sz w:val="20"/>
                <w:szCs w:val="20"/>
              </w:rPr>
            </w:pPr>
          </w:p>
        </w:tc>
        <w:tc>
          <w:tcPr>
            <w:tcW w:w="55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7.3</w:t>
            </w:r>
            <w:r>
              <w:rPr>
                <w:rStyle w:val="5"/>
                <w:rFonts w:hint="default"/>
                <w:w w:val="80"/>
              </w:rPr>
              <w:t xml:space="preserve"> </w:t>
            </w:r>
            <w:r>
              <w:rPr>
                <w:rStyle w:val="8"/>
                <w:rFonts w:hint="default"/>
                <w:w w:val="80"/>
              </w:rPr>
              <w:t xml:space="preserve"> 建立本级医疗机构与上级或养老机构之间双向转诊的流程及规范要求，并具体实施签订合作协议内容及按要求提供服务</w:t>
            </w:r>
            <w:r>
              <w:rPr>
                <w:rStyle w:val="6"/>
                <w:rFonts w:hint="default"/>
                <w:w w:val="80"/>
              </w:rPr>
              <w:t>。（2分）</w:t>
            </w:r>
          </w:p>
        </w:tc>
        <w:tc>
          <w:tcPr>
            <w:tcW w:w="3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查看相关的合作协议和协作记录。</w:t>
            </w:r>
          </w:p>
        </w:tc>
        <w:tc>
          <w:tcPr>
            <w:tcW w:w="9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780" w:hRule="atLeast"/>
        </w:trPr>
        <w:tc>
          <w:tcPr>
            <w:tcW w:w="151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三、老年友善服务（50分）</w:t>
            </w:r>
          </w:p>
        </w:tc>
        <w:tc>
          <w:tcPr>
            <w:tcW w:w="1476"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cs="宋体"/>
                <w:sz w:val="20"/>
                <w:szCs w:val="20"/>
              </w:rPr>
            </w:pPr>
            <w:r>
              <w:rPr>
                <w:rFonts w:hint="eastAsia" w:ascii="宋体" w:hAnsi="宋体" w:cs="宋体"/>
                <w:kern w:val="0"/>
                <w:sz w:val="20"/>
                <w:szCs w:val="20"/>
              </w:rPr>
              <w:t>8.基本医疗服务（34分）</w:t>
            </w:r>
          </w:p>
        </w:tc>
        <w:tc>
          <w:tcPr>
            <w:tcW w:w="55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8.1  能够按照要求完成辖区内老年人国家基本公共卫生服务项目工作任务</w:t>
            </w:r>
            <w:r>
              <w:rPr>
                <w:rStyle w:val="9"/>
                <w:w w:val="80"/>
              </w:rPr>
              <w:t>。</w:t>
            </w:r>
            <w:r>
              <w:rPr>
                <w:rStyle w:val="6"/>
                <w:rFonts w:hint="default"/>
                <w:w w:val="80"/>
              </w:rPr>
              <w:t>（5分）</w:t>
            </w:r>
          </w:p>
        </w:tc>
        <w:tc>
          <w:tcPr>
            <w:tcW w:w="3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查看相关资料和执行情况。</w:t>
            </w:r>
          </w:p>
        </w:tc>
        <w:tc>
          <w:tcPr>
            <w:tcW w:w="9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680" w:hRule="atLeast"/>
        </w:trPr>
        <w:tc>
          <w:tcPr>
            <w:tcW w:w="151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47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hAnsi="宋体" w:cs="宋体"/>
                <w:sz w:val="20"/>
                <w:szCs w:val="20"/>
              </w:rPr>
            </w:pPr>
          </w:p>
        </w:tc>
        <w:tc>
          <w:tcPr>
            <w:tcW w:w="55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hAnsi="宋体" w:cs="宋体"/>
                <w:w w:val="80"/>
                <w:sz w:val="20"/>
                <w:szCs w:val="20"/>
              </w:rPr>
            </w:pPr>
            <w:r>
              <w:rPr>
                <w:rFonts w:hint="eastAsia" w:ascii="宋体" w:hAnsi="宋体" w:cs="宋体"/>
                <w:w w:val="80"/>
                <w:kern w:val="0"/>
                <w:sz w:val="20"/>
                <w:szCs w:val="20"/>
              </w:rPr>
              <w:t>8.2  面向老年人开展家庭医生签约服务</w:t>
            </w:r>
            <w:r>
              <w:rPr>
                <w:rFonts w:ascii="宋体" w:hAnsi="宋体" w:cs="宋体"/>
                <w:w w:val="80"/>
                <w:kern w:val="0"/>
                <w:sz w:val="20"/>
                <w:szCs w:val="20"/>
              </w:rPr>
              <w:t>切实提高老年人签约服务覆盖率。（2分）</w:t>
            </w:r>
          </w:p>
        </w:tc>
        <w:tc>
          <w:tcPr>
            <w:tcW w:w="3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查看相关资料和执行情况。</w:t>
            </w:r>
          </w:p>
        </w:tc>
        <w:tc>
          <w:tcPr>
            <w:tcW w:w="9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1380" w:hRule="atLeast"/>
        </w:trPr>
        <w:tc>
          <w:tcPr>
            <w:tcW w:w="151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47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hAnsi="宋体" w:cs="宋体"/>
                <w:sz w:val="20"/>
                <w:szCs w:val="20"/>
              </w:rPr>
            </w:pPr>
          </w:p>
        </w:tc>
        <w:tc>
          <w:tcPr>
            <w:tcW w:w="55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8.3  设立老年患者就医绿色通道（3分），设有人工挂号及现金收费窗口。（</w:t>
            </w:r>
            <w:r>
              <w:rPr>
                <w:rStyle w:val="5"/>
                <w:rFonts w:hint="default"/>
                <w:w w:val="80"/>
              </w:rPr>
              <w:t>2分</w:t>
            </w:r>
            <w:r>
              <w:rPr>
                <w:rStyle w:val="6"/>
                <w:rFonts w:hint="default"/>
                <w:w w:val="80"/>
              </w:rPr>
              <w:t>）</w:t>
            </w:r>
          </w:p>
        </w:tc>
        <w:tc>
          <w:tcPr>
            <w:tcW w:w="3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查看相关制度、服务流程，观察老人入院办理情况，查看是否有清晰的入院告知；查看服务窗口和信息系统能否实现对高龄老年人的四优先服务（优先挂号、优先就诊、优先检查和优先取药），查阅相关记录。</w:t>
            </w:r>
          </w:p>
        </w:tc>
        <w:tc>
          <w:tcPr>
            <w:tcW w:w="9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920" w:hRule="atLeast"/>
        </w:trPr>
        <w:tc>
          <w:tcPr>
            <w:tcW w:w="151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47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hAnsi="宋体" w:cs="宋体"/>
                <w:sz w:val="20"/>
                <w:szCs w:val="20"/>
              </w:rPr>
            </w:pPr>
          </w:p>
        </w:tc>
        <w:tc>
          <w:tcPr>
            <w:tcW w:w="55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8.4  为老年患者提供移乘设备（如轮椅、平车等）、辅具、用品用具和其他便利等服务。（2分）</w:t>
            </w:r>
          </w:p>
        </w:tc>
        <w:tc>
          <w:tcPr>
            <w:tcW w:w="3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查看门急诊或病区是否提供助行器械等辅具，了解辅具管理人员是否充分认识辅具适配的意义和作用；现场查看实物和相关记录。</w:t>
            </w:r>
          </w:p>
        </w:tc>
        <w:tc>
          <w:tcPr>
            <w:tcW w:w="9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680" w:hRule="atLeast"/>
        </w:trPr>
        <w:tc>
          <w:tcPr>
            <w:tcW w:w="151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47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hAnsi="宋体" w:cs="宋体"/>
                <w:sz w:val="20"/>
                <w:szCs w:val="20"/>
              </w:rPr>
            </w:pPr>
          </w:p>
        </w:tc>
        <w:tc>
          <w:tcPr>
            <w:tcW w:w="55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8.5  有专人或志愿者为老年人提供包括并不限于就医咨询、分诊、引导等服务。（</w:t>
            </w:r>
            <w:r>
              <w:rPr>
                <w:rStyle w:val="5"/>
                <w:rFonts w:hint="default"/>
                <w:w w:val="80"/>
              </w:rPr>
              <w:t>3</w:t>
            </w:r>
            <w:r>
              <w:rPr>
                <w:rStyle w:val="6"/>
                <w:rFonts w:hint="default"/>
                <w:w w:val="80"/>
              </w:rPr>
              <w:t>分）</w:t>
            </w:r>
          </w:p>
        </w:tc>
        <w:tc>
          <w:tcPr>
            <w:tcW w:w="3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查看相关制度、服务流程，观察老人入院办理情况。</w:t>
            </w:r>
          </w:p>
        </w:tc>
        <w:tc>
          <w:tcPr>
            <w:tcW w:w="9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980" w:hRule="atLeast"/>
        </w:trPr>
        <w:tc>
          <w:tcPr>
            <w:tcW w:w="151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47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hAnsi="宋体" w:cs="宋体"/>
                <w:sz w:val="20"/>
                <w:szCs w:val="20"/>
              </w:rPr>
            </w:pPr>
          </w:p>
        </w:tc>
        <w:tc>
          <w:tcPr>
            <w:tcW w:w="55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8.6  为老年人开展多重用药的评估、咨询、指导等服务。（</w:t>
            </w:r>
            <w:r>
              <w:rPr>
                <w:rStyle w:val="5"/>
                <w:rFonts w:hint="default"/>
                <w:w w:val="80"/>
              </w:rPr>
              <w:t>3</w:t>
            </w:r>
            <w:r>
              <w:rPr>
                <w:rStyle w:val="6"/>
                <w:rFonts w:hint="default"/>
                <w:w w:val="80"/>
              </w:rPr>
              <w:t>分）</w:t>
            </w:r>
          </w:p>
        </w:tc>
        <w:tc>
          <w:tcPr>
            <w:tcW w:w="3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查看临床药师资质证书；查阅临床药师参与用药指导的日常工作记录；了解药物咨询门诊的开展情况，查阅咨询记录。</w:t>
            </w:r>
          </w:p>
        </w:tc>
        <w:tc>
          <w:tcPr>
            <w:tcW w:w="9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600" w:hRule="atLeast"/>
        </w:trPr>
        <w:tc>
          <w:tcPr>
            <w:tcW w:w="151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47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hAnsi="宋体" w:cs="宋体"/>
                <w:sz w:val="20"/>
                <w:szCs w:val="20"/>
              </w:rPr>
            </w:pPr>
          </w:p>
        </w:tc>
        <w:tc>
          <w:tcPr>
            <w:tcW w:w="55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8.7  为老年人开展营养状况的筛查。（2分）</w:t>
            </w:r>
          </w:p>
        </w:tc>
        <w:tc>
          <w:tcPr>
            <w:tcW w:w="3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查阅档案资料。</w:t>
            </w:r>
          </w:p>
        </w:tc>
        <w:tc>
          <w:tcPr>
            <w:tcW w:w="9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840" w:hRule="atLeast"/>
        </w:trPr>
        <w:tc>
          <w:tcPr>
            <w:tcW w:w="151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47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hAnsi="宋体" w:cs="宋体"/>
                <w:sz w:val="20"/>
                <w:szCs w:val="20"/>
              </w:rPr>
            </w:pPr>
          </w:p>
        </w:tc>
        <w:tc>
          <w:tcPr>
            <w:tcW w:w="55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8.8  能够为老年人提供远程医疗服务。与上级医疗机构有远程会诊对接，并有相应的服务流程及工作记录（2分）</w:t>
            </w:r>
          </w:p>
        </w:tc>
        <w:tc>
          <w:tcPr>
            <w:tcW w:w="3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现场查看；查看服务流程和工作记录。</w:t>
            </w:r>
          </w:p>
        </w:tc>
        <w:tc>
          <w:tcPr>
            <w:tcW w:w="9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780" w:hRule="atLeast"/>
        </w:trPr>
        <w:tc>
          <w:tcPr>
            <w:tcW w:w="151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47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hAnsi="宋体" w:cs="宋体"/>
                <w:sz w:val="20"/>
                <w:szCs w:val="20"/>
              </w:rPr>
            </w:pPr>
          </w:p>
        </w:tc>
        <w:tc>
          <w:tcPr>
            <w:tcW w:w="55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8.9   信息系统能够提供老年健康日常服务管理，同时满足双向转诊服务信息支撑要求。（3分）。</w:t>
            </w:r>
          </w:p>
        </w:tc>
        <w:tc>
          <w:tcPr>
            <w:tcW w:w="3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现场查看。</w:t>
            </w:r>
          </w:p>
        </w:tc>
        <w:tc>
          <w:tcPr>
            <w:tcW w:w="9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880" w:hRule="atLeast"/>
        </w:trPr>
        <w:tc>
          <w:tcPr>
            <w:tcW w:w="151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47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hAnsi="宋体" w:cs="宋体"/>
                <w:sz w:val="20"/>
                <w:szCs w:val="20"/>
              </w:rPr>
            </w:pPr>
          </w:p>
        </w:tc>
        <w:tc>
          <w:tcPr>
            <w:tcW w:w="55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8.10  开展上门诊疗、康复、</w:t>
            </w:r>
            <w:r>
              <w:rPr>
                <w:rStyle w:val="5"/>
                <w:rFonts w:hint="default"/>
                <w:w w:val="80"/>
              </w:rPr>
              <w:t>中医</w:t>
            </w:r>
            <w:r>
              <w:rPr>
                <w:rStyle w:val="6"/>
                <w:rFonts w:hint="default"/>
                <w:w w:val="80"/>
              </w:rPr>
              <w:t>、照护等个性化服务，并有相应的服务流程和工作记录</w:t>
            </w:r>
            <w:r>
              <w:rPr>
                <w:rStyle w:val="6"/>
                <w:w w:val="80"/>
              </w:rPr>
              <w:t>。</w:t>
            </w:r>
            <w:r>
              <w:rPr>
                <w:rStyle w:val="6"/>
                <w:rFonts w:hint="default"/>
                <w:w w:val="80"/>
              </w:rPr>
              <w:t>（4分）</w:t>
            </w:r>
          </w:p>
        </w:tc>
        <w:tc>
          <w:tcPr>
            <w:tcW w:w="3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现场查看，访谈患者；查看相关制度、服务流程和工作记录。</w:t>
            </w:r>
          </w:p>
        </w:tc>
        <w:tc>
          <w:tcPr>
            <w:tcW w:w="9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780" w:hRule="atLeast"/>
        </w:trPr>
        <w:tc>
          <w:tcPr>
            <w:tcW w:w="151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47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hAnsi="宋体" w:cs="宋体"/>
                <w:sz w:val="20"/>
                <w:szCs w:val="20"/>
              </w:rPr>
            </w:pPr>
          </w:p>
        </w:tc>
        <w:tc>
          <w:tcPr>
            <w:tcW w:w="55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8.11  协助老年患者办理留观、入院、出院、转院等手续。（3分）</w:t>
            </w:r>
          </w:p>
        </w:tc>
        <w:tc>
          <w:tcPr>
            <w:tcW w:w="3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现场查看，访谈患者；查阅病历和电子病历系统。</w:t>
            </w:r>
          </w:p>
        </w:tc>
        <w:tc>
          <w:tcPr>
            <w:tcW w:w="9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720" w:hRule="atLeast"/>
        </w:trPr>
        <w:tc>
          <w:tcPr>
            <w:tcW w:w="151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476"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cs="宋体"/>
                <w:sz w:val="20"/>
                <w:szCs w:val="20"/>
              </w:rPr>
            </w:pPr>
            <w:r>
              <w:rPr>
                <w:rFonts w:hint="eastAsia" w:ascii="宋体" w:hAnsi="宋体" w:cs="宋体"/>
                <w:kern w:val="0"/>
                <w:sz w:val="20"/>
                <w:szCs w:val="20"/>
              </w:rPr>
              <w:t>9.老年综合评估和风险防范（7分）</w:t>
            </w:r>
          </w:p>
        </w:tc>
        <w:tc>
          <w:tcPr>
            <w:tcW w:w="55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 xml:space="preserve">9.1   </w:t>
            </w:r>
            <w:r>
              <w:rPr>
                <w:rStyle w:val="5"/>
                <w:rFonts w:hint="default"/>
                <w:w w:val="80"/>
              </w:rPr>
              <w:t>机构人员有参加自治区级老年医学科医师及护理培训班并取得证书</w:t>
            </w:r>
            <w:r>
              <w:rPr>
                <w:rStyle w:val="5"/>
                <w:w w:val="80"/>
              </w:rPr>
              <w:t>或学分证明。</w:t>
            </w:r>
            <w:r>
              <w:rPr>
                <w:rStyle w:val="5"/>
                <w:rFonts w:hint="default"/>
                <w:w w:val="80"/>
              </w:rPr>
              <w:t>（1分）</w:t>
            </w:r>
          </w:p>
        </w:tc>
        <w:tc>
          <w:tcPr>
            <w:tcW w:w="3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查看培训合格证书或学分证明。</w:t>
            </w:r>
          </w:p>
        </w:tc>
        <w:tc>
          <w:tcPr>
            <w:tcW w:w="9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1200" w:hRule="atLeast"/>
        </w:trPr>
        <w:tc>
          <w:tcPr>
            <w:tcW w:w="151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47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hAnsi="宋体" w:cs="宋体"/>
                <w:sz w:val="20"/>
                <w:szCs w:val="20"/>
              </w:rPr>
            </w:pPr>
          </w:p>
        </w:tc>
        <w:tc>
          <w:tcPr>
            <w:tcW w:w="55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cs="宋体"/>
                <w:w w:val="80"/>
                <w:sz w:val="20"/>
                <w:szCs w:val="20"/>
              </w:rPr>
            </w:pPr>
            <w:r>
              <w:rPr>
                <w:rFonts w:hint="eastAsia" w:ascii="宋体" w:hAnsi="宋体" w:cs="宋体"/>
                <w:w w:val="80"/>
                <w:kern w:val="0"/>
                <w:sz w:val="20"/>
                <w:szCs w:val="20"/>
              </w:rPr>
              <w:t>9.2   能够提供失能评估、失智评估、慢性病风险评估、营养状况筛查和心理健康筛查等老年综合评估服务。（2分）</w:t>
            </w:r>
          </w:p>
        </w:tc>
        <w:tc>
          <w:tcPr>
            <w:tcW w:w="3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随机抽查3-5份档案资料，看老年综合评估实施情况，现场抽查医护人员各1名对老年住院患者综合评估的熟练程度（MMSE和ADL)。</w:t>
            </w:r>
          </w:p>
        </w:tc>
        <w:tc>
          <w:tcPr>
            <w:tcW w:w="9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1100" w:hRule="atLeast"/>
        </w:trPr>
        <w:tc>
          <w:tcPr>
            <w:tcW w:w="151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47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hAnsi="宋体" w:cs="宋体"/>
                <w:sz w:val="20"/>
                <w:szCs w:val="20"/>
              </w:rPr>
            </w:pPr>
          </w:p>
        </w:tc>
        <w:tc>
          <w:tcPr>
            <w:tcW w:w="55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 xml:space="preserve">9.3   </w:t>
            </w:r>
            <w:r>
              <w:rPr>
                <w:rStyle w:val="8"/>
                <w:rFonts w:hint="default"/>
                <w:w w:val="80"/>
              </w:rPr>
              <w:t>对住院老年患者进行高风险状态的筛查，尤其是对营养</w:t>
            </w:r>
            <w:r>
              <w:rPr>
                <w:rStyle w:val="8"/>
                <w:w w:val="80"/>
              </w:rPr>
              <w:t>筛查</w:t>
            </w:r>
            <w:r>
              <w:rPr>
                <w:rStyle w:val="8"/>
                <w:rFonts w:hint="default"/>
                <w:w w:val="80"/>
              </w:rPr>
              <w:t>、跌倒、下肢深静脉血栓、误吸和坠床等情况，应建立风险防范措施与应急处置方案</w:t>
            </w:r>
            <w:r>
              <w:rPr>
                <w:rStyle w:val="6"/>
                <w:w w:val="80"/>
              </w:rPr>
              <w:t>。</w:t>
            </w:r>
            <w:r>
              <w:rPr>
                <w:rStyle w:val="6"/>
                <w:rFonts w:hint="default"/>
                <w:w w:val="80"/>
              </w:rPr>
              <w:t>（2分）</w:t>
            </w:r>
          </w:p>
        </w:tc>
        <w:tc>
          <w:tcPr>
            <w:tcW w:w="3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查看门急诊、住院部有无针对性对老年患者高风险状态的筛查方案、评定标准、防范措施和应急预案；现场查看门急诊、住院部各2名患者，是否有高风险状态的标识。</w:t>
            </w:r>
          </w:p>
        </w:tc>
        <w:tc>
          <w:tcPr>
            <w:tcW w:w="9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720" w:hRule="atLeast"/>
        </w:trPr>
        <w:tc>
          <w:tcPr>
            <w:tcW w:w="151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47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hAnsi="宋体" w:cs="宋体"/>
                <w:sz w:val="20"/>
                <w:szCs w:val="20"/>
              </w:rPr>
            </w:pPr>
          </w:p>
        </w:tc>
        <w:tc>
          <w:tcPr>
            <w:tcW w:w="55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9.4   建立评估知情告知制度，告知内容应包括评估结果、影响因素和照护计划等。（1分）</w:t>
            </w:r>
          </w:p>
        </w:tc>
        <w:tc>
          <w:tcPr>
            <w:tcW w:w="3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查阅医院知情告知制度；查阅2份病历，看其知情告知制度的执行情况。</w:t>
            </w:r>
          </w:p>
        </w:tc>
        <w:tc>
          <w:tcPr>
            <w:tcW w:w="9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660" w:hRule="atLeast"/>
        </w:trPr>
        <w:tc>
          <w:tcPr>
            <w:tcW w:w="151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47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hAnsi="宋体" w:cs="宋体"/>
                <w:sz w:val="20"/>
                <w:szCs w:val="20"/>
              </w:rPr>
            </w:pPr>
          </w:p>
        </w:tc>
        <w:tc>
          <w:tcPr>
            <w:tcW w:w="55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9.5 老年患者及其家属诊疗与照护计划的制定。（1分）</w:t>
            </w:r>
          </w:p>
        </w:tc>
        <w:tc>
          <w:tcPr>
            <w:tcW w:w="3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访谈患者及其家属，了解照护计划的知晓情况。</w:t>
            </w:r>
          </w:p>
        </w:tc>
        <w:tc>
          <w:tcPr>
            <w:tcW w:w="9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1240" w:hRule="atLeast"/>
        </w:trPr>
        <w:tc>
          <w:tcPr>
            <w:tcW w:w="151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476"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cs="宋体"/>
                <w:sz w:val="20"/>
                <w:szCs w:val="20"/>
              </w:rPr>
            </w:pPr>
            <w:r>
              <w:rPr>
                <w:rFonts w:hint="eastAsia" w:ascii="宋体" w:hAnsi="宋体" w:cs="宋体"/>
                <w:kern w:val="0"/>
                <w:sz w:val="20"/>
                <w:szCs w:val="20"/>
              </w:rPr>
              <w:t>10.老年综合征管理（6分）</w:t>
            </w:r>
          </w:p>
        </w:tc>
        <w:tc>
          <w:tcPr>
            <w:tcW w:w="55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10.1  有老年综合征的具体评估与干预措施（1分）；至少应有防治老年人痴呆、抑郁、吞咽困难、尿失禁、便秘和睡眠障碍等老年综合征的评估与干预措施，并提供规范化的服务。（2分）</w:t>
            </w:r>
          </w:p>
        </w:tc>
        <w:tc>
          <w:tcPr>
            <w:tcW w:w="3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查阅老年常见疾病的管理文件，并在临床工作中得到规范化的应用。</w:t>
            </w:r>
          </w:p>
        </w:tc>
        <w:tc>
          <w:tcPr>
            <w:tcW w:w="9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1100" w:hRule="atLeast"/>
        </w:trPr>
        <w:tc>
          <w:tcPr>
            <w:tcW w:w="151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47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hAnsi="宋体" w:cs="宋体"/>
                <w:sz w:val="20"/>
                <w:szCs w:val="20"/>
              </w:rPr>
            </w:pPr>
          </w:p>
        </w:tc>
        <w:tc>
          <w:tcPr>
            <w:tcW w:w="55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10.2  至少应有老年人多重用药、营养不良、慢性伤口（包括褥疮）和下肢深静脉血栓等老年常见照护问题的评估与具体干预措施，并提供规范化服务。（3分）</w:t>
            </w:r>
          </w:p>
        </w:tc>
        <w:tc>
          <w:tcPr>
            <w:tcW w:w="3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查阅相关管理文件，并在临床工作中得到实际的应用。</w:t>
            </w:r>
          </w:p>
        </w:tc>
        <w:tc>
          <w:tcPr>
            <w:tcW w:w="9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820" w:hRule="atLeast"/>
        </w:trPr>
        <w:tc>
          <w:tcPr>
            <w:tcW w:w="151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476"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cs="宋体"/>
                <w:sz w:val="20"/>
                <w:szCs w:val="20"/>
              </w:rPr>
            </w:pPr>
            <w:r>
              <w:rPr>
                <w:rFonts w:hint="eastAsia" w:ascii="宋体" w:hAnsi="宋体" w:cs="宋体"/>
                <w:kern w:val="0"/>
                <w:sz w:val="20"/>
                <w:szCs w:val="20"/>
              </w:rPr>
              <w:t>11.特色服务（3分）</w:t>
            </w:r>
          </w:p>
        </w:tc>
        <w:tc>
          <w:tcPr>
            <w:tcW w:w="55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11.1  独立提供或与养老机构、社区卫生服务机构合作，居家提供老年长期照护服务。（2分）</w:t>
            </w:r>
          </w:p>
        </w:tc>
        <w:tc>
          <w:tcPr>
            <w:tcW w:w="3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查看相关资料和执行情况。</w:t>
            </w:r>
          </w:p>
        </w:tc>
        <w:tc>
          <w:tcPr>
            <w:tcW w:w="9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760" w:hRule="atLeast"/>
        </w:trPr>
        <w:tc>
          <w:tcPr>
            <w:tcW w:w="151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47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hAnsi="宋体" w:cs="宋体"/>
                <w:sz w:val="20"/>
                <w:szCs w:val="20"/>
              </w:rPr>
            </w:pPr>
          </w:p>
        </w:tc>
        <w:tc>
          <w:tcPr>
            <w:tcW w:w="55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11.2  能够为辖区内居家和养老机构的老年人提供安宁疗护服务。（1分）</w:t>
            </w:r>
          </w:p>
        </w:tc>
        <w:tc>
          <w:tcPr>
            <w:tcW w:w="3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开展死亡教育，有相关的宣传材料和活动记录；有安宁疗护服务的病房或病床。</w:t>
            </w:r>
          </w:p>
        </w:tc>
        <w:tc>
          <w:tcPr>
            <w:tcW w:w="99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1100" w:hRule="atLeast"/>
        </w:trPr>
        <w:tc>
          <w:tcPr>
            <w:tcW w:w="151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四、老年友善环境（25分）</w:t>
            </w:r>
          </w:p>
        </w:tc>
        <w:tc>
          <w:tcPr>
            <w:tcW w:w="1476"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12.交通与标识（5分）</w:t>
            </w:r>
          </w:p>
        </w:tc>
        <w:tc>
          <w:tcPr>
            <w:tcW w:w="55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12.1  应有适老化设施和无障碍设施，门急诊和病区主出入口设有无障碍通道，并符合《无障碍设计规范》(GB50763）的有关要求。（1分）</w:t>
            </w:r>
          </w:p>
        </w:tc>
        <w:tc>
          <w:tcPr>
            <w:tcW w:w="3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巡查门、急诊大厅和病区，设施应符合《无障碍设计规范》(GB50763）的有关要求。</w:t>
            </w:r>
          </w:p>
        </w:tc>
        <w:tc>
          <w:tcPr>
            <w:tcW w:w="9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740" w:hRule="atLeast"/>
        </w:trPr>
        <w:tc>
          <w:tcPr>
            <w:tcW w:w="151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47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55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12.2  机构主要出入口处有方便老年人上下车的临时停车区和安全标识。（1分）</w:t>
            </w:r>
          </w:p>
        </w:tc>
        <w:tc>
          <w:tcPr>
            <w:tcW w:w="3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巡查临时停车区、限速、禁止鸣笛、急转弯、减速带等标识。</w:t>
            </w:r>
          </w:p>
        </w:tc>
        <w:tc>
          <w:tcPr>
            <w:tcW w:w="9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960" w:hRule="atLeast"/>
        </w:trPr>
        <w:tc>
          <w:tcPr>
            <w:tcW w:w="151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47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55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12.3  台阶、坡道、转弯处有安全警示标志。院内坡道应当符合《无障碍设计规范》（GB50763）“3．4 轮椅坡道”的要求。（1分）</w:t>
            </w:r>
          </w:p>
        </w:tc>
        <w:tc>
          <w:tcPr>
            <w:tcW w:w="3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巡查门、急诊和病区的各种通道及标识。</w:t>
            </w:r>
          </w:p>
        </w:tc>
        <w:tc>
          <w:tcPr>
            <w:tcW w:w="9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960" w:hRule="atLeast"/>
        </w:trPr>
        <w:tc>
          <w:tcPr>
            <w:tcW w:w="151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47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55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12.4  院区的车行道与人行通道地面有高差时，在人行通道的路口及人行横道的两端应设缘石坡道。院区的主要人行通道当有高差或台阶时应设置轮椅坡道或无障碍电梯。（1分）</w:t>
            </w:r>
          </w:p>
        </w:tc>
        <w:tc>
          <w:tcPr>
            <w:tcW w:w="3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巡查病区的各种通道及设施。</w:t>
            </w:r>
          </w:p>
        </w:tc>
        <w:tc>
          <w:tcPr>
            <w:tcW w:w="9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1680" w:hRule="atLeast"/>
        </w:trPr>
        <w:tc>
          <w:tcPr>
            <w:tcW w:w="151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47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55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12.5  主要道路岔口处、建筑主出入口处、建筑内各楼层通道分叉显眼处、电梯内外按钮，均应设有颜色醒目、较大字体、简单易懂的标识，标识要安装在适当的高度和位置，使轮椅和行走者都能看到。（1分）</w:t>
            </w:r>
          </w:p>
        </w:tc>
        <w:tc>
          <w:tcPr>
            <w:tcW w:w="3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重点巡查标识的数量、质量、位置和高度情况。无障碍标识、信息应当符合《无障碍设计规范》（GB50763）“3．16 无障碍标识系统、信息无障碍”的要求，小标识牌字体大小至少应不小于30mm，大标识牌字体应不小于60mm；标识颜色对比明显，字体和材质基本统一，导引图上标明有当前位置。</w:t>
            </w:r>
          </w:p>
        </w:tc>
        <w:tc>
          <w:tcPr>
            <w:tcW w:w="9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940" w:hRule="atLeast"/>
        </w:trPr>
        <w:tc>
          <w:tcPr>
            <w:tcW w:w="151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476"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13.建筑与环境（11分）</w:t>
            </w:r>
          </w:p>
        </w:tc>
        <w:tc>
          <w:tcPr>
            <w:tcW w:w="55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13.1  室内通道应设置无障碍通道，净宽不应小于1．80m，并按照《无障碍设计规范》第3．8节的要求设置扶手。（1分）</w:t>
            </w:r>
          </w:p>
        </w:tc>
        <w:tc>
          <w:tcPr>
            <w:tcW w:w="3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重点巡查医院室外环境、楼宇分布和颜色搭配、地面建筑情况。</w:t>
            </w:r>
          </w:p>
        </w:tc>
        <w:tc>
          <w:tcPr>
            <w:tcW w:w="9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720" w:hRule="atLeast"/>
        </w:trPr>
        <w:tc>
          <w:tcPr>
            <w:tcW w:w="151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47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55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13.2 门开启后的通行净宽度不应小于0.80m，并应符合《无障碍设计规范》第3．5节的要求。（1分）</w:t>
            </w:r>
          </w:p>
        </w:tc>
        <w:tc>
          <w:tcPr>
            <w:tcW w:w="3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重点巡查医院各种建筑设施情况。</w:t>
            </w:r>
          </w:p>
        </w:tc>
        <w:tc>
          <w:tcPr>
            <w:tcW w:w="9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740" w:hRule="atLeast"/>
        </w:trPr>
        <w:tc>
          <w:tcPr>
            <w:tcW w:w="151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47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55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13.3  机构内部环境整洁，建筑物以暖色调为主，院内地板防滑、无反光。（1分）</w:t>
            </w:r>
          </w:p>
        </w:tc>
        <w:tc>
          <w:tcPr>
            <w:tcW w:w="3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重点巡查医院各种建筑设施的颜色组合情况。</w:t>
            </w:r>
          </w:p>
        </w:tc>
        <w:tc>
          <w:tcPr>
            <w:tcW w:w="9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tcPr>
          <w:p>
            <w:pPr>
              <w:rPr>
                <w:rFonts w:ascii="宋体" w:hAnsi="宋体" w:cs="宋体"/>
                <w:sz w:val="20"/>
                <w:szCs w:val="20"/>
              </w:rPr>
            </w:pPr>
          </w:p>
        </w:tc>
      </w:tr>
      <w:tr>
        <w:tblPrEx>
          <w:tblCellMar>
            <w:top w:w="0" w:type="dxa"/>
            <w:left w:w="0" w:type="dxa"/>
            <w:bottom w:w="0" w:type="dxa"/>
            <w:right w:w="0" w:type="dxa"/>
          </w:tblCellMar>
        </w:tblPrEx>
        <w:trPr>
          <w:trHeight w:val="640" w:hRule="atLeast"/>
        </w:trPr>
        <w:tc>
          <w:tcPr>
            <w:tcW w:w="151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四、老年友善环境（25分）</w:t>
            </w:r>
          </w:p>
        </w:tc>
        <w:tc>
          <w:tcPr>
            <w:tcW w:w="147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55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13.4  病房区域照明均匀充足，无眩光，病房内设置有夜灯。（1分）</w:t>
            </w:r>
          </w:p>
        </w:tc>
        <w:tc>
          <w:tcPr>
            <w:tcW w:w="3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重点巡查病房灯光照明情况。</w:t>
            </w:r>
          </w:p>
        </w:tc>
        <w:tc>
          <w:tcPr>
            <w:tcW w:w="9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tcPr>
          <w:p>
            <w:pPr>
              <w:rPr>
                <w:rFonts w:ascii="宋体" w:hAnsi="宋体" w:cs="宋体"/>
                <w:sz w:val="20"/>
                <w:szCs w:val="20"/>
              </w:rPr>
            </w:pPr>
          </w:p>
        </w:tc>
      </w:tr>
      <w:tr>
        <w:tblPrEx>
          <w:tblCellMar>
            <w:top w:w="0" w:type="dxa"/>
            <w:left w:w="0" w:type="dxa"/>
            <w:bottom w:w="0" w:type="dxa"/>
            <w:right w:w="0" w:type="dxa"/>
          </w:tblCellMar>
        </w:tblPrEx>
        <w:trPr>
          <w:trHeight w:val="1440" w:hRule="atLeast"/>
        </w:trPr>
        <w:tc>
          <w:tcPr>
            <w:tcW w:w="151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47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55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13.5  首层应至少设置1处无障碍厕所；各楼层至少有1处公共厕所应满足《无障碍设计规范》第3．9．1条的有关规定或设置无障碍厕所；病房内的厕所应设置安全抓杆，并符合《无障碍设计规范》第3．9．4条的有关规定。（1分）</w:t>
            </w:r>
          </w:p>
        </w:tc>
        <w:tc>
          <w:tcPr>
            <w:tcW w:w="3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重点巡查医院设置情况。</w:t>
            </w:r>
          </w:p>
        </w:tc>
        <w:tc>
          <w:tcPr>
            <w:tcW w:w="9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tcPr>
          <w:p>
            <w:pPr>
              <w:rPr>
                <w:rFonts w:ascii="宋体" w:hAnsi="宋体" w:cs="宋体"/>
                <w:sz w:val="20"/>
                <w:szCs w:val="20"/>
              </w:rPr>
            </w:pPr>
          </w:p>
        </w:tc>
      </w:tr>
      <w:tr>
        <w:tblPrEx>
          <w:tblCellMar>
            <w:top w:w="0" w:type="dxa"/>
            <w:left w:w="0" w:type="dxa"/>
            <w:bottom w:w="0" w:type="dxa"/>
            <w:right w:w="0" w:type="dxa"/>
          </w:tblCellMar>
        </w:tblPrEx>
        <w:trPr>
          <w:trHeight w:val="480" w:hRule="atLeast"/>
        </w:trPr>
        <w:tc>
          <w:tcPr>
            <w:tcW w:w="151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47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55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13.6  病室配有时钟、日历和提示板、夜灯。（1分）</w:t>
            </w:r>
          </w:p>
        </w:tc>
        <w:tc>
          <w:tcPr>
            <w:tcW w:w="3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巡查病室内情况。</w:t>
            </w:r>
          </w:p>
        </w:tc>
        <w:tc>
          <w:tcPr>
            <w:tcW w:w="9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tcPr>
          <w:p>
            <w:pPr>
              <w:rPr>
                <w:rFonts w:ascii="宋体" w:hAnsi="宋体" w:cs="宋体"/>
                <w:sz w:val="20"/>
                <w:szCs w:val="20"/>
              </w:rPr>
            </w:pPr>
          </w:p>
        </w:tc>
      </w:tr>
      <w:tr>
        <w:tblPrEx>
          <w:tblCellMar>
            <w:top w:w="0" w:type="dxa"/>
            <w:left w:w="0" w:type="dxa"/>
            <w:bottom w:w="0" w:type="dxa"/>
            <w:right w:w="0" w:type="dxa"/>
          </w:tblCellMar>
        </w:tblPrEx>
        <w:trPr>
          <w:trHeight w:val="480" w:hRule="atLeast"/>
        </w:trPr>
        <w:tc>
          <w:tcPr>
            <w:tcW w:w="151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47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55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13.7  病室温、湿度度适中，</w:t>
            </w:r>
            <w:r>
              <w:rPr>
                <w:rStyle w:val="7"/>
                <w:rFonts w:hint="default"/>
                <w:w w:val="80"/>
              </w:rPr>
              <w:t>温度保持在20℃--27℃之间，湿度50%-60%。</w:t>
            </w:r>
            <w:r>
              <w:rPr>
                <w:rStyle w:val="6"/>
                <w:rFonts w:hint="default"/>
                <w:w w:val="80"/>
              </w:rPr>
              <w:t>（1分）</w:t>
            </w:r>
          </w:p>
        </w:tc>
        <w:tc>
          <w:tcPr>
            <w:tcW w:w="3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18"/>
                <w:szCs w:val="18"/>
              </w:rPr>
            </w:pPr>
            <w:r>
              <w:rPr>
                <w:rFonts w:hint="eastAsia" w:ascii="宋体" w:hAnsi="宋体" w:cs="宋体"/>
                <w:w w:val="80"/>
                <w:kern w:val="0"/>
                <w:sz w:val="20"/>
                <w:szCs w:val="20"/>
              </w:rPr>
              <w:t>监测病室内的温度情况。</w:t>
            </w:r>
          </w:p>
        </w:tc>
        <w:tc>
          <w:tcPr>
            <w:tcW w:w="9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tcPr>
          <w:p>
            <w:pPr>
              <w:rPr>
                <w:rFonts w:ascii="宋体" w:hAnsi="宋体" w:cs="宋体"/>
                <w:sz w:val="20"/>
                <w:szCs w:val="20"/>
              </w:rPr>
            </w:pPr>
          </w:p>
        </w:tc>
      </w:tr>
      <w:tr>
        <w:tblPrEx>
          <w:tblCellMar>
            <w:top w:w="0" w:type="dxa"/>
            <w:left w:w="0" w:type="dxa"/>
            <w:bottom w:w="0" w:type="dxa"/>
            <w:right w:w="0" w:type="dxa"/>
          </w:tblCellMar>
        </w:tblPrEx>
        <w:trPr>
          <w:trHeight w:val="480" w:hRule="atLeast"/>
        </w:trPr>
        <w:tc>
          <w:tcPr>
            <w:tcW w:w="151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47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55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13.8 走道、坡道、楼梯表面有防滑措施，走道、坡道的宽度不小于2.4米。（1分）</w:t>
            </w:r>
          </w:p>
        </w:tc>
        <w:tc>
          <w:tcPr>
            <w:tcW w:w="3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重点巡查病室外、楼宇内各种通道是否宽敞、无障碍。</w:t>
            </w:r>
          </w:p>
        </w:tc>
        <w:tc>
          <w:tcPr>
            <w:tcW w:w="9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tcPr>
          <w:p>
            <w:pPr>
              <w:rPr>
                <w:rFonts w:ascii="宋体" w:hAnsi="宋体" w:cs="宋体"/>
                <w:sz w:val="20"/>
                <w:szCs w:val="20"/>
              </w:rPr>
            </w:pPr>
          </w:p>
        </w:tc>
      </w:tr>
      <w:tr>
        <w:tblPrEx>
          <w:tblCellMar>
            <w:top w:w="0" w:type="dxa"/>
            <w:left w:w="0" w:type="dxa"/>
            <w:bottom w:w="0" w:type="dxa"/>
            <w:right w:w="0" w:type="dxa"/>
          </w:tblCellMar>
        </w:tblPrEx>
        <w:trPr>
          <w:trHeight w:val="720" w:hRule="atLeast"/>
        </w:trPr>
        <w:tc>
          <w:tcPr>
            <w:tcW w:w="151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47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55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13.9  距离较长（超过100米）的走道设有休息区或休息椅。（1分）</w:t>
            </w:r>
          </w:p>
        </w:tc>
        <w:tc>
          <w:tcPr>
            <w:tcW w:w="3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cs="宋体"/>
                <w:w w:val="80"/>
                <w:sz w:val="20"/>
                <w:szCs w:val="20"/>
              </w:rPr>
            </w:pPr>
            <w:r>
              <w:rPr>
                <w:rFonts w:hint="eastAsia" w:ascii="宋体" w:hAnsi="宋体" w:cs="宋体"/>
                <w:w w:val="80"/>
                <w:kern w:val="0"/>
                <w:sz w:val="20"/>
                <w:szCs w:val="20"/>
              </w:rPr>
              <w:t>巡查院区配置情况。</w:t>
            </w:r>
          </w:p>
        </w:tc>
        <w:tc>
          <w:tcPr>
            <w:tcW w:w="9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tcPr>
          <w:p>
            <w:pPr>
              <w:rPr>
                <w:rFonts w:ascii="宋体" w:hAnsi="宋体" w:cs="宋体"/>
                <w:sz w:val="20"/>
                <w:szCs w:val="20"/>
              </w:rPr>
            </w:pPr>
          </w:p>
        </w:tc>
      </w:tr>
      <w:tr>
        <w:tblPrEx>
          <w:tblCellMar>
            <w:top w:w="0" w:type="dxa"/>
            <w:left w:w="0" w:type="dxa"/>
            <w:bottom w:w="0" w:type="dxa"/>
            <w:right w:w="0" w:type="dxa"/>
          </w:tblCellMar>
        </w:tblPrEx>
        <w:trPr>
          <w:trHeight w:val="720" w:hRule="atLeast"/>
        </w:trPr>
        <w:tc>
          <w:tcPr>
            <w:tcW w:w="151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47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55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13.10  住院部病人活动室墙面四周扶手的设置应满足《无障碍设计规范》第3．8节的有关规定。（1分）</w:t>
            </w:r>
          </w:p>
        </w:tc>
        <w:tc>
          <w:tcPr>
            <w:tcW w:w="3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cs="宋体"/>
                <w:w w:val="80"/>
                <w:sz w:val="20"/>
                <w:szCs w:val="20"/>
              </w:rPr>
            </w:pPr>
            <w:r>
              <w:rPr>
                <w:rFonts w:hint="eastAsia" w:ascii="宋体" w:hAnsi="宋体" w:cs="宋体"/>
                <w:w w:val="80"/>
                <w:kern w:val="0"/>
                <w:sz w:val="20"/>
                <w:szCs w:val="20"/>
              </w:rPr>
              <w:t>巡查各处扶手安装情况。</w:t>
            </w:r>
          </w:p>
        </w:tc>
        <w:tc>
          <w:tcPr>
            <w:tcW w:w="9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tcPr>
          <w:p>
            <w:pPr>
              <w:rPr>
                <w:rFonts w:ascii="宋体" w:hAnsi="宋体" w:cs="宋体"/>
                <w:sz w:val="20"/>
                <w:szCs w:val="20"/>
              </w:rPr>
            </w:pPr>
          </w:p>
        </w:tc>
      </w:tr>
      <w:tr>
        <w:tblPrEx>
          <w:tblCellMar>
            <w:top w:w="0" w:type="dxa"/>
            <w:left w:w="0" w:type="dxa"/>
            <w:bottom w:w="0" w:type="dxa"/>
            <w:right w:w="0" w:type="dxa"/>
          </w:tblCellMar>
        </w:tblPrEx>
        <w:trPr>
          <w:trHeight w:val="720" w:hRule="atLeast"/>
        </w:trPr>
        <w:tc>
          <w:tcPr>
            <w:tcW w:w="151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47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55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13.11  病床之间以及病床与家具之间有足够的空间可供轮椅通行，宽度不小于1.2米，回转空间直径不小于1.5米。（1分）</w:t>
            </w:r>
          </w:p>
        </w:tc>
        <w:tc>
          <w:tcPr>
            <w:tcW w:w="3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cs="宋体"/>
                <w:w w:val="80"/>
                <w:sz w:val="20"/>
                <w:szCs w:val="20"/>
              </w:rPr>
            </w:pPr>
            <w:r>
              <w:rPr>
                <w:rFonts w:hint="eastAsia" w:ascii="宋体" w:hAnsi="宋体" w:cs="宋体"/>
                <w:w w:val="80"/>
                <w:kern w:val="0"/>
                <w:sz w:val="20"/>
                <w:szCs w:val="20"/>
              </w:rPr>
              <w:t>巡查病室内空间大小情况。</w:t>
            </w:r>
          </w:p>
        </w:tc>
        <w:tc>
          <w:tcPr>
            <w:tcW w:w="9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tcPr>
          <w:p>
            <w:pPr>
              <w:rPr>
                <w:rFonts w:ascii="宋体" w:hAnsi="宋体" w:cs="宋体"/>
                <w:sz w:val="20"/>
                <w:szCs w:val="20"/>
              </w:rPr>
            </w:pPr>
          </w:p>
        </w:tc>
      </w:tr>
      <w:tr>
        <w:tblPrEx>
          <w:tblCellMar>
            <w:top w:w="0" w:type="dxa"/>
            <w:left w:w="0" w:type="dxa"/>
            <w:bottom w:w="0" w:type="dxa"/>
            <w:right w:w="0" w:type="dxa"/>
          </w:tblCellMar>
        </w:tblPrEx>
        <w:trPr>
          <w:trHeight w:val="480" w:hRule="atLeast"/>
        </w:trPr>
        <w:tc>
          <w:tcPr>
            <w:tcW w:w="151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sz w:val="20"/>
                <w:szCs w:val="20"/>
              </w:rPr>
            </w:pPr>
            <w:r>
              <w:rPr>
                <w:rFonts w:hint="eastAsia" w:ascii="宋体" w:hAnsi="宋体" w:cs="宋体"/>
                <w:kern w:val="0"/>
                <w:sz w:val="20"/>
                <w:szCs w:val="20"/>
              </w:rPr>
              <w:t>四、老年友善环境（25分）</w:t>
            </w:r>
          </w:p>
        </w:tc>
        <w:tc>
          <w:tcPr>
            <w:tcW w:w="1476"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14.设施与家具（9分）</w:t>
            </w:r>
          </w:p>
        </w:tc>
        <w:tc>
          <w:tcPr>
            <w:tcW w:w="55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14.1  病床旁边应设置呼叫器及清晰易于使用的床灯开关。（1分）</w:t>
            </w:r>
          </w:p>
        </w:tc>
        <w:tc>
          <w:tcPr>
            <w:tcW w:w="3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cs="宋体"/>
                <w:w w:val="80"/>
                <w:sz w:val="20"/>
                <w:szCs w:val="20"/>
              </w:rPr>
            </w:pPr>
            <w:r>
              <w:rPr>
                <w:rFonts w:hint="eastAsia" w:ascii="宋体" w:hAnsi="宋体" w:cs="宋体"/>
                <w:w w:val="80"/>
                <w:kern w:val="0"/>
                <w:sz w:val="20"/>
                <w:szCs w:val="20"/>
              </w:rPr>
              <w:t>巡查病室内床旁设施配置情况。</w:t>
            </w:r>
          </w:p>
        </w:tc>
        <w:tc>
          <w:tcPr>
            <w:tcW w:w="9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tcPr>
          <w:p>
            <w:pPr>
              <w:rPr>
                <w:rFonts w:ascii="宋体" w:hAnsi="宋体" w:cs="宋体"/>
                <w:sz w:val="20"/>
                <w:szCs w:val="20"/>
              </w:rPr>
            </w:pPr>
          </w:p>
        </w:tc>
      </w:tr>
      <w:tr>
        <w:tblPrEx>
          <w:tblCellMar>
            <w:top w:w="0" w:type="dxa"/>
            <w:left w:w="0" w:type="dxa"/>
            <w:bottom w:w="0" w:type="dxa"/>
            <w:right w:w="0" w:type="dxa"/>
          </w:tblCellMar>
        </w:tblPrEx>
        <w:trPr>
          <w:trHeight w:val="720" w:hRule="atLeast"/>
        </w:trPr>
        <w:tc>
          <w:tcPr>
            <w:tcW w:w="151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c>
          <w:tcPr>
            <w:tcW w:w="147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55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14.2  卫生间门的宽度满足轮椅进出尺寸要求，宽度不少于0.8米，回转空间直径不小于1.5米。（1分）</w:t>
            </w:r>
          </w:p>
        </w:tc>
        <w:tc>
          <w:tcPr>
            <w:tcW w:w="3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cs="宋体"/>
                <w:w w:val="80"/>
                <w:sz w:val="20"/>
                <w:szCs w:val="20"/>
              </w:rPr>
            </w:pPr>
            <w:r>
              <w:rPr>
                <w:rFonts w:hint="eastAsia" w:ascii="宋体" w:hAnsi="宋体" w:cs="宋体"/>
                <w:w w:val="80"/>
                <w:kern w:val="0"/>
                <w:sz w:val="20"/>
                <w:szCs w:val="20"/>
              </w:rPr>
              <w:t>重点巡查病房和公共区域卫生间的安全设施和空间大小。</w:t>
            </w:r>
          </w:p>
        </w:tc>
        <w:tc>
          <w:tcPr>
            <w:tcW w:w="9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tcPr>
          <w:p>
            <w:pPr>
              <w:rPr>
                <w:rFonts w:ascii="宋体" w:hAnsi="宋体" w:cs="宋体"/>
                <w:sz w:val="20"/>
                <w:szCs w:val="20"/>
              </w:rPr>
            </w:pPr>
          </w:p>
        </w:tc>
      </w:tr>
      <w:tr>
        <w:tblPrEx>
          <w:tblCellMar>
            <w:top w:w="0" w:type="dxa"/>
            <w:left w:w="0" w:type="dxa"/>
            <w:bottom w:w="0" w:type="dxa"/>
            <w:right w:w="0" w:type="dxa"/>
          </w:tblCellMar>
        </w:tblPrEx>
        <w:trPr>
          <w:trHeight w:val="960" w:hRule="atLeast"/>
        </w:trPr>
        <w:tc>
          <w:tcPr>
            <w:tcW w:w="151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c>
          <w:tcPr>
            <w:tcW w:w="147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55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14.3  设有老年医学科住院病房的，每护理单元应设置浴室，浴室设施能满足自理、半失能和失能老年患者的多种需求；浴室内设有马桶和座椅。（1分）</w:t>
            </w:r>
          </w:p>
        </w:tc>
        <w:tc>
          <w:tcPr>
            <w:tcW w:w="3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cs="宋体"/>
                <w:w w:val="80"/>
                <w:sz w:val="20"/>
                <w:szCs w:val="20"/>
              </w:rPr>
            </w:pPr>
            <w:r>
              <w:rPr>
                <w:rFonts w:hint="eastAsia" w:ascii="宋体" w:hAnsi="宋体" w:cs="宋体"/>
                <w:w w:val="80"/>
                <w:kern w:val="0"/>
                <w:sz w:val="20"/>
                <w:szCs w:val="20"/>
              </w:rPr>
              <w:t>巡查病区浴室配置和安全设施情况。</w:t>
            </w:r>
          </w:p>
        </w:tc>
        <w:tc>
          <w:tcPr>
            <w:tcW w:w="9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tcPr>
          <w:p>
            <w:pPr>
              <w:rPr>
                <w:rFonts w:ascii="宋体" w:hAnsi="宋体" w:cs="宋体"/>
                <w:sz w:val="20"/>
                <w:szCs w:val="20"/>
              </w:rPr>
            </w:pPr>
          </w:p>
        </w:tc>
      </w:tr>
      <w:tr>
        <w:tblPrEx>
          <w:tblCellMar>
            <w:top w:w="0" w:type="dxa"/>
            <w:left w:w="0" w:type="dxa"/>
            <w:bottom w:w="0" w:type="dxa"/>
            <w:right w:w="0" w:type="dxa"/>
          </w:tblCellMar>
        </w:tblPrEx>
        <w:trPr>
          <w:trHeight w:val="960" w:hRule="atLeast"/>
        </w:trPr>
        <w:tc>
          <w:tcPr>
            <w:tcW w:w="151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c>
          <w:tcPr>
            <w:tcW w:w="147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55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14.4  建筑内设有电梯时，每组电梯应至少设置1部无障碍电梯。易从主入口和重要通道进入电梯，电梯门、电动门自动阻尼延时≥4秒。（1分）</w:t>
            </w:r>
          </w:p>
        </w:tc>
        <w:tc>
          <w:tcPr>
            <w:tcW w:w="3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cs="宋体"/>
                <w:w w:val="80"/>
                <w:sz w:val="20"/>
                <w:szCs w:val="20"/>
              </w:rPr>
            </w:pPr>
            <w:r>
              <w:rPr>
                <w:rFonts w:hint="eastAsia" w:ascii="宋体" w:hAnsi="宋体" w:cs="宋体"/>
                <w:w w:val="80"/>
                <w:kern w:val="0"/>
                <w:sz w:val="20"/>
                <w:szCs w:val="20"/>
              </w:rPr>
              <w:t>重点巡查医院电梯配置、电梯门开合时间是否适合于老年人。</w:t>
            </w:r>
          </w:p>
        </w:tc>
        <w:tc>
          <w:tcPr>
            <w:tcW w:w="9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tcPr>
          <w:p>
            <w:pPr>
              <w:rPr>
                <w:rFonts w:ascii="宋体" w:hAnsi="宋体" w:cs="宋体"/>
                <w:sz w:val="20"/>
                <w:szCs w:val="20"/>
              </w:rPr>
            </w:pPr>
          </w:p>
        </w:tc>
      </w:tr>
      <w:tr>
        <w:tblPrEx>
          <w:tblCellMar>
            <w:top w:w="0" w:type="dxa"/>
            <w:left w:w="0" w:type="dxa"/>
            <w:bottom w:w="0" w:type="dxa"/>
            <w:right w:w="0" w:type="dxa"/>
          </w:tblCellMar>
        </w:tblPrEx>
        <w:trPr>
          <w:trHeight w:val="720" w:hRule="atLeast"/>
        </w:trPr>
        <w:tc>
          <w:tcPr>
            <w:tcW w:w="151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c>
          <w:tcPr>
            <w:tcW w:w="147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55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14.5  家具稳固，带轮子的桌椅需可制动（0.5分）；桌边需与地板等环境颜色对比明显（0.5分），桌子高度可供轮椅伸入。（0.5分）</w:t>
            </w:r>
          </w:p>
        </w:tc>
        <w:tc>
          <w:tcPr>
            <w:tcW w:w="3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cs="宋体"/>
                <w:w w:val="80"/>
                <w:sz w:val="20"/>
                <w:szCs w:val="20"/>
              </w:rPr>
            </w:pPr>
            <w:r>
              <w:rPr>
                <w:rFonts w:hint="eastAsia" w:ascii="宋体" w:hAnsi="宋体" w:cs="宋体"/>
                <w:w w:val="80"/>
                <w:kern w:val="0"/>
                <w:sz w:val="20"/>
                <w:szCs w:val="20"/>
              </w:rPr>
              <w:t>重点巡查病室内家具配置情况。</w:t>
            </w:r>
          </w:p>
        </w:tc>
        <w:tc>
          <w:tcPr>
            <w:tcW w:w="9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tcPr>
          <w:p>
            <w:pPr>
              <w:rPr>
                <w:rFonts w:ascii="宋体" w:hAnsi="宋体" w:cs="宋体"/>
                <w:sz w:val="20"/>
                <w:szCs w:val="20"/>
              </w:rPr>
            </w:pPr>
          </w:p>
        </w:tc>
      </w:tr>
      <w:tr>
        <w:tblPrEx>
          <w:tblCellMar>
            <w:top w:w="0" w:type="dxa"/>
            <w:left w:w="0" w:type="dxa"/>
            <w:bottom w:w="0" w:type="dxa"/>
            <w:right w:w="0" w:type="dxa"/>
          </w:tblCellMar>
        </w:tblPrEx>
        <w:trPr>
          <w:trHeight w:val="480" w:hRule="atLeast"/>
        </w:trPr>
        <w:tc>
          <w:tcPr>
            <w:tcW w:w="151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c>
          <w:tcPr>
            <w:tcW w:w="147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55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14.6 病床高度可调，有隔档、减压床垫。（1分）</w:t>
            </w:r>
          </w:p>
        </w:tc>
        <w:tc>
          <w:tcPr>
            <w:tcW w:w="3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cs="宋体"/>
                <w:w w:val="80"/>
                <w:sz w:val="20"/>
                <w:szCs w:val="20"/>
              </w:rPr>
            </w:pPr>
            <w:r>
              <w:rPr>
                <w:rFonts w:hint="eastAsia" w:ascii="宋体" w:hAnsi="宋体" w:cs="宋体"/>
                <w:w w:val="80"/>
                <w:kern w:val="0"/>
                <w:sz w:val="20"/>
                <w:szCs w:val="20"/>
              </w:rPr>
              <w:t>重点巡查病室内床的配置情况。</w:t>
            </w:r>
          </w:p>
        </w:tc>
        <w:tc>
          <w:tcPr>
            <w:tcW w:w="9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tcPr>
          <w:p>
            <w:pPr>
              <w:rPr>
                <w:rFonts w:ascii="宋体" w:hAnsi="宋体" w:cs="宋体"/>
                <w:sz w:val="20"/>
                <w:szCs w:val="20"/>
              </w:rPr>
            </w:pPr>
          </w:p>
        </w:tc>
      </w:tr>
      <w:tr>
        <w:tblPrEx>
          <w:tblCellMar>
            <w:top w:w="0" w:type="dxa"/>
            <w:left w:w="0" w:type="dxa"/>
            <w:bottom w:w="0" w:type="dxa"/>
            <w:right w:w="0" w:type="dxa"/>
          </w:tblCellMar>
        </w:tblPrEx>
        <w:trPr>
          <w:trHeight w:val="960" w:hRule="atLeast"/>
        </w:trPr>
        <w:tc>
          <w:tcPr>
            <w:tcW w:w="151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c>
          <w:tcPr>
            <w:tcW w:w="147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55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14.7  桌椅应为圆边或在家具尖角、墙角处安装防撞护角、防撞条；应防滑、易清洁，图案适宜；座椅应有扶手，椅背向后倾斜，座椅高460-485mm，深457-508mm。（2.5分）</w:t>
            </w:r>
          </w:p>
        </w:tc>
        <w:tc>
          <w:tcPr>
            <w:tcW w:w="3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cs="宋体"/>
                <w:w w:val="80"/>
                <w:sz w:val="20"/>
                <w:szCs w:val="20"/>
              </w:rPr>
            </w:pPr>
            <w:r>
              <w:rPr>
                <w:rFonts w:hint="eastAsia" w:ascii="宋体" w:hAnsi="宋体" w:cs="宋体"/>
                <w:w w:val="80"/>
                <w:kern w:val="0"/>
                <w:sz w:val="20"/>
                <w:szCs w:val="20"/>
              </w:rPr>
              <w:t>重点巡查病室内座椅是否适合老年人使用和安全。</w:t>
            </w:r>
          </w:p>
        </w:tc>
        <w:tc>
          <w:tcPr>
            <w:tcW w:w="99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ascii="宋体" w:hAnsi="宋体" w:cs="宋体"/>
                <w:sz w:val="20"/>
                <w:szCs w:val="20"/>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wZjE1ZjgxOWU5ZDM1ZjlhMWVhYjlhMGM3Y2ExNjUifQ=="/>
  </w:docVars>
  <w:rsids>
    <w:rsidRoot w:val="00DA5296"/>
    <w:rsid w:val="00962E50"/>
    <w:rsid w:val="00DA5296"/>
    <w:rsid w:val="53AA6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link w:val="10"/>
    <w:semiHidden/>
    <w:unhideWhenUsed/>
    <w:qFormat/>
    <w:uiPriority w:val="9"/>
    <w:pPr>
      <w:keepNext/>
      <w:keepLines/>
      <w:spacing w:before="260" w:after="260" w:line="416" w:lineRule="auto"/>
      <w:outlineLvl w:val="2"/>
    </w:pPr>
    <w:rPr>
      <w:b/>
      <w:bCs/>
      <w:sz w:val="32"/>
      <w:szCs w:val="32"/>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customStyle="1" w:styleId="5">
    <w:name w:val="font81"/>
    <w:qFormat/>
    <w:uiPriority w:val="0"/>
    <w:rPr>
      <w:rFonts w:hint="eastAsia" w:ascii="宋体" w:hAnsi="宋体" w:eastAsia="宋体" w:cs="宋体"/>
      <w:color w:val="FF0000"/>
      <w:sz w:val="20"/>
      <w:szCs w:val="20"/>
      <w:u w:val="none"/>
    </w:rPr>
  </w:style>
  <w:style w:type="character" w:customStyle="1" w:styleId="6">
    <w:name w:val="font11"/>
    <w:qFormat/>
    <w:uiPriority w:val="0"/>
    <w:rPr>
      <w:rFonts w:hint="eastAsia" w:ascii="宋体" w:hAnsi="宋体" w:eastAsia="宋体" w:cs="宋体"/>
      <w:color w:val="000000"/>
      <w:sz w:val="20"/>
      <w:szCs w:val="20"/>
      <w:u w:val="none"/>
    </w:rPr>
  </w:style>
  <w:style w:type="character" w:customStyle="1" w:styleId="7">
    <w:name w:val="font31"/>
    <w:qFormat/>
    <w:uiPriority w:val="0"/>
    <w:rPr>
      <w:rFonts w:hint="eastAsia" w:ascii="宋体" w:hAnsi="宋体" w:eastAsia="宋体" w:cs="宋体"/>
      <w:color w:val="FF6600"/>
      <w:sz w:val="20"/>
      <w:szCs w:val="20"/>
      <w:u w:val="none"/>
    </w:rPr>
  </w:style>
  <w:style w:type="character" w:customStyle="1" w:styleId="8">
    <w:name w:val="font41"/>
    <w:qFormat/>
    <w:uiPriority w:val="0"/>
    <w:rPr>
      <w:rFonts w:hint="eastAsia" w:ascii="宋体" w:hAnsi="宋体" w:eastAsia="宋体" w:cs="宋体"/>
      <w:color w:val="ED7D31"/>
      <w:sz w:val="20"/>
      <w:szCs w:val="20"/>
      <w:u w:val="none"/>
    </w:rPr>
  </w:style>
  <w:style w:type="character" w:customStyle="1" w:styleId="9">
    <w:name w:val="font51"/>
    <w:qFormat/>
    <w:uiPriority w:val="0"/>
    <w:rPr>
      <w:rFonts w:ascii="仿宋" w:hAnsi="仿宋" w:eastAsia="仿宋" w:cs="仿宋"/>
      <w:color w:val="000000"/>
      <w:sz w:val="20"/>
      <w:szCs w:val="20"/>
      <w:u w:val="none"/>
    </w:rPr>
  </w:style>
  <w:style w:type="character" w:customStyle="1" w:styleId="10">
    <w:name w:val="标题 3 Char"/>
    <w:basedOn w:val="4"/>
    <w:link w:val="2"/>
    <w:semiHidden/>
    <w:uiPriority w:val="9"/>
    <w:rPr>
      <w:rFonts w:ascii="Calibri" w:hAnsi="Calibri" w:eastAsia="宋体" w:cs="Times New Roman"/>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4666</Words>
  <Characters>4939</Characters>
  <Lines>137</Lines>
  <Paragraphs>86</Paragraphs>
  <TotalTime>1</TotalTime>
  <ScaleCrop>false</ScaleCrop>
  <LinksUpToDate>false</LinksUpToDate>
  <CharactersWithSpaces>5062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2023-08-15T09:49:00Z</dcterms:created>
  <dc:creator>wjw</dc:creator>
  <cp:lastModifiedBy>HUAWEI</cp:lastModifiedBy>
  <dcterms:modified xsi:type="dcterms:W3CDTF">2023-08-17T12:17:46Z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9CD8AD231AAB47C7A5CEF794DAE1D493_12</vt:lpwstr>
  </property>
</Properties>
</file>