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after="469" w:afterLines="150" w:line="592" w:lineRule="exact"/>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附件2</w:t>
      </w:r>
    </w:p>
    <w:p>
      <w:pPr>
        <w:keepNext w:val="0"/>
        <w:keepLines w:val="0"/>
        <w:pageBreakBefore w:val="0"/>
        <w:kinsoku/>
        <w:wordWrap/>
        <w:overflowPunct w:val="0"/>
        <w:topLinePunct w:val="0"/>
        <w:autoSpaceDE/>
        <w:autoSpaceDN/>
        <w:bidi w:val="0"/>
        <w:spacing w:line="592" w:lineRule="exact"/>
        <w:jc w:val="center"/>
        <w:outlineLvl w:val="0"/>
        <w:rPr>
          <w:rFonts w:hint="default" w:ascii="Times New Roman" w:hAnsi="Times New Roman" w:eastAsia="方正小标宋_GBK" w:cs="Times New Roman"/>
          <w:b/>
          <w:color w:val="auto"/>
          <w:sz w:val="44"/>
          <w:szCs w:val="44"/>
        </w:rPr>
      </w:pPr>
      <w:r>
        <w:rPr>
          <w:rFonts w:hint="default" w:ascii="Times New Roman" w:hAnsi="Times New Roman" w:eastAsia="方正小标宋简体" w:cs="Times New Roman"/>
          <w:bCs/>
          <w:color w:val="auto"/>
          <w:sz w:val="44"/>
          <w:szCs w:val="44"/>
        </w:rPr>
        <w:t>实行按疗效价值付费的中医优势病种收治标准和疗效评价标准</w:t>
      </w:r>
    </w:p>
    <w:p>
      <w:pPr>
        <w:keepNext w:val="0"/>
        <w:keepLines w:val="0"/>
        <w:pageBreakBefore w:val="0"/>
        <w:widowControl w:val="0"/>
        <w:kinsoku/>
        <w:wordWrap/>
        <w:overflowPunct w:val="0"/>
        <w:topLinePunct w:val="0"/>
        <w:autoSpaceDE/>
        <w:autoSpaceDN/>
        <w:bidi w:val="0"/>
        <w:adjustRightInd/>
        <w:snapToGrid/>
        <w:spacing w:line="592" w:lineRule="exact"/>
        <w:ind w:firstLine="480" w:firstLineChars="200"/>
        <w:jc w:val="both"/>
        <w:textAlignment w:val="auto"/>
        <w:rPr>
          <w:rFonts w:hint="default" w:ascii="Times New Roman" w:hAnsi="Times New Roman" w:eastAsia="黑体" w:cs="Times New Roman"/>
          <w:color w:val="auto"/>
          <w:sz w:val="24"/>
        </w:rPr>
      </w:pP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一、混合痔</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1.中医诊断：第一诊断为混合痔（TCD编码 A08.03.01.03）</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2.西医诊断：第一诊断为混合痔（ICD-10编码 K64.811）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（二）收治标准（即手术适应症）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诊断符合混合痔的患者，临床症状明显，经保守治疗无效者；混合痔的内痔部分达到二期以上；外痔突发血栓、感染，保守治疗无效者。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（三）住院符合手术操作的中医治疗或诊疗项目</w:t>
      </w:r>
    </w:p>
    <w:tbl>
      <w:tblPr>
        <w:tblStyle w:val="9"/>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4293"/>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符合手术操作的中医治疗或诊疗项目名称</w:t>
            </w:r>
          </w:p>
        </w:tc>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主要手术操作</w:t>
            </w:r>
          </w:p>
        </w:tc>
        <w:tc>
          <w:tcPr>
            <w:tcW w:w="42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混合痔外剥内扎术</w:t>
            </w:r>
          </w:p>
        </w:tc>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其他手术操作</w:t>
            </w:r>
          </w:p>
        </w:tc>
        <w:tc>
          <w:tcPr>
            <w:tcW w:w="42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内痔硬化剂注射治疗</w:t>
            </w:r>
          </w:p>
        </w:tc>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书宋简体" w:cs="Times New Roman"/>
                <w:color w:val="auto"/>
                <w:sz w:val="20"/>
                <w:szCs w:val="20"/>
              </w:rPr>
            </w:pPr>
          </w:p>
        </w:tc>
        <w:tc>
          <w:tcPr>
            <w:tcW w:w="42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内痔套扎治疗（肛周常见疾病套扎手术治疗）</w:t>
            </w:r>
          </w:p>
        </w:tc>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17.98320</w:t>
            </w:r>
          </w:p>
        </w:tc>
      </w:tr>
    </w:tbl>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（四）住院基本治疗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1.行中医肛肠专科特色手术治疗。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2.术后手术创面使用中药药液熏洗坐浴。</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3.术后手术创面处运用中医特色药物专科换药以促进伤口肉芽生长及创面愈合。</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4.中医特色疗法辨证施治：如穴位贴敷、隔物灸治疗、耳穴压豆、中药热奄包、中医定向透药、中药保留灌肠等治疗改善术后疼痛、调理排便、预防术后尿潴留。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5.根据疾病不同阶段辨证施治予口服中药或中成药。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b w:val="0"/>
          <w:bCs/>
          <w:color w:val="auto"/>
          <w:sz w:val="32"/>
          <w:szCs w:val="32"/>
        </w:rPr>
        <w:t>（五）住院天数：</w:t>
      </w:r>
      <w:r>
        <w:rPr>
          <w:rFonts w:hint="default" w:ascii="Times New Roman" w:hAnsi="Times New Roman" w:eastAsia="仿宋_GB2312" w:cs="Times New Roman"/>
          <w:bCs/>
          <w:color w:val="auto"/>
          <w:sz w:val="32"/>
          <w:szCs w:val="32"/>
        </w:rPr>
        <w:t>5天≤住院日≤10天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（六）出院疗效判定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1.患者无发热、伤口疼痛可忍受。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2.肛门无狭窄、排便功能基本正常、创面无渗出、无水肿。</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3.没有需要住院继续治疗的严重并发症。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二、高位肛瘘/复杂性肛瘘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（一）适用对象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1.中医诊断：第一诊断为肛漏（TCD编码A08.03.06）</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2.西医诊断：第一诊断为高位肛瘘（ICD-10编码K60.301）、复杂性肛瘘（ICD-10编码K60.303）</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（二）收治标准（即手术适应症）</w:t>
      </w:r>
    </w:p>
    <w:p>
      <w:pPr>
        <w:keepNext w:val="0"/>
        <w:keepLines w:val="0"/>
        <w:pageBreakBefore w:val="0"/>
        <w:widowControl w:val="0"/>
        <w:kinsoku/>
        <w:wordWrap/>
        <w:overflowPunct w:val="0"/>
        <w:topLinePunct w:val="0"/>
        <w:autoSpaceDE/>
        <w:autoSpaceDN/>
        <w:bidi w:val="0"/>
        <w:adjustRightInd/>
        <w:snapToGrid/>
        <w:spacing w:line="592" w:lineRule="exact"/>
        <w:ind w:firstLine="596" w:firstLineChars="200"/>
        <w:jc w:val="both"/>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符合高位肛瘘或者复杂性肛瘘的诊断，无绝对手术禁忌症的患者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（三）住院符合手术操作的中医治疗或诊疗项目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2"/>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符合手术操作的中医治疗或诊疗项目名称</w:t>
            </w:r>
          </w:p>
        </w:tc>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高位复杂肛瘘挂线治疗</w:t>
            </w:r>
          </w:p>
        </w:tc>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17.98124</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（四）住院基本治疗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1.行中医肛肠专科特色手术治疗；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行高位复杂肛瘘挂线治疗：切开后潜行剔除部分瘘管后，切除感染灶内口；瘘管涉及外括约肌行挂线紧线术，则内口探针或弯钳自内口处或者瘘管最高薄弱点处穿出，挂以橡皮筋，一端从外口出，一端从肛内内口处穿出，再收紧橡皮筋两端，使其松紧适宜后，结扎固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3.术后创面使用特色中药熏洗坐浴、使用特色中成药软膏进行肛瘘专科换药；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4.术后橡皮筋老化，弹性降低，更换橡皮筋行中医肛肠术后紧线治疗；</w:t>
      </w:r>
    </w:p>
    <w:p>
      <w:pPr>
        <w:keepNext w:val="0"/>
        <w:keepLines w:val="0"/>
        <w:pageBreakBefore w:val="0"/>
        <w:widowControl w:val="0"/>
        <w:kinsoku/>
        <w:wordWrap/>
        <w:overflowPunct w:val="0"/>
        <w:topLinePunct w:val="0"/>
        <w:autoSpaceDE/>
        <w:autoSpaceDN/>
        <w:bidi w:val="0"/>
        <w:adjustRightInd/>
        <w:snapToGrid/>
        <w:spacing w:line="592" w:lineRule="exact"/>
        <w:ind w:firstLine="616"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5.肛瘘术后创面老化的清创治疗、创面引流不畅的切口修整；</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6.中医特色疗法辨证施治：如中医隔物灸法、穴位贴敷、耳穴压豆改善术后疼痛、调理排便、预防术后尿潴留；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7.根据疾病不同阶段辨证施治予口服中药或中成药。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color w:val="auto"/>
          <w:sz w:val="32"/>
          <w:szCs w:val="32"/>
        </w:rPr>
        <w:t>（五）住院天数：</w:t>
      </w:r>
      <w:r>
        <w:rPr>
          <w:rFonts w:hint="default" w:ascii="Times New Roman" w:hAnsi="Times New Roman" w:eastAsia="仿宋_GB2312" w:cs="Times New Roman"/>
          <w:color w:val="auto"/>
          <w:sz w:val="32"/>
          <w:szCs w:val="32"/>
        </w:rPr>
        <w:t>10天≤住院日≤21天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（六）出院疗效判定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1.括约肌挂线之橡皮筋已脱落或虽未脱落但无需再次紧线，切口引流通畅，创面无脓性渗出物；</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2.肛门疼痛缓解，基本不影响正常活动，排便正常。</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3.没有其他需要住院继续治疗的严重并发症。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三、直肠脱垂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（一）适用对象</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1.中医诊断：第一诊断为脱肛（TCD编码：A08.03.07）</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2.西医诊断：第一诊断为直肠脱垂（ICD-10编码：K62.300）</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（二）收治标准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诊断符合直肠脱垂的成人患者，包括临床常用各类分型：Ⅰ、Ⅱ、Ⅲ度直肠脱垂、直肠粘膜脱垂；或婴幼儿直肠脱垂经保守治疗无效，仍有肛门坠胀、排便困难等症状的患者。</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（三）住院符合手术操作的中医治疗或诊疗项目</w:t>
      </w: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2"/>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符合手术操作的中医治疗或诊疗项目名称</w:t>
            </w:r>
          </w:p>
        </w:tc>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直肠脱垂注射治疗</w:t>
            </w:r>
          </w:p>
        </w:tc>
        <w:tc>
          <w:tcPr>
            <w:tcW w:w="4422" w:type="dxa"/>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17.98510</w:t>
            </w:r>
          </w:p>
        </w:tc>
      </w:tr>
    </w:tbl>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（四）住院基本治疗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肛肠特色手术治疗。术中根据脱垂程度选择适宜的手术方式，仅直肠粘膜脱垂者选用直肠脱垂黏膜下注射治疗；直肠全层脱垂者选用选用直肠脱垂注射治疗；伴肛门括约肌松弛或肛门失禁者，选用肛外括约肌折叠术或肛门成形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2.术后创面使用特色中药熏洗坐浴、使用特色中药软膏进行专科换药；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3.术后选择中医特色疗法辨证施治：穴位贴敷、隔物灸、耳穴压豆等治疗改善术后疼痛、调理排便、预防术后尿潴留；</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4.根据疾病不同阶段中医辩证施治选择内服中药或中成药；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5.术后中医康复疗法：如盆底生物反馈治疗、提肛运动、养成良好排便习惯等。</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color w:val="auto"/>
          <w:sz w:val="32"/>
        </w:rPr>
        <w:t>（五）住院天数：</w:t>
      </w:r>
      <w:r>
        <w:rPr>
          <w:rFonts w:hint="default" w:ascii="Times New Roman" w:hAnsi="Times New Roman" w:eastAsia="仿宋_GB2312" w:cs="Times New Roman"/>
          <w:color w:val="auto"/>
          <w:sz w:val="32"/>
        </w:rPr>
        <w:t>10天≤住院日≤14天</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b/>
          <w:color w:val="auto"/>
          <w:sz w:val="32"/>
        </w:rPr>
      </w:pPr>
      <w:r>
        <w:rPr>
          <w:rFonts w:hint="default" w:ascii="Times New Roman" w:hAnsi="Times New Roman" w:eastAsia="楷体_GB2312" w:cs="Times New Roman"/>
          <w:b w:val="0"/>
          <w:bCs/>
          <w:color w:val="auto"/>
          <w:sz w:val="32"/>
        </w:rPr>
        <w:t>（六）出院疗效判定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1.肛门坠胀、排便困难等症状基本消失或减轻。</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2.腹压增加或排便时直肠无脱垂或无全层脱垂。</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3.肛门指诊肛门直肠内无堆积的直肠黏膜或脱出物，肛门闭合完全。</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sz w:val="32"/>
          <w:szCs w:val="32"/>
        </w:rPr>
        <w:t>四、锁骨骨折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2.西医诊断：第一诊断为锁骨骨折（ICD-10编码：S42.0）。</w:t>
      </w:r>
    </w:p>
    <w:tbl>
      <w:tblPr>
        <w:tblStyle w:val="9"/>
        <w:tblW w:w="4880"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锁骨骨折</w:t>
            </w:r>
          </w:p>
        </w:tc>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锁骨胸骨端骨折</w:t>
            </w:r>
          </w:p>
        </w:tc>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S42.000x011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锁骨干骨折</w:t>
            </w:r>
          </w:p>
        </w:tc>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S42.000x021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锁骨肩峰端骨折</w:t>
            </w:r>
          </w:p>
        </w:tc>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S42.000x031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锁骨多发性骨折</w:t>
            </w:r>
          </w:p>
        </w:tc>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S42.000x091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开放性锁骨骨折</w:t>
            </w:r>
          </w:p>
        </w:tc>
        <w:tc>
          <w:tcPr>
            <w:tcW w:w="2500" w:type="pct"/>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S42.010</w:t>
            </w:r>
          </w:p>
        </w:tc>
      </w:tr>
    </w:tbl>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（二）收入院标准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成人符合以下情形之一可收入院治疗：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1.骨折明显移位需行整复。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2.复位后，骨折断端有继发移位倾向。</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3.合并肩关节处的脱位或骨骺骨折。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2.外固定治疗及调整：小夹板配合“8”字绷带固定，或锁骨带固定，三角巾悬吊。每日调整外固定松紧度。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pacing w:val="-11"/>
          <w:sz w:val="32"/>
        </w:rPr>
      </w:pPr>
      <w:r>
        <w:rPr>
          <w:rFonts w:hint="default" w:ascii="Times New Roman" w:hAnsi="Times New Roman" w:eastAsia="仿宋_GB2312" w:cs="Times New Roman"/>
          <w:color w:val="auto"/>
          <w:sz w:val="32"/>
        </w:rPr>
        <w:t>5.理筋</w:t>
      </w:r>
      <w:r>
        <w:rPr>
          <w:rFonts w:hint="default" w:ascii="Times New Roman" w:hAnsi="Times New Roman" w:eastAsia="仿宋_GB2312" w:cs="Times New Roman"/>
          <w:color w:val="auto"/>
          <w:spacing w:val="-11"/>
          <w:sz w:val="32"/>
        </w:rPr>
        <w:t>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（四）住院天数≥10天</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3.连续三次规律复查X线检查，</w:t>
      </w:r>
      <w:r>
        <w:rPr>
          <w:rFonts w:hint="eastAsia" w:ascii="Times New Roman" w:hAnsi="Times New Roman" w:eastAsia="仿宋_GB2312" w:cs="Times New Roman"/>
          <w:color w:val="auto"/>
          <w:sz w:val="32"/>
        </w:rPr>
        <w:t>骨折对位对线良好且断端稳定</w:t>
      </w:r>
      <w:r>
        <w:rPr>
          <w:rFonts w:hint="default" w:ascii="Times New Roman" w:hAnsi="Times New Roman" w:eastAsia="仿宋_GB2312" w:cs="Times New Roman"/>
          <w:color w:val="auto"/>
          <w:sz w:val="32"/>
        </w:rPr>
        <w:t>，达到功能复位标准。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（六）治疗性操作</w:t>
      </w:r>
    </w:p>
    <w:tbl>
      <w:tblPr>
        <w:tblStyle w:val="9"/>
        <w:tblW w:w="4880" w:type="pct"/>
        <w:tblInd w:w="10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80" w:hRule="atLeast"/>
        </w:trPr>
        <w:tc>
          <w:tcPr>
            <w:tcW w:w="2500" w:type="pct"/>
            <w:tcBorders>
              <w:top w:val="single" w:color="auto" w:sz="4" w:space="0"/>
              <w:bottom w:val="single" w:color="auto" w:sz="4" w:space="0"/>
            </w:tcBorders>
            <w:noWrap/>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kern w:val="0"/>
                <w:sz w:val="20"/>
                <w:szCs w:val="20"/>
              </w:rPr>
              <w:t>17.97210</w:t>
            </w:r>
          </w:p>
        </w:tc>
        <w:tc>
          <w:tcPr>
            <w:tcW w:w="2500" w:type="pct"/>
            <w:tcBorders>
              <w:top w:val="single" w:color="auto" w:sz="4" w:space="0"/>
              <w:bottom w:val="single" w:color="auto" w:sz="4" w:space="0"/>
            </w:tcBorders>
            <w:noWrap/>
            <w:vAlign w:val="center"/>
          </w:tcPr>
          <w:p>
            <w:pPr>
              <w:keepNext w:val="0"/>
              <w:keepLines w:val="0"/>
              <w:pageBreakBefore w:val="0"/>
              <w:widowControl/>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锁骨骨折手法整复术</w:t>
            </w:r>
          </w:p>
        </w:tc>
      </w:tr>
    </w:tbl>
    <w:p>
      <w:pPr>
        <w:keepNext w:val="0"/>
        <w:keepLines w:val="0"/>
        <w:pageBreakBefore w:val="0"/>
        <w:widowControl w:val="0"/>
        <w:kinsoku w:val="0"/>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五、肱骨上端骨折</w:t>
      </w:r>
    </w:p>
    <w:p>
      <w:pPr>
        <w:keepNext w:val="0"/>
        <w:keepLines w:val="0"/>
        <w:pageBreakBefore w:val="0"/>
        <w:widowControl w:val="0"/>
        <w:kinsoku w:val="0"/>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widowControl w:val="0"/>
        <w:kinsoku w:val="0"/>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2.西医诊断：第一诊断为肱骨上端骨折（ICD-10编码：S42.2）。</w:t>
      </w:r>
    </w:p>
    <w:tbl>
      <w:tblPr>
        <w:tblStyle w:val="9"/>
        <w:tblW w:w="4855"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0"/>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肱骨上端骨折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肱骨近端骨折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肱骨近端骨骺分离</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肱骨解剖颈骨折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肱骨大结节骨折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肱骨小结节骨折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肱骨近端多发性骨折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肱骨颈骨折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肱骨外科颈骨折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肱骨头骨折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438"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开放性肱骨上端骨折</w:t>
            </w:r>
          </w:p>
        </w:tc>
        <w:tc>
          <w:tcPr>
            <w:tcW w:w="2561"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S42.210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成人符合以下情形之一可收入院治疗：</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1.骨折明显移位需行整复。</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2.骨折复位后断端有再移位倾向者。</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3.开放性损伤。</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4.伴有神经血管损伤。</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3.骨折复位后断端有再移位倾向者。</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4.合并肩关节处的脱位或骨骺损伤。</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2.外固定治疗及调整：小夹板固定，三角巾悬吊。每日调整外固定松紧度。</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5.理</w:t>
      </w:r>
      <w:r>
        <w:rPr>
          <w:rFonts w:hint="default" w:ascii="Times New Roman" w:hAnsi="Times New Roman" w:eastAsia="仿宋_GB2312" w:cs="Times New Roman"/>
          <w:color w:val="auto"/>
          <w:spacing w:val="-6"/>
          <w:sz w:val="32"/>
        </w:rPr>
        <w:t>筋手法治疗及关节松动训练等，避免肌肉萎缩、关节僵硬。</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3.连续三次规律复查X线检查，骨折对位对线良好且断端稳定，达到功能复位标准。</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92"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6"/>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75"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治疗代码</w:t>
            </w:r>
          </w:p>
        </w:tc>
        <w:tc>
          <w:tcPr>
            <w:tcW w:w="2424"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75"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highlight w:val="yellow"/>
              </w:rPr>
            </w:pPr>
            <w:r>
              <w:rPr>
                <w:rFonts w:hint="default" w:ascii="Times New Roman" w:hAnsi="Times New Roman" w:eastAsia="方正书宋简体" w:cs="Times New Roman"/>
                <w:color w:val="auto"/>
                <w:kern w:val="0"/>
                <w:sz w:val="20"/>
                <w:szCs w:val="20"/>
              </w:rPr>
              <w:t>17.97220</w:t>
            </w:r>
          </w:p>
        </w:tc>
        <w:tc>
          <w:tcPr>
            <w:tcW w:w="2424"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肱骨外科颈骨折手法整复术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75"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highlight w:val="yellow"/>
              </w:rPr>
            </w:pPr>
            <w:r>
              <w:rPr>
                <w:rFonts w:hint="default" w:ascii="Times New Roman" w:hAnsi="Times New Roman" w:eastAsia="方正书宋简体" w:cs="Times New Roman"/>
                <w:color w:val="auto"/>
                <w:kern w:val="0"/>
                <w:sz w:val="20"/>
                <w:szCs w:val="20"/>
              </w:rPr>
              <w:t>17.97230</w:t>
            </w:r>
          </w:p>
        </w:tc>
        <w:tc>
          <w:tcPr>
            <w:tcW w:w="2424"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肱骨大结节骨折手法整复术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六、肱骨干骨折</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2.西医诊断：第一诊断为肱骨干骨折（ICD-10编码：S42.3）。</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肱骨干骨折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肱骨干多发性骨折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S42.300x002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开放性肱骨干骨折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开放性肱骨骨折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S42.311</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成人符合以下情形之一可收入院治疗：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1.骨折明显移位需行整复。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2.骨折复位后断端有继发移位倾向者。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3.骨折复位后有继发移位倾向者。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4.合并骨端分离移位、不愈合等并发症的骨折。</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2.外固定治疗及调整：小夹板固定，三角巾悬吊。每日调整外固定松紧度。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5.理</w:t>
      </w:r>
      <w:r>
        <w:rPr>
          <w:rFonts w:hint="default" w:ascii="Times New Roman" w:hAnsi="Times New Roman" w:eastAsia="仿宋_GB2312" w:cs="Times New Roman"/>
          <w:color w:val="auto"/>
          <w:spacing w:val="-6"/>
          <w:sz w:val="32"/>
        </w:rPr>
        <w:t>筋手法治疗及关节松动训练等，避免肌肉萎缩、关节僵硬</w:t>
      </w:r>
      <w:r>
        <w:rPr>
          <w:rFonts w:hint="default" w:ascii="Times New Roman" w:hAnsi="Times New Roman" w:eastAsia="仿宋_GB2312" w:cs="Times New Roman"/>
          <w:color w:val="auto"/>
          <w:sz w:val="32"/>
        </w:rPr>
        <w:t>。</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4.无肱骨干分离移位等并发症。</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治疗代码</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highlight w:val="yellow"/>
              </w:rPr>
            </w:pPr>
            <w:r>
              <w:rPr>
                <w:rFonts w:hint="default" w:ascii="Times New Roman" w:hAnsi="Times New Roman" w:eastAsia="方正书宋简体" w:cs="Times New Roman"/>
                <w:color w:val="auto"/>
                <w:kern w:val="0"/>
                <w:sz w:val="20"/>
                <w:szCs w:val="20"/>
              </w:rPr>
              <w:t>17.97240</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肱骨干骨折手法整复术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七、肱骨远端骨折</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2.西医诊断：第一诊断为肱骨远端骨折（ICD-10编码：S42.4）。</w:t>
      </w:r>
    </w:p>
    <w:tbl>
      <w:tblPr>
        <w:tblStyle w:val="9"/>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3"/>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肱骨下端骨折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肱骨远端骨折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肱骨内上髁骨折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肱骨外上髁骨折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肱骨远端骨骺分离</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肱骨远端T型骨折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肱骨远端多发性骨折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肱骨滑车骨折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肱骨小头骨折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S42.400x093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肱骨髁上骨折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肱骨外髁骨折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肱骨髁间骨折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肱骨内髁骨折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05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开放性肱骨下端骨折</w:t>
            </w:r>
          </w:p>
        </w:tc>
        <w:tc>
          <w:tcPr>
            <w:tcW w:w="194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S42.410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成人符合以下情形之一可收入院治疗：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1.骨折明显移位需行整复。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2.骨折复位后断端有再移位倾向者。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3.骨折复位后有再移位倾向者。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4.合并关节处的脱位或骨骺分离的骨折。</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2.外固定治疗及调整：小夹板固定，三角巾悬吊。每日调整外固定松紧度。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5.理筋手法治疗及关节松动训练等，避免肌肉萎缩、关节僵硬。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3.连续三次规律复查X线检查，骨折对位对线良好且断端稳定，达到功能复位标准。</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治疗代码</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highlight w:val="yellow"/>
              </w:rPr>
            </w:pPr>
            <w:r>
              <w:rPr>
                <w:rFonts w:hint="default" w:ascii="Times New Roman" w:hAnsi="Times New Roman" w:eastAsia="方正书宋简体" w:cs="Times New Roman"/>
                <w:color w:val="auto"/>
                <w:kern w:val="0"/>
                <w:sz w:val="20"/>
                <w:szCs w:val="20"/>
              </w:rPr>
              <w:t>17.97250</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肱骨髁上骨折手法整复术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highlight w:val="yellow"/>
              </w:rPr>
            </w:pPr>
            <w:r>
              <w:rPr>
                <w:rFonts w:hint="default" w:ascii="Times New Roman" w:hAnsi="Times New Roman" w:eastAsia="方正书宋简体" w:cs="Times New Roman"/>
                <w:color w:val="auto"/>
                <w:kern w:val="0"/>
                <w:sz w:val="20"/>
                <w:szCs w:val="20"/>
              </w:rPr>
              <w:t>17.97260</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肱骨髁间骨折手法整复术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highlight w:val="yellow"/>
              </w:rPr>
            </w:pPr>
            <w:r>
              <w:rPr>
                <w:rFonts w:hint="default" w:ascii="Times New Roman" w:hAnsi="Times New Roman" w:eastAsia="方正书宋简体" w:cs="Times New Roman"/>
                <w:color w:val="auto"/>
                <w:kern w:val="0"/>
                <w:sz w:val="20"/>
                <w:szCs w:val="20"/>
              </w:rPr>
              <w:t>17.97270</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肱骨内外髁骨折手法整复术</w:t>
            </w:r>
          </w:p>
        </w:tc>
      </w:tr>
    </w:tbl>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八、桡骨下端骨折</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2.西医诊断：第一诊断为桡骨下端骨折（ICD-10编码：S52.50）。</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4"/>
        <w:gridCol w:w="4416"/>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7" w:hRule="atLeast"/>
          <w:jc w:val="center"/>
        </w:trPr>
        <w:tc>
          <w:tcPr>
            <w:tcW w:w="249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桡骨下端骨折</w:t>
            </w:r>
          </w:p>
        </w:tc>
        <w:tc>
          <w:tcPr>
            <w:tcW w:w="249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7" w:hRule="atLeast"/>
          <w:jc w:val="center"/>
        </w:trPr>
        <w:tc>
          <w:tcPr>
            <w:tcW w:w="249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桡骨远端骨折</w:t>
            </w:r>
          </w:p>
        </w:tc>
        <w:tc>
          <w:tcPr>
            <w:tcW w:w="249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7" w:hRule="atLeast"/>
          <w:jc w:val="center"/>
        </w:trPr>
        <w:tc>
          <w:tcPr>
            <w:tcW w:w="249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桡骨茎突骨折</w:t>
            </w:r>
          </w:p>
        </w:tc>
        <w:tc>
          <w:tcPr>
            <w:tcW w:w="249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97" w:hRule="atLeast"/>
          <w:jc w:val="center"/>
        </w:trPr>
        <w:tc>
          <w:tcPr>
            <w:tcW w:w="249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桡骨远端骨骺分离</w:t>
            </w:r>
          </w:p>
        </w:tc>
        <w:tc>
          <w:tcPr>
            <w:tcW w:w="249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科雷骨折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巴顿骨折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史密斯骨折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盖氏骨折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S52.300x011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桡骨关节内骨折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S52.500x091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屈曲型桡骨下端骨折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伸直型桡骨下端骨折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开放性桡骨下端骨折</w:t>
            </w:r>
          </w:p>
        </w:tc>
        <w:tc>
          <w:tcPr>
            <w:tcW w:w="25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S52.510</w:t>
            </w:r>
          </w:p>
        </w:tc>
      </w:tr>
    </w:tbl>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成人符合以下情形之一可收入院治疗：</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1.骨折明显移位需行整复。</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2.骨折复位后断端有再移位倾向者。</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3.开放性损伤。</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4.伴有神经血管损伤。</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3.骨折复位后有再移位倾向者。</w:t>
      </w:r>
    </w:p>
    <w:p>
      <w:pPr>
        <w:keepNext w:val="0"/>
        <w:keepLines w:val="0"/>
        <w:pageBreakBefore w:val="0"/>
        <w:widowControl w:val="0"/>
        <w:kinsoku/>
        <w:wordWrap/>
        <w:overflowPunct w:val="0"/>
        <w:topLinePunct w:val="0"/>
        <w:autoSpaceDE/>
        <w:autoSpaceDN/>
        <w:bidi w:val="0"/>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4.合并腕关节处的脱位或骨骺分离的骨折。</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2.外固定治疗及调整：小夹板固定，三角巾悬吊。每日调整外固定松紧度。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5.理筋手法治疗及关节松动训练等，避免肌肉萎缩、关节僵硬。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（四）住院天数≥7天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92" w:type="pct"/>
        <w:tblInd w:w="10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318"/>
        <w:gridCol w:w="454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trPr>
        <w:tc>
          <w:tcPr>
            <w:tcW w:w="2435" w:type="pct"/>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17.972E0</w:t>
            </w:r>
          </w:p>
        </w:tc>
        <w:tc>
          <w:tcPr>
            <w:tcW w:w="2564" w:type="pct"/>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25"/>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桡骨下端骨折手法整复术</w:t>
            </w:r>
          </w:p>
        </w:tc>
      </w:tr>
    </w:tbl>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九、桡尺骨骨干骨折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2.西医诊断：第一诊断为桡尺骨骨干骨折（ICD-10编码：S52.4）。</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尺骨和桡骨骨干均骨折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桡尺骨骨干骨折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S52.400x001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开放性尺骨桡骨骨干骨折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尺骨桡骨闭合性骨折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开放性尺骨桡骨骨折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S52.711</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成人符合以下情形之一可收入院治疗：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1.骨折明显移位需行整复。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2.骨折复位后断端有再移位倾向者。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3.骨折复位后有再移位倾向者。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4.合并肘、腕关节处的脱位或骨骺分离的骨折。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2.外固定治疗及调整：小夹板固定，三角巾悬吊。每日调整外固定松紧度。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pacing w:val="-6"/>
          <w:sz w:val="32"/>
        </w:rPr>
        <w:t>5.理筋手法治疗及关节松动训练等，避免肌肉萎缩、关节僵硬</w:t>
      </w:r>
      <w:r>
        <w:rPr>
          <w:rFonts w:hint="default" w:ascii="Times New Roman" w:hAnsi="Times New Roman" w:eastAsia="仿宋_GB2312" w:cs="Times New Roman"/>
          <w:color w:val="auto"/>
          <w:sz w:val="32"/>
        </w:rPr>
        <w:t>。</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3.连续三次规律复查X线检查，骨折对位对线良好且断端稳定，达到解剖或功能复位标准。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4" w:hRule="atLeast"/>
          <w:jc w:val="center"/>
        </w:trPr>
        <w:tc>
          <w:tcPr>
            <w:tcW w:w="2500" w:type="pct"/>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kern w:val="0"/>
                <w:sz w:val="20"/>
                <w:szCs w:val="20"/>
              </w:rPr>
              <w:t>17.972A0</w:t>
            </w:r>
          </w:p>
        </w:tc>
        <w:tc>
          <w:tcPr>
            <w:tcW w:w="2500" w:type="pct"/>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简体" w:cs="Times New Roman"/>
                <w:color w:val="auto"/>
                <w:sz w:val="20"/>
                <w:szCs w:val="20"/>
              </w:rPr>
            </w:pPr>
            <w:r>
              <w:rPr>
                <w:rStyle w:val="25"/>
                <w:rFonts w:hint="default" w:ascii="Times New Roman" w:hAnsi="Times New Roman" w:eastAsia="方正书宋简体" w:cs="Times New Roman"/>
                <w:color w:val="auto"/>
                <w:sz w:val="20"/>
                <w:szCs w:val="20"/>
              </w:rPr>
              <w:t>桡尺骨干双骨折手法整复术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sz w:val="32"/>
          <w:szCs w:val="32"/>
        </w:rPr>
        <w:t>十、掌骨骨折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2.西医诊断：第一诊断为掌骨骨折（TCD编码：S62.301）。</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第一掌骨骨折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第一掌骨基底骨折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第一掌骨干骨折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第一掌骨颈骨折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第一掌骨头骨折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S62.200x041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贝内特骨折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开放性第一掌骨骨折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掌骨骨折，其他的</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掌骨骨骺分离</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掌骨基底骨折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掌骨干骨折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掌骨颈骨折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掌骨头骨折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S62.300x041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开放性特指掌骨骨折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开放性掌骨骨折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掌骨多处骨折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开放性多发性掌骨骨折</w:t>
            </w:r>
          </w:p>
        </w:tc>
        <w:tc>
          <w:tcPr>
            <w:tcW w:w="2500" w:type="pct"/>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S62.410</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符合闭合性或开放的（I度）不稳定的掌骨骨折诊断。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2.外固定治疗及调整：小夹板或石膏外固定，每日调整外固定松紧度。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3.闭合性损伤外用中医特色药物、药膏，定期更换药膏；开放性的予以清创、无菌换药、红光治疗，伤口愈合后可予以外用中医特色药物及药膏。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w:t>
      </w:r>
      <w:r>
        <w:rPr>
          <w:rFonts w:hint="default" w:ascii="Times New Roman" w:hAnsi="Times New Roman" w:eastAsia="仿宋_GB2312" w:cs="Times New Roman"/>
          <w:color w:val="auto"/>
          <w:spacing w:val="-6"/>
          <w:sz w:val="32"/>
        </w:rPr>
        <w:t>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（四）住院天数≥7天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3.住院期间连续三次规律复查X线或CT检查，骨折对位对线良好且断端稳定，达到功能复位标准。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4.伤后三月门诊复查，骨折愈合良好，功能恢复良好。TAM（手指总主动活动度）＞75％，TAF（手指总主动屈曲度）＞200°。</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4" w:hRule="atLeast"/>
          <w:jc w:val="center"/>
        </w:trPr>
        <w:tc>
          <w:tcPr>
            <w:tcW w:w="2500" w:type="pct"/>
            <w:tcBorders>
              <w:top w:val="single" w:color="auto" w:sz="4" w:space="0"/>
              <w:bottom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17.972G0</w:t>
            </w:r>
          </w:p>
        </w:tc>
        <w:tc>
          <w:tcPr>
            <w:tcW w:w="2500" w:type="pct"/>
            <w:tcBorders>
              <w:top w:val="single" w:color="auto" w:sz="4" w:space="0"/>
              <w:bottom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掌指骨骨折手法整复术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b w:val="0"/>
          <w:bCs w:val="0"/>
          <w:color w:val="auto"/>
          <w:kern w:val="0"/>
          <w:sz w:val="32"/>
          <w:szCs w:val="32"/>
          <w:lang w:val="zh-CN"/>
        </w:rPr>
      </w:pPr>
      <w:r>
        <w:rPr>
          <w:rFonts w:hint="default" w:ascii="Times New Roman" w:hAnsi="Times New Roman" w:eastAsia="黑体" w:cs="Times New Roman"/>
          <w:b w:val="0"/>
          <w:bCs w:val="0"/>
          <w:color w:val="auto"/>
          <w:sz w:val="32"/>
          <w:szCs w:val="32"/>
        </w:rPr>
        <w:t>十一、指骨骨折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2.西医诊断：第一诊断为指骨骨折（ICD-10编码：S62.0）。</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拇指骨折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拇指骨骺分离</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S62.500x002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拇指近节骨折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S62.500x011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拇指远节骨折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S62.500x021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开放性拇指骨折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手指骨折，其他的</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指骨骨骺分离</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指骨近节骨折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指骨中节骨折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指骨远节骨折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开放性特指指骨骨折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开放性指骨骨折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手指多处骨折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开放性多发性指骨骨折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腕和手其他和未特指部位的骨折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手骨折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指骨骨折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开放性腕和手其他和未特指部位骨折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开放性手骨折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S62.811</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符合闭合性或开放的（I度）不稳定的指骨骨折诊断。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2.外固定治疗及调整：小夹板外固定，每日调整外固定松紧度。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3.闭合性损伤外用中医特色药物、药膏，定期更换药膏；开放性的予以清创、无菌换药、红光治疗，伤口愈合后外用中医特色药物、药膏。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5.理筋手法治疗及关节松动训练等，避免肌肉萎缩、关节僵硬。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（四）住院天数≥7天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3.住院期间连续三次规律复查X线或CT检查，骨折对位对线良好且断端稳定，达到功能复位标准。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4.伤后三月门诊复查，骨折愈合良好，功能恢复良好。TAM（手指总主动活动度）＞70％，TAF（手指总主动屈曲度）＞200°。</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17.972G0</w:t>
            </w:r>
          </w:p>
        </w:tc>
        <w:tc>
          <w:tcPr>
            <w:tcW w:w="2500"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掌指骨骨折手法整复术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十二、股骨粗隆骨折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2.西医诊断：第一诊断为股骨粗隆骨折（ICD-10编码：S72.101）。</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诊断名称</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股骨大粗隆骨折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S72.100x001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股骨小粗隆骨折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S72.100x002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股骨粗隆间骨折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转子下骨折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股骨粗隆下骨折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S72.200x001</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（二）收入住院标准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符合股骨粗隆骨折诊断标准。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2.外固定治疗及调整：每日维持骨牵引，及时调整牵引重量及夹板松紧度。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3.骨折局部外用中医特色药物、药膏，定期更换药膏。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w:t>
      </w:r>
      <w:r>
        <w:rPr>
          <w:rFonts w:hint="default" w:ascii="Times New Roman" w:hAnsi="Times New Roman" w:eastAsia="仿宋_GB2312" w:cs="Times New Roman"/>
          <w:color w:val="auto"/>
          <w:spacing w:val="-6"/>
          <w:sz w:val="32"/>
        </w:rPr>
        <w:t>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7.物理、药物等疗法预防或治疗下肢深静脉血栓。</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8.老年患者伴随内、外科疾病的相关治疗。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9.骨折长期卧床并发症的预防、护理及治疗。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1.骨折局部无明显肿胀及疼痛。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2.体查：骨折局部压痛、叩击痛缓解或消除。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3.连续三-四次规律复查X片或CT检查，骨折对位对线良好且断端稳定，达到功能复位标准。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治疗代码</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17.972H0</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股骨转子间骨折手法整复术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十三、股骨干骨折（儿童）</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2.西医诊断：第一诊断为：股骨干骨折（TCD编码：S72.900）。</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股骨干骨折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开放性股骨干骨折</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S72.310</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未成年人（14岁及以下）符合以下情形之一可收入院治疗：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1.开放性损伤。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2.伴有神经血管损伤。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3.骨折复位后骨折断端有继发性移位倾向者。</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2.外固定治疗及调整：每日维持皮牵引，配合夹板固定，及时调整牵引重量及夹板松紧度。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3.骨折局部外用中医特色药物、药膏，定期更换药膏。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5.理</w:t>
      </w:r>
      <w:r>
        <w:rPr>
          <w:rFonts w:hint="default" w:ascii="Times New Roman" w:hAnsi="Times New Roman" w:eastAsia="仿宋_GB2312" w:cs="Times New Roman"/>
          <w:color w:val="auto"/>
          <w:spacing w:val="-6"/>
          <w:sz w:val="32"/>
        </w:rPr>
        <w:t>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（五）出院疗效判断</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1.骨折局部无明显肿胀及疼痛。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2.体查：骨折局部压痛、叩击痛缓解或消除。</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3.连续三-四次规律复查X片或CT检查，骨折对位对线良好且断端稳定，达到功能复位标准。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8"/>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治疗代码</w:t>
            </w:r>
          </w:p>
        </w:tc>
        <w:tc>
          <w:tcPr>
            <w:tcW w:w="244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4"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17.972H0</w:t>
            </w:r>
          </w:p>
        </w:tc>
        <w:tc>
          <w:tcPr>
            <w:tcW w:w="244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股骨干骨折手法整复术</w:t>
            </w:r>
          </w:p>
        </w:tc>
      </w:tr>
    </w:tbl>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十四、髌骨骨折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2.西医诊断：第一诊断为髌骨骨折（TCD编码：S82.000）。</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髌骨骨折</w:t>
            </w:r>
          </w:p>
        </w:tc>
        <w:tc>
          <w:tcPr>
            <w:tcW w:w="2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髌骨袖套状撕脱骨折</w:t>
            </w:r>
          </w:p>
        </w:tc>
        <w:tc>
          <w:tcPr>
            <w:tcW w:w="2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S82.000x003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髌骨袖套状骨折</w:t>
            </w:r>
          </w:p>
        </w:tc>
        <w:tc>
          <w:tcPr>
            <w:tcW w:w="2500" w:type="pct"/>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S82.000x004</w:t>
            </w:r>
          </w:p>
        </w:tc>
      </w:tr>
    </w:tbl>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（二）收入住院指征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符合移位髌骨骨折诊断。</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2.外固定治疗及调整：超膝关节石膏固定，每日调整外固定松紧度。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5.理筋手法治疗及关节松动训练等，避免肌肉萎缩、关节僵硬。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7.抗凝治疗预防下肢深静脉血栓。</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（四）住院天数≥10天</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3.连续三次规律复查X线片或CT，骨折对位对线良好且断端稳定，达到解剖或功能复位标准。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楷体_GB2312" w:cs="Times New Roman"/>
          <w:b w:val="0"/>
          <w:bCs w:val="0"/>
          <w:color w:val="auto"/>
          <w:sz w:val="32"/>
        </w:rPr>
      </w:pPr>
      <w:r>
        <w:rPr>
          <w:rFonts w:hint="default" w:ascii="Times New Roman" w:hAnsi="Times New Roman" w:eastAsia="楷体_GB2312" w:cs="Times New Roman"/>
          <w:b w:val="0"/>
          <w:bCs w:val="0"/>
          <w:color w:val="auto"/>
          <w:sz w:val="32"/>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治疗代码</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17.972L0</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髌骨骨折手法整复术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十五、胫骨上端骨折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2.西医诊断：第一诊断为胫骨上端骨折（TCD编码：S82.100）。</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胫骨近端骨折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胫骨近端骨骺分离</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胫骨髁骨折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胫骨髁间棘骨折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胫骨外髁骨折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胫骨平台骨折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胫骨平台伴髁间骨折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胫骨结节骨折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闭合性胫骨平台骨折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胫骨头骨折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开放性胫骨上端骨折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开放性胫骨头骨折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S82.111</w:t>
            </w:r>
          </w:p>
        </w:tc>
      </w:tr>
    </w:tbl>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（二）收入住院指征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符合胫骨上端骨折，包括上1/3骨折诊断。</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2.外固定治疗及调整：超膝关节夹板或石膏固定，必要时配合骨牵引，每日调整外固定松紧度或骨牵引力线及重量。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snapToGrid w:val="0"/>
          <w:color w:val="auto"/>
          <w:spacing w:val="-6"/>
          <w:sz w:val="32"/>
        </w:rPr>
      </w:pPr>
      <w:r>
        <w:rPr>
          <w:rFonts w:hint="default" w:ascii="Times New Roman" w:hAnsi="Times New Roman" w:eastAsia="仿宋_GB2312" w:cs="Times New Roman"/>
          <w:snapToGrid w:val="0"/>
          <w:color w:val="auto"/>
          <w:spacing w:val="-6"/>
          <w:sz w:val="32"/>
        </w:rPr>
        <w:t>5.理筋手法治疗及关节松动训练等，避免肌肉萎缩、关节僵硬。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7.骨牵引维持及护理。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8.抗凝治疗预防下肢深静脉血栓。</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（四）住院天数≥10天</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3.连续三次规律复查X线片或CT，骨折对位对线良好且断端稳定，达到解剖或功能复位标准。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bottom w:val="single" w:color="auto" w:sz="4" w:space="0"/>
            </w:tcBorders>
            <w:noWrap/>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17.972M0</w:t>
            </w:r>
          </w:p>
        </w:tc>
        <w:tc>
          <w:tcPr>
            <w:tcW w:w="2500" w:type="pct"/>
            <w:tcBorders>
              <w:top w:val="single" w:color="auto" w:sz="4" w:space="0"/>
              <w:bottom w:val="single" w:color="auto" w:sz="4" w:space="0"/>
            </w:tcBorders>
            <w:noWrap/>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胫骨髁骨折手法整复术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十六、胫腓骨骨折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2.西医诊断：第一诊断为胫腓骨干骨折（ICD-10编码：S82.2）。</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胫骨干骨折伴腓骨骨折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S82.200x011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胫骨干骨折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S82.200x081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胫腓骨干骨折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胫腓骨闭合性骨折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胫骨近端骨折伴腓骨骨折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胫骨平台伴腓骨骨折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S82.100x012</w:t>
            </w:r>
          </w:p>
        </w:tc>
      </w:tr>
    </w:tbl>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（二）收入住院指征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符合移位胫腓骨骨折诊断标准。</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2.外固定治疗及调整：超膝、踝关节夹板固定，必要时配合骨牵引，每日调整外固定松紧度或骨牵引力线及重量。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5.理筋手法治疗及关节松动训练等，避免肌肉萎缩、关节僵硬。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7.每日维持骨牵引，并行相应护理。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8.抗凝治疗预防下肢深静脉血栓。</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（四）住院天数≥10天</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3.连续三次规律复查X线片，骨折对位对线良好且断端稳定，达到解剖或功能复位标准。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67" w:hRule="atLeast"/>
          <w:jc w:val="center"/>
        </w:trPr>
        <w:tc>
          <w:tcPr>
            <w:tcW w:w="2500" w:type="pct"/>
            <w:tcBorders>
              <w:top w:val="single" w:color="auto" w:sz="4" w:space="0"/>
              <w:bottom w:val="single" w:color="auto" w:sz="4" w:space="0"/>
            </w:tcBorders>
            <w:noWrap/>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17.972N0</w:t>
            </w:r>
          </w:p>
        </w:tc>
        <w:tc>
          <w:tcPr>
            <w:tcW w:w="2500" w:type="pct"/>
            <w:tcBorders>
              <w:top w:val="single" w:color="auto" w:sz="4" w:space="0"/>
              <w:bottom w:val="single" w:color="auto" w:sz="4" w:space="0"/>
            </w:tcBorders>
            <w:noWrap/>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胫腓骨干骨折手法整复术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十七、腓骨骨折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2.西医诊断：第一诊断为：腓骨骨折（ICD-10编码：S82.400x002）。</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腓骨远端骨骺分离</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腓骨近端骨折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腓骨头骨折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腓骨颈骨折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腓骨小头骨折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腓骨多发性骨折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腓骨干骨折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S82.400x001</w:t>
            </w:r>
          </w:p>
        </w:tc>
      </w:tr>
    </w:tbl>
    <w:p>
      <w:pPr>
        <w:pStyle w:val="28"/>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cs="Times New Roman"/>
          <w:color w:val="auto"/>
        </w:rPr>
      </w:pPr>
      <w:r>
        <w:rPr>
          <w:rFonts w:hint="default" w:ascii="Times New Roman" w:hAnsi="Times New Roman" w:cs="Times New Roman"/>
          <w:color w:val="auto"/>
        </w:rPr>
        <w:t>（二）收入住院指征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符合移位腓骨骨折诊断。</w:t>
      </w:r>
    </w:p>
    <w:p>
      <w:pPr>
        <w:pStyle w:val="28"/>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2.外固定治疗及调整：超膝或踝关节夹板或石膏固定，必要时配合骨牵引，每日调整外固定松紧度或骨牵引力线及重量。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w:t>
      </w:r>
      <w:r>
        <w:rPr>
          <w:rFonts w:hint="default" w:ascii="Times New Roman" w:hAnsi="Times New Roman" w:eastAsia="仿宋_GB2312" w:cs="Times New Roman"/>
          <w:color w:val="auto"/>
          <w:spacing w:val="-6"/>
          <w:sz w:val="32"/>
        </w:rPr>
        <w:t>理筋手法治疗及关节松动训练等，避免肌肉萎缩、关节僵硬。</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7.骨牵引治疗及其护理。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8.抗凝治疗预防下肢深静脉血栓。</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（四）住院天数≥10天</w:t>
      </w:r>
    </w:p>
    <w:p>
      <w:pPr>
        <w:pStyle w:val="28"/>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3.连续三次规律复查X线片，骨折对位对线良好且断端稳定，达到解剖或功能复位标准。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b/>
                <w:bCs/>
                <w:color w:val="auto"/>
              </w:rPr>
            </w:pPr>
            <w:r>
              <w:rPr>
                <w:rFonts w:hint="default" w:ascii="Times New Roman" w:hAnsi="Times New Roman" w:cs="Times New Roman"/>
                <w:b/>
                <w:bCs/>
                <w:color w:val="auto"/>
              </w:rPr>
              <w:t>治疗代码</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b/>
                <w:bCs/>
                <w:color w:val="auto"/>
              </w:rPr>
            </w:pPr>
            <w:r>
              <w:rPr>
                <w:rFonts w:hint="default" w:ascii="Times New Roman" w:hAnsi="Times New Roman" w:cs="Times New Roman"/>
                <w:b/>
                <w:bCs/>
                <w:color w:val="auto"/>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17.972N0</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胫腓骨干骨折手法整复术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十八、踝关节骨折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2.西医诊断：第一诊断为踝关节骨折（ICD-10编码：S82.5、S82.6、S82.8）。</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ind w:left="0" w:leftChars="0" w:right="0" w:rightChars="0" w:firstLine="0" w:firstLineChars="0"/>
              <w:jc w:val="center"/>
              <w:rPr>
                <w:rFonts w:hint="default" w:ascii="Times New Roman" w:hAnsi="Times New Roman" w:cs="Times New Roman"/>
                <w:color w:val="auto"/>
              </w:rPr>
            </w:pPr>
            <w:r>
              <w:rPr>
                <w:rFonts w:hint="default" w:ascii="Times New Roman" w:hAnsi="Times New Roman" w:cs="Times New Roman"/>
                <w:color w:val="auto"/>
              </w:rPr>
              <w:t>踝关节骨折</w:t>
            </w:r>
          </w:p>
        </w:tc>
        <w:tc>
          <w:tcPr>
            <w:tcW w:w="2500" w:type="pct"/>
            <w:noWrap/>
            <w:vAlign w:val="center"/>
          </w:tcPr>
          <w:p>
            <w:pPr>
              <w:pStyle w:val="29"/>
              <w:keepNext w:val="0"/>
              <w:keepLines w:val="0"/>
              <w:pageBreakBefore w:val="0"/>
              <w:wordWrap/>
              <w:topLinePunct w:val="0"/>
              <w:autoSpaceDE/>
              <w:autoSpaceDN/>
              <w:bidi w:val="0"/>
              <w:spacing w:line="240" w:lineRule="exact"/>
              <w:ind w:left="0" w:leftChars="0" w:right="0" w:rightChars="0" w:firstLine="0" w:firstLineChars="0"/>
              <w:jc w:val="center"/>
              <w:rPr>
                <w:rFonts w:hint="default" w:ascii="Times New Roman" w:hAnsi="Times New Roman" w:cs="Times New Roman"/>
                <w:color w:val="auto"/>
              </w:rPr>
            </w:pPr>
            <w:r>
              <w:rPr>
                <w:rFonts w:hint="default" w:ascii="Times New Roman" w:hAnsi="Times New Roman" w:cs="Times New Roman"/>
                <w:color w:val="auto"/>
              </w:rPr>
              <w:t>S82.800x082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内踝骨折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开放性内踝骨折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外踝骨折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开放性外踝骨折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踝骨骨折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S82.800x081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踝骨闭合性骨折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双踝骨折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开放性双踝骨折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三踝骨折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开放性三踝骨折</w:t>
            </w:r>
          </w:p>
        </w:tc>
        <w:tc>
          <w:tcPr>
            <w:tcW w:w="2500" w:type="pct"/>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S82.811</w:t>
            </w:r>
          </w:p>
        </w:tc>
      </w:tr>
    </w:tbl>
    <w:p>
      <w:pPr>
        <w:pStyle w:val="28"/>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（二）收入院标准</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符合闭合性不稳定性的踝关节骨折诊断。</w:t>
      </w:r>
    </w:p>
    <w:p>
      <w:pPr>
        <w:pStyle w:val="28"/>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2.外固定治疗及调整：小夹板配合直角托板固定或石膏外固定，每日调整外固定松紧度。</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3.骨折处外用中医特色药物、药膏，定期更换药膏。</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w:t>
      </w:r>
      <w:r>
        <w:rPr>
          <w:rFonts w:hint="default" w:ascii="Times New Roman" w:hAnsi="Times New Roman" w:eastAsia="仿宋_GB2312" w:cs="Times New Roman"/>
          <w:color w:val="auto"/>
          <w:spacing w:val="-6"/>
          <w:sz w:val="32"/>
        </w:rPr>
        <w:t>理筋手法治疗及关节松动训练等，避免肌肉萎缩、关节僵硬。</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6.按骨折中医三期辩证，内服中药、中成药。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7.抗凝治疗预防下肢深静脉血栓。</w:t>
      </w:r>
    </w:p>
    <w:p>
      <w:pPr>
        <w:pStyle w:val="28"/>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（四）住院天数≥10天</w:t>
      </w:r>
    </w:p>
    <w:p>
      <w:pPr>
        <w:pStyle w:val="28"/>
        <w:keepNext w:val="0"/>
        <w:keepLines w:val="0"/>
        <w:pageBreakBefore w:val="0"/>
        <w:widowControl w:val="0"/>
        <w:kinsoku/>
        <w:wordWrap/>
        <w:overflowPunct w:val="0"/>
        <w:topLinePunct w:val="0"/>
        <w:autoSpaceDE/>
        <w:autoSpaceDN/>
        <w:bidi w:val="0"/>
        <w:adjustRightInd/>
        <w:snapToGrid/>
        <w:spacing w:line="592" w:lineRule="exact"/>
        <w:textAlignment w:val="auto"/>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3.住院期间连续三次规律复查X线或CT检查，骨折对位对线良好且断端稳定，达到功能复位标准。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4.没有需要住院处理的并发症和（或）合并症。</w:t>
      </w:r>
    </w:p>
    <w:p>
      <w:pPr>
        <w:pStyle w:val="28"/>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90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0"/>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8"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治疗代码</w:t>
            </w:r>
          </w:p>
        </w:tc>
        <w:tc>
          <w:tcPr>
            <w:tcW w:w="2561"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8"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17.972P0</w:t>
            </w:r>
          </w:p>
        </w:tc>
        <w:tc>
          <w:tcPr>
            <w:tcW w:w="2561"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踝关节单踝骨折手法整复术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8"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17.972Q0</w:t>
            </w:r>
          </w:p>
        </w:tc>
        <w:tc>
          <w:tcPr>
            <w:tcW w:w="2561"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踝关节骨折脱位手法整复术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十九、跖骨骨折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sz w:val="32"/>
        </w:rPr>
        <w:t>2.西医诊断：第一诊断为跖骨骨折（TCD编码：S92.0）。</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跖骨骨折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开放性跖骨骨折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S92.310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跖骨基底骨折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S92.300x003</w:t>
            </w:r>
          </w:p>
        </w:tc>
      </w:tr>
    </w:tbl>
    <w:p>
      <w:pPr>
        <w:pStyle w:val="28"/>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cs="Times New Roman"/>
          <w:color w:val="auto"/>
        </w:rPr>
      </w:pPr>
      <w:r>
        <w:rPr>
          <w:rFonts w:hint="default" w:ascii="Times New Roman" w:hAnsi="Times New Roman" w:cs="Times New Roman"/>
          <w:color w:val="auto"/>
        </w:rPr>
        <w:t>（二）收入院标准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符合闭合性或开放的（I度）不稳定的跖骨骨干及基底部骨折诊断。</w:t>
      </w:r>
    </w:p>
    <w:p>
      <w:pPr>
        <w:pStyle w:val="28"/>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2.外固定治疗及调整：夹板或石膏外固定，每日观察外固定松紧度。</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3.闭合性损伤外用中医特色药物、药膏，定期更换药膏；开放性的予以清创、无菌换药、红光治疗，伤口愈合后外用中医特色药物、药膏。</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w:t>
      </w:r>
      <w:r>
        <w:rPr>
          <w:rFonts w:hint="default" w:ascii="Times New Roman" w:hAnsi="Times New Roman" w:eastAsia="仿宋_GB2312" w:cs="Times New Roman"/>
          <w:color w:val="auto"/>
          <w:spacing w:val="-6"/>
          <w:sz w:val="32"/>
        </w:rPr>
        <w:t>理筋手法治疗及关节松动训练等，避免肌肉萎缩、关节僵硬。</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7.抗凝治疗预防下肢深静脉血栓。</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（四）住院天数≥10天</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3.住院期间连续四次规律复查X线或CT检查，骨折对位对线良好且断端稳定，达到功能复位标准。</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4.伤后三月门诊复查，骨折愈合良好，负重、行走功能正常。</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4" w:hRule="atLeast"/>
          <w:jc w:val="center"/>
        </w:trPr>
        <w:tc>
          <w:tcPr>
            <w:tcW w:w="2500" w:type="pct"/>
            <w:tcBorders>
              <w:top w:val="single" w:color="auto" w:sz="4" w:space="0"/>
              <w:bottom w:val="single" w:color="auto" w:sz="4" w:space="0"/>
            </w:tcBorders>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17.972R0</w:t>
            </w:r>
          </w:p>
        </w:tc>
        <w:tc>
          <w:tcPr>
            <w:tcW w:w="2500" w:type="pct"/>
            <w:tcBorders>
              <w:top w:val="single" w:color="auto" w:sz="4" w:space="0"/>
              <w:bottom w:val="single" w:color="auto" w:sz="4" w:space="0"/>
            </w:tcBorders>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足部骨折手法整复术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二十、趾骨骨折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cs="Times New Roman"/>
          <w:b/>
          <w:bCs/>
          <w:color w:val="auto"/>
          <w:sz w:val="24"/>
        </w:rPr>
      </w:pPr>
      <w:r>
        <w:rPr>
          <w:rFonts w:hint="default" w:ascii="Times New Roman" w:hAnsi="Times New Roman" w:eastAsia="仿宋_GB2312" w:cs="Times New Roman"/>
          <w:color w:val="auto"/>
          <w:sz w:val="32"/>
        </w:rPr>
        <w:t>2.西医诊断：第一诊断为趾骨骨折（TCD编码：</w:t>
      </w:r>
      <w:r>
        <w:rPr>
          <w:rFonts w:hint="default" w:ascii="Times New Roman" w:hAnsi="Times New Roman" w:eastAsia="仿宋_GB2312" w:cs="Times New Roman"/>
          <w:color w:val="auto"/>
          <w:kern w:val="0"/>
          <w:sz w:val="32"/>
        </w:rPr>
        <w:t>S92.500x001</w:t>
      </w:r>
      <w:r>
        <w:rPr>
          <w:rFonts w:hint="default" w:ascii="Times New Roman" w:hAnsi="Times New Roman" w:eastAsia="仿宋_GB2312" w:cs="Times New Roman"/>
          <w:color w:val="auto"/>
          <w:sz w:val="32"/>
        </w:rPr>
        <w:t>）</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趾骨骨折</w:t>
            </w:r>
          </w:p>
        </w:tc>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S92.500x001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拇趾骨折</w:t>
            </w:r>
          </w:p>
        </w:tc>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S92.400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开放性拇趾骨折</w:t>
            </w:r>
          </w:p>
        </w:tc>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S92.410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开发性特指趾骨骨折</w:t>
            </w:r>
          </w:p>
        </w:tc>
        <w:tc>
          <w:tcPr>
            <w:tcW w:w="2500" w:type="pct"/>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S92.510</w:t>
            </w:r>
          </w:p>
        </w:tc>
      </w:tr>
    </w:tbl>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ascii="Times New Roman" w:hAnsi="Times New Roman" w:cs="Times New Roman"/>
          <w:color w:val="auto"/>
        </w:rPr>
      </w:pPr>
      <w:r>
        <w:rPr>
          <w:rFonts w:hint="default" w:ascii="Times New Roman" w:hAnsi="Times New Roman" w:cs="Times New Roman"/>
          <w:color w:val="auto"/>
        </w:rPr>
        <w:t>（二）收入院标准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符合闭合性或开放性、不稳定的趾骨骨折诊断。</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1.正骨手法复位治疗。</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2.外固定治疗及调整：小夹板或石膏外固定，每日调整外固定松紧度。</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3.闭合性损伤外用中医特色药物、药膏，定期更换药膏；开放性的予以清创、无菌换药、红光治疗，伤口愈合后外用中医特色药物、药膏。</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4.中医特色疗法辨证施治：如中药热奄包、中药封包、穴位贴敷等治疗。</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z w:val="32"/>
        </w:rPr>
        <w:t>5.</w:t>
      </w:r>
      <w:r>
        <w:rPr>
          <w:rFonts w:hint="default" w:ascii="Times New Roman" w:hAnsi="Times New Roman" w:eastAsia="仿宋_GB2312" w:cs="Times New Roman"/>
          <w:color w:val="auto"/>
          <w:spacing w:val="-6"/>
          <w:sz w:val="32"/>
        </w:rPr>
        <w:t>理筋手法治疗及关节松动训练等，避免肌肉萎缩、关节僵硬。</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6.按骨折中医三期辨证，内服中药、中成药。</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7.抗凝治疗预防下肢深静脉血栓。</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ascii="Times New Roman" w:hAnsi="Times New Roman" w:cs="Times New Roman"/>
          <w:color w:val="auto"/>
        </w:rPr>
      </w:pPr>
      <w:r>
        <w:rPr>
          <w:rFonts w:hint="default" w:ascii="Times New Roman" w:hAnsi="Times New Roman" w:cs="Times New Roman"/>
          <w:color w:val="auto"/>
        </w:rPr>
        <w:t>（四）住院天数≥10天</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1.骨折局部肿胀减轻、疼痛缓解。</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2.外固定有效固定骨折。</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3.住院期间连续四次规律复查X线或CT检查，骨折对位对线良好且断端稳定，达到功能复位标准。</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4.伤后三月门诊复查，骨折愈合良好，负重、行走功能正常。</w:t>
      </w:r>
    </w:p>
    <w:p>
      <w:pPr>
        <w:pStyle w:val="28"/>
        <w:keepNext w:val="0"/>
        <w:keepLines w:val="0"/>
        <w:pageBreakBefore w:val="0"/>
        <w:widowControl w:val="0"/>
        <w:kinsoku/>
        <w:wordWrap/>
        <w:overflowPunct w:val="0"/>
        <w:topLinePunct w:val="0"/>
        <w:autoSpaceDE/>
        <w:autoSpaceDN/>
        <w:bidi w:val="0"/>
        <w:adjustRightInd/>
        <w:snapToGrid/>
        <w:spacing w:line="570" w:lineRule="exact"/>
        <w:textAlignment w:val="auto"/>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4" w:hRule="atLeast"/>
          <w:jc w:val="center"/>
        </w:trPr>
        <w:tc>
          <w:tcPr>
            <w:tcW w:w="2500" w:type="pct"/>
            <w:tcBorders>
              <w:top w:val="single" w:color="auto" w:sz="4" w:space="0"/>
              <w:bottom w:val="single" w:color="auto" w:sz="4" w:space="0"/>
            </w:tcBorders>
            <w:noWrap/>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17.972R0</w:t>
            </w:r>
          </w:p>
        </w:tc>
        <w:tc>
          <w:tcPr>
            <w:tcW w:w="2500" w:type="pct"/>
            <w:tcBorders>
              <w:top w:val="single" w:color="auto" w:sz="4" w:space="0"/>
              <w:bottom w:val="single" w:color="auto" w:sz="4" w:space="0"/>
            </w:tcBorders>
            <w:noWrap/>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足部骨折手法整复术</w:t>
            </w:r>
          </w:p>
        </w:tc>
      </w:tr>
    </w:tbl>
    <w:p>
      <w:pPr>
        <w:pStyle w:val="27"/>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二十一、单纯性胸腰椎骨折</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（一）适用对象</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1.中医诊断：第一诊断为骨折病（TCD编码：A03.06.01）。</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2.西医诊断：第一诊断为胸椎骨折、腰椎骨折（TCD编码：S22.000、</w:t>
      </w:r>
      <w:r>
        <w:rPr>
          <w:rFonts w:hint="default" w:ascii="Times New Roman" w:hAnsi="Times New Roman" w:eastAsia="仿宋_GB2312" w:cs="Times New Roman"/>
          <w:color w:val="auto"/>
          <w:kern w:val="0"/>
          <w:sz w:val="32"/>
        </w:rPr>
        <w:t>S32.000x002</w:t>
      </w:r>
      <w:r>
        <w:rPr>
          <w:rFonts w:hint="default" w:ascii="Times New Roman" w:hAnsi="Times New Roman" w:eastAsia="仿宋_GB2312" w:cs="Times New Roman"/>
          <w:color w:val="auto"/>
          <w:sz w:val="32"/>
        </w:rPr>
        <w:t>）。</w:t>
      </w:r>
    </w:p>
    <w:tbl>
      <w:tblPr>
        <w:tblStyle w:val="9"/>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胸椎棘突骨折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胸椎压缩性骨折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胸椎神经弓骨折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胸椎横突骨折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胸椎椎弓骨折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胸椎骨折T1/T2</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胸椎骨折T3/T4</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胸椎骨折T5/T6</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胸椎骨折T7/T8</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胸椎骨折T9/T10</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胸椎骨折T11/T12</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S22.000x061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胸椎多处骨折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腰椎压缩性骨折</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S32.000x002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腰椎骨折L1</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S32.000x011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腰椎骨折L2</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S32.000x021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腰椎骨折L3</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S32.000x031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腰椎骨折L4</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S32.000x041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腰椎骨折L5</w:t>
            </w:r>
          </w:p>
        </w:tc>
        <w:tc>
          <w:tcPr>
            <w:tcW w:w="2500" w:type="pct"/>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cs="Times New Roman"/>
                <w:color w:val="auto"/>
              </w:rPr>
            </w:pPr>
            <w:r>
              <w:rPr>
                <w:rFonts w:hint="default" w:ascii="Times New Roman" w:hAnsi="Times New Roman" w:cs="Times New Roman"/>
                <w:color w:val="auto"/>
              </w:rPr>
              <w:t>S32.000x051</w:t>
            </w:r>
          </w:p>
        </w:tc>
      </w:tr>
    </w:tbl>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（二）收入住院指征</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1.胸腰背部疼痛、肿胀、活动受限，压叩痛、后凸畸形或伴相应神经症状。</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2.影像学资料明确诊断，骨折部位明确。</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3.胸腰背症状严重，影响日常生活。</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（三）住院基本治疗</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1.正骨手法复位，卧床休息。</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2.胸腰椎垫枕复位治疗，必要时外固定支具固定。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3.外固定治疗及调整：胸腰围支具固定，每日调整外固定松紧度。</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4.骨折处外用中医特色药物、药膏，定期更换药膏。</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5.中医特色疗法辨证施治：如中药热奄包、中药封包、穴位贴敷等治疗。</w:t>
      </w:r>
    </w:p>
    <w:p>
      <w:pPr>
        <w:keepNext w:val="0"/>
        <w:keepLines w:val="0"/>
        <w:pageBreakBefore w:val="0"/>
        <w:kinsoku/>
        <w:wordWrap/>
        <w:overflowPunct w:val="0"/>
        <w:topLinePunct w:val="0"/>
        <w:autoSpaceDE/>
        <w:autoSpaceDN/>
        <w:bidi w:val="0"/>
        <w:spacing w:line="592" w:lineRule="exact"/>
        <w:ind w:firstLine="616" w:firstLineChars="200"/>
        <w:jc w:val="both"/>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rPr>
        <w:t>6.理筋手法治疗及关节松动训练等，避免肌肉萎缩、关节僵硬。</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7.按骨折中医三期辩证，内服中药、中成药。</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8.练功疗法（背肌、呼吸肌、肢体、排便功能等锻炼）。</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9.抗凝治疗预防下肢深静脉血栓。</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10.可根据病情需要选择使用改善骨代谢、止痛等药物。</w:t>
      </w:r>
    </w:p>
    <w:p>
      <w:pPr>
        <w:pStyle w:val="28"/>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（四）标准住院日为≥10天</w:t>
      </w:r>
    </w:p>
    <w:p>
      <w:pPr>
        <w:pStyle w:val="28"/>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（五）出院疗效判定</w:t>
      </w:r>
    </w:p>
    <w:p>
      <w:pPr>
        <w:keepNext w:val="0"/>
        <w:keepLines w:val="0"/>
        <w:pageBreakBefore w:val="0"/>
        <w:widowControl w:val="0"/>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1.胸背部无明显疼痛。</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2.X线片复查骨折椎体高度维持稳定。</w:t>
      </w:r>
    </w:p>
    <w:p>
      <w:pPr>
        <w:keepNext w:val="0"/>
        <w:keepLines w:val="0"/>
        <w:pageBreakBefore w:val="0"/>
        <w:kinsoku/>
        <w:wordWrap/>
        <w:overflowPunct w:val="0"/>
        <w:topLinePunct w:val="0"/>
        <w:autoSpaceDE/>
        <w:autoSpaceDN/>
        <w:bidi w:val="0"/>
        <w:spacing w:line="592"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3.胸腰背部症状及生活质量明显改善。</w:t>
      </w:r>
    </w:p>
    <w:p>
      <w:pPr>
        <w:pStyle w:val="28"/>
        <w:keepNext w:val="0"/>
        <w:keepLines w:val="0"/>
        <w:pageBreakBefore w:val="0"/>
        <w:wordWrap/>
        <w:topLinePunct w:val="0"/>
        <w:autoSpaceDE/>
        <w:autoSpaceDN/>
        <w:bidi w:val="0"/>
        <w:rPr>
          <w:rFonts w:hint="default" w:ascii="Times New Roman" w:hAnsi="Times New Roman" w:cs="Times New Roman"/>
          <w:color w:val="auto"/>
        </w:rPr>
      </w:pPr>
      <w:r>
        <w:rPr>
          <w:rFonts w:hint="default" w:ascii="Times New Roman" w:hAnsi="Times New Roman" w:cs="Times New Roman"/>
          <w:color w:val="auto"/>
        </w:rPr>
        <w:t>（六）治疗性操作</w:t>
      </w:r>
    </w:p>
    <w:tbl>
      <w:tblPr>
        <w:tblStyle w:val="9"/>
        <w:tblW w:w="4880" w:type="pct"/>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421"/>
        <w:gridCol w:w="44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54" w:hRule="atLeast"/>
          <w:jc w:val="center"/>
        </w:trPr>
        <w:tc>
          <w:tcPr>
            <w:tcW w:w="2500" w:type="pct"/>
            <w:tcBorders>
              <w:top w:val="single" w:color="auto" w:sz="4" w:space="0"/>
              <w:bottom w:val="single" w:color="auto" w:sz="4" w:space="0"/>
            </w:tcBorders>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17.972S0</w:t>
            </w:r>
          </w:p>
        </w:tc>
        <w:tc>
          <w:tcPr>
            <w:tcW w:w="2500" w:type="pct"/>
            <w:tcBorders>
              <w:top w:val="single" w:color="auto" w:sz="4" w:space="0"/>
              <w:bottom w:val="single" w:color="auto" w:sz="4" w:space="0"/>
            </w:tcBorders>
            <w:noWrap/>
            <w:vAlign w:val="center"/>
          </w:tcPr>
          <w:p>
            <w:pPr>
              <w:pStyle w:val="29"/>
              <w:keepNext w:val="0"/>
              <w:keepLines w:val="0"/>
              <w:pageBreakBefore w:val="0"/>
              <w:wordWrap/>
              <w:topLinePunct w:val="0"/>
              <w:autoSpaceDE/>
              <w:autoSpaceDN/>
              <w:bidi w:val="0"/>
              <w:spacing w:line="240" w:lineRule="exact"/>
              <w:rPr>
                <w:rFonts w:hint="default" w:ascii="Times New Roman" w:hAnsi="Times New Roman" w:cs="Times New Roman"/>
                <w:color w:val="auto"/>
              </w:rPr>
            </w:pPr>
            <w:r>
              <w:rPr>
                <w:rFonts w:hint="default" w:ascii="Times New Roman" w:hAnsi="Times New Roman" w:cs="Times New Roman"/>
                <w:color w:val="auto"/>
              </w:rPr>
              <w:t>脊柱骨折手法整复术</w:t>
            </w:r>
          </w:p>
        </w:tc>
      </w:tr>
    </w:tbl>
    <w:p>
      <w:pPr>
        <w:bidi w:val="0"/>
        <w:jc w:val="both"/>
        <w:rPr>
          <w:rFonts w:hint="default"/>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984" w:right="1531" w:bottom="1701" w:left="1531" w:header="136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line="240" w:lineRule="auto"/>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line="240" w:lineRule="auto"/>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bidi w:val="0"/>
      <w:adjustRightInd/>
      <w:snapToGrid w:val="0"/>
      <w:spacing w:line="240" w:lineRule="auto"/>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RjODI2YmFiNTYzMDVkMjUzNTZjNzM3NWRlOGIifQ=="/>
  </w:docVars>
  <w:rsids>
    <w:rsidRoot w:val="00733F0E"/>
    <w:rsid w:val="0000263C"/>
    <w:rsid w:val="00022071"/>
    <w:rsid w:val="000631A0"/>
    <w:rsid w:val="00101EA5"/>
    <w:rsid w:val="00131FD4"/>
    <w:rsid w:val="00152D18"/>
    <w:rsid w:val="00156302"/>
    <w:rsid w:val="001A00C5"/>
    <w:rsid w:val="001D0DB0"/>
    <w:rsid w:val="00211614"/>
    <w:rsid w:val="0025381E"/>
    <w:rsid w:val="002555AB"/>
    <w:rsid w:val="002A0D2E"/>
    <w:rsid w:val="002A5E80"/>
    <w:rsid w:val="003023E4"/>
    <w:rsid w:val="00362159"/>
    <w:rsid w:val="00392679"/>
    <w:rsid w:val="003A4BE1"/>
    <w:rsid w:val="003D3D33"/>
    <w:rsid w:val="00414E58"/>
    <w:rsid w:val="00470E8A"/>
    <w:rsid w:val="004B60AB"/>
    <w:rsid w:val="004E54ED"/>
    <w:rsid w:val="004F6DEE"/>
    <w:rsid w:val="00502666"/>
    <w:rsid w:val="005931C3"/>
    <w:rsid w:val="005E1137"/>
    <w:rsid w:val="006103E8"/>
    <w:rsid w:val="00632D0D"/>
    <w:rsid w:val="00657320"/>
    <w:rsid w:val="006D6BA9"/>
    <w:rsid w:val="006F4FE4"/>
    <w:rsid w:val="00710E28"/>
    <w:rsid w:val="00720EEA"/>
    <w:rsid w:val="00733F0E"/>
    <w:rsid w:val="00736909"/>
    <w:rsid w:val="00756991"/>
    <w:rsid w:val="008244C2"/>
    <w:rsid w:val="00893338"/>
    <w:rsid w:val="00895922"/>
    <w:rsid w:val="008B4004"/>
    <w:rsid w:val="00934B2E"/>
    <w:rsid w:val="00985682"/>
    <w:rsid w:val="009B7EC9"/>
    <w:rsid w:val="009C632D"/>
    <w:rsid w:val="00A17508"/>
    <w:rsid w:val="00A77690"/>
    <w:rsid w:val="00AA0F26"/>
    <w:rsid w:val="00AA6ECF"/>
    <w:rsid w:val="00AF1664"/>
    <w:rsid w:val="00BC26BD"/>
    <w:rsid w:val="00BF0E9A"/>
    <w:rsid w:val="00C25F30"/>
    <w:rsid w:val="00C64FF9"/>
    <w:rsid w:val="00C94727"/>
    <w:rsid w:val="00CC267A"/>
    <w:rsid w:val="00D10A2D"/>
    <w:rsid w:val="00D50BD7"/>
    <w:rsid w:val="00D523DE"/>
    <w:rsid w:val="00D74B25"/>
    <w:rsid w:val="00D85BC4"/>
    <w:rsid w:val="00D85D36"/>
    <w:rsid w:val="00DA2CD4"/>
    <w:rsid w:val="00E23181"/>
    <w:rsid w:val="00E27D5C"/>
    <w:rsid w:val="00E40081"/>
    <w:rsid w:val="00E4784B"/>
    <w:rsid w:val="00E755B1"/>
    <w:rsid w:val="00E9385F"/>
    <w:rsid w:val="00EA5BE4"/>
    <w:rsid w:val="00EF068F"/>
    <w:rsid w:val="00EF439C"/>
    <w:rsid w:val="00F11A99"/>
    <w:rsid w:val="00F17CA3"/>
    <w:rsid w:val="00F30495"/>
    <w:rsid w:val="00F65B0B"/>
    <w:rsid w:val="00FB26DE"/>
    <w:rsid w:val="022B20FA"/>
    <w:rsid w:val="032D0AAA"/>
    <w:rsid w:val="0364087A"/>
    <w:rsid w:val="05783BB1"/>
    <w:rsid w:val="0B900F77"/>
    <w:rsid w:val="0FE313FD"/>
    <w:rsid w:val="108B2143"/>
    <w:rsid w:val="136441CE"/>
    <w:rsid w:val="15F74A50"/>
    <w:rsid w:val="179813FC"/>
    <w:rsid w:val="1B001255"/>
    <w:rsid w:val="1C0D70A6"/>
    <w:rsid w:val="1CAE389A"/>
    <w:rsid w:val="1D5C7B62"/>
    <w:rsid w:val="1E251167"/>
    <w:rsid w:val="20B47E17"/>
    <w:rsid w:val="254F451B"/>
    <w:rsid w:val="29E13BDA"/>
    <w:rsid w:val="2B0D3583"/>
    <w:rsid w:val="2B5E7B9C"/>
    <w:rsid w:val="2DE040AB"/>
    <w:rsid w:val="2EA25DD5"/>
    <w:rsid w:val="33FE1676"/>
    <w:rsid w:val="356279EA"/>
    <w:rsid w:val="37436B42"/>
    <w:rsid w:val="375B6EB7"/>
    <w:rsid w:val="3B4C1641"/>
    <w:rsid w:val="42373B63"/>
    <w:rsid w:val="42614A9B"/>
    <w:rsid w:val="43123A0B"/>
    <w:rsid w:val="44184095"/>
    <w:rsid w:val="46951900"/>
    <w:rsid w:val="476745C6"/>
    <w:rsid w:val="492F5D76"/>
    <w:rsid w:val="4D720CBA"/>
    <w:rsid w:val="5228491B"/>
    <w:rsid w:val="548B151E"/>
    <w:rsid w:val="55C07385"/>
    <w:rsid w:val="5A8A625D"/>
    <w:rsid w:val="5D6E6935"/>
    <w:rsid w:val="5F954112"/>
    <w:rsid w:val="60C170DC"/>
    <w:rsid w:val="60E4111E"/>
    <w:rsid w:val="65266A62"/>
    <w:rsid w:val="65AE14A3"/>
    <w:rsid w:val="675A799A"/>
    <w:rsid w:val="6925746C"/>
    <w:rsid w:val="6BE800CE"/>
    <w:rsid w:val="6EB371B8"/>
    <w:rsid w:val="6F182C61"/>
    <w:rsid w:val="6FB1521A"/>
    <w:rsid w:val="702D6CAF"/>
    <w:rsid w:val="70732FD1"/>
    <w:rsid w:val="70B02058"/>
    <w:rsid w:val="749417EA"/>
    <w:rsid w:val="76F169A8"/>
    <w:rsid w:val="79AA4303"/>
    <w:rsid w:val="7BAE2986"/>
    <w:rsid w:val="7C3A639A"/>
    <w:rsid w:val="7F1B69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2" w:lineRule="exact"/>
      <w:jc w:val="both"/>
    </w:pPr>
    <w:rPr>
      <w:rFonts w:ascii="Calibri" w:hAnsi="Calibri" w:eastAsia="宋体" w:cs="Times New Roman"/>
      <w:kern w:val="2"/>
      <w:sz w:val="21"/>
      <w:szCs w:val="22"/>
      <w:lang w:val="en-US" w:eastAsia="zh-CN" w:bidi="ar-SA"/>
    </w:rPr>
  </w:style>
  <w:style w:type="character" w:default="1" w:styleId="11">
    <w:name w:val="Default Paragraph Font"/>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99"/>
    <w:rPr>
      <w:rFonts w:eastAsia="仿宋_GB2312"/>
      <w:szCs w:val="32"/>
    </w:rPr>
  </w:style>
  <w:style w:type="paragraph" w:styleId="3">
    <w:name w:val="index 5"/>
    <w:basedOn w:val="1"/>
    <w:next w:val="1"/>
    <w:qFormat/>
    <w:uiPriority w:val="0"/>
    <w:pPr>
      <w:ind w:left="1680"/>
    </w:pPr>
  </w:style>
  <w:style w:type="paragraph" w:styleId="4">
    <w:name w:val="annotation text"/>
    <w:basedOn w:val="1"/>
    <w:link w:val="16"/>
    <w:qFormat/>
    <w:uiPriority w:val="99"/>
    <w:pPr>
      <w:jc w:val="left"/>
    </w:pPr>
    <w:rPr>
      <w:rFonts w:ascii="Times New Roman" w:hAnsi="Times New Roman"/>
      <w:szCs w:val="24"/>
    </w:rPr>
  </w:style>
  <w:style w:type="paragraph" w:styleId="5">
    <w:name w:val="Body Text Indent 2"/>
    <w:basedOn w:val="1"/>
    <w:link w:val="18"/>
    <w:qFormat/>
    <w:uiPriority w:val="99"/>
    <w:pPr>
      <w:spacing w:after="120" w:line="480" w:lineRule="auto"/>
      <w:ind w:left="420" w:leftChars="200"/>
    </w:pPr>
    <w:rPr>
      <w:rFonts w:ascii="Times New Roman" w:hAnsi="Times New Roman"/>
      <w:szCs w:val="24"/>
    </w:rPr>
  </w:style>
  <w:style w:type="paragraph" w:styleId="6">
    <w:name w:val="footer"/>
    <w:basedOn w:val="1"/>
    <w:link w:val="20"/>
    <w:qFormat/>
    <w:uiPriority w:val="99"/>
    <w:pPr>
      <w:tabs>
        <w:tab w:val="center" w:pos="4153"/>
        <w:tab w:val="right" w:pos="8306"/>
      </w:tabs>
      <w:snapToGrid w:val="0"/>
      <w:jc w:val="left"/>
    </w:pPr>
    <w:rPr>
      <w:rFonts w:ascii="等线" w:hAnsi="等线" w:eastAsia="等线"/>
      <w:sz w:val="18"/>
      <w:szCs w:val="18"/>
    </w:rPr>
  </w:style>
  <w:style w:type="paragraph" w:styleId="7">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24"/>
    </w:rPr>
  </w:style>
  <w:style w:type="paragraph" w:styleId="8">
    <w:name w:val="annotation subject"/>
    <w:basedOn w:val="4"/>
    <w:next w:val="4"/>
    <w:link w:val="24"/>
    <w:qFormat/>
    <w:uiPriority w:val="99"/>
    <w:rPr>
      <w:b/>
      <w:bCs/>
    </w:rPr>
  </w:style>
  <w:style w:type="table" w:styleId="10">
    <w:name w:val="Table Grid"/>
    <w:basedOn w:val="9"/>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annotation reference"/>
    <w:basedOn w:val="11"/>
    <w:qFormat/>
    <w:uiPriority w:val="99"/>
    <w:rPr>
      <w:rFonts w:cs="Times New Roman"/>
      <w:sz w:val="21"/>
      <w:szCs w:val="21"/>
    </w:rPr>
  </w:style>
  <w:style w:type="paragraph" w:styleId="14">
    <w:name w:val="List Paragraph"/>
    <w:basedOn w:val="1"/>
    <w:qFormat/>
    <w:uiPriority w:val="99"/>
    <w:pPr>
      <w:ind w:firstLine="420" w:firstLineChars="200"/>
    </w:pPr>
  </w:style>
  <w:style w:type="character" w:customStyle="1" w:styleId="15">
    <w:name w:val="Comment Text Char"/>
    <w:basedOn w:val="11"/>
    <w:link w:val="4"/>
    <w:semiHidden/>
    <w:qFormat/>
    <w:locked/>
    <w:uiPriority w:val="99"/>
    <w:rPr>
      <w:rFonts w:cs="Times New Roman"/>
    </w:rPr>
  </w:style>
  <w:style w:type="character" w:customStyle="1" w:styleId="16">
    <w:name w:val="Comment Text Char1"/>
    <w:basedOn w:val="11"/>
    <w:link w:val="4"/>
    <w:semiHidden/>
    <w:qFormat/>
    <w:locked/>
    <w:uiPriority w:val="99"/>
    <w:rPr>
      <w:rFonts w:eastAsia="宋体" w:cs="Times New Roman"/>
      <w:kern w:val="2"/>
      <w:sz w:val="24"/>
      <w:szCs w:val="24"/>
      <w:lang w:val="en-US" w:eastAsia="zh-CN" w:bidi="ar-SA"/>
    </w:rPr>
  </w:style>
  <w:style w:type="character" w:customStyle="1" w:styleId="17">
    <w:name w:val="Body Text Indent 2 Char"/>
    <w:basedOn w:val="11"/>
    <w:link w:val="5"/>
    <w:semiHidden/>
    <w:qFormat/>
    <w:locked/>
    <w:uiPriority w:val="99"/>
    <w:rPr>
      <w:rFonts w:cs="Times New Roman"/>
    </w:rPr>
  </w:style>
  <w:style w:type="character" w:customStyle="1" w:styleId="18">
    <w:name w:val="Body Text Indent 2 Char1"/>
    <w:basedOn w:val="11"/>
    <w:link w:val="5"/>
    <w:semiHidden/>
    <w:qFormat/>
    <w:locked/>
    <w:uiPriority w:val="99"/>
    <w:rPr>
      <w:rFonts w:eastAsia="宋体" w:cs="Times New Roman"/>
      <w:kern w:val="2"/>
      <w:sz w:val="24"/>
      <w:szCs w:val="24"/>
      <w:lang w:val="en-US" w:eastAsia="zh-CN" w:bidi="ar-SA"/>
    </w:rPr>
  </w:style>
  <w:style w:type="character" w:customStyle="1" w:styleId="19">
    <w:name w:val="Footer Char"/>
    <w:basedOn w:val="11"/>
    <w:link w:val="6"/>
    <w:semiHidden/>
    <w:qFormat/>
    <w:locked/>
    <w:uiPriority w:val="99"/>
    <w:rPr>
      <w:rFonts w:cs="Times New Roman"/>
      <w:sz w:val="18"/>
      <w:szCs w:val="18"/>
    </w:rPr>
  </w:style>
  <w:style w:type="character" w:customStyle="1" w:styleId="20">
    <w:name w:val="Footer Char1"/>
    <w:basedOn w:val="11"/>
    <w:link w:val="6"/>
    <w:qFormat/>
    <w:locked/>
    <w:uiPriority w:val="99"/>
    <w:rPr>
      <w:rFonts w:ascii="等线" w:hAnsi="等线" w:eastAsia="等线" w:cs="Times New Roman"/>
      <w:kern w:val="2"/>
      <w:sz w:val="18"/>
      <w:szCs w:val="18"/>
      <w:lang w:val="en-US" w:eastAsia="zh-CN" w:bidi="ar-SA"/>
    </w:rPr>
  </w:style>
  <w:style w:type="character" w:customStyle="1" w:styleId="21">
    <w:name w:val="Header Char"/>
    <w:basedOn w:val="11"/>
    <w:link w:val="7"/>
    <w:semiHidden/>
    <w:qFormat/>
    <w:locked/>
    <w:uiPriority w:val="99"/>
    <w:rPr>
      <w:rFonts w:cs="Times New Roman"/>
      <w:sz w:val="18"/>
      <w:szCs w:val="18"/>
    </w:rPr>
  </w:style>
  <w:style w:type="character" w:customStyle="1" w:styleId="22">
    <w:name w:val="Header Char1"/>
    <w:basedOn w:val="11"/>
    <w:link w:val="7"/>
    <w:qFormat/>
    <w:locked/>
    <w:uiPriority w:val="99"/>
    <w:rPr>
      <w:rFonts w:eastAsia="宋体" w:cs="Times New Roman"/>
      <w:kern w:val="2"/>
      <w:sz w:val="24"/>
      <w:szCs w:val="24"/>
      <w:lang w:val="en-US" w:eastAsia="zh-CN" w:bidi="ar-SA"/>
    </w:rPr>
  </w:style>
  <w:style w:type="character" w:customStyle="1" w:styleId="23">
    <w:name w:val="Comment Subject Char"/>
    <w:basedOn w:val="16"/>
    <w:link w:val="8"/>
    <w:semiHidden/>
    <w:qFormat/>
    <w:locked/>
    <w:uiPriority w:val="99"/>
    <w:rPr>
      <w:b/>
      <w:bCs/>
    </w:rPr>
  </w:style>
  <w:style w:type="character" w:customStyle="1" w:styleId="24">
    <w:name w:val="Comment Subject Char1"/>
    <w:basedOn w:val="16"/>
    <w:link w:val="8"/>
    <w:semiHidden/>
    <w:qFormat/>
    <w:locked/>
    <w:uiPriority w:val="99"/>
    <w:rPr>
      <w:b/>
      <w:bCs/>
    </w:rPr>
  </w:style>
  <w:style w:type="character" w:customStyle="1" w:styleId="25">
    <w:name w:val="font21"/>
    <w:qFormat/>
    <w:uiPriority w:val="99"/>
    <w:rPr>
      <w:rFonts w:ascii="微软雅黑" w:hAnsi="微软雅黑" w:eastAsia="微软雅黑"/>
      <w:color w:val="000000"/>
      <w:sz w:val="22"/>
      <w:u w:val="none"/>
    </w:rPr>
  </w:style>
  <w:style w:type="paragraph" w:customStyle="1" w:styleId="26">
    <w:name w:val="Revision"/>
    <w:qFormat/>
    <w:uiPriority w:val="99"/>
    <w:rPr>
      <w:rFonts w:ascii="Times New Roman" w:hAnsi="Times New Roman" w:eastAsia="宋体" w:cs="Times New Roman"/>
      <w:kern w:val="2"/>
      <w:sz w:val="21"/>
      <w:szCs w:val="24"/>
      <w:lang w:val="en-US" w:eastAsia="zh-CN" w:bidi="ar-SA"/>
    </w:rPr>
  </w:style>
  <w:style w:type="paragraph" w:customStyle="1" w:styleId="27">
    <w:name w:val="一级标题"/>
    <w:basedOn w:val="1"/>
    <w:link w:val="31"/>
    <w:qFormat/>
    <w:uiPriority w:val="0"/>
    <w:pPr>
      <w:overflowPunct w:val="0"/>
      <w:spacing w:line="592" w:lineRule="exact"/>
      <w:ind w:firstLine="31680" w:firstLineChars="200"/>
    </w:pPr>
    <w:rPr>
      <w:rFonts w:hint="eastAsia" w:ascii="黑体" w:hAnsi="黑体" w:eastAsia="黑体" w:cs="黑体"/>
      <w:sz w:val="32"/>
      <w:szCs w:val="32"/>
    </w:rPr>
  </w:style>
  <w:style w:type="paragraph" w:customStyle="1" w:styleId="28">
    <w:name w:val="二级楷体"/>
    <w:basedOn w:val="1"/>
    <w:link w:val="30"/>
    <w:qFormat/>
    <w:uiPriority w:val="0"/>
    <w:pPr>
      <w:overflowPunct w:val="0"/>
      <w:spacing w:line="592" w:lineRule="exact"/>
      <w:ind w:firstLine="31680" w:firstLineChars="200"/>
    </w:pPr>
    <w:rPr>
      <w:rFonts w:ascii="楷体_GB2312" w:hAnsi="楷体_GB2312" w:eastAsia="楷体_GB2312" w:cs="楷体_GB2312"/>
      <w:sz w:val="32"/>
    </w:rPr>
  </w:style>
  <w:style w:type="paragraph" w:customStyle="1" w:styleId="29">
    <w:name w:val="表格"/>
    <w:basedOn w:val="1"/>
    <w:qFormat/>
    <w:uiPriority w:val="0"/>
    <w:pPr>
      <w:adjustRightInd w:val="0"/>
      <w:snapToGrid w:val="0"/>
      <w:jc w:val="center"/>
    </w:pPr>
    <w:rPr>
      <w:rFonts w:hint="eastAsia" w:ascii="方正书宋简体" w:hAnsi="方正书宋简体" w:eastAsia="方正书宋简体" w:cs="方正书宋简体"/>
      <w:sz w:val="20"/>
      <w:szCs w:val="20"/>
    </w:rPr>
  </w:style>
  <w:style w:type="character" w:customStyle="1" w:styleId="30">
    <w:name w:val="二级楷体 Char"/>
    <w:link w:val="28"/>
    <w:qFormat/>
    <w:uiPriority w:val="0"/>
    <w:rPr>
      <w:rFonts w:ascii="楷体_GB2312" w:hAnsi="楷体_GB2312" w:eastAsia="楷体_GB2312" w:cs="楷体_GB2312"/>
      <w:sz w:val="32"/>
    </w:rPr>
  </w:style>
  <w:style w:type="character" w:customStyle="1" w:styleId="31">
    <w:name w:val="一级标题 Char"/>
    <w:link w:val="27"/>
    <w:qFormat/>
    <w:uiPriority w:val="0"/>
    <w:rPr>
      <w:rFonts w:hint="eastAsia" w:ascii="黑体" w:hAnsi="黑体" w:eastAsia="黑体" w:cs="黑体"/>
      <w:sz w:val="32"/>
      <w:szCs w:val="32"/>
    </w:rPr>
  </w:style>
  <w:style w:type="paragraph" w:customStyle="1" w:styleId="32">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175</Pages>
  <Words>68526</Words>
  <Characters>73820</Characters>
  <Lines>0</Lines>
  <Paragraphs>0</Paragraphs>
  <TotalTime>4</TotalTime>
  <ScaleCrop>false</ScaleCrop>
  <LinksUpToDate>false</LinksUpToDate>
  <CharactersWithSpaces>77400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2023-07-13T00:12:00Z</dcterms:created>
  <dc:creator>Administrator</dc:creator>
  <cp:lastModifiedBy>省医保局</cp:lastModifiedBy>
  <cp:lastPrinted>2023-07-13T00:13:00Z</cp:lastPrinted>
  <dcterms:modified xsi:type="dcterms:W3CDTF">2023-08-02T00:16:38Z</dcterms:modified>
  <dc:title>省医疗保障局党组2023年第15次会议材料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5D89774BF54D4F859F29884525352279_13</vt:lpwstr>
  </property>
</Properties>
</file>