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D6E" w:rsidRDefault="00DB219B">
      <w:pPr>
        <w:widowControl/>
        <w:spacing w:line="560" w:lineRule="exact"/>
        <w:jc w:val="left"/>
        <w:rPr>
          <w:rFonts w:ascii="黑体" w:eastAsia="黑体" w:hAnsi="黑体" w:cs="黑体"/>
          <w:sz w:val="32"/>
          <w:szCs w:val="32"/>
        </w:rPr>
      </w:pPr>
      <w:r>
        <w:rPr>
          <w:rFonts w:ascii="黑体" w:eastAsia="黑体" w:hAnsi="黑体" w:cs="黑体" w:hint="eastAsia"/>
          <w:sz w:val="32"/>
          <w:szCs w:val="32"/>
        </w:rPr>
        <w:t>附件1</w:t>
      </w:r>
    </w:p>
    <w:p w:rsidR="00890D6E" w:rsidRDefault="00890D6E">
      <w:pPr>
        <w:spacing w:line="560" w:lineRule="exact"/>
        <w:jc w:val="center"/>
        <w:rPr>
          <w:rFonts w:eastAsia="方正小标宋简体"/>
          <w:sz w:val="44"/>
          <w:szCs w:val="44"/>
        </w:rPr>
      </w:pPr>
    </w:p>
    <w:p w:rsidR="00890D6E" w:rsidRDefault="00DB219B">
      <w:pPr>
        <w:spacing w:line="560" w:lineRule="exact"/>
        <w:jc w:val="center"/>
        <w:rPr>
          <w:rFonts w:eastAsia="方正小标宋简体"/>
          <w:sz w:val="44"/>
          <w:szCs w:val="44"/>
        </w:rPr>
      </w:pPr>
      <w:r>
        <w:rPr>
          <w:rFonts w:eastAsia="方正小标宋简体"/>
          <w:sz w:val="44"/>
          <w:szCs w:val="44"/>
        </w:rPr>
        <w:t>中药饮片标签撰写指导原则（试行）</w:t>
      </w:r>
    </w:p>
    <w:p w:rsidR="00890D6E" w:rsidRDefault="00890D6E">
      <w:pPr>
        <w:spacing w:line="560" w:lineRule="exact"/>
        <w:rPr>
          <w:rFonts w:eastAsia="仿宋"/>
          <w:kern w:val="0"/>
          <w:sz w:val="32"/>
          <w:szCs w:val="32"/>
        </w:rPr>
      </w:pPr>
    </w:p>
    <w:p w:rsidR="00890D6E" w:rsidRDefault="00DB219B">
      <w:pPr>
        <w:overflowPunct w:val="0"/>
        <w:spacing w:line="560" w:lineRule="exact"/>
        <w:ind w:firstLineChars="200" w:firstLine="640"/>
        <w:rPr>
          <w:rFonts w:eastAsia="仿宋_GB2312"/>
          <w:kern w:val="0"/>
          <w:sz w:val="32"/>
          <w:szCs w:val="32"/>
        </w:rPr>
      </w:pPr>
      <w:r>
        <w:rPr>
          <w:rFonts w:eastAsia="仿宋_GB2312"/>
          <w:kern w:val="0"/>
          <w:sz w:val="32"/>
          <w:szCs w:val="32"/>
        </w:rPr>
        <w:t>为进一步指导中药饮片生产企业规范撰写中药饮片标签内容，根据《中药饮片标签管理规定（试行）》有关要求，制定《中药饮片标签撰写指导原则（试行）》。</w:t>
      </w:r>
    </w:p>
    <w:p w:rsidR="00890D6E" w:rsidRDefault="00DB219B">
      <w:pPr>
        <w:overflowPunct w:val="0"/>
        <w:spacing w:line="560" w:lineRule="exact"/>
        <w:ind w:firstLineChars="200" w:firstLine="640"/>
        <w:rPr>
          <w:rFonts w:eastAsia="仿宋_GB2312"/>
          <w:kern w:val="0"/>
          <w:sz w:val="32"/>
          <w:szCs w:val="32"/>
        </w:rPr>
      </w:pPr>
      <w:r>
        <w:rPr>
          <w:rFonts w:eastAsia="仿宋_GB2312"/>
          <w:kern w:val="0"/>
          <w:sz w:val="32"/>
          <w:szCs w:val="32"/>
        </w:rPr>
        <w:t>本指导原则是指导中药饮片生产企业根据国家药品标准（含国家中药饮片炮制规范）或省、自治区、直辖市人民政府药品监督管理部门制定的中药饮片炮制规范（以下简称省级中药饮片炮制规范）相关内容和其他有关信息撰写中药饮片标签内容的技术文件。</w:t>
      </w:r>
    </w:p>
    <w:p w:rsidR="00890D6E" w:rsidRDefault="00DB219B">
      <w:pPr>
        <w:overflowPunct w:val="0"/>
        <w:spacing w:line="560" w:lineRule="exact"/>
        <w:ind w:firstLineChars="200" w:firstLine="640"/>
        <w:rPr>
          <w:rFonts w:eastAsia="黑体"/>
          <w:kern w:val="0"/>
          <w:sz w:val="32"/>
          <w:szCs w:val="32"/>
        </w:rPr>
      </w:pPr>
      <w:r>
        <w:rPr>
          <w:rFonts w:eastAsia="黑体"/>
          <w:kern w:val="0"/>
          <w:sz w:val="32"/>
          <w:szCs w:val="32"/>
        </w:rPr>
        <w:t>一、标签收载内容</w:t>
      </w:r>
    </w:p>
    <w:p w:rsidR="00890D6E" w:rsidRDefault="00DB219B">
      <w:pPr>
        <w:overflowPunct w:val="0"/>
        <w:spacing w:line="560" w:lineRule="exact"/>
        <w:ind w:firstLineChars="200" w:firstLine="640"/>
        <w:rPr>
          <w:rFonts w:eastAsia="仿宋_GB2312"/>
          <w:kern w:val="0"/>
          <w:sz w:val="32"/>
          <w:szCs w:val="32"/>
        </w:rPr>
      </w:pPr>
      <w:r>
        <w:rPr>
          <w:rFonts w:eastAsia="仿宋_GB2312"/>
          <w:kern w:val="0"/>
          <w:sz w:val="32"/>
          <w:szCs w:val="32"/>
        </w:rPr>
        <w:t>根据《中药饮片标签管理规定》，中药饮片标签收载的内容一般可包括如下项目：特殊药品标识、产品属性、【品名】、【药材基原】、【药材产地】、【规格】、【装量】、【执行标准】、【批准文号】、【炮制辅料】、【性味与归经】、【功能与主治】、【用法与用量】、【注意】、【生产企业】、【生产地址】、【产品批号】、【生产日期】、【保质期】、【贮藏】等。</w:t>
      </w:r>
    </w:p>
    <w:p w:rsidR="00890D6E" w:rsidRDefault="00DB219B">
      <w:pPr>
        <w:overflowPunct w:val="0"/>
        <w:spacing w:line="560" w:lineRule="exact"/>
        <w:ind w:firstLineChars="200" w:firstLine="640"/>
        <w:rPr>
          <w:rFonts w:eastAsia="黑体"/>
          <w:sz w:val="32"/>
          <w:szCs w:val="32"/>
        </w:rPr>
      </w:pPr>
      <w:r>
        <w:rPr>
          <w:rFonts w:eastAsia="黑体"/>
          <w:sz w:val="32"/>
          <w:szCs w:val="32"/>
        </w:rPr>
        <w:t>二、标签撰写一般要求</w:t>
      </w:r>
    </w:p>
    <w:p w:rsidR="00890D6E" w:rsidRDefault="00DB219B">
      <w:pPr>
        <w:overflowPunct w:val="0"/>
        <w:spacing w:line="560" w:lineRule="exact"/>
        <w:ind w:firstLineChars="200" w:firstLine="640"/>
        <w:rPr>
          <w:rFonts w:eastAsia="仿宋_GB2312"/>
          <w:kern w:val="0"/>
          <w:sz w:val="32"/>
          <w:szCs w:val="32"/>
        </w:rPr>
      </w:pPr>
      <w:r>
        <w:rPr>
          <w:rFonts w:eastAsia="仿宋_GB2312"/>
          <w:kern w:val="0"/>
          <w:sz w:val="32"/>
          <w:szCs w:val="32"/>
        </w:rPr>
        <w:t>（一）标签的内容必须包括对安全和有效用药所需的重要信息，应当尽可能完善。</w:t>
      </w:r>
    </w:p>
    <w:p w:rsidR="00890D6E" w:rsidRDefault="00DB219B">
      <w:pPr>
        <w:overflowPunct w:val="0"/>
        <w:spacing w:line="560" w:lineRule="exact"/>
        <w:ind w:firstLineChars="200" w:firstLine="640"/>
        <w:rPr>
          <w:rFonts w:eastAsia="仿宋_GB2312"/>
          <w:kern w:val="0"/>
          <w:sz w:val="32"/>
          <w:szCs w:val="32"/>
        </w:rPr>
      </w:pPr>
      <w:r>
        <w:rPr>
          <w:rFonts w:eastAsia="仿宋_GB2312"/>
          <w:kern w:val="0"/>
          <w:sz w:val="32"/>
          <w:szCs w:val="32"/>
        </w:rPr>
        <w:t>（二）标签的文字表述应当客观、科学、规范、准确、简练，</w:t>
      </w:r>
      <w:r>
        <w:rPr>
          <w:rFonts w:eastAsia="仿宋_GB2312"/>
          <w:kern w:val="0"/>
          <w:sz w:val="32"/>
          <w:szCs w:val="32"/>
        </w:rPr>
        <w:lastRenderedPageBreak/>
        <w:t>不能带有暗示性、误导性和不适当宣传的语言。</w:t>
      </w:r>
    </w:p>
    <w:p w:rsidR="00890D6E" w:rsidRDefault="00DB219B">
      <w:pPr>
        <w:overflowPunct w:val="0"/>
        <w:spacing w:line="560" w:lineRule="exact"/>
        <w:ind w:firstLineChars="200" w:firstLine="640"/>
        <w:rPr>
          <w:rFonts w:eastAsia="仿宋_GB2312"/>
          <w:kern w:val="0"/>
          <w:sz w:val="32"/>
          <w:szCs w:val="32"/>
        </w:rPr>
      </w:pPr>
      <w:r>
        <w:rPr>
          <w:rFonts w:eastAsia="仿宋_GB2312"/>
          <w:kern w:val="0"/>
          <w:sz w:val="32"/>
          <w:szCs w:val="32"/>
        </w:rPr>
        <w:t>（三）标签应当采用国家统一颁布或规范的专用词汇，度量衡单位应当符合国家有关规定。</w:t>
      </w:r>
    </w:p>
    <w:p w:rsidR="00890D6E" w:rsidRDefault="00DB219B">
      <w:pPr>
        <w:overflowPunct w:val="0"/>
        <w:spacing w:line="560" w:lineRule="exact"/>
        <w:ind w:firstLineChars="200" w:firstLine="640"/>
        <w:rPr>
          <w:rFonts w:eastAsia="仿宋_GB2312"/>
          <w:kern w:val="0"/>
          <w:sz w:val="32"/>
          <w:szCs w:val="32"/>
        </w:rPr>
      </w:pPr>
      <w:r>
        <w:rPr>
          <w:rFonts w:eastAsia="仿宋_GB2312"/>
          <w:kern w:val="0"/>
          <w:sz w:val="32"/>
          <w:szCs w:val="32"/>
        </w:rPr>
        <w:t>（四）标签应当使用国家语言文字工作委员会公布的规范化汉字，增加其他文字对照的，应当以汉字表述为准。</w:t>
      </w:r>
    </w:p>
    <w:p w:rsidR="00890D6E" w:rsidRDefault="00DB219B">
      <w:pPr>
        <w:overflowPunct w:val="0"/>
        <w:spacing w:line="560" w:lineRule="exact"/>
        <w:ind w:firstLineChars="200" w:firstLine="640"/>
        <w:rPr>
          <w:rFonts w:eastAsia="黑体"/>
          <w:sz w:val="32"/>
          <w:szCs w:val="32"/>
        </w:rPr>
      </w:pPr>
      <w:r>
        <w:rPr>
          <w:rFonts w:eastAsia="黑体"/>
          <w:sz w:val="32"/>
          <w:szCs w:val="32"/>
        </w:rPr>
        <w:t>三、标签各项内容撰写的具体要求</w:t>
      </w:r>
    </w:p>
    <w:p w:rsidR="00890D6E" w:rsidRDefault="00DB219B">
      <w:pPr>
        <w:overflowPunct w:val="0"/>
        <w:spacing w:line="560" w:lineRule="exact"/>
        <w:ind w:firstLineChars="200" w:firstLine="640"/>
        <w:rPr>
          <w:rFonts w:eastAsia="仿宋_GB2312"/>
          <w:sz w:val="32"/>
          <w:szCs w:val="32"/>
        </w:rPr>
      </w:pPr>
      <w:r>
        <w:rPr>
          <w:rFonts w:eastAsia="楷体_GB2312"/>
          <w:sz w:val="32"/>
          <w:szCs w:val="32"/>
        </w:rPr>
        <w:t>（一）特殊药品标识。</w:t>
      </w:r>
      <w:r>
        <w:rPr>
          <w:rFonts w:eastAsia="仿宋_GB2312"/>
          <w:sz w:val="32"/>
          <w:szCs w:val="32"/>
        </w:rPr>
        <w:t>医疗用毒性药品和麻醉药品等专用标识在标签右上方标注。其中罂粟壳饮片标签应当用淡红色纸张印制。纳入《医疗用毒性药品管理办法》的毒性中药饮片应当按规定在产品标签的右上方标示黑底白字的</w:t>
      </w:r>
      <w:r>
        <w:rPr>
          <w:rFonts w:eastAsia="仿宋_GB2312"/>
          <w:sz w:val="32"/>
          <w:szCs w:val="32"/>
        </w:rPr>
        <w:t>“</w:t>
      </w:r>
      <w:r>
        <w:rPr>
          <w:rFonts w:eastAsia="仿宋_GB2312"/>
          <w:sz w:val="32"/>
          <w:szCs w:val="32"/>
        </w:rPr>
        <w:t>毒</w:t>
      </w:r>
      <w:r>
        <w:rPr>
          <w:rFonts w:eastAsia="仿宋_GB2312"/>
          <w:sz w:val="32"/>
          <w:szCs w:val="32"/>
        </w:rPr>
        <w:t>”</w:t>
      </w:r>
      <w:r>
        <w:rPr>
          <w:rFonts w:eastAsia="仿宋_GB2312"/>
          <w:sz w:val="32"/>
          <w:szCs w:val="32"/>
        </w:rPr>
        <w:t>字字样。按照麻醉药品管理的中药饮片的标签，应当按规定印有蓝白相间带有</w:t>
      </w:r>
      <w:r>
        <w:rPr>
          <w:rFonts w:eastAsia="仿宋_GB2312"/>
          <w:sz w:val="32"/>
          <w:szCs w:val="32"/>
        </w:rPr>
        <w:t>“</w:t>
      </w:r>
      <w:r>
        <w:rPr>
          <w:rFonts w:eastAsia="仿宋_GB2312"/>
          <w:sz w:val="32"/>
          <w:szCs w:val="32"/>
        </w:rPr>
        <w:t>麻</w:t>
      </w:r>
      <w:r>
        <w:rPr>
          <w:rFonts w:eastAsia="仿宋_GB2312"/>
          <w:sz w:val="32"/>
          <w:szCs w:val="32"/>
        </w:rPr>
        <w:t>”</w:t>
      </w:r>
      <w:r>
        <w:rPr>
          <w:rFonts w:eastAsia="仿宋_GB2312"/>
          <w:sz w:val="32"/>
          <w:szCs w:val="32"/>
        </w:rPr>
        <w:t>字字样的专用标志。</w:t>
      </w:r>
    </w:p>
    <w:p w:rsidR="00890D6E" w:rsidRDefault="00DB219B">
      <w:pPr>
        <w:overflowPunct w:val="0"/>
        <w:spacing w:line="560" w:lineRule="exact"/>
        <w:ind w:firstLineChars="200" w:firstLine="640"/>
        <w:rPr>
          <w:rFonts w:eastAsia="仿宋_GB2312"/>
          <w:sz w:val="32"/>
          <w:szCs w:val="32"/>
        </w:rPr>
      </w:pPr>
      <w:r>
        <w:rPr>
          <w:rFonts w:eastAsia="楷体_GB2312"/>
          <w:sz w:val="32"/>
          <w:szCs w:val="32"/>
        </w:rPr>
        <w:t>（二）产品属性。</w:t>
      </w:r>
      <w:r>
        <w:rPr>
          <w:rFonts w:eastAsia="仿宋_GB2312"/>
          <w:sz w:val="32"/>
          <w:szCs w:val="32"/>
        </w:rPr>
        <w:t>应当标注</w:t>
      </w:r>
      <w:r>
        <w:rPr>
          <w:rFonts w:eastAsia="仿宋_GB2312"/>
          <w:sz w:val="32"/>
          <w:szCs w:val="32"/>
        </w:rPr>
        <w:t>“</w:t>
      </w:r>
      <w:r>
        <w:rPr>
          <w:rFonts w:eastAsia="仿宋_GB2312"/>
          <w:sz w:val="32"/>
          <w:szCs w:val="32"/>
        </w:rPr>
        <w:t>中药饮片</w:t>
      </w:r>
      <w:r>
        <w:rPr>
          <w:rFonts w:eastAsia="仿宋_GB2312"/>
          <w:sz w:val="32"/>
          <w:szCs w:val="32"/>
        </w:rPr>
        <w:t>”</w:t>
      </w:r>
      <w:r>
        <w:rPr>
          <w:rFonts w:eastAsia="仿宋_GB2312"/>
          <w:sz w:val="32"/>
          <w:szCs w:val="32"/>
        </w:rPr>
        <w:t>字样，以示与中药材、食品、农产品等类商品进行区分。</w:t>
      </w:r>
    </w:p>
    <w:p w:rsidR="00890D6E" w:rsidRDefault="00DB219B">
      <w:pPr>
        <w:overflowPunct w:val="0"/>
        <w:spacing w:line="560" w:lineRule="exact"/>
        <w:ind w:firstLineChars="200" w:firstLine="640"/>
        <w:rPr>
          <w:rFonts w:eastAsia="仿宋_GB2312"/>
          <w:kern w:val="0"/>
          <w:sz w:val="32"/>
          <w:szCs w:val="32"/>
        </w:rPr>
      </w:pPr>
      <w:r>
        <w:rPr>
          <w:rFonts w:eastAsia="楷体_GB2312"/>
          <w:sz w:val="32"/>
          <w:szCs w:val="32"/>
        </w:rPr>
        <w:t>（三）品名。</w:t>
      </w:r>
      <w:r>
        <w:rPr>
          <w:rFonts w:eastAsia="仿宋_GB2312"/>
          <w:kern w:val="0"/>
          <w:sz w:val="32"/>
          <w:szCs w:val="32"/>
        </w:rPr>
        <w:t>应当与国家药品标准收载的名称相一致；如国家药品标准尚未收载的，可按生产企业所在地的省级中药饮片炮制规范收载的名称进行标注。对于净制、切制类中药饮片，饮片名称一般应当与药材名称一致；对于饮片与药材名称不同的品种，根据其执行标准，属于</w:t>
      </w:r>
      <w:r>
        <w:rPr>
          <w:rFonts w:eastAsia="仿宋_GB2312"/>
          <w:color w:val="000000"/>
          <w:kern w:val="0"/>
          <w:sz w:val="32"/>
          <w:szCs w:val="32"/>
        </w:rPr>
        <w:t>单列中药饮片标准的，品名按单列的饮片名称标注；不属于单列中</w:t>
      </w:r>
      <w:r>
        <w:rPr>
          <w:rFonts w:eastAsia="仿宋_GB2312"/>
          <w:kern w:val="0"/>
          <w:sz w:val="32"/>
          <w:szCs w:val="32"/>
        </w:rPr>
        <w:t>药饮片标准的，应当按照该品种药材标准</w:t>
      </w:r>
      <w:r>
        <w:rPr>
          <w:rFonts w:eastAsia="仿宋_GB2312"/>
          <w:kern w:val="0"/>
          <w:sz w:val="32"/>
          <w:szCs w:val="32"/>
        </w:rPr>
        <w:t>“</w:t>
      </w:r>
      <w:r>
        <w:rPr>
          <w:rFonts w:eastAsia="仿宋_GB2312"/>
          <w:kern w:val="0"/>
          <w:sz w:val="32"/>
          <w:szCs w:val="32"/>
        </w:rPr>
        <w:t>炮制</w:t>
      </w:r>
      <w:r>
        <w:rPr>
          <w:rFonts w:eastAsia="仿宋_GB2312"/>
          <w:kern w:val="0"/>
          <w:sz w:val="32"/>
          <w:szCs w:val="32"/>
        </w:rPr>
        <w:t>”</w:t>
      </w:r>
      <w:r>
        <w:rPr>
          <w:rFonts w:eastAsia="仿宋_GB2312"/>
          <w:kern w:val="0"/>
          <w:sz w:val="32"/>
          <w:szCs w:val="32"/>
        </w:rPr>
        <w:t>项下实际名称标注。</w:t>
      </w:r>
    </w:p>
    <w:p w:rsidR="00890D6E" w:rsidRDefault="00DB219B">
      <w:pPr>
        <w:overflowPunct w:val="0"/>
        <w:spacing w:line="560" w:lineRule="exact"/>
        <w:ind w:firstLineChars="200" w:firstLine="640"/>
        <w:rPr>
          <w:rFonts w:eastAsia="仿宋_GB2312"/>
          <w:kern w:val="0"/>
          <w:sz w:val="32"/>
          <w:szCs w:val="32"/>
        </w:rPr>
      </w:pPr>
      <w:r>
        <w:rPr>
          <w:rFonts w:eastAsia="楷体_GB2312"/>
          <w:sz w:val="32"/>
          <w:szCs w:val="32"/>
        </w:rPr>
        <w:t>（四）药材基原。</w:t>
      </w:r>
      <w:r>
        <w:rPr>
          <w:rFonts w:eastAsia="仿宋_GB2312"/>
          <w:kern w:val="0"/>
          <w:sz w:val="32"/>
          <w:szCs w:val="32"/>
        </w:rPr>
        <w:t>根据生产中药饮片的药材来源，一般填写药材原植（动）物的科名、植（动）物名及其药用部位（矿物药</w:t>
      </w:r>
      <w:r>
        <w:rPr>
          <w:rFonts w:eastAsia="仿宋_GB2312"/>
          <w:kern w:val="0"/>
          <w:sz w:val="32"/>
          <w:szCs w:val="32"/>
        </w:rPr>
        <w:lastRenderedPageBreak/>
        <w:t>注明类、族、矿石名或岩石名、主要成</w:t>
      </w:r>
      <w:r>
        <w:rPr>
          <w:rFonts w:eastAsia="仿宋_GB2312" w:hint="eastAsia"/>
          <w:kern w:val="0"/>
          <w:sz w:val="32"/>
          <w:szCs w:val="32"/>
        </w:rPr>
        <w:t>份</w:t>
      </w:r>
      <w:r>
        <w:rPr>
          <w:rFonts w:eastAsia="仿宋_GB2312"/>
          <w:kern w:val="0"/>
          <w:sz w:val="32"/>
          <w:szCs w:val="32"/>
        </w:rPr>
        <w:t>）。对于药材为多基原的，可根据实际生产所使用的药材情况进行标注。对于部分采用多种药材经发酵或其他特殊炮制方法生产的中药饮片，如六神曲、建曲等可不标示药材基原，或选取主要药材进行填写。</w:t>
      </w:r>
    </w:p>
    <w:p w:rsidR="00890D6E" w:rsidRDefault="00DB219B">
      <w:pPr>
        <w:overflowPunct w:val="0"/>
        <w:spacing w:line="560" w:lineRule="exact"/>
        <w:ind w:firstLineChars="200" w:firstLine="640"/>
        <w:rPr>
          <w:rFonts w:eastAsia="仿宋_GB2312"/>
          <w:kern w:val="0"/>
          <w:sz w:val="32"/>
          <w:szCs w:val="32"/>
        </w:rPr>
      </w:pPr>
      <w:r>
        <w:rPr>
          <w:rFonts w:eastAsia="楷体_GB2312"/>
          <w:sz w:val="32"/>
          <w:szCs w:val="32"/>
        </w:rPr>
        <w:t>（五）药材产地。</w:t>
      </w:r>
      <w:r>
        <w:rPr>
          <w:rFonts w:eastAsia="仿宋_GB2312"/>
          <w:kern w:val="0"/>
          <w:sz w:val="32"/>
          <w:szCs w:val="32"/>
        </w:rPr>
        <w:t>标签标注的产地应当是用于生产该批中药饮片的中药材实际种植（养殖）地或矿物来源所在地，一般标注至地市级行政区。为便于追溯产品质量，产地也可标注至县级行政区。使用进口药材生产的中药饮片的产地，应当标注原药材产出的国家或地区。</w:t>
      </w:r>
    </w:p>
    <w:p w:rsidR="00890D6E" w:rsidRDefault="00DB219B">
      <w:pPr>
        <w:overflowPunct w:val="0"/>
        <w:spacing w:line="560" w:lineRule="exact"/>
        <w:ind w:firstLineChars="200" w:firstLine="640"/>
        <w:rPr>
          <w:rFonts w:eastAsia="仿宋_GB2312"/>
          <w:kern w:val="0"/>
          <w:sz w:val="32"/>
          <w:szCs w:val="32"/>
        </w:rPr>
      </w:pPr>
      <w:r>
        <w:rPr>
          <w:rFonts w:eastAsia="楷体_GB2312"/>
          <w:sz w:val="32"/>
          <w:szCs w:val="32"/>
        </w:rPr>
        <w:t>（六）规格。</w:t>
      </w:r>
      <w:r>
        <w:rPr>
          <w:rFonts w:eastAsia="仿宋_GB2312"/>
          <w:kern w:val="0"/>
          <w:sz w:val="32"/>
          <w:szCs w:val="32"/>
        </w:rPr>
        <w:t>标签标注的规格项应当与产品实际相符合，按照国家药品标准或省级中药饮片炮制规范中炮制规格项内容准确标注。一般根据中药饮片的形态和性状进行表述，如片（极薄片、薄片、厚片）、段（短段、长段）、块、丝（细丝、宽丝）、粉，等等。或者采用</w:t>
      </w:r>
      <w:r>
        <w:rPr>
          <w:rFonts w:eastAsia="仿宋_GB2312"/>
          <w:kern w:val="0"/>
          <w:sz w:val="32"/>
          <w:szCs w:val="32"/>
        </w:rPr>
        <w:t>“</w:t>
      </w:r>
      <w:r>
        <w:rPr>
          <w:rFonts w:eastAsia="仿宋_GB2312"/>
          <w:kern w:val="0"/>
          <w:sz w:val="32"/>
          <w:szCs w:val="32"/>
        </w:rPr>
        <w:t>辅料</w:t>
      </w:r>
      <w:r>
        <w:rPr>
          <w:rFonts w:eastAsia="仿宋_GB2312"/>
          <w:kern w:val="0"/>
          <w:sz w:val="32"/>
          <w:szCs w:val="32"/>
        </w:rPr>
        <w:t>+</w:t>
      </w:r>
      <w:r>
        <w:rPr>
          <w:rFonts w:eastAsia="仿宋_GB2312"/>
          <w:kern w:val="0"/>
          <w:sz w:val="32"/>
          <w:szCs w:val="32"/>
        </w:rPr>
        <w:t>炮制工艺</w:t>
      </w:r>
      <w:r>
        <w:rPr>
          <w:rFonts w:eastAsia="仿宋_GB2312"/>
          <w:kern w:val="0"/>
          <w:sz w:val="32"/>
          <w:szCs w:val="32"/>
        </w:rPr>
        <w:t>”</w:t>
      </w:r>
      <w:r>
        <w:rPr>
          <w:rFonts w:eastAsia="仿宋_GB2312"/>
          <w:kern w:val="0"/>
          <w:sz w:val="32"/>
          <w:szCs w:val="32"/>
        </w:rPr>
        <w:t>进行表述，如麸炒、蜜炙、酒炙等。特殊情况下，可按照传统表述方式标示。如国家药品标准或省级中药饮片炮制规范对规格项没有规定的，可不标注产品规格。</w:t>
      </w:r>
    </w:p>
    <w:p w:rsidR="00890D6E" w:rsidRDefault="00DB219B">
      <w:pPr>
        <w:overflowPunct w:val="0"/>
        <w:spacing w:line="560" w:lineRule="exact"/>
        <w:ind w:firstLineChars="200" w:firstLine="640"/>
        <w:rPr>
          <w:rFonts w:eastAsia="仿宋_GB2312"/>
          <w:kern w:val="0"/>
          <w:sz w:val="32"/>
          <w:szCs w:val="32"/>
        </w:rPr>
      </w:pPr>
      <w:r>
        <w:rPr>
          <w:rFonts w:eastAsia="楷体_GB2312"/>
          <w:sz w:val="32"/>
          <w:szCs w:val="32"/>
        </w:rPr>
        <w:t>（七）装量。</w:t>
      </w:r>
      <w:r>
        <w:rPr>
          <w:rFonts w:eastAsia="仿宋_GB2312"/>
          <w:kern w:val="0"/>
          <w:sz w:val="32"/>
          <w:szCs w:val="32"/>
        </w:rPr>
        <w:t>标签标注的产品装量一般按公制计量单位标示，如</w:t>
      </w:r>
      <w:r>
        <w:rPr>
          <w:rFonts w:eastAsia="仿宋_GB2312"/>
          <w:kern w:val="0"/>
          <w:sz w:val="32"/>
          <w:szCs w:val="32"/>
        </w:rPr>
        <w:t>500g</w:t>
      </w:r>
      <w:r>
        <w:rPr>
          <w:rFonts w:eastAsia="仿宋_GB2312"/>
          <w:kern w:val="0"/>
          <w:sz w:val="32"/>
          <w:szCs w:val="32"/>
        </w:rPr>
        <w:t>、</w:t>
      </w:r>
      <w:r>
        <w:rPr>
          <w:rFonts w:eastAsia="仿宋_GB2312"/>
          <w:kern w:val="0"/>
          <w:sz w:val="32"/>
          <w:szCs w:val="32"/>
        </w:rPr>
        <w:t>1kg</w:t>
      </w:r>
      <w:r>
        <w:rPr>
          <w:rFonts w:eastAsia="仿宋_GB2312"/>
          <w:kern w:val="0"/>
          <w:sz w:val="32"/>
          <w:szCs w:val="32"/>
        </w:rPr>
        <w:t>等；如内有小包装的，可按小包装装量（重量）及其包装数量进行标示。特殊情况下，产品装量可按照传统计量方式标示，如支、条等。</w:t>
      </w:r>
    </w:p>
    <w:p w:rsidR="00890D6E" w:rsidRDefault="00DB219B">
      <w:pPr>
        <w:overflowPunct w:val="0"/>
        <w:spacing w:line="560" w:lineRule="exact"/>
        <w:ind w:firstLineChars="200" w:firstLine="640"/>
        <w:rPr>
          <w:rFonts w:eastAsia="仿宋_GB2312"/>
          <w:kern w:val="0"/>
          <w:sz w:val="32"/>
          <w:szCs w:val="32"/>
        </w:rPr>
      </w:pPr>
      <w:r>
        <w:rPr>
          <w:rFonts w:eastAsia="楷体_GB2312"/>
          <w:sz w:val="32"/>
          <w:szCs w:val="32"/>
        </w:rPr>
        <w:t>（八）执行标准。</w:t>
      </w:r>
      <w:r>
        <w:rPr>
          <w:rFonts w:eastAsia="仿宋_GB2312"/>
          <w:kern w:val="0"/>
          <w:sz w:val="32"/>
          <w:szCs w:val="32"/>
        </w:rPr>
        <w:t>中药饮片按照有关规定应当执行的标准或炮制规范的名称及其版本号或标准编号（若有），其标示格式为：</w:t>
      </w:r>
      <w:r>
        <w:rPr>
          <w:rFonts w:eastAsia="仿宋_GB2312"/>
          <w:kern w:val="0"/>
          <w:sz w:val="32"/>
          <w:szCs w:val="32"/>
        </w:rPr>
        <w:lastRenderedPageBreak/>
        <w:t>标准名称</w:t>
      </w:r>
      <w:r>
        <w:rPr>
          <w:rFonts w:eastAsia="仿宋_GB2312"/>
          <w:kern w:val="0"/>
          <w:sz w:val="32"/>
          <w:szCs w:val="32"/>
        </w:rPr>
        <w:t>+</w:t>
      </w:r>
      <w:r>
        <w:rPr>
          <w:rFonts w:eastAsia="仿宋_GB2312"/>
          <w:kern w:val="0"/>
          <w:sz w:val="32"/>
          <w:szCs w:val="32"/>
        </w:rPr>
        <w:t>编号（若有）、炮制规范名称</w:t>
      </w:r>
      <w:r>
        <w:rPr>
          <w:rFonts w:eastAsia="仿宋_GB2312"/>
          <w:kern w:val="0"/>
          <w:sz w:val="32"/>
          <w:szCs w:val="32"/>
        </w:rPr>
        <w:t>+</w:t>
      </w:r>
      <w:r>
        <w:rPr>
          <w:rFonts w:eastAsia="仿宋_GB2312"/>
          <w:kern w:val="0"/>
          <w:sz w:val="32"/>
          <w:szCs w:val="32"/>
        </w:rPr>
        <w:t>编号（若有）。例如：《中国药典》</w:t>
      </w:r>
      <w:r>
        <w:rPr>
          <w:rFonts w:eastAsia="仿宋_GB2312"/>
          <w:kern w:val="0"/>
          <w:sz w:val="32"/>
          <w:szCs w:val="32"/>
        </w:rPr>
        <w:t>2020</w:t>
      </w:r>
      <w:r>
        <w:rPr>
          <w:rFonts w:eastAsia="仿宋_GB2312"/>
          <w:kern w:val="0"/>
          <w:sz w:val="32"/>
          <w:szCs w:val="32"/>
        </w:rPr>
        <w:t>年版；《中国药典》</w:t>
      </w:r>
      <w:r>
        <w:rPr>
          <w:rFonts w:eastAsia="仿宋_GB2312"/>
          <w:kern w:val="0"/>
          <w:sz w:val="32"/>
          <w:szCs w:val="32"/>
        </w:rPr>
        <w:t>2020</w:t>
      </w:r>
      <w:r>
        <w:rPr>
          <w:rFonts w:eastAsia="仿宋_GB2312"/>
          <w:kern w:val="0"/>
          <w:sz w:val="32"/>
          <w:szCs w:val="32"/>
        </w:rPr>
        <w:t>年版、《国家中药饮片炮制规范》；《</w:t>
      </w:r>
      <w:r>
        <w:rPr>
          <w:rFonts w:eastAsia="仿宋_GB2312"/>
          <w:kern w:val="0"/>
          <w:sz w:val="32"/>
          <w:szCs w:val="32"/>
        </w:rPr>
        <w:t>XX</w:t>
      </w:r>
      <w:r>
        <w:rPr>
          <w:rFonts w:eastAsia="仿宋_GB2312"/>
          <w:kern w:val="0"/>
          <w:sz w:val="32"/>
          <w:szCs w:val="32"/>
        </w:rPr>
        <w:t>省中药饮片炮制规范》等。</w:t>
      </w:r>
    </w:p>
    <w:p w:rsidR="00890D6E" w:rsidRDefault="00DB219B">
      <w:pPr>
        <w:overflowPunct w:val="0"/>
        <w:spacing w:line="560" w:lineRule="exact"/>
        <w:ind w:firstLineChars="200" w:firstLine="640"/>
        <w:rPr>
          <w:rFonts w:eastAsia="仿宋_GB2312"/>
          <w:kern w:val="0"/>
          <w:sz w:val="32"/>
          <w:szCs w:val="32"/>
        </w:rPr>
      </w:pPr>
      <w:r>
        <w:rPr>
          <w:rFonts w:eastAsia="楷体_GB2312"/>
          <w:sz w:val="32"/>
          <w:szCs w:val="32"/>
        </w:rPr>
        <w:t>（九）批准文号。</w:t>
      </w:r>
      <w:r>
        <w:rPr>
          <w:rFonts w:eastAsia="仿宋_GB2312"/>
          <w:kern w:val="0"/>
          <w:sz w:val="32"/>
          <w:szCs w:val="32"/>
        </w:rPr>
        <w:t>应当按照核发的药品批准文号进行标注。</w:t>
      </w:r>
    </w:p>
    <w:p w:rsidR="00890D6E" w:rsidRDefault="00DB219B">
      <w:pPr>
        <w:overflowPunct w:val="0"/>
        <w:spacing w:line="560" w:lineRule="exact"/>
        <w:ind w:firstLineChars="200" w:firstLine="640"/>
        <w:rPr>
          <w:rFonts w:eastAsia="仿宋_GB2312"/>
          <w:kern w:val="0"/>
          <w:sz w:val="32"/>
          <w:szCs w:val="32"/>
        </w:rPr>
      </w:pPr>
      <w:r>
        <w:rPr>
          <w:rFonts w:eastAsia="楷体_GB2312"/>
          <w:sz w:val="32"/>
          <w:szCs w:val="32"/>
        </w:rPr>
        <w:t>（十）炮制辅料。</w:t>
      </w:r>
      <w:r>
        <w:rPr>
          <w:rFonts w:eastAsia="仿宋_GB2312"/>
          <w:kern w:val="0"/>
          <w:sz w:val="32"/>
          <w:szCs w:val="32"/>
        </w:rPr>
        <w:t>标签标注的辅料成份应当按使用量大小依次排列。</w:t>
      </w:r>
    </w:p>
    <w:p w:rsidR="00890D6E" w:rsidRDefault="00DB219B">
      <w:pPr>
        <w:overflowPunct w:val="0"/>
        <w:spacing w:line="560" w:lineRule="exact"/>
        <w:ind w:firstLineChars="200" w:firstLine="640"/>
        <w:rPr>
          <w:rFonts w:eastAsia="仿宋_GB2312"/>
          <w:kern w:val="0"/>
          <w:sz w:val="32"/>
          <w:szCs w:val="32"/>
        </w:rPr>
      </w:pPr>
      <w:r>
        <w:rPr>
          <w:rFonts w:eastAsia="楷体_GB2312"/>
          <w:sz w:val="32"/>
          <w:szCs w:val="32"/>
        </w:rPr>
        <w:t>（十一）特殊煎煮方法。</w:t>
      </w:r>
      <w:r>
        <w:rPr>
          <w:rFonts w:eastAsia="仿宋_GB2312"/>
          <w:kern w:val="0"/>
          <w:sz w:val="32"/>
          <w:szCs w:val="32"/>
        </w:rPr>
        <w:t>根据中药饮片特性和临床用药需求，对个别需特殊煎煮的中药饮片应当加注此项目提示，一般为包煎、先煎、后下、另煎、烊化、冲服等。</w:t>
      </w:r>
    </w:p>
    <w:p w:rsidR="00890D6E" w:rsidRDefault="00DB219B">
      <w:pPr>
        <w:overflowPunct w:val="0"/>
        <w:spacing w:line="560" w:lineRule="exact"/>
        <w:ind w:firstLineChars="200" w:firstLine="640"/>
        <w:rPr>
          <w:rFonts w:eastAsia="仿宋_GB2312"/>
          <w:kern w:val="0"/>
          <w:sz w:val="32"/>
          <w:szCs w:val="32"/>
        </w:rPr>
      </w:pPr>
      <w:r>
        <w:rPr>
          <w:rFonts w:eastAsia="楷体_GB2312"/>
          <w:sz w:val="32"/>
          <w:szCs w:val="32"/>
        </w:rPr>
        <w:t>（十二）性味与归经。</w:t>
      </w:r>
      <w:r>
        <w:rPr>
          <w:rFonts w:eastAsia="仿宋_GB2312"/>
          <w:kern w:val="0"/>
          <w:sz w:val="32"/>
          <w:szCs w:val="32"/>
        </w:rPr>
        <w:t>根据中药饮片实际执行标准中对应内容进行标注。</w:t>
      </w:r>
    </w:p>
    <w:p w:rsidR="00890D6E" w:rsidRDefault="00DB219B">
      <w:pPr>
        <w:overflowPunct w:val="0"/>
        <w:spacing w:line="560" w:lineRule="exact"/>
        <w:ind w:firstLineChars="200" w:firstLine="640"/>
        <w:rPr>
          <w:rFonts w:eastAsia="仿宋_GB2312"/>
          <w:kern w:val="0"/>
          <w:sz w:val="32"/>
          <w:szCs w:val="32"/>
        </w:rPr>
      </w:pPr>
      <w:r>
        <w:rPr>
          <w:rFonts w:eastAsia="楷体_GB2312"/>
          <w:sz w:val="32"/>
          <w:szCs w:val="32"/>
        </w:rPr>
        <w:t>（十三）功能与主治。</w:t>
      </w:r>
      <w:r>
        <w:rPr>
          <w:rFonts w:eastAsia="仿宋_GB2312"/>
          <w:kern w:val="0"/>
          <w:sz w:val="32"/>
          <w:szCs w:val="32"/>
        </w:rPr>
        <w:t>根据中药饮片实际执行标准中对应内容进行标注。</w:t>
      </w:r>
    </w:p>
    <w:p w:rsidR="00890D6E" w:rsidRDefault="00DB219B">
      <w:pPr>
        <w:overflowPunct w:val="0"/>
        <w:spacing w:line="560" w:lineRule="exact"/>
        <w:ind w:firstLineChars="200" w:firstLine="640"/>
        <w:rPr>
          <w:rFonts w:eastAsia="仿宋_GB2312"/>
          <w:kern w:val="0"/>
          <w:sz w:val="32"/>
          <w:szCs w:val="32"/>
        </w:rPr>
      </w:pPr>
      <w:r>
        <w:rPr>
          <w:rFonts w:eastAsia="楷体_GB2312"/>
          <w:sz w:val="32"/>
          <w:szCs w:val="32"/>
        </w:rPr>
        <w:t>（十四）用法与用量。</w:t>
      </w:r>
      <w:r>
        <w:rPr>
          <w:rFonts w:eastAsia="仿宋_GB2312"/>
          <w:kern w:val="0"/>
          <w:sz w:val="32"/>
          <w:szCs w:val="32"/>
        </w:rPr>
        <w:t>根据中药饮片实际执行标准中对应内容进行标注。</w:t>
      </w:r>
    </w:p>
    <w:p w:rsidR="00890D6E" w:rsidRDefault="00DB219B">
      <w:pPr>
        <w:overflowPunct w:val="0"/>
        <w:spacing w:line="560" w:lineRule="exact"/>
        <w:ind w:firstLineChars="200" w:firstLine="640"/>
        <w:rPr>
          <w:rFonts w:eastAsia="仿宋_GB2312"/>
          <w:kern w:val="0"/>
          <w:sz w:val="32"/>
          <w:szCs w:val="32"/>
        </w:rPr>
      </w:pPr>
      <w:r>
        <w:rPr>
          <w:rFonts w:eastAsia="楷体_GB2312"/>
          <w:sz w:val="32"/>
          <w:szCs w:val="32"/>
        </w:rPr>
        <w:t>（十五）注意。</w:t>
      </w:r>
      <w:r>
        <w:rPr>
          <w:rFonts w:eastAsia="仿宋_GB2312"/>
          <w:kern w:val="0"/>
          <w:sz w:val="32"/>
          <w:szCs w:val="32"/>
        </w:rPr>
        <w:t>一般根据中药饮片实际执行标准中对应内容进行标注。可以在标签中对存在</w:t>
      </w:r>
      <w:r>
        <w:rPr>
          <w:rFonts w:eastAsia="仿宋_GB2312"/>
          <w:kern w:val="0"/>
          <w:sz w:val="32"/>
          <w:szCs w:val="32"/>
        </w:rPr>
        <w:t>“</w:t>
      </w:r>
      <w:r>
        <w:rPr>
          <w:rFonts w:eastAsia="仿宋_GB2312"/>
          <w:kern w:val="0"/>
          <w:sz w:val="32"/>
          <w:szCs w:val="32"/>
        </w:rPr>
        <w:t>十八反</w:t>
      </w:r>
      <w:r>
        <w:rPr>
          <w:rFonts w:eastAsia="仿宋_GB2312"/>
          <w:kern w:val="0"/>
          <w:sz w:val="32"/>
          <w:szCs w:val="32"/>
        </w:rPr>
        <w:t>”</w:t>
      </w:r>
      <w:r>
        <w:rPr>
          <w:rFonts w:eastAsia="仿宋_GB2312" w:hint="eastAsia"/>
          <w:kern w:val="0"/>
          <w:sz w:val="32"/>
          <w:szCs w:val="32"/>
        </w:rPr>
        <w:t xml:space="preserve"> </w:t>
      </w:r>
      <w:r>
        <w:rPr>
          <w:rFonts w:eastAsia="仿宋_GB2312"/>
          <w:kern w:val="0"/>
          <w:sz w:val="32"/>
          <w:szCs w:val="32"/>
        </w:rPr>
        <w:t>“</w:t>
      </w:r>
      <w:r>
        <w:rPr>
          <w:rFonts w:eastAsia="仿宋_GB2312"/>
          <w:kern w:val="0"/>
          <w:sz w:val="32"/>
          <w:szCs w:val="32"/>
        </w:rPr>
        <w:t>十九畏</w:t>
      </w:r>
      <w:r>
        <w:rPr>
          <w:rFonts w:eastAsia="仿宋_GB2312"/>
          <w:kern w:val="0"/>
          <w:sz w:val="32"/>
          <w:szCs w:val="32"/>
        </w:rPr>
        <w:t>”</w:t>
      </w:r>
      <w:r>
        <w:rPr>
          <w:rFonts w:eastAsia="仿宋_GB2312"/>
          <w:kern w:val="0"/>
          <w:sz w:val="32"/>
          <w:szCs w:val="32"/>
        </w:rPr>
        <w:t>配伍禁忌或有孕妇禁忌的中药饮片进行提示。也可以对易变质中药饮片常见的质量问题，如走油、变色等，增加风险提示。</w:t>
      </w:r>
    </w:p>
    <w:p w:rsidR="00890D6E" w:rsidRDefault="00DB219B">
      <w:pPr>
        <w:overflowPunct w:val="0"/>
        <w:spacing w:line="560" w:lineRule="exact"/>
        <w:ind w:firstLineChars="200" w:firstLine="640"/>
        <w:rPr>
          <w:rFonts w:eastAsia="仿宋_GB2312"/>
          <w:kern w:val="0"/>
          <w:sz w:val="32"/>
          <w:szCs w:val="32"/>
        </w:rPr>
      </w:pPr>
      <w:r>
        <w:rPr>
          <w:rFonts w:eastAsia="楷体_GB2312"/>
          <w:sz w:val="32"/>
          <w:szCs w:val="32"/>
        </w:rPr>
        <w:t>（十六）生产企业。</w:t>
      </w:r>
      <w:r>
        <w:rPr>
          <w:rFonts w:eastAsia="仿宋_GB2312"/>
          <w:kern w:val="0"/>
          <w:sz w:val="32"/>
          <w:szCs w:val="32"/>
        </w:rPr>
        <w:t>根据中药饮片的实际生产者经依法登记注册的生产企业名称进行标注。</w:t>
      </w:r>
    </w:p>
    <w:p w:rsidR="00890D6E" w:rsidRDefault="00DB219B">
      <w:pPr>
        <w:overflowPunct w:val="0"/>
        <w:spacing w:line="560" w:lineRule="exact"/>
        <w:ind w:firstLineChars="200" w:firstLine="640"/>
        <w:rPr>
          <w:rFonts w:eastAsia="仿宋_GB2312"/>
          <w:kern w:val="0"/>
          <w:sz w:val="32"/>
          <w:szCs w:val="32"/>
        </w:rPr>
      </w:pPr>
      <w:r>
        <w:rPr>
          <w:rFonts w:eastAsia="楷体_GB2312"/>
          <w:sz w:val="32"/>
          <w:szCs w:val="32"/>
        </w:rPr>
        <w:t>（十七）生产地址。</w:t>
      </w:r>
      <w:r>
        <w:rPr>
          <w:rFonts w:eastAsia="仿宋_GB2312"/>
          <w:kern w:val="0"/>
          <w:sz w:val="32"/>
          <w:szCs w:val="32"/>
        </w:rPr>
        <w:t>根据中药饮片的实际生产厂房的地址进行标注。</w:t>
      </w:r>
    </w:p>
    <w:p w:rsidR="00890D6E" w:rsidRDefault="00DB219B">
      <w:pPr>
        <w:overflowPunct w:val="0"/>
        <w:spacing w:line="560" w:lineRule="exact"/>
        <w:ind w:firstLineChars="200" w:firstLine="640"/>
        <w:rPr>
          <w:rFonts w:eastAsia="仿宋_GB2312"/>
          <w:kern w:val="0"/>
          <w:sz w:val="32"/>
          <w:szCs w:val="32"/>
        </w:rPr>
      </w:pPr>
      <w:r>
        <w:rPr>
          <w:rFonts w:eastAsia="楷体_GB2312"/>
          <w:sz w:val="32"/>
          <w:szCs w:val="32"/>
        </w:rPr>
        <w:lastRenderedPageBreak/>
        <w:t>（十八）产品批号。</w:t>
      </w:r>
      <w:r>
        <w:rPr>
          <w:rFonts w:eastAsia="仿宋_GB2312"/>
          <w:kern w:val="0"/>
          <w:sz w:val="32"/>
          <w:szCs w:val="32"/>
        </w:rPr>
        <w:t>应当以同一批中药材在同一连续生产周期生产的一定数量相对均质的中药饮片作为一批。企业可根据此原则合理制定批号编制规则。</w:t>
      </w:r>
    </w:p>
    <w:p w:rsidR="00890D6E" w:rsidRDefault="00DB219B">
      <w:pPr>
        <w:overflowPunct w:val="0"/>
        <w:spacing w:line="560" w:lineRule="exact"/>
        <w:ind w:firstLineChars="200" w:firstLine="640"/>
        <w:rPr>
          <w:rFonts w:eastAsia="仿宋_GB2312"/>
          <w:color w:val="000000"/>
          <w:kern w:val="0"/>
          <w:sz w:val="32"/>
          <w:szCs w:val="32"/>
        </w:rPr>
      </w:pPr>
      <w:r>
        <w:rPr>
          <w:rFonts w:eastAsia="楷体_GB2312"/>
          <w:sz w:val="32"/>
          <w:szCs w:val="32"/>
        </w:rPr>
        <w:t>（十九）生产日期。</w:t>
      </w:r>
      <w:r>
        <w:rPr>
          <w:rFonts w:eastAsia="仿宋_GB2312"/>
          <w:kern w:val="0"/>
          <w:sz w:val="32"/>
          <w:szCs w:val="32"/>
        </w:rPr>
        <w:t>以中药材投料日期作为中药饮片生产日期。应当按照年、月、日的顺序标注，年份用四位数字</w:t>
      </w:r>
      <w:r>
        <w:rPr>
          <w:rFonts w:eastAsia="仿宋_GB2312"/>
          <w:color w:val="000000"/>
          <w:kern w:val="0"/>
          <w:sz w:val="32"/>
          <w:szCs w:val="32"/>
        </w:rPr>
        <w:t>标示，月、日用两位数标示。其具体标注格式可为</w:t>
      </w:r>
      <w:r>
        <w:rPr>
          <w:rFonts w:eastAsia="仿宋_GB2312"/>
          <w:color w:val="000000"/>
          <w:kern w:val="0"/>
          <w:sz w:val="32"/>
          <w:szCs w:val="32"/>
        </w:rPr>
        <w:t>XXXX</w:t>
      </w:r>
      <w:r>
        <w:rPr>
          <w:rFonts w:eastAsia="仿宋_GB2312"/>
          <w:color w:val="000000"/>
          <w:kern w:val="0"/>
          <w:sz w:val="32"/>
          <w:szCs w:val="32"/>
        </w:rPr>
        <w:t>年</w:t>
      </w:r>
      <w:r>
        <w:rPr>
          <w:rFonts w:eastAsia="仿宋_GB2312"/>
          <w:color w:val="000000"/>
          <w:kern w:val="0"/>
          <w:sz w:val="32"/>
          <w:szCs w:val="32"/>
        </w:rPr>
        <w:t>XX</w:t>
      </w:r>
      <w:r>
        <w:rPr>
          <w:rFonts w:eastAsia="仿宋_GB2312"/>
          <w:color w:val="000000"/>
          <w:kern w:val="0"/>
          <w:sz w:val="32"/>
          <w:szCs w:val="32"/>
        </w:rPr>
        <w:t>月</w:t>
      </w:r>
      <w:r>
        <w:rPr>
          <w:rFonts w:eastAsia="仿宋_GB2312"/>
          <w:color w:val="000000"/>
          <w:kern w:val="0"/>
          <w:sz w:val="32"/>
          <w:szCs w:val="32"/>
        </w:rPr>
        <w:t>XX</w:t>
      </w:r>
      <w:r>
        <w:rPr>
          <w:rFonts w:eastAsia="仿宋_GB2312"/>
          <w:color w:val="000000"/>
          <w:kern w:val="0"/>
          <w:sz w:val="32"/>
          <w:szCs w:val="32"/>
        </w:rPr>
        <w:t>日、</w:t>
      </w:r>
      <w:r>
        <w:rPr>
          <w:rFonts w:eastAsia="仿宋_GB2312"/>
          <w:color w:val="000000"/>
          <w:kern w:val="0"/>
          <w:sz w:val="32"/>
          <w:szCs w:val="32"/>
        </w:rPr>
        <w:t>XXXX/XX/XX</w:t>
      </w:r>
      <w:r>
        <w:rPr>
          <w:rFonts w:eastAsia="仿宋_GB2312"/>
          <w:color w:val="000000"/>
          <w:kern w:val="0"/>
          <w:sz w:val="32"/>
          <w:szCs w:val="32"/>
        </w:rPr>
        <w:t>、</w:t>
      </w:r>
      <w:r>
        <w:rPr>
          <w:rFonts w:eastAsia="仿宋_GB2312"/>
          <w:color w:val="000000"/>
          <w:kern w:val="0"/>
          <w:sz w:val="32"/>
          <w:szCs w:val="32"/>
        </w:rPr>
        <w:t>XXXX.XX.XX</w:t>
      </w:r>
      <w:r>
        <w:rPr>
          <w:rFonts w:eastAsia="仿宋_GB2312"/>
          <w:color w:val="000000"/>
          <w:kern w:val="0"/>
          <w:sz w:val="32"/>
          <w:szCs w:val="32"/>
        </w:rPr>
        <w:t>或</w:t>
      </w:r>
      <w:r>
        <w:rPr>
          <w:rFonts w:eastAsia="仿宋_GB2312"/>
          <w:color w:val="000000"/>
          <w:kern w:val="0"/>
          <w:sz w:val="32"/>
          <w:szCs w:val="32"/>
        </w:rPr>
        <w:t>XXXXXXXX</w:t>
      </w:r>
      <w:r>
        <w:rPr>
          <w:rFonts w:eastAsia="仿宋_GB2312"/>
          <w:color w:val="000000"/>
          <w:kern w:val="0"/>
          <w:sz w:val="32"/>
          <w:szCs w:val="32"/>
        </w:rPr>
        <w:t>。</w:t>
      </w:r>
    </w:p>
    <w:p w:rsidR="00890D6E" w:rsidRDefault="00DB219B">
      <w:pPr>
        <w:overflowPunct w:val="0"/>
        <w:spacing w:line="560" w:lineRule="exact"/>
        <w:ind w:firstLineChars="200" w:firstLine="640"/>
        <w:rPr>
          <w:rFonts w:eastAsia="仿宋_GB2312"/>
          <w:kern w:val="0"/>
          <w:sz w:val="32"/>
          <w:szCs w:val="32"/>
        </w:rPr>
      </w:pPr>
      <w:r>
        <w:rPr>
          <w:rFonts w:eastAsia="楷体_GB2312"/>
          <w:sz w:val="32"/>
          <w:szCs w:val="32"/>
        </w:rPr>
        <w:t>（二十）保质期。</w:t>
      </w:r>
      <w:r>
        <w:rPr>
          <w:rFonts w:eastAsia="仿宋_GB2312"/>
          <w:color w:val="000000"/>
          <w:kern w:val="0"/>
          <w:sz w:val="32"/>
          <w:szCs w:val="32"/>
        </w:rPr>
        <w:t>中药饮片生产企业根据产品特性、贮藏条件等确定并标注中药饮片的保质期。保质期的起算时间应当为该中药饮片的生产日期，而非包装或分装日期。保质期可按照推算的日期表述，也可按照固定时间期限表述。按照推算日期表述的，年份用四位数字标示，月、日用两位数字标示。其</w:t>
      </w:r>
      <w:r>
        <w:rPr>
          <w:rFonts w:eastAsia="仿宋_GB2312"/>
          <w:kern w:val="0"/>
          <w:sz w:val="32"/>
          <w:szCs w:val="32"/>
        </w:rPr>
        <w:t>具体标注格式为</w:t>
      </w:r>
      <w:r>
        <w:rPr>
          <w:rFonts w:eastAsia="仿宋_GB2312"/>
          <w:kern w:val="0"/>
          <w:sz w:val="32"/>
          <w:szCs w:val="32"/>
        </w:rPr>
        <w:t>“</w:t>
      </w:r>
      <w:r>
        <w:rPr>
          <w:rFonts w:eastAsia="仿宋_GB2312"/>
          <w:kern w:val="0"/>
          <w:sz w:val="32"/>
          <w:szCs w:val="32"/>
        </w:rPr>
        <w:t>保质期至</w:t>
      </w:r>
      <w:r>
        <w:rPr>
          <w:rFonts w:eastAsia="仿宋_GB2312"/>
          <w:kern w:val="0"/>
          <w:sz w:val="32"/>
          <w:szCs w:val="32"/>
        </w:rPr>
        <w:t>XXXX</w:t>
      </w:r>
      <w:r>
        <w:rPr>
          <w:rFonts w:eastAsia="仿宋_GB2312"/>
          <w:kern w:val="0"/>
          <w:sz w:val="32"/>
          <w:szCs w:val="32"/>
        </w:rPr>
        <w:t>年</w:t>
      </w:r>
      <w:r>
        <w:rPr>
          <w:rFonts w:eastAsia="仿宋_GB2312"/>
          <w:kern w:val="0"/>
          <w:sz w:val="32"/>
          <w:szCs w:val="32"/>
        </w:rPr>
        <w:t>XX</w:t>
      </w:r>
      <w:r>
        <w:rPr>
          <w:rFonts w:eastAsia="仿宋_GB2312"/>
          <w:kern w:val="0"/>
          <w:sz w:val="32"/>
          <w:szCs w:val="32"/>
        </w:rPr>
        <w:t>月</w:t>
      </w:r>
      <w:r>
        <w:rPr>
          <w:rFonts w:eastAsia="仿宋_GB2312"/>
          <w:kern w:val="0"/>
          <w:sz w:val="32"/>
          <w:szCs w:val="32"/>
        </w:rPr>
        <w:t>”</w:t>
      </w:r>
      <w:r>
        <w:rPr>
          <w:rFonts w:eastAsia="仿宋_GB2312"/>
          <w:kern w:val="0"/>
          <w:sz w:val="32"/>
          <w:szCs w:val="32"/>
        </w:rPr>
        <w:t>或者</w:t>
      </w:r>
      <w:r>
        <w:rPr>
          <w:rFonts w:eastAsia="仿宋_GB2312"/>
          <w:kern w:val="0"/>
          <w:sz w:val="32"/>
          <w:szCs w:val="32"/>
        </w:rPr>
        <w:t>“</w:t>
      </w:r>
      <w:r>
        <w:rPr>
          <w:rFonts w:eastAsia="仿宋_GB2312"/>
          <w:kern w:val="0"/>
          <w:sz w:val="32"/>
          <w:szCs w:val="32"/>
        </w:rPr>
        <w:t>保质期至</w:t>
      </w:r>
      <w:r>
        <w:rPr>
          <w:rFonts w:eastAsia="仿宋_GB2312"/>
          <w:kern w:val="0"/>
          <w:sz w:val="32"/>
          <w:szCs w:val="32"/>
        </w:rPr>
        <w:t>XXXX</w:t>
      </w:r>
      <w:r>
        <w:rPr>
          <w:rFonts w:eastAsia="仿宋_GB2312"/>
          <w:kern w:val="0"/>
          <w:sz w:val="32"/>
          <w:szCs w:val="32"/>
        </w:rPr>
        <w:t>年</w:t>
      </w:r>
      <w:r>
        <w:rPr>
          <w:rFonts w:eastAsia="仿宋_GB2312"/>
          <w:kern w:val="0"/>
          <w:sz w:val="32"/>
          <w:szCs w:val="32"/>
        </w:rPr>
        <w:t>XX</w:t>
      </w:r>
      <w:r>
        <w:rPr>
          <w:rFonts w:eastAsia="仿宋_GB2312"/>
          <w:kern w:val="0"/>
          <w:sz w:val="32"/>
          <w:szCs w:val="32"/>
        </w:rPr>
        <w:t>月</w:t>
      </w:r>
      <w:r>
        <w:rPr>
          <w:rFonts w:eastAsia="仿宋_GB2312"/>
          <w:kern w:val="0"/>
          <w:sz w:val="32"/>
          <w:szCs w:val="32"/>
        </w:rPr>
        <w:t>XX</w:t>
      </w:r>
      <w:r>
        <w:rPr>
          <w:rFonts w:eastAsia="仿宋_GB2312"/>
          <w:kern w:val="0"/>
          <w:sz w:val="32"/>
          <w:szCs w:val="32"/>
        </w:rPr>
        <w:t>日</w:t>
      </w:r>
      <w:r>
        <w:rPr>
          <w:rFonts w:eastAsia="仿宋_GB2312"/>
          <w:kern w:val="0"/>
          <w:sz w:val="32"/>
          <w:szCs w:val="32"/>
        </w:rPr>
        <w:t>”</w:t>
      </w:r>
      <w:r>
        <w:rPr>
          <w:rFonts w:eastAsia="仿宋_GB2312"/>
          <w:kern w:val="0"/>
          <w:sz w:val="32"/>
          <w:szCs w:val="32"/>
        </w:rPr>
        <w:t>；也可以用数字和符号标注为：</w:t>
      </w:r>
      <w:r>
        <w:rPr>
          <w:rFonts w:eastAsia="仿宋_GB2312"/>
          <w:kern w:val="0"/>
          <w:sz w:val="32"/>
          <w:szCs w:val="32"/>
        </w:rPr>
        <w:t>“</w:t>
      </w:r>
      <w:r>
        <w:rPr>
          <w:rFonts w:eastAsia="仿宋_GB2312"/>
          <w:kern w:val="0"/>
          <w:sz w:val="32"/>
          <w:szCs w:val="32"/>
        </w:rPr>
        <w:t>保质期至</w:t>
      </w:r>
      <w:r>
        <w:rPr>
          <w:rFonts w:eastAsia="仿宋_GB2312"/>
          <w:kern w:val="0"/>
          <w:sz w:val="32"/>
          <w:szCs w:val="32"/>
        </w:rPr>
        <w:t>XXXX.XX.”</w:t>
      </w:r>
      <w:r>
        <w:rPr>
          <w:rFonts w:eastAsia="仿宋_GB2312"/>
          <w:kern w:val="0"/>
          <w:sz w:val="32"/>
          <w:szCs w:val="32"/>
        </w:rPr>
        <w:t>或者</w:t>
      </w:r>
      <w:r>
        <w:rPr>
          <w:rFonts w:eastAsia="仿宋_GB2312"/>
          <w:kern w:val="0"/>
          <w:sz w:val="32"/>
          <w:szCs w:val="32"/>
        </w:rPr>
        <w:t>“</w:t>
      </w:r>
      <w:r>
        <w:rPr>
          <w:rFonts w:eastAsia="仿宋_GB2312"/>
          <w:kern w:val="0"/>
          <w:sz w:val="32"/>
          <w:szCs w:val="32"/>
        </w:rPr>
        <w:t>保质期至</w:t>
      </w:r>
      <w:r>
        <w:rPr>
          <w:rFonts w:eastAsia="仿宋_GB2312"/>
          <w:kern w:val="0"/>
          <w:sz w:val="32"/>
          <w:szCs w:val="32"/>
        </w:rPr>
        <w:t>XXXX.XX.XX”</w:t>
      </w:r>
      <w:r>
        <w:rPr>
          <w:rFonts w:eastAsia="仿宋_GB2312"/>
          <w:kern w:val="0"/>
          <w:sz w:val="32"/>
          <w:szCs w:val="32"/>
        </w:rPr>
        <w:t>等。保质期若标注到日</w:t>
      </w:r>
      <w:r>
        <w:rPr>
          <w:rFonts w:eastAsia="仿宋_GB2312" w:hint="eastAsia"/>
          <w:kern w:val="0"/>
          <w:sz w:val="32"/>
          <w:szCs w:val="32"/>
        </w:rPr>
        <w:t>，</w:t>
      </w:r>
      <w:r>
        <w:rPr>
          <w:rFonts w:eastAsia="仿宋_GB2312"/>
          <w:kern w:val="0"/>
          <w:sz w:val="32"/>
          <w:szCs w:val="32"/>
        </w:rPr>
        <w:t>应当为起算日期对应年月日的前一天，若标注到月，应当为起算月份对应年月的前一月。按照固定时间期限表述的，一般按</w:t>
      </w:r>
      <w:r>
        <w:rPr>
          <w:rFonts w:eastAsia="仿宋_GB2312"/>
          <w:kern w:val="0"/>
          <w:sz w:val="32"/>
          <w:szCs w:val="32"/>
        </w:rPr>
        <w:t>“XX</w:t>
      </w:r>
      <w:r>
        <w:rPr>
          <w:rFonts w:eastAsia="仿宋_GB2312"/>
          <w:kern w:val="0"/>
          <w:sz w:val="32"/>
          <w:szCs w:val="32"/>
        </w:rPr>
        <w:t>个月</w:t>
      </w:r>
      <w:r>
        <w:rPr>
          <w:rFonts w:eastAsia="仿宋_GB2312"/>
          <w:kern w:val="0"/>
          <w:sz w:val="32"/>
          <w:szCs w:val="32"/>
        </w:rPr>
        <w:t>”</w:t>
      </w:r>
      <w:r>
        <w:rPr>
          <w:rFonts w:eastAsia="仿宋_GB2312"/>
          <w:kern w:val="0"/>
          <w:sz w:val="32"/>
          <w:szCs w:val="32"/>
        </w:rPr>
        <w:t>表述，对保质期较长的，也可表述为</w:t>
      </w:r>
      <w:r>
        <w:rPr>
          <w:rFonts w:eastAsia="仿宋_GB2312"/>
          <w:kern w:val="0"/>
          <w:sz w:val="32"/>
          <w:szCs w:val="32"/>
        </w:rPr>
        <w:t>“XX</w:t>
      </w:r>
      <w:r>
        <w:rPr>
          <w:rFonts w:eastAsia="仿宋_GB2312"/>
          <w:kern w:val="0"/>
          <w:sz w:val="32"/>
          <w:szCs w:val="32"/>
        </w:rPr>
        <w:t>年</w:t>
      </w:r>
      <w:r>
        <w:rPr>
          <w:rFonts w:eastAsia="仿宋_GB2312"/>
          <w:kern w:val="0"/>
          <w:sz w:val="32"/>
          <w:szCs w:val="32"/>
        </w:rPr>
        <w:t>”</w:t>
      </w:r>
      <w:r>
        <w:rPr>
          <w:rFonts w:eastAsia="仿宋_GB2312"/>
          <w:kern w:val="0"/>
          <w:sz w:val="32"/>
          <w:szCs w:val="32"/>
        </w:rPr>
        <w:t>。对传统用药经验认为需陈化后使用的中药饮片以及部分成份性质稳定的矿物类中药饮片可根据饮片贮藏实际标注具体保质期。</w:t>
      </w:r>
    </w:p>
    <w:p w:rsidR="00890D6E" w:rsidRDefault="00DB219B">
      <w:pPr>
        <w:widowControl/>
        <w:overflowPunct w:val="0"/>
        <w:spacing w:line="560" w:lineRule="exact"/>
        <w:ind w:firstLineChars="200" w:firstLine="640"/>
        <w:rPr>
          <w:rFonts w:eastAsia="仿宋_GB2312"/>
          <w:sz w:val="32"/>
          <w:szCs w:val="30"/>
        </w:rPr>
      </w:pPr>
      <w:r>
        <w:rPr>
          <w:rFonts w:eastAsia="楷体_GB2312"/>
          <w:sz w:val="32"/>
          <w:szCs w:val="32"/>
        </w:rPr>
        <w:t>（二十一）贮藏。</w:t>
      </w:r>
      <w:r>
        <w:rPr>
          <w:rFonts w:eastAsia="仿宋_GB2312"/>
          <w:kern w:val="0"/>
          <w:sz w:val="32"/>
          <w:szCs w:val="32"/>
        </w:rPr>
        <w:t>应当按照国家药品标准（含国家中药饮片炮制规范）或</w:t>
      </w:r>
      <w:r>
        <w:rPr>
          <w:rFonts w:eastAsia="仿宋_GB2312" w:hint="eastAsia"/>
          <w:kern w:val="0"/>
          <w:sz w:val="32"/>
          <w:szCs w:val="32"/>
        </w:rPr>
        <w:t>者</w:t>
      </w:r>
      <w:r>
        <w:rPr>
          <w:rFonts w:eastAsia="仿宋_GB2312"/>
          <w:kern w:val="0"/>
          <w:sz w:val="32"/>
          <w:szCs w:val="32"/>
        </w:rPr>
        <w:t>省级中药饮片炮制规范等的相关规定表述，如置阴凉干燥处，防蛀等。也可标明具体的贮存温度，如置阴凉（不</w:t>
      </w:r>
      <w:r>
        <w:rPr>
          <w:rFonts w:eastAsia="仿宋_GB2312"/>
          <w:kern w:val="0"/>
          <w:sz w:val="32"/>
          <w:szCs w:val="32"/>
        </w:rPr>
        <w:lastRenderedPageBreak/>
        <w:t>超过</w:t>
      </w:r>
      <w:r>
        <w:rPr>
          <w:rFonts w:eastAsia="仿宋_GB2312"/>
          <w:kern w:val="0"/>
          <w:sz w:val="32"/>
          <w:szCs w:val="32"/>
        </w:rPr>
        <w:t>20℃</w:t>
      </w:r>
      <w:r>
        <w:rPr>
          <w:rFonts w:eastAsia="仿宋_GB2312"/>
          <w:kern w:val="0"/>
          <w:sz w:val="32"/>
          <w:szCs w:val="32"/>
        </w:rPr>
        <w:t>）干燥处。对需置阴凉处、冷处、避光或密闭保存等贮藏有特殊要求的中药饮片，应当在标签的醒目位置注明。</w:t>
      </w:r>
      <w:r>
        <w:rPr>
          <w:rFonts w:eastAsia="仿宋_GB2312"/>
          <w:sz w:val="32"/>
          <w:szCs w:val="30"/>
        </w:rPr>
        <w:t xml:space="preserve"> </w:t>
      </w:r>
    </w:p>
    <w:p w:rsidR="00890D6E" w:rsidRDefault="00DB219B">
      <w:pPr>
        <w:widowControl/>
        <w:overflowPunct w:val="0"/>
        <w:spacing w:line="560" w:lineRule="exact"/>
        <w:ind w:firstLineChars="200" w:firstLine="640"/>
        <w:rPr>
          <w:rFonts w:eastAsia="仿宋_GB2312"/>
          <w:sz w:val="32"/>
          <w:szCs w:val="32"/>
        </w:rPr>
      </w:pPr>
      <w:r>
        <w:rPr>
          <w:rFonts w:eastAsia="楷体_GB2312"/>
          <w:sz w:val="32"/>
          <w:szCs w:val="32"/>
        </w:rPr>
        <w:t>（二十二）其他</w:t>
      </w:r>
      <w:r>
        <w:rPr>
          <w:rFonts w:eastAsia="楷体_GB2312" w:hint="eastAsia"/>
          <w:sz w:val="32"/>
          <w:szCs w:val="32"/>
        </w:rPr>
        <w:t>。</w:t>
      </w:r>
      <w:r>
        <w:rPr>
          <w:rFonts w:eastAsia="仿宋_GB2312"/>
          <w:sz w:val="32"/>
          <w:szCs w:val="32"/>
        </w:rPr>
        <w:t>中药饮片生产企业根据需要在标签上标注药品信息化追溯体系中的追溯码、物流单元标识代码、医保信息业务编码等</w:t>
      </w:r>
      <w:r>
        <w:rPr>
          <w:rFonts w:eastAsia="仿宋_GB2312" w:hint="eastAsia"/>
          <w:sz w:val="32"/>
          <w:szCs w:val="32"/>
        </w:rPr>
        <w:t>，应当符合相应的规定。</w:t>
      </w:r>
    </w:p>
    <w:p w:rsidR="00DB219B" w:rsidRDefault="00DB219B" w:rsidP="008D3BC7">
      <w:pPr>
        <w:adjustRightInd w:val="0"/>
        <w:snapToGrid w:val="0"/>
        <w:spacing w:line="560" w:lineRule="exact"/>
        <w:jc w:val="left"/>
        <w:rPr>
          <w:rFonts w:eastAsia="仿宋_GB2312"/>
          <w:sz w:val="32"/>
          <w:szCs w:val="32"/>
        </w:rPr>
      </w:pPr>
      <w:bookmarkStart w:id="0" w:name="_GoBack"/>
      <w:bookmarkEnd w:id="0"/>
    </w:p>
    <w:sectPr w:rsidR="00DB219B">
      <w:footerReference w:type="even" r:id="rId7"/>
      <w:footerReference w:type="default" r:id="rId8"/>
      <w:pgSz w:w="11906" w:h="16838"/>
      <w:pgMar w:top="1928" w:right="1531" w:bottom="1814" w:left="1531" w:header="851" w:footer="1361"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4953" w:rsidRDefault="00EE4953">
      <w:r>
        <w:separator/>
      </w:r>
    </w:p>
  </w:endnote>
  <w:endnote w:type="continuationSeparator" w:id="0">
    <w:p w:rsidR="00EE4953" w:rsidRDefault="00EE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D6E" w:rsidRDefault="00DB219B">
    <w:pPr>
      <w:pStyle w:val="a3"/>
      <w:framePr w:wrap="around" w:vAnchor="text" w:hAnchor="margin" w:xAlign="outside" w:y="1"/>
      <w:rPr>
        <w:rStyle w:val="a4"/>
        <w:sz w:val="28"/>
        <w:szCs w:val="28"/>
      </w:rPr>
    </w:pPr>
    <w:r>
      <w:rPr>
        <w:rStyle w:val="a4"/>
        <w:rFonts w:hint="eastAsia"/>
        <w:color w:val="FFFFFF"/>
        <w:sz w:val="28"/>
        <w:szCs w:val="28"/>
      </w:rPr>
      <w:t>—</w:t>
    </w:r>
    <w:r>
      <w:rPr>
        <w:rStyle w:val="a4"/>
        <w:rFonts w:hint="eastAsia"/>
        <w:sz w:val="28"/>
        <w:szCs w:val="28"/>
      </w:rPr>
      <w:t>—</w:t>
    </w:r>
    <w:r>
      <w:rPr>
        <w:rStyle w:val="a4"/>
        <w:rFonts w:hint="eastAsia"/>
        <w:sz w:val="28"/>
        <w:szCs w:val="28"/>
      </w:rPr>
      <w:t xml:space="preserve"> </w:t>
    </w:r>
    <w:r>
      <w:rPr>
        <w:sz w:val="28"/>
        <w:szCs w:val="28"/>
      </w:rPr>
      <w:fldChar w:fldCharType="begin"/>
    </w:r>
    <w:r>
      <w:rPr>
        <w:rStyle w:val="a4"/>
        <w:sz w:val="28"/>
        <w:szCs w:val="28"/>
      </w:rPr>
      <w:instrText xml:space="preserve">PAGE  </w:instrText>
    </w:r>
    <w:r>
      <w:rPr>
        <w:sz w:val="28"/>
        <w:szCs w:val="28"/>
      </w:rPr>
      <w:fldChar w:fldCharType="separate"/>
    </w:r>
    <w:r>
      <w:rPr>
        <w:rStyle w:val="a4"/>
        <w:sz w:val="28"/>
        <w:szCs w:val="28"/>
      </w:rPr>
      <w:t>2</w:t>
    </w:r>
    <w:r>
      <w:rPr>
        <w:sz w:val="28"/>
        <w:szCs w:val="28"/>
      </w:rPr>
      <w:fldChar w:fldCharType="end"/>
    </w:r>
    <w:r>
      <w:rPr>
        <w:rStyle w:val="a4"/>
        <w:rFonts w:hint="eastAsia"/>
        <w:sz w:val="28"/>
        <w:szCs w:val="28"/>
      </w:rPr>
      <w:t xml:space="preserve"> </w:t>
    </w:r>
    <w:r>
      <w:rPr>
        <w:rStyle w:val="a4"/>
        <w:rFonts w:hint="eastAsia"/>
        <w:sz w:val="28"/>
        <w:szCs w:val="28"/>
      </w:rPr>
      <w:t>—</w:t>
    </w:r>
    <w:r>
      <w:rPr>
        <w:rStyle w:val="a4"/>
        <w:rFonts w:hint="eastAsia"/>
        <w:sz w:val="28"/>
        <w:szCs w:val="28"/>
      </w:rPr>
      <w:t xml:space="preserve"> </w:t>
    </w:r>
  </w:p>
  <w:p w:rsidR="00890D6E" w:rsidRDefault="00890D6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D6E" w:rsidRDefault="00916837">
    <w:pPr>
      <w:pStyle w:val="a3"/>
      <w:wordWrap w:val="0"/>
      <w:jc w:val="right"/>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1067435" cy="230505"/>
              <wp:effectExtent l="2540" t="0" r="0" b="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0D6E" w:rsidRDefault="00DB219B">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8D3BC7" w:rsidRPr="008D3BC7">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2.85pt;margin-top:0;width:84.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" filled="f" stroked="f">
              <v:textbox style="mso-fit-shape-to-text:t" inset="0,0,0,0">
                <w:txbxContent>
                  <w:p w:rsidR="00890D6E" w:rsidRDefault="00DB219B">
                    <w:pPr>
                      <w:pStyle w:val="a3"/>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sidR="008D3BC7" w:rsidRPr="008D3BC7">
                      <w:rPr>
                        <w:noProof/>
                        <w:sz w:val="28"/>
                        <w:szCs w:val="28"/>
                        <w:lang w:val="zh-CN"/>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4953" w:rsidRDefault="00EE4953">
      <w:r>
        <w:separator/>
      </w:r>
    </w:p>
  </w:footnote>
  <w:footnote w:type="continuationSeparator" w:id="0">
    <w:p w:rsidR="00EE4953" w:rsidRDefault="00EE4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FF9D50C"/>
    <w:multiLevelType w:val="singleLevel"/>
    <w:tmpl w:val="5FF9D50C"/>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DFDC5820"/>
    <w:rsid w:val="DFDC5820"/>
    <w:rsid w:val="FB732BF3"/>
    <w:rsid w:val="00890D6E"/>
    <w:rsid w:val="008D3BC7"/>
    <w:rsid w:val="00916837"/>
    <w:rsid w:val="00D2240F"/>
    <w:rsid w:val="00DB219B"/>
    <w:rsid w:val="00EE4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A1DE893-FC2D-4649-B3C5-A214F4ED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character" w:styleId="a4">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2429</Characters>
  <Application>Microsoft Office Word</Application>
  <DocSecurity>0</DocSecurity>
  <Lines>20</Lines>
  <Paragraphs>5</Paragraphs>
  <ScaleCrop>false</ScaleCrop>
  <Company/>
  <LinksUpToDate>false</LinksUpToDate>
  <CharactersWithSpaces>2849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zhik</dc:creator>
  <cp:keywords/>
  <cp:lastModifiedBy>pc</cp:lastModifiedBy>
  <cp:revision>4</cp:revision>
  <dcterms:created xsi:type="dcterms:W3CDTF">2023-07-28T09:45:00Z</dcterms:created>
  <dcterms:modified xsi:type="dcterms:W3CDTF">2023-07-28T09:47:00Z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FA0C1A55DEB328B1DE8AC36419FB8AD4</vt:lpwstr>
  </property>
</Properties>
</file>