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kern w:val="2"/>
          <w:sz w:val="44"/>
          <w:szCs w:val="44"/>
          <w:lang w:val="en-US" w:eastAsia="zh-CN" w:bidi="ar-SA"/>
        </w:rPr>
      </w:pPr>
    </w:p>
    <w:p>
      <w:pPr>
        <w:jc w:val="center"/>
        <w:rPr>
          <w:rFonts w:ascii="Times New Roman" w:hAnsi="Times New Roman" w:eastAsia="宋体" w:cs="Times New Roman"/>
          <w:kern w:val="2"/>
          <w:sz w:val="44"/>
          <w:szCs w:val="44"/>
          <w:lang w:val="en-US" w:eastAsia="zh-CN" w:bidi="ar-SA"/>
        </w:rPr>
      </w:pPr>
      <w:r>
        <w:rPr>
          <w:rFonts w:ascii="Times New Roman" w:hAnsi="Times New Roman" w:eastAsia="宋体" w:cs="Times New Roman"/>
          <w:kern w:val="2"/>
          <w:sz w:val="44"/>
          <w:szCs w:val="44"/>
          <w:lang w:val="en-US" w:eastAsia="zh-CN" w:bidi="ar-SA"/>
        </w:rPr>
        <w:t>放射工作人员职业健康管理办法</w:t>
      </w:r>
    </w:p>
    <w:p>
      <w:pPr>
        <w:jc w:val="center"/>
        <w:rPr>
          <w:rFonts w:ascii="Times New Roman" w:hAnsi="Times New Roman" w:eastAsia="宋体" w:cs="Times New Roman"/>
          <w:kern w:val="2"/>
          <w:sz w:val="44"/>
          <w:szCs w:val="44"/>
          <w:lang w:val="en-US" w:eastAsia="zh-CN" w:bidi="ar-SA"/>
        </w:rPr>
      </w:pPr>
    </w:p>
    <w:p>
      <w:pPr>
        <w:pStyle w:val="2"/>
        <w:bidi w:val="0"/>
      </w:pPr>
      <w:r>
        <w:rPr>
          <w:rFonts w:hint="eastAsia"/>
          <w:lang w:val="en-US" w:eastAsia="zh-CN"/>
        </w:rPr>
        <w:t xml:space="preserve">第一章 </w:t>
      </w:r>
      <w:r>
        <w:rPr>
          <w:lang w:val="en-US" w:eastAsia="zh-CN"/>
        </w:rPr>
        <w:t>总则</w:t>
      </w:r>
      <w:r>
        <w:t xml:space="preserve"> </w:t>
      </w:r>
    </w:p>
    <w:p>
      <w:pPr>
        <w:numPr>
          <w:ilvl w:val="0"/>
          <w:numId w:val="1"/>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为了保障放射工作人员的职业健康与安全，根据《中华人民共和国职业病防治法》（以下简称《职业病防治法》）和《放射性同位素与射线装置安全和防护条例》，制定本办法。</w:t>
      </w:r>
    </w:p>
    <w:p>
      <w:pPr>
        <w:numPr>
          <w:ilvl w:val="0"/>
          <w:numId w:val="1"/>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 xml:space="preserve">第二条中华人民共和国境内的放射工作单位及其放射工作人员，应当遵守本办法。 </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本办法所称放射工作单位，是指开展下列活动的企业、事业单位和个体经济组织：</w:t>
      </w:r>
    </w:p>
    <w:p>
      <w:pPr>
        <w:numPr>
          <w:ilvl w:val="0"/>
          <w:numId w:val="2"/>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放射性同位素（非密封放射性物质和放射源）的生产、使用、运输、贮存和废弃处理；</w:t>
      </w:r>
    </w:p>
    <w:p>
      <w:pPr>
        <w:numPr>
          <w:ilvl w:val="0"/>
          <w:numId w:val="2"/>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射线装置的生产、使用和维修；</w:t>
      </w:r>
    </w:p>
    <w:p>
      <w:pPr>
        <w:numPr>
          <w:ilvl w:val="0"/>
          <w:numId w:val="2"/>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核燃料循环中的铀矿开采、铀矿水冶、铀的浓缩和转化、燃料制造、反应堆运行、燃料后处理和核燃料循环中的研究活动；</w:t>
      </w:r>
    </w:p>
    <w:p>
      <w:pPr>
        <w:numPr>
          <w:ilvl w:val="0"/>
          <w:numId w:val="2"/>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放射性同位素、射线装置和放射工作场所的辐射监测；</w:t>
      </w:r>
    </w:p>
    <w:p>
      <w:pPr>
        <w:numPr>
          <w:ilvl w:val="0"/>
          <w:numId w:val="2"/>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卫生部规定的与电离辐射有关的其他活动。</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本办法所称放射工作人员，是指在放射工作单位从事放射职业活动中受到电离辐射照射的人员。</w:t>
      </w:r>
    </w:p>
    <w:p>
      <w:pPr>
        <w:numPr>
          <w:ilvl w:val="0"/>
          <w:numId w:val="1"/>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卫生部主管全国放射工作人员职业健康的监督管理工作。县级以上地方人民政府卫生行政部门负责本行政区域内放射工作人员职业健康的监督管理。</w:t>
      </w:r>
    </w:p>
    <w:p>
      <w:pPr>
        <w:numPr>
          <w:ilvl w:val="0"/>
          <w:numId w:val="1"/>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放射工作单位应当采取有效措施，使本单位放射工作人员职业健康的管理符合本办法和有关标准及规范的要求。</w:t>
      </w:r>
    </w:p>
    <w:p>
      <w:pPr>
        <w:pStyle w:val="2"/>
        <w:bidi w:val="0"/>
        <w:rPr>
          <w:rFonts w:hint="default"/>
          <w:lang w:val="en-US" w:eastAsia="zh-CN"/>
        </w:rPr>
      </w:pPr>
      <w:r>
        <w:rPr>
          <w:rFonts w:hint="eastAsia"/>
          <w:lang w:val="en-US" w:eastAsia="zh-CN"/>
        </w:rPr>
        <w:t xml:space="preserve">第二章 </w:t>
      </w:r>
      <w:r>
        <w:rPr>
          <w:rFonts w:hint="default"/>
          <w:lang w:val="en-US" w:eastAsia="zh-CN"/>
        </w:rPr>
        <w:t xml:space="preserve">从业条件与培训 </w:t>
      </w:r>
    </w:p>
    <w:p>
      <w:pPr>
        <w:numPr>
          <w:ilvl w:val="0"/>
          <w:numId w:val="1"/>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放射工作人员应当具备下列基本条件：</w:t>
      </w:r>
    </w:p>
    <w:p>
      <w:pPr>
        <w:numPr>
          <w:ilvl w:val="0"/>
          <w:numId w:val="3"/>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年满18周岁；</w:t>
      </w:r>
    </w:p>
    <w:p>
      <w:pPr>
        <w:numPr>
          <w:ilvl w:val="0"/>
          <w:numId w:val="3"/>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经职业健康检查，符合放射工作人员的职业健康要求；</w:t>
      </w:r>
    </w:p>
    <w:p>
      <w:pPr>
        <w:numPr>
          <w:ilvl w:val="0"/>
          <w:numId w:val="3"/>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放射防护和有关法律知识培训考核合格；</w:t>
      </w:r>
    </w:p>
    <w:p>
      <w:pPr>
        <w:numPr>
          <w:ilvl w:val="0"/>
          <w:numId w:val="3"/>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遵守放射防护法规和规章制度，接受职业健康监护和个人剂量监测管理；</w:t>
      </w:r>
    </w:p>
    <w:p>
      <w:pPr>
        <w:numPr>
          <w:ilvl w:val="0"/>
          <w:numId w:val="3"/>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持有《放射工作人员证》。</w:t>
      </w:r>
    </w:p>
    <w:p>
      <w:pPr>
        <w:numPr>
          <w:ilvl w:val="0"/>
          <w:numId w:val="1"/>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放射工作人员上岗前，放射工作单位负责向所在地县级以上地方人民政府卫生行政部门为其申请办理《放射工作人员证》。</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开展放射诊疗工作的医疗机构，向为其发放《放射诊疗许可证》的卫生行政部门申请办理《放射工作人员证》。</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开展本办法第二条第二款第（三）项所列活动以及非医用加速器运行、辐照加工、射线探伤和油田测井等活动的放射工作单位，向所在地省级卫生行政部门申请办理《放射工作人员证》。</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其他放射工作单位办理《放射工作人员证》的规定，由所在地省级卫生行政部门结合本地区实际情况确定。</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《放射工作人员证》的格式由卫生部统一制定。</w:t>
      </w:r>
    </w:p>
    <w:p>
      <w:pPr>
        <w:numPr>
          <w:ilvl w:val="0"/>
          <w:numId w:val="1"/>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放射工作人员上岗前应当接受放射防护和有关法律知识培训，考核合格方可参加相应的工作。培训时间不少于4天。</w:t>
      </w:r>
    </w:p>
    <w:p>
      <w:pPr>
        <w:numPr>
          <w:ilvl w:val="0"/>
          <w:numId w:val="1"/>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放射工作单位应当定期组织本单位的放射工作人员接受放射防护和有关法律知识培训。放射工作人员两次培训的时间间隔不超过2年，每次培训时间不少于2天。</w:t>
      </w:r>
    </w:p>
    <w:p>
      <w:pPr>
        <w:numPr>
          <w:ilvl w:val="0"/>
          <w:numId w:val="1"/>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放射工作单位应当建立并按照规定的期限妥善保存培训档案。培训档案应当包括每次培训的课程名称、培训时间、考试或考核成绩等资料。</w:t>
      </w:r>
    </w:p>
    <w:p>
      <w:pPr>
        <w:numPr>
          <w:ilvl w:val="0"/>
          <w:numId w:val="1"/>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放射防护及有关法律知识培训应当由符合省级卫生行政部门规定条件的单位承担，培训单位可会同放射工作单位共同制定培训计划，并按照培训计划和有关规范或标准实施和考核。</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放射工作单位应当将每次培训的情况及时记录在《放射工作人员证》中。</w:t>
      </w:r>
    </w:p>
    <w:p>
      <w:pPr>
        <w:pStyle w:val="2"/>
        <w:bidi w:val="0"/>
        <w:rPr>
          <w:rFonts w:hint="default"/>
          <w:lang w:val="en-US" w:eastAsia="zh-CN"/>
        </w:rPr>
      </w:pPr>
      <w:r>
        <w:rPr>
          <w:rFonts w:hint="eastAsia"/>
          <w:lang w:val="en-US" w:eastAsia="zh-CN"/>
        </w:rPr>
        <w:t xml:space="preserve">第三章 </w:t>
      </w:r>
      <w:r>
        <w:rPr>
          <w:rFonts w:hint="default"/>
          <w:lang w:val="en-US" w:eastAsia="zh-CN"/>
        </w:rPr>
        <w:t xml:space="preserve">个人剂量监测管理 </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第十一条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放射工作单位应当按照本办法和国家有关标准、规范的要求，安排本单位的放射工作人员接受个人剂量监测，并遵守下列规定：</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（一）外照射个人剂量监测周期一般为30天，最长不应超过90天；内照射个人剂量监测周期按照有关标准执行；</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（二）建立并终生保存个人剂量监测档案；</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（三）允许放射工作人员查阅、复印本人的个人剂量监测档案。</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第十二条</w:t>
      </w:r>
      <w:r>
        <w:rPr>
          <w:rFonts w:hint="eastAsia" w:ascii="仿宋_GB2312" w:eastAsia="仿宋_GB2312" w:cs="仿宋_GB2312"/>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个人剂量监测档案应当包括：</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（一）常规监测的方法和结果等相关资料；</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（二）应急或者事故中受到照射的剂量和调查报告等相关资料。</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放射工作单位应当将个人剂量监测结果及时记录在《放射工作人员证》中。</w:t>
      </w:r>
    </w:p>
    <w:p>
      <w:pPr>
        <w:numPr>
          <w:ilvl w:val="0"/>
          <w:numId w:val="4"/>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放射工作人员进入放射工作场所，应当遵守下列规定：</w:t>
      </w:r>
    </w:p>
    <w:p>
      <w:pPr>
        <w:numPr>
          <w:ilvl w:val="0"/>
          <w:numId w:val="5"/>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正确佩戴个人剂量计；</w:t>
      </w:r>
    </w:p>
    <w:p>
      <w:pPr>
        <w:numPr>
          <w:ilvl w:val="0"/>
          <w:numId w:val="5"/>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操作结束离开非密封放射性物质工作场所时，按要求进行个人体表、衣物及防护用品的放射性表面污染监测，发现污染要及时处理，做好记录并存档；</w:t>
      </w:r>
    </w:p>
    <w:p>
      <w:pPr>
        <w:numPr>
          <w:ilvl w:val="0"/>
          <w:numId w:val="5"/>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进入辐照装置、工业探伤、放射治疗等强辐射工作场所时，除佩戴常规个人剂量计外，还应当携带报警式剂量计。</w:t>
      </w:r>
    </w:p>
    <w:p>
      <w:pPr>
        <w:numPr>
          <w:ilvl w:val="0"/>
          <w:numId w:val="4"/>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个人剂量监测工作应当由具备资质的个人剂量监测技术服务机构承担。个人剂量监测技术服务机构的资质审定由中国疾病预防控制中心协助卫生部组织实施。</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个人剂量监测技术服务机构的资质审定按照《职业病防治法》、《职业卫生技术服务机构管理办法》和卫生部有关规定执行。</w:t>
      </w:r>
    </w:p>
    <w:p>
      <w:pPr>
        <w:numPr>
          <w:ilvl w:val="0"/>
          <w:numId w:val="4"/>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个人剂量监测技术服务机构应当严格按照国家职业卫生标准、技术规范开展监测工作，参加质量控制和技术培训。</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个人剂量监测报告应当在每个监测周期结束后1个月内送达放射工作单位，同时报告当地卫生行政部门。</w:t>
      </w:r>
    </w:p>
    <w:p>
      <w:pPr>
        <w:numPr>
          <w:ilvl w:val="0"/>
          <w:numId w:val="4"/>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县级以上地方卫生行政部门按规定时间和格式，将本行政区域内的放射工作人员个人剂量监测数据逐级上报到卫生部。</w:t>
      </w:r>
    </w:p>
    <w:p>
      <w:pPr>
        <w:numPr>
          <w:ilvl w:val="0"/>
          <w:numId w:val="4"/>
        </w:numPr>
        <w:ind w:left="0" w:leftChars="0"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第十七条中国疾病预防控制中心协助卫生部拟定个人剂量监测技术服务机构的资质审定程序和标准，组织实施全国个人剂量监测的质量控制和技术培训，汇总分析全国个人剂量监测数据。</w:t>
      </w:r>
    </w:p>
    <w:p>
      <w:pPr>
        <w:pStyle w:val="2"/>
        <w:bidi w:val="0"/>
        <w:rPr>
          <w:rFonts w:hint="default"/>
          <w:lang w:val="en-US" w:eastAsia="zh-CN"/>
        </w:rPr>
      </w:pPr>
      <w:r>
        <w:rPr>
          <w:rFonts w:hint="eastAsia"/>
          <w:lang w:val="en-US" w:eastAsia="zh-CN"/>
        </w:rPr>
        <w:t xml:space="preserve">第四章 </w:t>
      </w:r>
      <w:r>
        <w:rPr>
          <w:rFonts w:hint="default"/>
          <w:lang w:val="en-US" w:eastAsia="zh-CN"/>
        </w:rPr>
        <w:t xml:space="preserve">职业健康管理 </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第十八条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放射工作人员上岗前，应当进行上岗前的职业健康检查，符合放射工作人员健康标准的，方可参加相应的放射工作。</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放射工作单位不得安排未经职业健康检查或者不符合放射工作人员职业健康标准的人员从事放射工作。</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第十九条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放射工作单位应当组织上岗后的放射工作人员定期进行职业健康检查，两次检查的时间间隔不应超过2年，必要时可增加临时性检查。</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第二十条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放射工作人员脱离放射工作岗位时，放射工作单位应当对其进行离岗前的职业健康检查．</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第二十一条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对参加应急处理或者受到事故照射的放射工作人员，放射工作单位应当及时组织健康检查或者医疗救治，按照国家有关标准进行医学随访观察。</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第二十二条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从事放射工作人员职业健康检查的医疗机构（以下简称职业健康检查机构）应当经省级卫生行政部门批准。</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第二十三条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职业健康检查机构应当自体检工作结束之日起1个月内，将职业健康检查报告送达放射工作单位。</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职业健康检查机构出具的职业健康检查报告应当客观、真实，并对职业健康检查报告负责。</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第二十四条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职业健康检查机构发现有可能因放射性因素导致健康损害的，应当通知放射工作单位，并及时告知放射工作人员本人。</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职业健康检查机构发现疑似职业性放射性疾病病人应当通知放射工作人员及其所在放射工作单位，并按规定向放射工作单位所在地卫生行政部门报告。</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第二十五条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放射工作单位应当在收到职业健康检查报告的7日内，如实告知放射工作人员，并将检查结论记录在《放射工作人员证》中。</w:t>
      </w:r>
    </w:p>
    <w:p>
      <w:pPr>
        <w:numPr>
          <w:numId w:val="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放射工作单位对职业健康检查中发现不宜继续从事放射工作的人员，应当及时调离放射工作岗位，并妥善安置；对需要复查和医学随访观察的放射工作人员，应当及时予以安排。</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第二十六条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放射工作单位不得安排怀孕的妇女参与应急处理和有可能造成职业性内照射的工作。哺乳期妇女在其哺乳期间应避免接受职业性内照射。</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第二十七条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放射工作单位应当为放射工作人员建立并终生保存职业健康监护档案。职业健康监护档案应包括以下内容：</w:t>
      </w:r>
    </w:p>
    <w:p>
      <w:pPr>
        <w:numPr>
          <w:ilvl w:val="0"/>
          <w:numId w:val="6"/>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职业史、既往病史和职业照射接触史；</w:t>
      </w:r>
    </w:p>
    <w:p>
      <w:pPr>
        <w:numPr>
          <w:ilvl w:val="0"/>
          <w:numId w:val="6"/>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历次职业健康检查结果及评价处理意见；</w:t>
      </w:r>
    </w:p>
    <w:p>
      <w:pPr>
        <w:numPr>
          <w:ilvl w:val="0"/>
          <w:numId w:val="6"/>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职业性放射性疾病诊疗、医学随访观察等健康资料。</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第二十八条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放射工作人员有权查阅、复印本人的职业健康监护档案。放射工作单位应当如实、无偿提供。</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第二十九条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放射工作人员职业健康检查、职业性放射性疾病的诊断、鉴定、医疗救治和医学随访观察的费用，由其所在单位承担。</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第三十条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职业性放射性疾病的诊断鉴定工作按照《职业病诊断与鉴定管理办法》和国家有关标准执行。</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第三十一条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放射工作人员的保健津贴按照国家有关规定执行。</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第三十二条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在国家统一规定的休假外，放射工作人员每年可以享受保健休假2～4周。享受寒、暑假的放射工作人员不再享受保健休假。从事放射工作满20年的在岗放射工作人员，可以由所在单位利用休假时间安排健康疗养。</w:t>
      </w:r>
    </w:p>
    <w:p>
      <w:pPr>
        <w:pStyle w:val="2"/>
        <w:bidi w:val="0"/>
        <w:rPr>
          <w:rFonts w:hint="default"/>
          <w:lang w:val="en-US" w:eastAsia="zh-CN"/>
        </w:rPr>
      </w:pPr>
      <w:r>
        <w:rPr>
          <w:rFonts w:hint="eastAsia"/>
          <w:lang w:val="en-US" w:eastAsia="zh-CN"/>
        </w:rPr>
        <w:t xml:space="preserve">第五章 </w:t>
      </w:r>
      <w:r>
        <w:rPr>
          <w:rFonts w:hint="default"/>
          <w:lang w:val="en-US" w:eastAsia="zh-CN"/>
        </w:rPr>
        <w:t xml:space="preserve">监督检查 </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第三十三条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县级以上地方人民政府卫生行政部门应当定期对本行政区域内放射工作单位的放射工作人员职业健康管理进行监督检查。检查内容包括：</w:t>
      </w:r>
    </w:p>
    <w:p>
      <w:pPr>
        <w:numPr>
          <w:ilvl w:val="0"/>
          <w:numId w:val="7"/>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有关法规和标准执行情况；</w:t>
      </w:r>
    </w:p>
    <w:p>
      <w:pPr>
        <w:numPr>
          <w:ilvl w:val="0"/>
          <w:numId w:val="7"/>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放射防护措施落实情况；</w:t>
      </w:r>
    </w:p>
    <w:p>
      <w:pPr>
        <w:numPr>
          <w:ilvl w:val="0"/>
          <w:numId w:val="7"/>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人员培训、职业健康检查、个人剂量监测及其档案管理情况；</w:t>
      </w:r>
    </w:p>
    <w:p>
      <w:pPr>
        <w:numPr>
          <w:ilvl w:val="0"/>
          <w:numId w:val="7"/>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 xml:space="preserve">《放射工作人员证》持证及相关信息记录情况； </w:t>
      </w:r>
    </w:p>
    <w:p>
      <w:pPr>
        <w:numPr>
          <w:ilvl w:val="0"/>
          <w:numId w:val="7"/>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放射工作人员其他职业健康权益保障情况。</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第三十四条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卫生行政执法人员依法进行监督检查时，应当出示证件。被检查的单位应当予以配合，如实反映情况，提供必要的资料，不得拒绝、阻碍、隐瞒。</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第三十五条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卫生行政执法人员依法检查时，应当保守被检查单位的技术秘密和业务秘密。</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第三十六条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卫生行政部门接到对违反本办法行为的举报后应当及时核实、处理。</w:t>
      </w:r>
    </w:p>
    <w:p>
      <w:pPr>
        <w:pStyle w:val="2"/>
        <w:bidi w:val="0"/>
        <w:rPr>
          <w:rFonts w:hint="default"/>
          <w:lang w:val="en-US" w:eastAsia="zh-CN"/>
        </w:rPr>
      </w:pPr>
      <w:r>
        <w:rPr>
          <w:rFonts w:hint="eastAsia"/>
          <w:lang w:val="en-US" w:eastAsia="zh-CN"/>
        </w:rPr>
        <w:t xml:space="preserve">第六章 </w:t>
      </w:r>
      <w:r>
        <w:rPr>
          <w:rFonts w:hint="default"/>
          <w:lang w:val="en-US" w:eastAsia="zh-CN"/>
        </w:rPr>
        <w:t>法律责任</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第三十七条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放射工作单位违反本办法，有下列行为之一的，按照《职业病防治法》第六十三条处罚：</w:t>
      </w:r>
    </w:p>
    <w:p>
      <w:pPr>
        <w:numPr>
          <w:ilvl w:val="0"/>
          <w:numId w:val="8"/>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未按照规定组织放射工作人员培训的；</w:t>
      </w:r>
    </w:p>
    <w:p>
      <w:pPr>
        <w:numPr>
          <w:ilvl w:val="0"/>
          <w:numId w:val="8"/>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未建立个人剂量监测档案的；</w:t>
      </w:r>
    </w:p>
    <w:p>
      <w:pPr>
        <w:numPr>
          <w:ilvl w:val="0"/>
          <w:numId w:val="8"/>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拒绝放射工作人员查阅、复印其个人剂量监测档案和职业健康监护档案的。</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第三十八条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放射工作单位违反本办法，未按照规定组织职业健康检查、未建立职业健康监护档案或者未将检查结果如实告知劳动者的，按照《职业病防治法》第六十四条处罚。</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第三十九条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 xml:space="preserve">放射工作单位违反本办法，未给从事放射工作的人员办理《放射工作人员证》的，由卫生行政部门责令限期改正，给予警告，并可处3万元以下的罚款。 第四十条放射工作单位违反本办法，有下列行为之一的，按照《职业病防治法》第六十五条处罚： </w:t>
      </w:r>
    </w:p>
    <w:p>
      <w:pPr>
        <w:numPr>
          <w:ilvl w:val="0"/>
          <w:numId w:val="9"/>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未按照规定进行个人剂量监测的；</w:t>
      </w:r>
    </w:p>
    <w:p>
      <w:pPr>
        <w:numPr>
          <w:ilvl w:val="0"/>
          <w:numId w:val="9"/>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个人剂量监测或者职业健康检查发现异常，未采取相应措施的。</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第四十一条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 xml:space="preserve">放射工作单位违反本办法，有下列行为之一的，按照《职业病防治法》第六十八条处罚： </w:t>
      </w:r>
    </w:p>
    <w:p>
      <w:pPr>
        <w:numPr>
          <w:ilvl w:val="0"/>
          <w:numId w:val="1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安排未经职业健康检查的劳动者从事放射工作的；</w:t>
      </w:r>
    </w:p>
    <w:p>
      <w:pPr>
        <w:numPr>
          <w:ilvl w:val="0"/>
          <w:numId w:val="1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安排未满18周岁的人员从事放射工作的；</w:t>
      </w:r>
    </w:p>
    <w:p>
      <w:pPr>
        <w:numPr>
          <w:ilvl w:val="0"/>
          <w:numId w:val="1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安排怀孕的妇女参加应急处理或者有可能造成内照射的工作的，或者安排哺乳期的妇女接受职业性内照射的；</w:t>
      </w:r>
    </w:p>
    <w:p>
      <w:pPr>
        <w:numPr>
          <w:ilvl w:val="0"/>
          <w:numId w:val="1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安排不符合职业健康标准要求的人员从事放射工作的；</w:t>
      </w:r>
    </w:p>
    <w:p>
      <w:pPr>
        <w:numPr>
          <w:ilvl w:val="0"/>
          <w:numId w:val="10"/>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对因职业健康原因调离放射工作岗位的放射工作人员、疑似职业性放射性疾病的病人未做安排的。</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第四十二条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技术服务机构未取得资质擅自从事个人剂量监测技术服务的，或者医疗机构未经批准擅自从事放射工作人员职业健康检查的，按照《职业病防治法》第七十二条处罚。</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第四十三条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开展个人剂量监测的职业卫生技术服务机构和承担放射工作人员职业健康检查的医疗机构违反本办法，有下列行为之一的，按照《职业病防治法》第七十三条处罚：</w:t>
      </w:r>
    </w:p>
    <w:p>
      <w:pPr>
        <w:numPr>
          <w:ilvl w:val="0"/>
          <w:numId w:val="11"/>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超出资质范围从事个人剂量监测技术服务的，或者超出批准范围从事放射工作人员职业健康检查的；</w:t>
      </w:r>
    </w:p>
    <w:p>
      <w:pPr>
        <w:numPr>
          <w:ilvl w:val="0"/>
          <w:numId w:val="11"/>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未按《职业病防治法》和本办法规定履行法定职责的；</w:t>
      </w:r>
    </w:p>
    <w:p>
      <w:pPr>
        <w:numPr>
          <w:ilvl w:val="0"/>
          <w:numId w:val="11"/>
        </w:numPr>
        <w:ind w:firstLine="640"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出具虚假证明文件的。</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第四十四条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卫生行政部门及其工作人员违反本办法，不履行法定职责，造成严重后果的，对直接负责的主管人员和其他直接责任人员，依法给予行政处分；情节严重，构成犯罪的，依法追究刑事责任。</w:t>
      </w:r>
    </w:p>
    <w:p>
      <w:pPr>
        <w:pStyle w:val="2"/>
        <w:bidi w:val="0"/>
        <w:rPr>
          <w:rFonts w:hint="default"/>
          <w:lang w:val="en-US" w:eastAsia="zh-CN"/>
        </w:rPr>
      </w:pPr>
      <w:r>
        <w:rPr>
          <w:rFonts w:hint="eastAsia"/>
          <w:lang w:val="en-US" w:eastAsia="zh-CN"/>
        </w:rPr>
        <w:t xml:space="preserve">第七章 </w:t>
      </w:r>
      <w:r>
        <w:rPr>
          <w:rFonts w:hint="default"/>
          <w:lang w:val="en-US" w:eastAsia="zh-CN"/>
        </w:rPr>
        <w:t>附则</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第四十五条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放射工作人员职业健康检查项目及职业健康检查表由卫生部制定。</w:t>
      </w:r>
    </w:p>
    <w:p>
      <w:pPr>
        <w:numPr>
          <w:numId w:val="0"/>
        </w:numPr>
        <w:ind w:firstLine="643" w:firstLineChars="2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第四十六条</w:t>
      </w:r>
      <w:r>
        <w:rPr>
          <w:rFonts w:hint="eastAsia" w:ascii="仿宋_GB2312" w:eastAsia="仿宋_GB2312" w:cs="仿宋_GB2312"/>
          <w:b/>
          <w:bCs/>
          <w:i w:val="0"/>
          <w:iCs w:val="0"/>
          <w:caps w:val="0"/>
          <w:color w:val="484848"/>
          <w:spacing w:val="0"/>
          <w:kern w:val="0"/>
          <w:sz w:val="32"/>
          <w:szCs w:val="32"/>
          <w:u w:val="none"/>
          <w:lang w:val="en-US" w:eastAsia="zh-CN" w:bidi="ar"/>
        </w:rPr>
        <w:t xml:space="preserve"> </w:t>
      </w:r>
      <w:r>
        <w:rPr>
          <w:rFonts w:hint="default" w:ascii="仿宋_GB2312" w:eastAsia="仿宋_GB2312" w:cs="仿宋_GB2312" w:hAnsiTheme="minorHAnsi"/>
          <w:i w:val="0"/>
          <w:iCs w:val="0"/>
          <w:caps w:val="0"/>
          <w:color w:val="484848"/>
          <w:spacing w:val="0"/>
          <w:kern w:val="0"/>
          <w:sz w:val="32"/>
          <w:szCs w:val="32"/>
          <w:u w:val="none"/>
          <w:lang w:val="en-US" w:eastAsia="zh-CN" w:bidi="ar"/>
        </w:rPr>
        <w:t>本办法自2007年11月1日起施行。1997年6月5日卫生部发布的《放射工作人员健康管理规定》同时废止。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F40A3"/>
    <w:multiLevelType w:val="singleLevel"/>
    <w:tmpl w:val="8A1F40A3"/>
    <w:lvl w:ilvl="0" w:tentative="0">
      <w:start w:val="1"/>
      <w:numFmt w:val="chineseCounting"/>
      <w:suff w:val="nothing"/>
      <w:lvlText w:val="（%1）"/>
      <w:lvlJc w:val="left"/>
      <w:rPr>
        <w:rFonts w:hint="eastAsia"/>
      </w:rPr>
    </w:lvl>
  </w:abstractNum>
  <w:abstractNum w:abstractNumId="1">
    <w:nsid w:val="A02073E8"/>
    <w:multiLevelType w:val="singleLevel"/>
    <w:tmpl w:val="A02073E8"/>
    <w:lvl w:ilvl="0" w:tentative="0">
      <w:start w:val="1"/>
      <w:numFmt w:val="chineseCounting"/>
      <w:suff w:val="nothing"/>
      <w:lvlText w:val="（%1）"/>
      <w:lvlJc w:val="left"/>
      <w:rPr>
        <w:rFonts w:hint="eastAsia"/>
      </w:rPr>
    </w:lvl>
  </w:abstractNum>
  <w:abstractNum w:abstractNumId="2">
    <w:nsid w:val="A3EF49FB"/>
    <w:multiLevelType w:val="singleLevel"/>
    <w:tmpl w:val="A3EF49FB"/>
    <w:lvl w:ilvl="0" w:tentative="0">
      <w:start w:val="1"/>
      <w:numFmt w:val="chineseCounting"/>
      <w:suff w:val="nothing"/>
      <w:lvlText w:val="（%1）"/>
      <w:lvlJc w:val="left"/>
      <w:rPr>
        <w:rFonts w:hint="eastAsia"/>
      </w:rPr>
    </w:lvl>
  </w:abstractNum>
  <w:abstractNum w:abstractNumId="3">
    <w:nsid w:val="AFB6723D"/>
    <w:multiLevelType w:val="singleLevel"/>
    <w:tmpl w:val="AFB6723D"/>
    <w:lvl w:ilvl="0" w:tentative="0">
      <w:start w:val="1"/>
      <w:numFmt w:val="chineseCounting"/>
      <w:suff w:val="nothing"/>
      <w:lvlText w:val="（%1）"/>
      <w:lvlJc w:val="left"/>
      <w:rPr>
        <w:rFonts w:hint="eastAsia"/>
      </w:rPr>
    </w:lvl>
  </w:abstractNum>
  <w:abstractNum w:abstractNumId="4">
    <w:nsid w:val="BF112AB0"/>
    <w:multiLevelType w:val="singleLevel"/>
    <w:tmpl w:val="BF112AB0"/>
    <w:lvl w:ilvl="0" w:tentative="0">
      <w:start w:val="1"/>
      <w:numFmt w:val="chineseCounting"/>
      <w:suff w:val="nothing"/>
      <w:lvlText w:val="（%1）"/>
      <w:lvlJc w:val="left"/>
      <w:rPr>
        <w:rFonts w:hint="eastAsia"/>
      </w:rPr>
    </w:lvl>
  </w:abstractNum>
  <w:abstractNum w:abstractNumId="5">
    <w:nsid w:val="CD503634"/>
    <w:multiLevelType w:val="singleLevel"/>
    <w:tmpl w:val="CD503634"/>
    <w:lvl w:ilvl="0" w:tentative="0">
      <w:start w:val="1"/>
      <w:numFmt w:val="chineseCounting"/>
      <w:suff w:val="nothing"/>
      <w:lvlText w:val="（%1）"/>
      <w:lvlJc w:val="left"/>
      <w:rPr>
        <w:rFonts w:hint="eastAsia"/>
      </w:rPr>
    </w:lvl>
  </w:abstractNum>
  <w:abstractNum w:abstractNumId="6">
    <w:nsid w:val="E7E84539"/>
    <w:multiLevelType w:val="singleLevel"/>
    <w:tmpl w:val="E7E84539"/>
    <w:lvl w:ilvl="0" w:tentative="0">
      <w:start w:val="13"/>
      <w:numFmt w:val="chineseCounting"/>
      <w:suff w:val="space"/>
      <w:lvlText w:val="第%1条"/>
      <w:lvlJc w:val="left"/>
      <w:rPr>
        <w:rFonts w:hint="eastAsia"/>
        <w:b/>
        <w:bCs/>
      </w:rPr>
    </w:lvl>
  </w:abstractNum>
  <w:abstractNum w:abstractNumId="7">
    <w:nsid w:val="0413E274"/>
    <w:multiLevelType w:val="singleLevel"/>
    <w:tmpl w:val="0413E274"/>
    <w:lvl w:ilvl="0" w:tentative="0">
      <w:start w:val="1"/>
      <w:numFmt w:val="chineseCounting"/>
      <w:suff w:val="space"/>
      <w:lvlText w:val="第%1条"/>
      <w:lvlJc w:val="left"/>
      <w:rPr>
        <w:rFonts w:hint="eastAsia"/>
        <w:b/>
        <w:bCs/>
      </w:rPr>
    </w:lvl>
  </w:abstractNum>
  <w:abstractNum w:abstractNumId="8">
    <w:nsid w:val="243F9F87"/>
    <w:multiLevelType w:val="singleLevel"/>
    <w:tmpl w:val="243F9F87"/>
    <w:lvl w:ilvl="0" w:tentative="0">
      <w:start w:val="1"/>
      <w:numFmt w:val="chineseCounting"/>
      <w:suff w:val="nothing"/>
      <w:lvlText w:val="（%1）"/>
      <w:lvlJc w:val="left"/>
      <w:rPr>
        <w:rFonts w:hint="eastAsia"/>
      </w:rPr>
    </w:lvl>
  </w:abstractNum>
  <w:abstractNum w:abstractNumId="9">
    <w:nsid w:val="29B40049"/>
    <w:multiLevelType w:val="singleLevel"/>
    <w:tmpl w:val="29B40049"/>
    <w:lvl w:ilvl="0" w:tentative="0">
      <w:start w:val="1"/>
      <w:numFmt w:val="chineseCounting"/>
      <w:suff w:val="nothing"/>
      <w:lvlText w:val="（%1）"/>
      <w:lvlJc w:val="left"/>
      <w:rPr>
        <w:rFonts w:hint="eastAsia"/>
      </w:rPr>
    </w:lvl>
  </w:abstractNum>
  <w:abstractNum w:abstractNumId="10">
    <w:nsid w:val="29E18D56"/>
    <w:multiLevelType w:val="singleLevel"/>
    <w:tmpl w:val="29E18D56"/>
    <w:lvl w:ilvl="0" w:tentative="0">
      <w:start w:val="1"/>
      <w:numFmt w:val="chineseCounting"/>
      <w:suff w:val="nothing"/>
      <w:lvlText w:val="（%1）"/>
      <w:lvlJc w:val="left"/>
      <w:rPr>
        <w:rFonts w:hint="eastAsia"/>
      </w:rPr>
    </w:lvl>
  </w:abstractNum>
  <w:num w:numId="1">
    <w:abstractNumId w:val="7"/>
  </w:num>
  <w:num w:numId="2">
    <w:abstractNumId w:val="3"/>
  </w:num>
  <w:num w:numId="3">
    <w:abstractNumId w:val="2"/>
  </w:num>
  <w:num w:numId="4">
    <w:abstractNumId w:val="6"/>
  </w:num>
  <w:num w:numId="5">
    <w:abstractNumId w:val="0"/>
  </w:num>
  <w:num w:numId="6">
    <w:abstractNumId w:val="4"/>
  </w:num>
  <w:num w:numId="7">
    <w:abstractNumId w:val="9"/>
  </w:num>
  <w:num w:numId="8">
    <w:abstractNumId w:val="5"/>
  </w:num>
  <w:num w:numId="9">
    <w:abstractNumId w:val="8"/>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5FAA4B2F"/>
    <w:rsid w:val="5FAA4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4416</Words>
  <Characters>4428</Characters>
  <Lines>0</Lines>
  <Paragraphs>0</Paragraphs>
  <TotalTime>18</TotalTime>
  <ScaleCrop>false</ScaleCrop>
  <LinksUpToDate>false</LinksUpToDate>
  <CharactersWithSpaces>4527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2023-04-27T02:05:00Z</dcterms:created>
  <dc:creator>海婷</dc:creator>
  <cp:lastModifiedBy>海婷</cp:lastModifiedBy>
  <dcterms:modified xsi:type="dcterms:W3CDTF">2023-04-27T02:26:20Z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92614F7FDB53449E9411435229ADABF3_11</vt:lpwstr>
  </property>
</Properties>
</file>