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30FE5">
      <w:pPr>
        <w:spacing w:line="360" w:lineRule="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rPr>
        <w:t>附件</w:t>
      </w:r>
      <w:r>
        <w:rPr>
          <w:rFonts w:hint="default" w:ascii="Times New Roman" w:hAnsi="Times New Roman" w:eastAsia="黑体" w:cs="Times New Roman"/>
          <w:bCs/>
          <w:color w:val="auto"/>
          <w:sz w:val="32"/>
          <w:szCs w:val="32"/>
          <w:lang w:val="en-US" w:eastAsia="zh-CN"/>
        </w:rPr>
        <w:t>5</w:t>
      </w:r>
    </w:p>
    <w:p w14:paraId="34AD5B21">
      <w:pPr>
        <w:pStyle w:val="4"/>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_GB2312" w:cs="Times New Roman"/>
          <w:color w:val="auto"/>
          <w:sz w:val="32"/>
          <w:szCs w:val="32"/>
          <w:lang w:eastAsia="zh-CN"/>
        </w:rPr>
      </w:pPr>
    </w:p>
    <w:p w14:paraId="76521E60">
      <w:pPr>
        <w:widowControl/>
        <w:spacing w:line="600" w:lineRule="exact"/>
        <w:jc w:val="center"/>
        <w:outlineLvl w:val="0"/>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2025年职业卫生和放射卫生</w:t>
      </w:r>
    </w:p>
    <w:p w14:paraId="314EF236">
      <w:pPr>
        <w:widowControl/>
        <w:spacing w:line="600" w:lineRule="exact"/>
        <w:jc w:val="center"/>
        <w:outlineLvl w:val="0"/>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随机监督抽查计划</w:t>
      </w:r>
    </w:p>
    <w:p w14:paraId="661B5DC8">
      <w:pPr>
        <w:widowControl/>
        <w:spacing w:line="570" w:lineRule="exact"/>
        <w:ind w:firstLine="602"/>
        <w:jc w:val="left"/>
        <w:outlineLvl w:val="0"/>
        <w:rPr>
          <w:rFonts w:hint="default" w:ascii="Times New Roman" w:hAnsi="Times New Roman" w:eastAsia="黑体" w:cs="Times New Roman"/>
          <w:bCs/>
          <w:color w:val="auto"/>
          <w:sz w:val="32"/>
          <w:szCs w:val="32"/>
        </w:rPr>
      </w:pPr>
    </w:p>
    <w:p w14:paraId="16882F57">
      <w:pPr>
        <w:keepNext w:val="0"/>
        <w:keepLines w:val="0"/>
        <w:pageBreakBefore w:val="0"/>
        <w:widowControl/>
        <w:kinsoku/>
        <w:wordWrap/>
        <w:overflowPunct/>
        <w:topLinePunct w:val="0"/>
        <w:autoSpaceDN/>
        <w:bidi w:val="0"/>
        <w:adjustRightInd/>
        <w:snapToGrid/>
        <w:spacing w:line="560" w:lineRule="exact"/>
        <w:ind w:firstLine="602"/>
        <w:jc w:val="left"/>
        <w:textAlignment w:val="auto"/>
        <w:outlineLvl w:val="0"/>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一、监督检查内容</w:t>
      </w:r>
    </w:p>
    <w:p w14:paraId="6C8DF63B">
      <w:pPr>
        <w:keepNext w:val="0"/>
        <w:keepLines w:val="0"/>
        <w:pageBreakBefore w:val="0"/>
        <w:widowControl/>
        <w:kinsoku/>
        <w:wordWrap/>
        <w:overflowPunct/>
        <w:topLinePunct w:val="0"/>
        <w:autoSpaceDN/>
        <w:bidi w:val="0"/>
        <w:adjustRightInd/>
        <w:snapToGrid/>
        <w:spacing w:line="560" w:lineRule="exact"/>
        <w:ind w:firstLine="56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rPr>
        <w:t>一）用人单位职业卫生国家随机监督抽查。</w:t>
      </w:r>
      <w:r>
        <w:rPr>
          <w:rFonts w:hint="default" w:ascii="Times New Roman" w:hAnsi="Times New Roman" w:eastAsia="仿宋_GB2312" w:cs="Times New Roman"/>
          <w:color w:val="auto"/>
          <w:kern w:val="0"/>
          <w:sz w:val="32"/>
          <w:szCs w:val="32"/>
        </w:rPr>
        <w:t>主要检查用人单位的职业病防治管理组织和</w:t>
      </w:r>
      <w:r>
        <w:rPr>
          <w:rFonts w:hint="default" w:ascii="Times New Roman" w:hAnsi="Times New Roman" w:eastAsia="仿宋_GB2312" w:cs="Times New Roman"/>
          <w:color w:val="auto"/>
          <w:kern w:val="0"/>
          <w:sz w:val="32"/>
          <w:szCs w:val="32"/>
          <w:lang w:eastAsia="zh-CN"/>
        </w:rPr>
        <w:t>制度</w:t>
      </w:r>
      <w:r>
        <w:rPr>
          <w:rFonts w:hint="default" w:ascii="Times New Roman" w:hAnsi="Times New Roman" w:eastAsia="仿宋_GB2312" w:cs="Times New Roman"/>
          <w:color w:val="auto"/>
          <w:kern w:val="0"/>
          <w:sz w:val="32"/>
          <w:szCs w:val="32"/>
        </w:rPr>
        <w:t>建立情况，职业卫生培训情况，建设项目职业病防护设施“三同时”开展情况，职业病危害项目申报情况，工作场所职业病危害因素检测、评价开展情况，警示标识设置</w:t>
      </w:r>
      <w:r>
        <w:rPr>
          <w:rFonts w:hint="default" w:ascii="Times New Roman" w:hAnsi="Times New Roman" w:eastAsia="仿宋_GB2312" w:cs="Times New Roman"/>
          <w:color w:val="auto"/>
          <w:kern w:val="0"/>
          <w:sz w:val="32"/>
          <w:szCs w:val="32"/>
          <w:lang w:eastAsia="zh-CN"/>
        </w:rPr>
        <w:t>等</w:t>
      </w:r>
      <w:r>
        <w:rPr>
          <w:rFonts w:hint="default" w:ascii="Times New Roman" w:hAnsi="Times New Roman" w:eastAsia="仿宋_GB2312" w:cs="Times New Roman"/>
          <w:color w:val="auto"/>
          <w:kern w:val="0"/>
          <w:sz w:val="32"/>
          <w:szCs w:val="32"/>
        </w:rPr>
        <w:t>职业病危害告知情况，职业病防护设施、应急救援设施和个人使用的职业病防护用品配备、使用、管理情况，劳动者职业健康监护情况，职业病病人、疑似职业病病人处置情况</w:t>
      </w:r>
      <w:r>
        <w:rPr>
          <w:rFonts w:hint="default" w:ascii="Times New Roman" w:hAnsi="Times New Roman" w:eastAsia="仿宋_GB2312" w:cs="Times New Roman"/>
          <w:color w:val="auto"/>
          <w:kern w:val="0"/>
          <w:sz w:val="32"/>
          <w:szCs w:val="32"/>
          <w:lang w:eastAsia="zh-CN"/>
        </w:rPr>
        <w:t>等</w:t>
      </w:r>
      <w:r>
        <w:rPr>
          <w:rFonts w:hint="default" w:ascii="Times New Roman" w:hAnsi="Times New Roman" w:eastAsia="仿宋_GB2312" w:cs="Times New Roman"/>
          <w:color w:val="auto"/>
          <w:kern w:val="0"/>
          <w:sz w:val="32"/>
          <w:szCs w:val="32"/>
        </w:rPr>
        <w:t>。</w:t>
      </w:r>
    </w:p>
    <w:p w14:paraId="4ED56938">
      <w:pPr>
        <w:keepNext w:val="0"/>
        <w:keepLines w:val="0"/>
        <w:pageBreakBefore w:val="0"/>
        <w:widowControl/>
        <w:kinsoku/>
        <w:wordWrap/>
        <w:overflowPunct/>
        <w:topLinePunct w:val="0"/>
        <w:autoSpaceDN/>
        <w:bidi w:val="0"/>
        <w:adjustRightInd/>
        <w:snapToGrid/>
        <w:spacing w:line="560" w:lineRule="exact"/>
        <w:ind w:firstLine="56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rPr>
        <w:t>二）职业卫生和放射卫生技术服务机构国家随机监督抽查。</w:t>
      </w:r>
      <w:r>
        <w:rPr>
          <w:rFonts w:hint="default" w:ascii="Times New Roman" w:hAnsi="Times New Roman" w:eastAsia="仿宋_GB2312" w:cs="Times New Roman"/>
          <w:color w:val="auto"/>
          <w:kern w:val="0"/>
          <w:sz w:val="32"/>
          <w:szCs w:val="32"/>
        </w:rPr>
        <w:t>主要检查职业卫生和放射卫生技术服务机构依照法律、法规和标准规范开展职业卫生、放射卫生技术服务活动情况</w:t>
      </w:r>
      <w:r>
        <w:rPr>
          <w:rFonts w:hint="default" w:ascii="Times New Roman" w:hAnsi="Times New Roman" w:eastAsia="仿宋_GB2312" w:cs="Times New Roman"/>
          <w:color w:val="auto"/>
          <w:kern w:val="0"/>
          <w:sz w:val="32"/>
          <w:szCs w:val="32"/>
          <w:lang w:val="en" w:eastAsia="zh-CN"/>
        </w:rPr>
        <w:t>，</w:t>
      </w:r>
      <w:r>
        <w:rPr>
          <w:rFonts w:hint="default" w:ascii="Times New Roman" w:hAnsi="Times New Roman" w:eastAsia="仿宋_GB2312" w:cs="Times New Roman"/>
          <w:color w:val="auto"/>
          <w:kern w:val="0"/>
          <w:sz w:val="32"/>
          <w:szCs w:val="32"/>
          <w:highlight w:val="none"/>
          <w:lang w:val="en"/>
        </w:rPr>
        <w:t>包括</w:t>
      </w:r>
      <w:r>
        <w:rPr>
          <w:rFonts w:hint="default" w:ascii="Times New Roman" w:hAnsi="Times New Roman" w:eastAsia="仿宋_GB2312" w:cs="Times New Roman"/>
          <w:color w:val="auto"/>
          <w:kern w:val="0"/>
          <w:sz w:val="32"/>
          <w:szCs w:val="32"/>
          <w:highlight w:val="none"/>
        </w:rPr>
        <w:t>是否</w:t>
      </w:r>
      <w:r>
        <w:rPr>
          <w:rFonts w:hint="default" w:ascii="Times New Roman" w:hAnsi="Times New Roman" w:eastAsia="仿宋_GB2312" w:cs="Times New Roman"/>
          <w:color w:val="auto"/>
          <w:kern w:val="0"/>
          <w:sz w:val="32"/>
          <w:szCs w:val="32"/>
        </w:rPr>
        <w:t>取得有效资质，是否在资质认可范围内从事技术服务活动，出具的技术报告是否存在虚假或失实等情况，人员、仪器设备、场所是否符合规定的资质条件等。</w:t>
      </w:r>
    </w:p>
    <w:p w14:paraId="2849F50B">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rPr>
        <w:t>三）放射诊疗机构国家随机监督抽查。</w:t>
      </w:r>
      <w:r>
        <w:rPr>
          <w:rFonts w:hint="default" w:ascii="Times New Roman" w:hAnsi="Times New Roman" w:eastAsia="仿宋_GB2312" w:cs="Times New Roman"/>
          <w:color w:val="auto"/>
          <w:sz w:val="32"/>
          <w:szCs w:val="32"/>
        </w:rPr>
        <w:t>检查放射诊疗机构建设项目管理情况，放射诊疗场所管理及其防护措施</w:t>
      </w:r>
      <w:r>
        <w:rPr>
          <w:rFonts w:hint="default" w:ascii="Times New Roman" w:hAnsi="Times New Roman" w:eastAsia="仿宋_GB2312" w:cs="Times New Roman"/>
          <w:color w:val="auto"/>
          <w:sz w:val="32"/>
          <w:szCs w:val="32"/>
          <w:lang w:eastAsia="zh-CN"/>
        </w:rPr>
        <w:t>落实</w:t>
      </w:r>
      <w:r>
        <w:rPr>
          <w:rFonts w:hint="default" w:ascii="Times New Roman" w:hAnsi="Times New Roman" w:eastAsia="仿宋_GB2312" w:cs="Times New Roman"/>
          <w:color w:val="auto"/>
          <w:sz w:val="32"/>
          <w:szCs w:val="32"/>
        </w:rPr>
        <w:t>情况，放射诊疗设备管理情况，放射工作人员管理情况，开展放射诊疗人员条件管理情况，对患者、受检者及</w:t>
      </w:r>
      <w:r>
        <w:rPr>
          <w:rFonts w:hint="default" w:ascii="Times New Roman" w:hAnsi="Times New Roman" w:eastAsia="仿宋_GB2312" w:cs="Times New Roman"/>
          <w:color w:val="auto"/>
          <w:sz w:val="32"/>
          <w:szCs w:val="32"/>
          <w:lang w:eastAsia="zh-CN"/>
        </w:rPr>
        <w:t>陪检者的防</w:t>
      </w:r>
      <w:r>
        <w:rPr>
          <w:rFonts w:hint="default" w:ascii="Times New Roman" w:hAnsi="Times New Roman" w:eastAsia="仿宋_GB2312" w:cs="Times New Roman"/>
          <w:color w:val="auto"/>
          <w:sz w:val="32"/>
          <w:szCs w:val="32"/>
        </w:rPr>
        <w:t>护情况，放射事件预防处置情况，职业病人</w:t>
      </w:r>
      <w:r>
        <w:rPr>
          <w:rFonts w:hint="default" w:ascii="Times New Roman" w:hAnsi="Times New Roman" w:eastAsia="仿宋_GB2312" w:cs="Times New Roman"/>
          <w:color w:val="auto"/>
          <w:sz w:val="32"/>
          <w:szCs w:val="32"/>
          <w:lang w:eastAsia="zh-CN"/>
        </w:rPr>
        <w:t>处置</w:t>
      </w:r>
      <w:r>
        <w:rPr>
          <w:rFonts w:hint="default" w:ascii="Times New Roman" w:hAnsi="Times New Roman" w:eastAsia="仿宋_GB2312" w:cs="Times New Roman"/>
          <w:color w:val="auto"/>
          <w:sz w:val="32"/>
          <w:szCs w:val="32"/>
        </w:rPr>
        <w:t>情况，档案管理与体系建设情况，X射线诊断管理情况，介入放射诊疗管理情况，核医学诊疗管理情况，放射治疗管理情况等。</w:t>
      </w:r>
    </w:p>
    <w:p w14:paraId="4838AA60">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rPr>
        <w:t>四）职业健康检查、职业病诊断机构国家随机监督抽查。</w:t>
      </w:r>
      <w:r>
        <w:rPr>
          <w:rFonts w:hint="default" w:ascii="Times New Roman" w:hAnsi="Times New Roman" w:eastAsia="仿宋_GB2312" w:cs="Times New Roman"/>
          <w:color w:val="auto"/>
          <w:kern w:val="0"/>
          <w:sz w:val="32"/>
          <w:szCs w:val="32"/>
        </w:rPr>
        <w:t>检查</w:t>
      </w:r>
      <w:r>
        <w:rPr>
          <w:rFonts w:hint="default" w:ascii="Times New Roman" w:hAnsi="Times New Roman" w:eastAsia="仿宋_GB2312" w:cs="Times New Roman"/>
          <w:color w:val="auto"/>
          <w:sz w:val="32"/>
          <w:szCs w:val="32"/>
        </w:rPr>
        <w:t>职业健康检查机构、职业病诊断机构是否按照备案范围开展工作；职业健康检查机构是否指定主检医师或者指定的主检医师是否取得职业病诊断资格；职业健康检查机构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职业病诊断机构出具的报告是否符合相关要求，仪器设备场所是否满足工作要求，质量控制、程序是否符合相关要求，是否按照规定参加质量控制评估，或者质量控制评估不合格</w:t>
      </w:r>
      <w:r>
        <w:rPr>
          <w:rFonts w:hint="default" w:ascii="Times New Roman" w:hAnsi="Times New Roman" w:eastAsia="仿宋_GB2312" w:cs="Times New Roman"/>
          <w:color w:val="auto"/>
          <w:sz w:val="32"/>
          <w:szCs w:val="32"/>
          <w:lang w:eastAsia="zh-CN"/>
        </w:rPr>
        <w:t>是否</w:t>
      </w:r>
      <w:r>
        <w:rPr>
          <w:rFonts w:hint="default" w:ascii="Times New Roman" w:hAnsi="Times New Roman" w:eastAsia="仿宋_GB2312" w:cs="Times New Roman"/>
          <w:color w:val="auto"/>
          <w:sz w:val="32"/>
          <w:szCs w:val="32"/>
        </w:rPr>
        <w:t>按要求整改；是否出具虚假证明文件，档案管理是否符合相关要求，管理制度是否符合相关要求，劳动者保护是否符合相关要求，职业健康检查结果、职业禁忌、疑似职业病、职业病的告知、通知、信息报告是否符合相关要求等</w:t>
      </w:r>
      <w:r>
        <w:rPr>
          <w:rFonts w:hint="default" w:ascii="Times New Roman" w:hAnsi="Times New Roman" w:eastAsia="仿宋_GB2312" w:cs="Times New Roman"/>
          <w:color w:val="auto"/>
          <w:kern w:val="0"/>
          <w:sz w:val="32"/>
          <w:szCs w:val="32"/>
        </w:rPr>
        <w:t>。</w:t>
      </w:r>
    </w:p>
    <w:p w14:paraId="5A3366F6">
      <w:pPr>
        <w:keepNext w:val="0"/>
        <w:keepLines w:val="0"/>
        <w:pageBreakBefore w:val="0"/>
        <w:widowControl/>
        <w:numPr>
          <w:ilvl w:val="0"/>
          <w:numId w:val="0"/>
        </w:numPr>
        <w:kinsoku/>
        <w:wordWrap/>
        <w:overflowPunct/>
        <w:topLinePunct w:val="0"/>
        <w:autoSpaceDN/>
        <w:bidi w:val="0"/>
        <w:adjustRightInd/>
        <w:snapToGrid/>
        <w:spacing w:line="560" w:lineRule="exact"/>
        <w:ind w:firstLine="640" w:firstLineChars="200"/>
        <w:jc w:val="left"/>
        <w:textAlignment w:val="auto"/>
        <w:outlineLvl w:val="0"/>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lang w:eastAsia="zh-CN"/>
        </w:rPr>
        <w:t>二、</w:t>
      </w:r>
      <w:r>
        <w:rPr>
          <w:rFonts w:hint="default" w:ascii="Times New Roman" w:hAnsi="Times New Roman" w:eastAsia="黑体" w:cs="Times New Roman"/>
          <w:color w:val="auto"/>
          <w:kern w:val="0"/>
          <w:sz w:val="32"/>
          <w:szCs w:val="32"/>
        </w:rPr>
        <w:t>工作要求</w:t>
      </w:r>
    </w:p>
    <w:p w14:paraId="3BB4590E">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一）各</w:t>
      </w:r>
      <w:r>
        <w:rPr>
          <w:rFonts w:hint="default" w:ascii="Times New Roman" w:hAnsi="Times New Roman" w:eastAsia="仿宋_GB2312" w:cs="Times New Roman"/>
          <w:color w:val="auto"/>
          <w:sz w:val="32"/>
          <w:szCs w:val="32"/>
          <w:lang w:eastAsia="zh-CN"/>
        </w:rPr>
        <w:t>区根据辖区</w:t>
      </w:r>
      <w:r>
        <w:rPr>
          <w:rFonts w:hint="default" w:ascii="Times New Roman" w:hAnsi="Times New Roman" w:eastAsia="仿宋_GB2312" w:cs="Times New Roman"/>
          <w:color w:val="auto"/>
          <w:sz w:val="32"/>
          <w:szCs w:val="32"/>
        </w:rPr>
        <w:t>职业病防治重点行业、重点职业病实际情况及职业病危害综合风险评估结果确定用人单位职业卫生、放射卫生随机抽查对象。</w:t>
      </w:r>
      <w:r>
        <w:rPr>
          <w:rFonts w:hint="default" w:ascii="Times New Roman" w:hAnsi="Times New Roman" w:eastAsia="仿宋_GB2312" w:cs="Times New Roman"/>
          <w:color w:val="auto"/>
          <w:sz w:val="32"/>
          <w:szCs w:val="22"/>
          <w:lang w:eastAsia="zh-CN"/>
        </w:rPr>
        <w:t>用人单位</w:t>
      </w:r>
      <w:r>
        <w:rPr>
          <w:rFonts w:hint="default" w:ascii="Times New Roman" w:hAnsi="Times New Roman" w:eastAsia="仿宋_GB2312" w:cs="Times New Roman"/>
          <w:color w:val="auto"/>
          <w:sz w:val="32"/>
          <w:szCs w:val="22"/>
        </w:rPr>
        <w:t>依据</w:t>
      </w:r>
      <w:r>
        <w:rPr>
          <w:rFonts w:hint="default" w:ascii="Times New Roman" w:hAnsi="Times New Roman" w:eastAsia="仿宋_GB2312" w:cs="Times New Roman"/>
          <w:color w:val="auto"/>
          <w:sz w:val="32"/>
          <w:szCs w:val="22"/>
          <w:lang w:val="en"/>
        </w:rPr>
        <w:t>2019年以来监督检查数据和</w:t>
      </w:r>
      <w:r>
        <w:rPr>
          <w:rFonts w:hint="default" w:ascii="Times New Roman" w:hAnsi="Times New Roman" w:eastAsia="仿宋_GB2312" w:cs="Times New Roman"/>
          <w:color w:val="auto"/>
          <w:sz w:val="32"/>
          <w:szCs w:val="22"/>
        </w:rPr>
        <w:t>职业病危害项目申报系统库数据</w:t>
      </w:r>
      <w:r>
        <w:rPr>
          <w:rFonts w:hint="default" w:ascii="Times New Roman" w:hAnsi="Times New Roman" w:eastAsia="仿宋_GB2312" w:cs="Times New Roman"/>
          <w:color w:val="auto"/>
          <w:sz w:val="32"/>
          <w:szCs w:val="22"/>
          <w:lang w:eastAsia="zh-CN"/>
        </w:rPr>
        <w:t>为</w:t>
      </w:r>
      <w:r>
        <w:rPr>
          <w:rFonts w:hint="default" w:ascii="Times New Roman" w:hAnsi="Times New Roman" w:eastAsia="仿宋_GB2312" w:cs="Times New Roman"/>
          <w:color w:val="auto"/>
          <w:sz w:val="32"/>
          <w:szCs w:val="22"/>
        </w:rPr>
        <w:t>随机抽查</w:t>
      </w:r>
      <w:r>
        <w:rPr>
          <w:rFonts w:hint="default" w:ascii="Times New Roman" w:hAnsi="Times New Roman" w:eastAsia="仿宋_GB2312" w:cs="Times New Roman"/>
          <w:color w:val="auto"/>
          <w:sz w:val="32"/>
          <w:szCs w:val="22"/>
          <w:lang w:eastAsia="zh-CN"/>
        </w:rPr>
        <w:t>底数</w:t>
      </w:r>
      <w:r>
        <w:rPr>
          <w:rFonts w:hint="default" w:ascii="Times New Roman" w:hAnsi="Times New Roman" w:eastAsia="仿宋_GB2312" w:cs="Times New Roman"/>
          <w:color w:val="auto"/>
          <w:sz w:val="32"/>
          <w:szCs w:val="22"/>
        </w:rPr>
        <w:t>，</w:t>
      </w:r>
      <w:r>
        <w:rPr>
          <w:rFonts w:hint="default" w:ascii="Times New Roman" w:hAnsi="Times New Roman" w:eastAsia="仿宋_GB2312" w:cs="Times New Roman"/>
          <w:color w:val="auto"/>
          <w:kern w:val="2"/>
          <w:sz w:val="32"/>
          <w:szCs w:val="22"/>
          <w:highlight w:val="none"/>
          <w:lang w:eastAsia="zh-CN"/>
        </w:rPr>
        <w:t>全市用人单位随机抽查（含国抽、区抽）共计</w:t>
      </w:r>
      <w:r>
        <w:rPr>
          <w:rFonts w:hint="default" w:ascii="Times New Roman" w:hAnsi="Times New Roman" w:eastAsia="仿宋_GB2312" w:cs="Times New Roman"/>
          <w:color w:val="auto"/>
          <w:kern w:val="2"/>
          <w:sz w:val="32"/>
          <w:szCs w:val="22"/>
          <w:highlight w:val="none"/>
          <w:lang w:val="en-US" w:eastAsia="zh-CN"/>
        </w:rPr>
        <w:t>1500</w:t>
      </w:r>
      <w:r>
        <w:rPr>
          <w:rFonts w:hint="default" w:ascii="Times New Roman" w:hAnsi="Times New Roman" w:eastAsia="仿宋_GB2312" w:cs="Times New Roman"/>
          <w:b w:val="0"/>
          <w:color w:val="auto"/>
          <w:kern w:val="2"/>
          <w:sz w:val="32"/>
          <w:szCs w:val="22"/>
          <w:highlight w:val="none"/>
          <w:lang w:val="en-US" w:eastAsia="zh-CN"/>
        </w:rPr>
        <w:t>家（各区具体任务数见附表8）</w:t>
      </w:r>
      <w:r>
        <w:rPr>
          <w:rFonts w:hint="default" w:ascii="Times New Roman" w:hAnsi="Times New Roman" w:eastAsia="仿宋_GB2312" w:cs="Times New Roman"/>
          <w:color w:val="auto"/>
          <w:sz w:val="32"/>
          <w:szCs w:val="22"/>
          <w:highlight w:val="none"/>
          <w:lang w:eastAsia="zh-CN"/>
        </w:rPr>
        <w:t>。市内六区抽取规则：按辖区用人单位总数的</w:t>
      </w:r>
      <w:r>
        <w:rPr>
          <w:rFonts w:hint="default" w:ascii="Times New Roman" w:hAnsi="Times New Roman" w:eastAsia="仿宋_GB2312" w:cs="Times New Roman"/>
          <w:color w:val="auto"/>
          <w:sz w:val="32"/>
          <w:szCs w:val="22"/>
          <w:highlight w:val="none"/>
          <w:lang w:val="en-US" w:eastAsia="zh-CN"/>
        </w:rPr>
        <w:t>20%进行抽取，</w:t>
      </w:r>
      <w:r>
        <w:rPr>
          <w:rFonts w:hint="default" w:ascii="Times New Roman" w:hAnsi="Times New Roman" w:eastAsia="仿宋_GB2312" w:cs="Times New Roman"/>
          <w:b w:val="0"/>
          <w:color w:val="auto"/>
          <w:kern w:val="2"/>
          <w:sz w:val="32"/>
          <w:szCs w:val="22"/>
          <w:highlight w:val="none"/>
          <w:lang w:val="en-US" w:eastAsia="zh-CN"/>
        </w:rPr>
        <w:t>工业放射应用单位全部抽取</w:t>
      </w:r>
      <w:r>
        <w:rPr>
          <w:rFonts w:hint="default" w:ascii="Times New Roman" w:hAnsi="Times New Roman" w:eastAsia="仿宋_GB2312" w:cs="Times New Roman"/>
          <w:color w:val="auto"/>
          <w:sz w:val="32"/>
          <w:szCs w:val="22"/>
          <w:highlight w:val="none"/>
          <w:lang w:eastAsia="zh-CN"/>
        </w:rPr>
        <w:t>。非市内六区</w:t>
      </w:r>
      <w:r>
        <w:rPr>
          <w:rFonts w:hint="default" w:ascii="Times New Roman" w:hAnsi="Times New Roman" w:eastAsia="仿宋_GB2312" w:cs="Times New Roman"/>
          <w:color w:val="auto"/>
          <w:sz w:val="32"/>
          <w:szCs w:val="22"/>
          <w:highlight w:val="none"/>
        </w:rPr>
        <w:t>抽取</w:t>
      </w:r>
      <w:r>
        <w:rPr>
          <w:rFonts w:hint="default" w:ascii="Times New Roman" w:hAnsi="Times New Roman" w:eastAsia="仿宋_GB2312" w:cs="Times New Roman"/>
          <w:color w:val="auto"/>
          <w:sz w:val="32"/>
          <w:szCs w:val="22"/>
          <w:highlight w:val="none"/>
          <w:lang w:eastAsia="zh-CN"/>
        </w:rPr>
        <w:t>规</w:t>
      </w:r>
      <w:r>
        <w:rPr>
          <w:rFonts w:hint="default" w:ascii="Times New Roman" w:hAnsi="Times New Roman" w:eastAsia="仿宋_GB2312" w:cs="Times New Roman"/>
          <w:color w:val="auto"/>
          <w:sz w:val="32"/>
          <w:szCs w:val="22"/>
          <w:highlight w:val="none"/>
        </w:rPr>
        <w:t>则：对已完成职业病危害综合风险评估的用人单位开展差异化监督执法，甲</w:t>
      </w:r>
      <w:r>
        <w:rPr>
          <w:rFonts w:hint="default" w:ascii="Times New Roman" w:hAnsi="Times New Roman" w:eastAsia="仿宋_GB2312" w:cs="Times New Roman"/>
          <w:color w:val="auto"/>
          <w:sz w:val="32"/>
          <w:szCs w:val="22"/>
          <w:highlight w:val="none"/>
          <w:lang w:eastAsia="zh-CN"/>
        </w:rPr>
        <w:t>类</w:t>
      </w:r>
      <w:r>
        <w:rPr>
          <w:rFonts w:hint="default" w:ascii="Times New Roman" w:hAnsi="Times New Roman" w:eastAsia="仿宋_GB2312" w:cs="Times New Roman"/>
          <w:color w:val="auto"/>
          <w:sz w:val="32"/>
          <w:szCs w:val="22"/>
          <w:highlight w:val="none"/>
        </w:rPr>
        <w:t>抽取总量不低于5%，乙</w:t>
      </w:r>
      <w:r>
        <w:rPr>
          <w:rFonts w:hint="default" w:ascii="Times New Roman" w:hAnsi="Times New Roman" w:eastAsia="仿宋_GB2312" w:cs="Times New Roman"/>
          <w:color w:val="auto"/>
          <w:sz w:val="32"/>
          <w:szCs w:val="22"/>
          <w:highlight w:val="none"/>
          <w:lang w:eastAsia="zh-CN"/>
        </w:rPr>
        <w:t>类</w:t>
      </w:r>
      <w:r>
        <w:rPr>
          <w:rFonts w:hint="default" w:ascii="Times New Roman" w:hAnsi="Times New Roman" w:eastAsia="仿宋_GB2312" w:cs="Times New Roman"/>
          <w:color w:val="auto"/>
          <w:sz w:val="32"/>
          <w:szCs w:val="22"/>
          <w:highlight w:val="none"/>
        </w:rPr>
        <w:t>不低于</w:t>
      </w:r>
      <w:r>
        <w:rPr>
          <w:rFonts w:hint="default" w:ascii="Times New Roman" w:hAnsi="Times New Roman" w:eastAsia="仿宋_GB2312" w:cs="Times New Roman"/>
          <w:color w:val="auto"/>
          <w:sz w:val="32"/>
          <w:szCs w:val="22"/>
          <w:highlight w:val="none"/>
          <w:lang w:val="en-US" w:eastAsia="zh-CN"/>
        </w:rPr>
        <w:t>5</w:t>
      </w:r>
      <w:r>
        <w:rPr>
          <w:rFonts w:hint="default" w:ascii="Times New Roman" w:hAnsi="Times New Roman" w:eastAsia="仿宋_GB2312" w:cs="Times New Roman"/>
          <w:color w:val="auto"/>
          <w:sz w:val="32"/>
          <w:szCs w:val="22"/>
          <w:highlight w:val="none"/>
        </w:rPr>
        <w:t>0%，丙</w:t>
      </w:r>
      <w:r>
        <w:rPr>
          <w:rFonts w:hint="default" w:ascii="Times New Roman" w:hAnsi="Times New Roman" w:eastAsia="仿宋_GB2312" w:cs="Times New Roman"/>
          <w:color w:val="auto"/>
          <w:sz w:val="32"/>
          <w:szCs w:val="22"/>
          <w:highlight w:val="none"/>
          <w:lang w:eastAsia="zh-CN"/>
        </w:rPr>
        <w:t>类全部抽取；对</w:t>
      </w:r>
      <w:r>
        <w:rPr>
          <w:rFonts w:hint="default" w:ascii="Times New Roman" w:hAnsi="Times New Roman" w:eastAsia="仿宋_GB2312" w:cs="Times New Roman"/>
          <w:color w:val="auto"/>
          <w:sz w:val="32"/>
          <w:szCs w:val="22"/>
          <w:highlight w:val="none"/>
          <w:lang w:val="en-US" w:eastAsia="zh-CN"/>
        </w:rPr>
        <w:t>2020-2024年出现新发职业病病例的用人单位全部抽取；</w:t>
      </w:r>
      <w:r>
        <w:rPr>
          <w:rFonts w:hint="default" w:ascii="Times New Roman" w:hAnsi="Times New Roman" w:eastAsia="仿宋_GB2312" w:cs="Times New Roman"/>
          <w:b w:val="0"/>
          <w:color w:val="auto"/>
          <w:kern w:val="2"/>
          <w:sz w:val="32"/>
          <w:szCs w:val="22"/>
          <w:highlight w:val="none"/>
          <w:lang w:val="en-US" w:eastAsia="zh-CN"/>
        </w:rPr>
        <w:t>工业放射应用单位全部抽取；</w:t>
      </w:r>
      <w:r>
        <w:rPr>
          <w:rFonts w:hint="default" w:ascii="Times New Roman" w:hAnsi="Times New Roman" w:eastAsia="仿宋_GB2312" w:cs="Times New Roman"/>
          <w:color w:val="auto"/>
          <w:sz w:val="32"/>
          <w:szCs w:val="22"/>
          <w:highlight w:val="none"/>
          <w:lang w:val="en-US" w:eastAsia="zh-CN"/>
        </w:rPr>
        <w:t>剩余任务数从</w:t>
      </w:r>
      <w:r>
        <w:rPr>
          <w:rFonts w:hint="default" w:ascii="Times New Roman" w:hAnsi="Times New Roman" w:eastAsia="仿宋_GB2312" w:cs="Times New Roman"/>
          <w:color w:val="auto"/>
          <w:sz w:val="32"/>
          <w:szCs w:val="22"/>
          <w:highlight w:val="none"/>
          <w:lang w:eastAsia="zh-CN"/>
        </w:rPr>
        <w:t>未</w:t>
      </w:r>
      <w:r>
        <w:rPr>
          <w:rFonts w:hint="default" w:ascii="Times New Roman" w:hAnsi="Times New Roman" w:eastAsia="仿宋_GB2312" w:cs="Times New Roman"/>
          <w:color w:val="auto"/>
          <w:sz w:val="32"/>
          <w:szCs w:val="22"/>
          <w:highlight w:val="none"/>
        </w:rPr>
        <w:t>完成职业病危害综合风险评估</w:t>
      </w:r>
      <w:r>
        <w:rPr>
          <w:rFonts w:hint="default" w:ascii="Times New Roman" w:hAnsi="Times New Roman" w:eastAsia="仿宋_GB2312" w:cs="Times New Roman"/>
          <w:color w:val="auto"/>
          <w:sz w:val="32"/>
          <w:szCs w:val="22"/>
          <w:highlight w:val="none"/>
          <w:lang w:eastAsia="zh-CN"/>
        </w:rPr>
        <w:t>的用人单位中</w:t>
      </w:r>
      <w:r>
        <w:rPr>
          <w:rFonts w:hint="default" w:ascii="Times New Roman" w:hAnsi="Times New Roman" w:eastAsia="仿宋_GB2312" w:cs="Times New Roman"/>
          <w:color w:val="auto"/>
          <w:sz w:val="32"/>
          <w:szCs w:val="22"/>
          <w:highlight w:val="none"/>
          <w:lang w:val="en-US" w:eastAsia="zh-CN"/>
        </w:rPr>
        <w:t>抽取，其中80%从《建设项目职业病危害风险分类管理目录（国卫办职健发〔2021〕5号）》规定的职业病危害严重行业中抽取，20%从一般行业抽取。</w:t>
      </w:r>
      <w:r>
        <w:rPr>
          <w:rFonts w:hint="default" w:ascii="Times New Roman" w:hAnsi="Times New Roman" w:eastAsia="仿宋_GB2312" w:cs="Times New Roman"/>
          <w:color w:val="auto"/>
          <w:sz w:val="32"/>
          <w:szCs w:val="32"/>
          <w:highlight w:val="none"/>
        </w:rPr>
        <w:t>辖区内职业</w:t>
      </w:r>
      <w:r>
        <w:rPr>
          <w:rFonts w:hint="default" w:ascii="Times New Roman" w:hAnsi="Times New Roman" w:eastAsia="仿宋_GB2312" w:cs="Times New Roman"/>
          <w:color w:val="auto"/>
          <w:sz w:val="32"/>
          <w:szCs w:val="32"/>
          <w:highlight w:val="none"/>
          <w:lang w:eastAsia="zh-CN"/>
        </w:rPr>
        <w:t>卫生、</w:t>
      </w:r>
      <w:r>
        <w:rPr>
          <w:rFonts w:hint="default" w:ascii="Times New Roman" w:hAnsi="Times New Roman" w:eastAsia="仿宋_GB2312" w:cs="Times New Roman"/>
          <w:color w:val="auto"/>
          <w:sz w:val="32"/>
          <w:szCs w:val="32"/>
          <w:highlight w:val="none"/>
        </w:rPr>
        <w:t>放射卫生技术服务机构</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职业健康检查机构、职业病诊断机构随机抽查比例为</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放射诊疗机构抽查比例为20%。</w:t>
      </w:r>
    </w:p>
    <w:p w14:paraId="350C4196">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各区</w:t>
      </w:r>
      <w:r>
        <w:rPr>
          <w:rFonts w:hint="default" w:ascii="Times New Roman" w:hAnsi="Times New Roman" w:eastAsia="仿宋_GB2312" w:cs="Times New Roman"/>
          <w:color w:val="auto"/>
          <w:sz w:val="32"/>
          <w:szCs w:val="32"/>
        </w:rPr>
        <w:t>应统筹安排好监督检查工作，</w:t>
      </w:r>
      <w:r>
        <w:rPr>
          <w:rFonts w:hint="default" w:ascii="Times New Roman" w:hAnsi="Times New Roman" w:eastAsia="仿宋_GB2312" w:cs="Times New Roman"/>
          <w:color w:val="auto"/>
          <w:sz w:val="32"/>
          <w:szCs w:val="32"/>
          <w:lang w:eastAsia="zh-CN"/>
        </w:rPr>
        <w:t>严格贯彻落实《国务院</w:t>
      </w:r>
      <w:r>
        <w:rPr>
          <w:rFonts w:hint="default" w:ascii="Times New Roman" w:hAnsi="Times New Roman" w:eastAsia="仿宋_GB2312" w:cs="Times New Roman"/>
          <w:b w:val="0"/>
          <w:bCs w:val="0"/>
          <w:color w:val="auto"/>
          <w:sz w:val="32"/>
          <w:szCs w:val="32"/>
          <w:lang w:eastAsia="zh-CN"/>
        </w:rPr>
        <w:t>办公厅关于严格规范涉企行政检查的意见》的各项要求；</w:t>
      </w:r>
      <w:r>
        <w:rPr>
          <w:rFonts w:hint="default" w:ascii="Times New Roman" w:hAnsi="Times New Roman" w:eastAsia="仿宋_GB2312" w:cs="Times New Roman"/>
          <w:b w:val="0"/>
          <w:bCs w:val="0"/>
          <w:color w:val="auto"/>
          <w:sz w:val="32"/>
          <w:szCs w:val="32"/>
        </w:rPr>
        <w:t>创新涉企监督检查方式，大力推进精准检查，推广“监督+服务”和智慧化监管模式，</w:t>
      </w:r>
      <w:r>
        <w:rPr>
          <w:rFonts w:hint="default" w:ascii="Times New Roman" w:hAnsi="Times New Roman" w:eastAsia="仿宋_GB2312" w:cs="Times New Roman"/>
          <w:b w:val="0"/>
          <w:bCs w:val="0"/>
          <w:color w:val="auto"/>
          <w:sz w:val="32"/>
          <w:szCs w:val="32"/>
          <w:lang w:val="en-US" w:eastAsia="zh-CN"/>
        </w:rPr>
        <w:t>能采取</w:t>
      </w:r>
      <w:r>
        <w:rPr>
          <w:rFonts w:hint="default" w:ascii="Times New Roman" w:hAnsi="Times New Roman" w:eastAsia="仿宋_GB2312" w:cs="Times New Roman"/>
          <w:b w:val="0"/>
          <w:bCs w:val="0"/>
          <w:color w:val="auto"/>
          <w:sz w:val="32"/>
          <w:szCs w:val="32"/>
        </w:rPr>
        <w:t>书面核查、信息共享、智慧监管等非现场</w:t>
      </w:r>
      <w:r>
        <w:rPr>
          <w:rFonts w:hint="default" w:ascii="Times New Roman" w:hAnsi="Times New Roman" w:eastAsia="仿宋_GB2312" w:cs="Times New Roman"/>
          <w:b w:val="0"/>
          <w:bCs w:val="0"/>
          <w:color w:val="auto"/>
          <w:sz w:val="32"/>
          <w:szCs w:val="32"/>
          <w:lang w:val="en-US" w:eastAsia="zh-CN"/>
        </w:rPr>
        <w:t>执法</w:t>
      </w:r>
      <w:r>
        <w:rPr>
          <w:rFonts w:hint="default" w:ascii="Times New Roman" w:hAnsi="Times New Roman" w:eastAsia="仿宋_GB2312" w:cs="Times New Roman"/>
          <w:b w:val="0"/>
          <w:bCs w:val="0"/>
          <w:color w:val="auto"/>
          <w:sz w:val="32"/>
          <w:szCs w:val="32"/>
        </w:rPr>
        <w:t>检查方式</w:t>
      </w:r>
      <w:r>
        <w:rPr>
          <w:rFonts w:hint="default" w:ascii="Times New Roman" w:hAnsi="Times New Roman" w:eastAsia="仿宋_GB2312" w:cs="Times New Roman"/>
          <w:b w:val="0"/>
          <w:bCs w:val="0"/>
          <w:color w:val="auto"/>
          <w:sz w:val="32"/>
          <w:szCs w:val="32"/>
          <w:lang w:val="en-US" w:eastAsia="zh-CN"/>
        </w:rPr>
        <w:t>的，可不进行</w:t>
      </w:r>
      <w:r>
        <w:rPr>
          <w:rFonts w:hint="default" w:ascii="Times New Roman" w:hAnsi="Times New Roman" w:eastAsia="仿宋_GB2312" w:cs="Times New Roman"/>
          <w:b w:val="0"/>
          <w:bCs w:val="0"/>
          <w:color w:val="auto"/>
          <w:sz w:val="32"/>
          <w:szCs w:val="32"/>
        </w:rPr>
        <w:t>现场监督检查</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有机贯通“综合查一次”“双随机、一公开”抽查</w:t>
      </w:r>
      <w:r>
        <w:rPr>
          <w:rFonts w:hint="default" w:ascii="Times New Roman" w:hAnsi="Times New Roman" w:eastAsia="仿宋_GB2312" w:cs="Times New Roman"/>
          <w:b w:val="0"/>
          <w:bCs w:val="0"/>
          <w:color w:val="auto"/>
          <w:sz w:val="32"/>
          <w:szCs w:val="32"/>
          <w:lang w:val="en-US" w:eastAsia="zh-CN"/>
        </w:rPr>
        <w:t>等</w:t>
      </w:r>
      <w:r>
        <w:rPr>
          <w:rFonts w:hint="default" w:ascii="Times New Roman" w:hAnsi="Times New Roman" w:eastAsia="仿宋_GB2312" w:cs="Times New Roman"/>
          <w:b w:val="0"/>
          <w:bCs w:val="0"/>
          <w:color w:val="auto"/>
          <w:sz w:val="32"/>
          <w:szCs w:val="32"/>
        </w:rPr>
        <w:t>各类监督检查方式，避免对同一单位因同一事项重复检查。</w:t>
      </w:r>
      <w:r>
        <w:rPr>
          <w:rFonts w:hint="default" w:ascii="Times New Roman" w:hAnsi="Times New Roman" w:eastAsia="仿宋_GB2312" w:cs="Times New Roman"/>
          <w:b w:val="0"/>
          <w:bCs w:val="0"/>
          <w:color w:val="auto"/>
          <w:sz w:val="32"/>
          <w:szCs w:val="32"/>
          <w:lang w:val="en-US" w:eastAsia="zh-CN"/>
        </w:rPr>
        <w:t>在对用人单位监督检查过程中，对有关职业卫生、放射卫生技术服务机构提供的技术服务和职业健康检查机构提供职业健康检查情况进行延伸检查。在对职业卫生、放射卫生技术服务机构、职业健康检查机构监督检查过程中，对职业卫生技术支撑机构提供的检测、评价、职业健康检查报告有关情况需现场核查的可赴用人单位进行延伸检查。</w:t>
      </w:r>
    </w:p>
    <w:p w14:paraId="2DF05291">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22"/>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val="en-US" w:eastAsia="zh-CN"/>
        </w:rPr>
        <w:t>各区要切实加强对上报数据信息的审核，按照抽查工作计划表及监督信息报告卡要求填报监督检查和案件查处数据信息，所有数据以信息报告系统填报数据为准，不需另外报送纸质报表。要按照有关规定进一步加强案件信息公开、向被监督单位开具监督检查执法文书等工作。</w:t>
      </w:r>
      <w:r>
        <w:rPr>
          <w:rFonts w:hint="default" w:ascii="Times New Roman" w:hAnsi="Times New Roman" w:eastAsia="仿宋_GB2312" w:cs="Times New Roman"/>
          <w:color w:val="auto"/>
          <w:sz w:val="32"/>
          <w:szCs w:val="22"/>
          <w:highlight w:val="none"/>
          <w:lang w:eastAsia="zh-CN"/>
        </w:rPr>
        <w:t>各区请于</w:t>
      </w:r>
      <w:r>
        <w:rPr>
          <w:rFonts w:hint="default" w:ascii="Times New Roman" w:hAnsi="Times New Roman" w:eastAsia="仿宋_GB2312" w:cs="Times New Roman"/>
          <w:color w:val="auto"/>
          <w:sz w:val="32"/>
          <w:szCs w:val="22"/>
          <w:highlight w:val="none"/>
          <w:lang w:val="en-US" w:eastAsia="zh-CN"/>
        </w:rPr>
        <w:t>5月20日前报送用人单位国家随机监督抽查明细表</w:t>
      </w:r>
      <w:r>
        <w:rPr>
          <w:rFonts w:hint="default" w:ascii="Times New Roman" w:hAnsi="Times New Roman" w:eastAsia="仿宋_GB2312" w:cs="Times New Roman"/>
          <w:b w:val="0"/>
          <w:color w:val="auto"/>
          <w:kern w:val="2"/>
          <w:sz w:val="32"/>
          <w:szCs w:val="22"/>
          <w:highlight w:val="none"/>
          <w:lang w:val="en-US" w:eastAsia="zh-CN"/>
        </w:rPr>
        <w:t>（见附表9），</w:t>
      </w:r>
      <w:r>
        <w:rPr>
          <w:rFonts w:hint="default" w:ascii="Times New Roman" w:hAnsi="Times New Roman" w:eastAsia="仿宋_GB2312" w:cs="Times New Roman"/>
          <w:color w:val="auto"/>
          <w:sz w:val="32"/>
          <w:szCs w:val="22"/>
          <w:lang w:val="en-US" w:eastAsia="zh-CN"/>
        </w:rPr>
        <w:t>11月15日前完成全部检查任务和数据填报工作，并报送国家随机监督抽查全年总结。</w:t>
      </w:r>
    </w:p>
    <w:p w14:paraId="3920CCF4">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三、联系方式</w:t>
      </w:r>
    </w:p>
    <w:p w14:paraId="1F7217B8">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联系人：</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疾控局</w:t>
      </w:r>
      <w:r>
        <w:rPr>
          <w:rFonts w:hint="default" w:ascii="Times New Roman" w:hAnsi="Times New Roman" w:eastAsia="仿宋_GB2312" w:cs="Times New Roman"/>
          <w:color w:val="auto"/>
          <w:sz w:val="32"/>
          <w:szCs w:val="32"/>
          <w:lang w:eastAsia="zh-CN"/>
        </w:rPr>
        <w:t>公共卫生执法处</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顾彪、郝欣欣、陆凯；</w:t>
      </w:r>
    </w:p>
    <w:p w14:paraId="352D3492">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联系</w:t>
      </w:r>
      <w:r>
        <w:rPr>
          <w:rFonts w:hint="default" w:ascii="Times New Roman" w:hAnsi="Times New Roman" w:eastAsia="仿宋_GB2312" w:cs="Times New Roman"/>
          <w:color w:val="auto"/>
          <w:sz w:val="32"/>
          <w:szCs w:val="32"/>
        </w:rPr>
        <w:t>电话：6</w:t>
      </w:r>
      <w:r>
        <w:rPr>
          <w:rFonts w:hint="default" w:ascii="Times New Roman" w:hAnsi="Times New Roman" w:eastAsia="仿宋_GB2312" w:cs="Times New Roman"/>
          <w:color w:val="auto"/>
          <w:sz w:val="32"/>
          <w:szCs w:val="32"/>
          <w:lang w:val="en-US" w:eastAsia="zh-CN"/>
        </w:rPr>
        <w:t>3086960；</w:t>
      </w:r>
    </w:p>
    <w:p w14:paraId="32A5A93E">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
        </w:rPr>
      </w:pPr>
      <w:r>
        <w:rPr>
          <w:rFonts w:hint="default" w:ascii="Times New Roman" w:hAnsi="Times New Roman" w:eastAsia="仿宋_GB2312" w:cs="Times New Roman"/>
          <w:color w:val="auto"/>
          <w:sz w:val="32"/>
          <w:szCs w:val="32"/>
          <w:lang w:eastAsia="zh-CN"/>
        </w:rPr>
        <w:t>电子</w:t>
      </w:r>
      <w:r>
        <w:rPr>
          <w:rFonts w:hint="default" w:ascii="Times New Roman" w:hAnsi="Times New Roman" w:eastAsia="仿宋_GB2312" w:cs="Times New Roman"/>
          <w:color w:val="auto"/>
          <w:sz w:val="32"/>
          <w:szCs w:val="32"/>
        </w:rPr>
        <w:t>邮箱：</w:t>
      </w:r>
      <w:r>
        <w:rPr>
          <w:rFonts w:hint="default" w:ascii="Times New Roman" w:hAnsi="Times New Roman" w:eastAsia="仿宋_GB2312" w:cs="Times New Roman"/>
          <w:color w:val="auto"/>
          <w:sz w:val="32"/>
          <w:szCs w:val="32"/>
          <w:lang w:val="en-US" w:eastAsia="zh-CN"/>
        </w:rPr>
        <w:t>gubiao@tj.gov.cn。</w:t>
      </w:r>
    </w:p>
    <w:p w14:paraId="0E6EB34D">
      <w:pPr>
        <w:keepNext w:val="0"/>
        <w:keepLines w:val="0"/>
        <w:pageBreakBefore w:val="0"/>
        <w:widowControl/>
        <w:kinsoku/>
        <w:wordWrap/>
        <w:overflowPunct/>
        <w:topLinePunct w:val="0"/>
        <w:autoSpaceDN/>
        <w:bidi w:val="0"/>
        <w:adjustRightInd/>
        <w:snapToGrid/>
        <w:spacing w:line="560" w:lineRule="exact"/>
        <w:ind w:firstLine="561"/>
        <w:jc w:val="left"/>
        <w:textAlignment w:val="auto"/>
        <w:outlineLvl w:val="0"/>
        <w:rPr>
          <w:rFonts w:hint="default" w:ascii="Times New Roman" w:hAnsi="Times New Roman" w:eastAsia="仿宋_GB2312" w:cs="Times New Roman"/>
          <w:b/>
          <w:bCs/>
          <w:color w:val="auto"/>
          <w:kern w:val="0"/>
          <w:sz w:val="32"/>
          <w:szCs w:val="32"/>
        </w:rPr>
      </w:pPr>
    </w:p>
    <w:p w14:paraId="3157E27F">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2"/>
          <w:kern w:val="0"/>
          <w:sz w:val="32"/>
          <w:szCs w:val="32"/>
          <w:lang w:bidi="ar"/>
        </w:rPr>
      </w:pPr>
      <w:r>
        <w:rPr>
          <w:rFonts w:hint="default" w:ascii="Times New Roman" w:hAnsi="Times New Roman" w:eastAsia="仿宋_GB2312" w:cs="Times New Roman"/>
          <w:color w:val="auto"/>
          <w:kern w:val="0"/>
          <w:sz w:val="32"/>
          <w:szCs w:val="32"/>
          <w:lang w:bidi="ar"/>
        </w:rPr>
        <w:t>附表：</w:t>
      </w:r>
      <w:r>
        <w:rPr>
          <w:rFonts w:hint="default" w:ascii="Times New Roman" w:hAnsi="Times New Roman" w:eastAsia="仿宋_GB2312" w:cs="Times New Roman"/>
          <w:color w:val="auto"/>
          <w:w w:val="98"/>
          <w:kern w:val="0"/>
          <w:sz w:val="32"/>
          <w:szCs w:val="32"/>
          <w:lang w:bidi="ar"/>
        </w:rPr>
        <w:t>1.</w:t>
      </w:r>
      <w:r>
        <w:rPr>
          <w:rFonts w:hint="default" w:ascii="Times New Roman" w:hAnsi="Times New Roman" w:eastAsia="仿宋_GB2312" w:cs="Times New Roman"/>
          <w:color w:val="auto"/>
          <w:w w:val="92"/>
          <w:kern w:val="0"/>
          <w:sz w:val="32"/>
          <w:szCs w:val="32"/>
          <w:lang w:bidi="ar"/>
        </w:rPr>
        <w:t>2025年用人单位职业卫生国家随机监督抽</w:t>
      </w:r>
      <w:r>
        <w:rPr>
          <w:rFonts w:hint="default" w:ascii="Times New Roman" w:hAnsi="Times New Roman" w:eastAsia="仿宋_GB2312" w:cs="Times New Roman"/>
          <w:color w:val="auto"/>
          <w:w w:val="92"/>
          <w:kern w:val="0"/>
          <w:sz w:val="32"/>
          <w:szCs w:val="32"/>
          <w:lang w:eastAsia="zh-CN" w:bidi="ar"/>
        </w:rPr>
        <w:t>查计</w:t>
      </w:r>
      <w:r>
        <w:rPr>
          <w:rFonts w:hint="default" w:ascii="Times New Roman" w:hAnsi="Times New Roman" w:eastAsia="仿宋_GB2312" w:cs="Times New Roman"/>
          <w:color w:val="auto"/>
          <w:w w:val="92"/>
          <w:kern w:val="0"/>
          <w:sz w:val="32"/>
          <w:szCs w:val="32"/>
          <w:lang w:bidi="ar"/>
        </w:rPr>
        <w:t>划表</w:t>
      </w:r>
    </w:p>
    <w:p w14:paraId="5ED78CAF">
      <w:pPr>
        <w:keepNext w:val="0"/>
        <w:keepLines w:val="0"/>
        <w:pageBreakBefore w:val="0"/>
        <w:widowControl/>
        <w:kinsoku/>
        <w:wordWrap/>
        <w:overflowPunct/>
        <w:topLinePunct w:val="0"/>
        <w:autoSpaceDE/>
        <w:autoSpaceDN/>
        <w:bidi w:val="0"/>
        <w:adjustRightInd/>
        <w:snapToGrid/>
        <w:spacing w:line="560" w:lineRule="exact"/>
        <w:ind w:firstLine="640" w:firstLineChars="0"/>
        <w:textAlignment w:val="auto"/>
        <w:outlineLvl w:val="0"/>
        <w:rPr>
          <w:rFonts w:hint="default" w:ascii="Times New Roman" w:hAnsi="Times New Roman" w:eastAsia="仿宋_GB2312" w:cs="Times New Roman"/>
          <w:color w:val="auto"/>
          <w:w w:val="92"/>
          <w:kern w:val="0"/>
          <w:sz w:val="32"/>
          <w:szCs w:val="32"/>
          <w:lang w:bidi="ar"/>
        </w:rPr>
      </w:pPr>
      <w:r>
        <w:rPr>
          <w:rFonts w:hint="default" w:ascii="Times New Roman" w:hAnsi="Times New Roman" w:eastAsia="仿宋_GB2312" w:cs="Times New Roman"/>
          <w:color w:val="auto"/>
          <w:w w:val="98"/>
          <w:kern w:val="0"/>
          <w:sz w:val="32"/>
          <w:szCs w:val="32"/>
          <w:lang w:bidi="ar"/>
        </w:rPr>
        <w:t xml:space="preserve">      2.</w:t>
      </w:r>
      <w:r>
        <w:rPr>
          <w:rFonts w:hint="default" w:ascii="Times New Roman" w:hAnsi="Times New Roman" w:eastAsia="仿宋_GB2312" w:cs="Times New Roman"/>
          <w:color w:val="auto"/>
          <w:w w:val="92"/>
          <w:kern w:val="0"/>
          <w:sz w:val="32"/>
          <w:szCs w:val="32"/>
          <w:lang w:bidi="ar"/>
        </w:rPr>
        <w:t>2025年用人单位职业卫生国家随机监督抽查汇总表</w:t>
      </w:r>
    </w:p>
    <w:p w14:paraId="352EEBDB">
      <w:pPr>
        <w:keepNext w:val="0"/>
        <w:keepLines w:val="0"/>
        <w:pageBreakBefore w:val="0"/>
        <w:widowControl/>
        <w:kinsoku/>
        <w:wordWrap/>
        <w:overflowPunct/>
        <w:topLinePunct w:val="0"/>
        <w:autoSpaceDE/>
        <w:autoSpaceDN/>
        <w:bidi w:val="0"/>
        <w:adjustRightInd/>
        <w:snapToGrid/>
        <w:spacing w:line="560" w:lineRule="exact"/>
        <w:ind w:firstLine="626" w:firstLineChars="20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3.2025年职业卫生和放射卫生技术服务机构国家</w:t>
      </w:r>
    </w:p>
    <w:p w14:paraId="5B0D3573">
      <w:pPr>
        <w:keepNext w:val="0"/>
        <w:keepLines w:val="0"/>
        <w:pageBreakBefore w:val="0"/>
        <w:widowControl/>
        <w:kinsoku/>
        <w:wordWrap/>
        <w:overflowPunct/>
        <w:topLinePunct w:val="0"/>
        <w:autoSpaceDE/>
        <w:autoSpaceDN/>
        <w:bidi w:val="0"/>
        <w:adjustRightInd/>
        <w:snapToGrid/>
        <w:spacing w:line="560" w:lineRule="exact"/>
        <w:ind w:firstLine="626" w:firstLineChars="20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随机监督抽查计划表</w:t>
      </w:r>
    </w:p>
    <w:p w14:paraId="04E53DA9">
      <w:pPr>
        <w:keepNext w:val="0"/>
        <w:keepLines w:val="0"/>
        <w:pageBreakBefore w:val="0"/>
        <w:widowControl/>
        <w:kinsoku/>
        <w:wordWrap/>
        <w:overflowPunct/>
        <w:topLinePunct w:val="0"/>
        <w:autoSpaceDE/>
        <w:autoSpaceDN/>
        <w:bidi w:val="0"/>
        <w:adjustRightInd/>
        <w:snapToGrid/>
        <w:spacing w:line="560" w:lineRule="exact"/>
        <w:ind w:firstLine="626" w:firstLineChars="20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4.2025年职业卫生和放射卫生技术服务机构国家</w:t>
      </w:r>
    </w:p>
    <w:p w14:paraId="441F6424">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随机监督抽查汇总表</w:t>
      </w:r>
    </w:p>
    <w:p w14:paraId="3785FFB0">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5.2025年放射诊疗、职业健康检查、职业病诊断</w:t>
      </w:r>
    </w:p>
    <w:p w14:paraId="0861D1E0">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机构国家随机监督抽查工作计划表</w:t>
      </w:r>
    </w:p>
    <w:p w14:paraId="25F6A822">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6.2025年放射诊疗机构国家随机监督抽查汇总表</w:t>
      </w:r>
    </w:p>
    <w:p w14:paraId="45F2F379">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7.2025年职业健康检查机构、职业病诊断机构</w:t>
      </w:r>
    </w:p>
    <w:p w14:paraId="2C020326">
      <w:pPr>
        <w:keepNext w:val="0"/>
        <w:keepLines w:val="0"/>
        <w:pageBreakBefore w:val="0"/>
        <w:widowControl/>
        <w:kinsoku/>
        <w:wordWrap/>
        <w:overflowPunct/>
        <w:topLinePunct w:val="0"/>
        <w:autoSpaceDE/>
        <w:autoSpaceDN/>
        <w:bidi w:val="0"/>
        <w:adjustRightInd/>
        <w:snapToGrid/>
        <w:spacing w:line="560" w:lineRule="exact"/>
        <w:ind w:firstLine="640"/>
        <w:textAlignment w:val="auto"/>
        <w:outlineLvl w:val="0"/>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8"/>
          <w:kern w:val="0"/>
          <w:sz w:val="32"/>
          <w:szCs w:val="32"/>
          <w:lang w:bidi="ar"/>
        </w:rPr>
        <w:t xml:space="preserve">       国家随机监督抽查汇总表</w:t>
      </w:r>
    </w:p>
    <w:p w14:paraId="018A7276">
      <w:pPr>
        <w:keepNext w:val="0"/>
        <w:keepLines w:val="0"/>
        <w:pageBreakBefore w:val="0"/>
        <w:widowControl/>
        <w:kinsoku/>
        <w:wordWrap/>
        <w:overflowPunct/>
        <w:topLinePunct w:val="0"/>
        <w:autoSpaceDE/>
        <w:autoSpaceDN/>
        <w:bidi w:val="0"/>
        <w:adjustRightInd/>
        <w:snapToGrid/>
        <w:spacing w:line="560" w:lineRule="exact"/>
        <w:ind w:left="319" w:leftChars="152" w:firstLine="638" w:firstLineChars="204"/>
        <w:textAlignment w:val="auto"/>
        <w:outlineLvl w:val="0"/>
        <w:rPr>
          <w:rFonts w:hint="default" w:ascii="Times New Roman" w:hAnsi="Times New Roman" w:eastAsia="仿宋_GB2312" w:cs="Times New Roman"/>
          <w:color w:val="auto"/>
          <w:w w:val="92"/>
          <w:kern w:val="0"/>
          <w:sz w:val="32"/>
          <w:szCs w:val="32"/>
          <w:lang w:bidi="ar"/>
        </w:rPr>
      </w:pPr>
      <w:r>
        <w:rPr>
          <w:rFonts w:hint="default" w:ascii="Times New Roman" w:hAnsi="Times New Roman" w:eastAsia="仿宋_GB2312" w:cs="Times New Roman"/>
          <w:color w:val="auto"/>
          <w:w w:val="98"/>
          <w:kern w:val="0"/>
          <w:sz w:val="32"/>
          <w:szCs w:val="32"/>
          <w:lang w:bidi="ar"/>
        </w:rPr>
        <w:t xml:space="preserve">    8.2025年天津市用人单位职业卫生</w:t>
      </w:r>
      <w:r>
        <w:rPr>
          <w:rFonts w:hint="default" w:ascii="Times New Roman" w:hAnsi="Times New Roman" w:eastAsia="仿宋_GB2312" w:cs="Times New Roman"/>
          <w:color w:val="auto"/>
          <w:w w:val="92"/>
          <w:kern w:val="0"/>
          <w:sz w:val="32"/>
          <w:szCs w:val="32"/>
          <w:lang w:bidi="ar"/>
        </w:rPr>
        <w:t>国家随机监督抽</w:t>
      </w:r>
    </w:p>
    <w:p w14:paraId="7D5931FD">
      <w:pPr>
        <w:keepNext w:val="0"/>
        <w:keepLines w:val="0"/>
        <w:pageBreakBefore w:val="0"/>
        <w:kinsoku/>
        <w:wordWrap/>
        <w:overflowPunct/>
        <w:topLinePunct w:val="0"/>
        <w:autoSpaceDE w:val="0"/>
        <w:autoSpaceDN/>
        <w:bidi w:val="0"/>
        <w:adjustRightInd/>
        <w:snapToGrid/>
        <w:spacing w:line="560" w:lineRule="exact"/>
        <w:ind w:firstLine="1470" w:firstLineChars="500"/>
        <w:jc w:val="both"/>
        <w:textAlignment w:val="auto"/>
        <w:rPr>
          <w:rFonts w:hint="default" w:ascii="Times New Roman" w:hAnsi="Times New Roman" w:eastAsia="仿宋_GB2312" w:cs="Times New Roman"/>
          <w:color w:val="auto"/>
          <w:w w:val="98"/>
          <w:kern w:val="0"/>
          <w:sz w:val="32"/>
          <w:szCs w:val="32"/>
          <w:lang w:bidi="ar"/>
        </w:rPr>
      </w:pPr>
      <w:r>
        <w:rPr>
          <w:rFonts w:hint="default" w:ascii="Times New Roman" w:hAnsi="Times New Roman" w:eastAsia="仿宋_GB2312" w:cs="Times New Roman"/>
          <w:color w:val="auto"/>
          <w:w w:val="92"/>
          <w:kern w:val="0"/>
          <w:sz w:val="32"/>
          <w:szCs w:val="32"/>
          <w:lang w:val="en-US" w:eastAsia="zh-CN" w:bidi="ar"/>
        </w:rPr>
        <w:t xml:space="preserve">  </w:t>
      </w:r>
      <w:r>
        <w:rPr>
          <w:rFonts w:hint="default" w:ascii="Times New Roman" w:hAnsi="Times New Roman" w:eastAsia="仿宋_GB2312" w:cs="Times New Roman"/>
          <w:color w:val="auto"/>
          <w:w w:val="92"/>
          <w:kern w:val="0"/>
          <w:sz w:val="32"/>
          <w:szCs w:val="32"/>
          <w:lang w:eastAsia="zh-CN" w:bidi="ar"/>
        </w:rPr>
        <w:t>查</w:t>
      </w:r>
      <w:r>
        <w:rPr>
          <w:rFonts w:hint="default" w:ascii="Times New Roman" w:hAnsi="Times New Roman" w:eastAsia="仿宋_GB2312" w:cs="Times New Roman"/>
          <w:color w:val="auto"/>
          <w:w w:val="98"/>
          <w:kern w:val="0"/>
          <w:sz w:val="32"/>
          <w:szCs w:val="32"/>
          <w:lang w:bidi="ar"/>
        </w:rPr>
        <w:t>安排</w:t>
      </w:r>
    </w:p>
    <w:p w14:paraId="6BA84F09">
      <w:pPr>
        <w:keepNext w:val="0"/>
        <w:keepLines w:val="0"/>
        <w:pageBreakBefore w:val="0"/>
        <w:kinsoku/>
        <w:wordWrap/>
        <w:overflowPunct/>
        <w:topLinePunct w:val="0"/>
        <w:autoSpaceDE w:val="0"/>
        <w:autoSpaceDN/>
        <w:bidi w:val="0"/>
        <w:adjustRightInd/>
        <w:snapToGrid/>
        <w:spacing w:line="560" w:lineRule="exact"/>
        <w:ind w:firstLine="1565" w:firstLineChars="500"/>
        <w:jc w:val="both"/>
        <w:textAlignment w:val="auto"/>
        <w:rPr>
          <w:rFonts w:hint="default" w:ascii="Times New Roman" w:hAnsi="Times New Roman" w:cs="Times New Roman"/>
          <w:color w:val="auto"/>
          <w:kern w:val="0"/>
          <w:sz w:val="32"/>
          <w:szCs w:val="24"/>
        </w:rPr>
        <w:sectPr>
          <w:pgSz w:w="11906" w:h="16838"/>
          <w:pgMar w:top="2098" w:right="1474" w:bottom="1984" w:left="1587" w:header="850" w:footer="1247" w:gutter="0"/>
          <w:pgBorders>
            <w:top w:val="none" w:sz="0" w:space="0"/>
            <w:left w:val="none" w:sz="0" w:space="0"/>
            <w:bottom w:val="none" w:sz="0" w:space="0"/>
            <w:right w:val="none" w:sz="0" w:space="0"/>
          </w:pgBorders>
          <w:lnNumType w:countBy="0" w:distance="360"/>
          <w:pgNumType w:fmt="decimal"/>
          <w:cols w:space="720" w:num="1"/>
          <w:rtlGutter w:val="0"/>
          <w:docGrid w:linePitch="435" w:charSpace="0"/>
        </w:sectPr>
      </w:pPr>
      <w:r>
        <w:rPr>
          <w:rFonts w:hint="default" w:ascii="Times New Roman" w:hAnsi="Times New Roman" w:eastAsia="仿宋_GB2312" w:cs="Times New Roman"/>
          <w:color w:val="auto"/>
          <w:w w:val="98"/>
          <w:kern w:val="0"/>
          <w:sz w:val="32"/>
          <w:szCs w:val="32"/>
          <w:lang w:val="en-US" w:eastAsia="zh-CN" w:bidi="ar"/>
        </w:rPr>
        <w:t>9.用人单位职业卫生国家随机监督抽查明细表</w:t>
      </w:r>
    </w:p>
    <w:p w14:paraId="3FF76EE5">
      <w:pPr>
        <w:spacing w:line="59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附表1</w:t>
      </w:r>
    </w:p>
    <w:p w14:paraId="3310170B">
      <w:pPr>
        <w:jc w:val="center"/>
        <w:outlineLvl w:val="0"/>
        <w:rPr>
          <w:rFonts w:hint="default" w:ascii="Times New Roman" w:hAnsi="Times New Roman" w:eastAsia="方正小标宋简体" w:cs="Times New Roman"/>
          <w:bCs/>
          <w:color w:val="auto"/>
          <w:sz w:val="44"/>
        </w:rPr>
      </w:pPr>
      <w:r>
        <w:rPr>
          <w:rFonts w:hint="default" w:ascii="Times New Roman" w:hAnsi="Times New Roman" w:eastAsia="方正小标宋简体" w:cs="Times New Roman"/>
          <w:bCs/>
          <w:color w:val="auto"/>
          <w:sz w:val="44"/>
        </w:rPr>
        <w:t>2025年用人单位职业卫生国家随机监督抽查计划表</w:t>
      </w:r>
    </w:p>
    <w:tbl>
      <w:tblPr>
        <w:tblStyle w:val="5"/>
        <w:tblW w:w="141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4"/>
        <w:gridCol w:w="1512"/>
        <w:gridCol w:w="1938"/>
        <w:gridCol w:w="8945"/>
      </w:tblGrid>
      <w:tr w14:paraId="12A9FA29">
        <w:trPr>
          <w:trHeight w:val="759" w:hRule="atLeast"/>
          <w:tblHeader/>
          <w:jc w:val="center"/>
        </w:trPr>
        <w:tc>
          <w:tcPr>
            <w:tcW w:w="1734" w:type="dxa"/>
            <w:tcBorders>
              <w:top w:val="single" w:color="000000" w:sz="4" w:space="0"/>
              <w:left w:val="single" w:color="000000" w:sz="4" w:space="0"/>
              <w:bottom w:val="single" w:color="000000" w:sz="4" w:space="0"/>
              <w:right w:val="single" w:color="000000" w:sz="4" w:space="0"/>
            </w:tcBorders>
            <w:noWrap w:val="0"/>
            <w:vAlign w:val="center"/>
          </w:tcPr>
          <w:p w14:paraId="6F754E4E">
            <w:pPr>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监督检查对象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EF231E1">
            <w:pPr>
              <w:tabs>
                <w:tab w:val="left" w:pos="6660"/>
              </w:tabs>
              <w:adjustRightInd w:val="0"/>
              <w:snapToGrid w:val="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抽查任务</w:t>
            </w:r>
          </w:p>
        </w:tc>
        <w:tc>
          <w:tcPr>
            <w:tcW w:w="10883" w:type="dxa"/>
            <w:gridSpan w:val="2"/>
            <w:tcBorders>
              <w:top w:val="single" w:color="000000" w:sz="4" w:space="0"/>
              <w:left w:val="single" w:color="000000" w:sz="4" w:space="0"/>
              <w:bottom w:val="single" w:color="000000" w:sz="4" w:space="0"/>
            </w:tcBorders>
            <w:noWrap w:val="0"/>
            <w:vAlign w:val="center"/>
          </w:tcPr>
          <w:p w14:paraId="7301DE80">
            <w:pPr>
              <w:tabs>
                <w:tab w:val="left" w:pos="6660"/>
              </w:tabs>
              <w:adjustRightInd w:val="0"/>
              <w:snapToGrid w:val="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重点检查内容</w:t>
            </w:r>
          </w:p>
        </w:tc>
      </w:tr>
      <w:tr w14:paraId="05AB34FB">
        <w:trPr>
          <w:trHeight w:val="652" w:hRule="atLeast"/>
          <w:tblHeader/>
          <w:jc w:val="center"/>
        </w:trPr>
        <w:tc>
          <w:tcPr>
            <w:tcW w:w="1734" w:type="dxa"/>
            <w:vMerge w:val="restart"/>
            <w:tcBorders>
              <w:top w:val="single" w:color="000000" w:sz="4" w:space="0"/>
              <w:left w:val="single" w:color="000000" w:sz="4" w:space="0"/>
              <w:right w:val="single" w:color="000000" w:sz="4" w:space="0"/>
            </w:tcBorders>
            <w:noWrap w:val="0"/>
            <w:vAlign w:val="center"/>
          </w:tcPr>
          <w:p w14:paraId="5C03101F">
            <w:pPr>
              <w:tabs>
                <w:tab w:val="left" w:pos="6660"/>
              </w:tabs>
              <w:adjustRightInd w:val="0"/>
              <w:snapToGrid w:val="0"/>
              <w:jc w:val="center"/>
              <w:rPr>
                <w:rFonts w:hint="default" w:ascii="Times New Roman" w:hAnsi="Times New Roman" w:eastAsia="仿宋_GB2312" w:cs="Times New Roman"/>
                <w:b/>
                <w:bCs/>
                <w:color w:val="auto"/>
                <w:szCs w:val="21"/>
              </w:rPr>
            </w:pPr>
            <w:r>
              <w:rPr>
                <w:rFonts w:hint="default" w:ascii="Times New Roman" w:hAnsi="Times New Roman" w:eastAsia="仿宋_GB2312" w:cs="Times New Roman"/>
                <w:bCs/>
                <w:color w:val="auto"/>
                <w:szCs w:val="21"/>
              </w:rPr>
              <w:t>用人单位</w:t>
            </w:r>
          </w:p>
        </w:tc>
        <w:tc>
          <w:tcPr>
            <w:tcW w:w="1512" w:type="dxa"/>
            <w:vMerge w:val="restart"/>
            <w:tcBorders>
              <w:top w:val="single" w:color="000000" w:sz="4" w:space="0"/>
              <w:left w:val="single" w:color="000000" w:sz="4" w:space="0"/>
              <w:right w:val="single" w:color="000000" w:sz="4" w:space="0"/>
            </w:tcBorders>
            <w:noWrap w:val="0"/>
            <w:vAlign w:val="center"/>
          </w:tcPr>
          <w:p w14:paraId="2DE27F54">
            <w:pPr>
              <w:tabs>
                <w:tab w:val="left" w:pos="6660"/>
              </w:tabs>
              <w:adjustRightInd w:val="0"/>
              <w:snapToGrid w:val="0"/>
              <w:jc w:val="left"/>
              <w:rPr>
                <w:rFonts w:hint="default" w:ascii="Times New Roman" w:hAnsi="Times New Roman" w:eastAsia="仿宋_GB2312" w:cs="Times New Roman"/>
                <w:b/>
                <w:bCs/>
                <w:color w:val="auto"/>
                <w:szCs w:val="21"/>
              </w:rPr>
            </w:pPr>
            <w:r>
              <w:rPr>
                <w:rFonts w:hint="default" w:ascii="Times New Roman" w:hAnsi="Times New Roman" w:eastAsia="仿宋_GB2312" w:cs="Times New Roman"/>
                <w:bCs/>
                <w:color w:val="auto"/>
                <w:szCs w:val="21"/>
              </w:rPr>
              <w:t>抽查数量：</w:t>
            </w:r>
            <w:r>
              <w:rPr>
                <w:rFonts w:hint="default" w:ascii="Times New Roman" w:hAnsi="Times New Roman" w:eastAsia="仿宋_GB2312" w:cs="Times New Roman"/>
                <w:bCs/>
                <w:color w:val="auto"/>
                <w:szCs w:val="21"/>
                <w:lang w:eastAsia="zh-CN"/>
              </w:rPr>
              <w:t>全市</w:t>
            </w:r>
            <w:r>
              <w:rPr>
                <w:rFonts w:hint="default" w:ascii="Times New Roman" w:hAnsi="Times New Roman" w:eastAsia="仿宋_GB2312" w:cs="Times New Roman"/>
                <w:bCs/>
                <w:color w:val="auto"/>
                <w:szCs w:val="21"/>
                <w:lang w:val="en-US" w:eastAsia="zh-CN"/>
              </w:rPr>
              <w:t>1</w:t>
            </w:r>
            <w:r>
              <w:rPr>
                <w:rFonts w:hint="eastAsia" w:eastAsia="仿宋_GB2312" w:cs="Times New Roman"/>
                <w:bCs/>
                <w:color w:val="auto"/>
                <w:szCs w:val="21"/>
                <w:lang w:val="en-US" w:eastAsia="zh-CN"/>
              </w:rPr>
              <w:t>5</w:t>
            </w:r>
            <w:r>
              <w:rPr>
                <w:rFonts w:hint="default" w:ascii="Times New Roman" w:hAnsi="Times New Roman" w:eastAsia="仿宋_GB2312" w:cs="Times New Roman"/>
                <w:bCs/>
                <w:color w:val="auto"/>
                <w:szCs w:val="21"/>
              </w:rPr>
              <w:t>00家</w:t>
            </w:r>
          </w:p>
        </w:tc>
        <w:tc>
          <w:tcPr>
            <w:tcW w:w="1938" w:type="dxa"/>
            <w:tcBorders>
              <w:top w:val="single" w:color="000000" w:sz="4" w:space="0"/>
              <w:left w:val="single" w:color="000000" w:sz="4" w:space="0"/>
            </w:tcBorders>
            <w:noWrap w:val="0"/>
            <w:vAlign w:val="center"/>
          </w:tcPr>
          <w:p w14:paraId="25F2039B">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1</w:t>
            </w:r>
            <w:r>
              <w:rPr>
                <w:rFonts w:hint="default" w:ascii="Times New Roman" w:hAnsi="Times New Roman" w:eastAsia="仿宋_GB2312" w:cs="Times New Roman"/>
                <w:bCs/>
                <w:color w:val="auto"/>
                <w:szCs w:val="21"/>
              </w:rPr>
              <w:t>.职业卫生培训</w:t>
            </w:r>
          </w:p>
        </w:tc>
        <w:tc>
          <w:tcPr>
            <w:tcW w:w="8945" w:type="dxa"/>
            <w:tcBorders>
              <w:top w:val="single" w:color="000000" w:sz="4" w:space="0"/>
              <w:left w:val="single" w:color="000000" w:sz="4" w:space="0"/>
              <w:bottom w:val="single" w:color="auto" w:sz="4" w:space="0"/>
            </w:tcBorders>
            <w:noWrap w:val="0"/>
            <w:vAlign w:val="center"/>
          </w:tcPr>
          <w:p w14:paraId="435E1CC9">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主要负责人、职业卫生管理人员和劳动者是否按规定的周期接受职业卫生培训，培训内容、时间是否符合要求。</w:t>
            </w:r>
          </w:p>
        </w:tc>
      </w:tr>
      <w:tr w14:paraId="066D3E72">
        <w:trPr>
          <w:trHeight w:val="380" w:hRule="atLeast"/>
          <w:tblHeader/>
          <w:jc w:val="center"/>
        </w:trPr>
        <w:tc>
          <w:tcPr>
            <w:tcW w:w="1734" w:type="dxa"/>
            <w:vMerge w:val="continue"/>
            <w:tcBorders>
              <w:left w:val="single" w:color="000000" w:sz="4" w:space="0"/>
              <w:right w:val="single" w:color="000000" w:sz="4" w:space="0"/>
            </w:tcBorders>
            <w:noWrap w:val="0"/>
            <w:vAlign w:val="center"/>
          </w:tcPr>
          <w:p w14:paraId="0CAF8A4C">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right w:val="single" w:color="000000" w:sz="4" w:space="0"/>
            </w:tcBorders>
            <w:noWrap w:val="0"/>
            <w:vAlign w:val="center"/>
          </w:tcPr>
          <w:p w14:paraId="30A831C9">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auto" w:sz="4" w:space="0"/>
            </w:tcBorders>
            <w:noWrap w:val="0"/>
            <w:vAlign w:val="center"/>
          </w:tcPr>
          <w:p w14:paraId="0935FCE2">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2</w:t>
            </w:r>
            <w:r>
              <w:rPr>
                <w:rFonts w:hint="default" w:ascii="Times New Roman" w:hAnsi="Times New Roman" w:eastAsia="仿宋_GB2312" w:cs="Times New Roman"/>
                <w:bCs/>
                <w:color w:val="auto"/>
                <w:szCs w:val="21"/>
              </w:rPr>
              <w:t>.建设项目职业病防护设施“三同时”</w:t>
            </w:r>
          </w:p>
        </w:tc>
        <w:tc>
          <w:tcPr>
            <w:tcW w:w="8945" w:type="dxa"/>
            <w:tcBorders>
              <w:top w:val="single" w:color="auto" w:sz="4" w:space="0"/>
              <w:left w:val="single" w:color="000000" w:sz="4" w:space="0"/>
              <w:bottom w:val="single" w:color="auto" w:sz="4" w:space="0"/>
            </w:tcBorders>
            <w:noWrap w:val="0"/>
            <w:vAlign w:val="center"/>
          </w:tcPr>
          <w:p w14:paraId="3F734673">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是否落实建设项目职业病防护设施“三同时”制度，是否按程序开展评审及存档、公示。</w:t>
            </w:r>
          </w:p>
        </w:tc>
      </w:tr>
      <w:tr w14:paraId="785ABAA0">
        <w:trPr>
          <w:trHeight w:val="353" w:hRule="atLeast"/>
          <w:tblHeader/>
          <w:jc w:val="center"/>
        </w:trPr>
        <w:tc>
          <w:tcPr>
            <w:tcW w:w="1734" w:type="dxa"/>
            <w:vMerge w:val="continue"/>
            <w:tcBorders>
              <w:left w:val="single" w:color="000000" w:sz="4" w:space="0"/>
              <w:right w:val="single" w:color="000000" w:sz="4" w:space="0"/>
            </w:tcBorders>
            <w:noWrap w:val="0"/>
            <w:vAlign w:val="center"/>
          </w:tcPr>
          <w:p w14:paraId="05DF9ABB">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right w:val="single" w:color="000000" w:sz="4" w:space="0"/>
            </w:tcBorders>
            <w:noWrap w:val="0"/>
            <w:vAlign w:val="center"/>
          </w:tcPr>
          <w:p w14:paraId="4A2F8A82">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auto" w:sz="4" w:space="0"/>
            </w:tcBorders>
            <w:noWrap w:val="0"/>
            <w:vAlign w:val="center"/>
          </w:tcPr>
          <w:p w14:paraId="2938216E">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w:t>
            </w:r>
            <w:r>
              <w:rPr>
                <w:rFonts w:hint="default" w:ascii="Times New Roman" w:hAnsi="Times New Roman" w:eastAsia="仿宋_GB2312" w:cs="Times New Roman"/>
                <w:bCs/>
                <w:color w:val="auto"/>
                <w:szCs w:val="21"/>
                <w:lang w:val="en-US" w:eastAsia="zh-CN"/>
              </w:rPr>
              <w:t>3</w:t>
            </w:r>
            <w:r>
              <w:rPr>
                <w:rFonts w:hint="default" w:ascii="Times New Roman" w:hAnsi="Times New Roman" w:eastAsia="仿宋_GB2312" w:cs="Times New Roman"/>
                <w:bCs/>
                <w:color w:val="auto"/>
                <w:szCs w:val="21"/>
              </w:rPr>
              <w:t>.职业病危害项目申报</w:t>
            </w:r>
          </w:p>
        </w:tc>
        <w:tc>
          <w:tcPr>
            <w:tcW w:w="8945" w:type="dxa"/>
            <w:tcBorders>
              <w:top w:val="single" w:color="auto" w:sz="4" w:space="0"/>
              <w:left w:val="single" w:color="000000" w:sz="4" w:space="0"/>
              <w:bottom w:val="single" w:color="auto" w:sz="4" w:space="0"/>
            </w:tcBorders>
            <w:noWrap w:val="0"/>
            <w:vAlign w:val="center"/>
          </w:tcPr>
          <w:p w14:paraId="5CE2A2D4">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是否如实、及时开展工作场所职业病危害项目申报。</w:t>
            </w:r>
          </w:p>
        </w:tc>
      </w:tr>
      <w:tr w14:paraId="4D1809B2">
        <w:trPr>
          <w:trHeight w:val="1071" w:hRule="atLeast"/>
          <w:tblHeader/>
          <w:jc w:val="center"/>
        </w:trPr>
        <w:tc>
          <w:tcPr>
            <w:tcW w:w="1734" w:type="dxa"/>
            <w:vMerge w:val="continue"/>
            <w:tcBorders>
              <w:left w:val="single" w:color="000000" w:sz="4" w:space="0"/>
              <w:right w:val="single" w:color="000000" w:sz="4" w:space="0"/>
            </w:tcBorders>
            <w:noWrap w:val="0"/>
            <w:vAlign w:val="center"/>
          </w:tcPr>
          <w:p w14:paraId="164A0AA5">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right w:val="single" w:color="000000" w:sz="4" w:space="0"/>
            </w:tcBorders>
            <w:noWrap w:val="0"/>
            <w:vAlign w:val="center"/>
          </w:tcPr>
          <w:p w14:paraId="62809DE2">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auto" w:sz="4" w:space="0"/>
            </w:tcBorders>
            <w:noWrap w:val="0"/>
            <w:vAlign w:val="center"/>
          </w:tcPr>
          <w:p w14:paraId="24DFB9FC">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4</w:t>
            </w:r>
            <w:r>
              <w:rPr>
                <w:rFonts w:hint="default" w:ascii="Times New Roman" w:hAnsi="Times New Roman" w:eastAsia="仿宋_GB2312" w:cs="Times New Roman"/>
                <w:bCs/>
                <w:color w:val="auto"/>
                <w:szCs w:val="21"/>
              </w:rPr>
              <w:t>.工作场所职业卫生管理</w:t>
            </w:r>
          </w:p>
        </w:tc>
        <w:tc>
          <w:tcPr>
            <w:tcW w:w="8945" w:type="dxa"/>
            <w:tcBorders>
              <w:top w:val="single" w:color="auto" w:sz="4" w:space="0"/>
              <w:left w:val="single" w:color="000000" w:sz="4" w:space="0"/>
              <w:bottom w:val="single" w:color="auto" w:sz="4" w:space="0"/>
            </w:tcBorders>
            <w:noWrap w:val="0"/>
            <w:vAlign w:val="center"/>
          </w:tcPr>
          <w:p w14:paraId="0E13DD64">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1.是否按规定开展工作场所职业病危害因素监测、检测、评价，是否进行检测结果的报告</w:t>
            </w:r>
            <w:r>
              <w:rPr>
                <w:rFonts w:hint="default" w:ascii="Times New Roman" w:hAnsi="Times New Roman" w:eastAsia="仿宋_GB2312" w:cs="Times New Roman"/>
                <w:bCs/>
                <w:color w:val="auto"/>
                <w:szCs w:val="21"/>
                <w:lang w:eastAsia="zh-CN"/>
              </w:rPr>
              <w:t>、存档</w:t>
            </w:r>
            <w:r>
              <w:rPr>
                <w:rFonts w:hint="default" w:ascii="Times New Roman" w:hAnsi="Times New Roman" w:eastAsia="仿宋_GB2312" w:cs="Times New Roman"/>
                <w:bCs/>
                <w:color w:val="auto"/>
                <w:szCs w:val="21"/>
              </w:rPr>
              <w:t>和公布；</w:t>
            </w:r>
          </w:p>
          <w:p w14:paraId="343BF3B0">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2.是否按规定配置职业病防护设施、应急救援设施并及时维护、保养，是否按规定发放、管理职业病防护用品并督促劳动者佩戴使用。</w:t>
            </w:r>
          </w:p>
        </w:tc>
      </w:tr>
      <w:tr w14:paraId="2CB81031">
        <w:trPr>
          <w:trHeight w:val="387" w:hRule="atLeast"/>
          <w:tblHeader/>
          <w:jc w:val="center"/>
        </w:trPr>
        <w:tc>
          <w:tcPr>
            <w:tcW w:w="1734" w:type="dxa"/>
            <w:vMerge w:val="continue"/>
            <w:tcBorders>
              <w:left w:val="single" w:color="000000" w:sz="4" w:space="0"/>
              <w:right w:val="single" w:color="000000" w:sz="4" w:space="0"/>
            </w:tcBorders>
            <w:noWrap w:val="0"/>
            <w:vAlign w:val="center"/>
          </w:tcPr>
          <w:p w14:paraId="23EE4CC8">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right w:val="single" w:color="000000" w:sz="4" w:space="0"/>
            </w:tcBorders>
            <w:noWrap w:val="0"/>
            <w:vAlign w:val="center"/>
          </w:tcPr>
          <w:p w14:paraId="6A513CC5">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auto" w:sz="4" w:space="0"/>
            </w:tcBorders>
            <w:noWrap w:val="0"/>
            <w:vAlign w:val="center"/>
          </w:tcPr>
          <w:p w14:paraId="53335D46">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5</w:t>
            </w:r>
            <w:r>
              <w:rPr>
                <w:rFonts w:hint="default" w:ascii="Times New Roman" w:hAnsi="Times New Roman" w:eastAsia="仿宋_GB2312" w:cs="Times New Roman"/>
                <w:bCs/>
                <w:color w:val="auto"/>
                <w:szCs w:val="21"/>
              </w:rPr>
              <w:t>.职业病危害警示和告知</w:t>
            </w:r>
          </w:p>
        </w:tc>
        <w:tc>
          <w:tcPr>
            <w:tcW w:w="8945" w:type="dxa"/>
            <w:tcBorders>
              <w:top w:val="single" w:color="auto" w:sz="4" w:space="0"/>
              <w:left w:val="single" w:color="000000" w:sz="4" w:space="0"/>
              <w:bottom w:val="single" w:color="auto" w:sz="4" w:space="0"/>
            </w:tcBorders>
            <w:noWrap w:val="0"/>
            <w:vAlign w:val="center"/>
          </w:tcPr>
          <w:p w14:paraId="7E87F740">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是否按规定设置职业病危害警示标识</w:t>
            </w:r>
            <w:r>
              <w:rPr>
                <w:rFonts w:hint="default" w:ascii="Times New Roman" w:hAnsi="Times New Roman" w:eastAsia="仿宋_GB2312" w:cs="Times New Roman"/>
                <w:bCs/>
                <w:color w:val="auto"/>
                <w:szCs w:val="21"/>
                <w:lang w:eastAsia="zh-CN"/>
              </w:rPr>
              <w:t>和中文警示说明</w:t>
            </w:r>
            <w:r>
              <w:rPr>
                <w:rFonts w:hint="default" w:ascii="Times New Roman" w:hAnsi="Times New Roman" w:eastAsia="仿宋_GB2312" w:cs="Times New Roman"/>
                <w:bCs/>
                <w:color w:val="auto"/>
                <w:szCs w:val="21"/>
              </w:rPr>
              <w:t>，告知职业病危害及危害后果。</w:t>
            </w:r>
          </w:p>
        </w:tc>
      </w:tr>
      <w:tr w14:paraId="469AA301">
        <w:trPr>
          <w:trHeight w:val="90" w:hRule="atLeast"/>
          <w:tblHeader/>
          <w:jc w:val="center"/>
        </w:trPr>
        <w:tc>
          <w:tcPr>
            <w:tcW w:w="1734" w:type="dxa"/>
            <w:vMerge w:val="continue"/>
            <w:tcBorders>
              <w:left w:val="single" w:color="000000" w:sz="4" w:space="0"/>
              <w:right w:val="single" w:color="000000" w:sz="4" w:space="0"/>
            </w:tcBorders>
            <w:noWrap w:val="0"/>
            <w:vAlign w:val="center"/>
          </w:tcPr>
          <w:p w14:paraId="25C6E472">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right w:val="single" w:color="000000" w:sz="4" w:space="0"/>
            </w:tcBorders>
            <w:noWrap w:val="0"/>
            <w:vAlign w:val="center"/>
          </w:tcPr>
          <w:p w14:paraId="60C447FB">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auto" w:sz="4" w:space="0"/>
            </w:tcBorders>
            <w:noWrap w:val="0"/>
            <w:vAlign w:val="center"/>
          </w:tcPr>
          <w:p w14:paraId="674FE788">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6</w:t>
            </w:r>
            <w:r>
              <w:rPr>
                <w:rFonts w:hint="default" w:ascii="Times New Roman" w:hAnsi="Times New Roman" w:eastAsia="仿宋_GB2312" w:cs="Times New Roman"/>
                <w:bCs/>
                <w:color w:val="auto"/>
                <w:szCs w:val="21"/>
              </w:rPr>
              <w:t>.劳动者职业健康监护</w:t>
            </w:r>
          </w:p>
        </w:tc>
        <w:tc>
          <w:tcPr>
            <w:tcW w:w="8945" w:type="dxa"/>
            <w:tcBorders>
              <w:top w:val="single" w:color="auto" w:sz="4" w:space="0"/>
              <w:left w:val="single" w:color="000000" w:sz="4" w:space="0"/>
              <w:bottom w:val="single" w:color="auto" w:sz="4" w:space="0"/>
            </w:tcBorders>
            <w:noWrap w:val="0"/>
            <w:vAlign w:val="center"/>
          </w:tcPr>
          <w:p w14:paraId="415F2F6E">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是否按规定开展劳动者职业健康监护、</w:t>
            </w:r>
            <w:r>
              <w:rPr>
                <w:rFonts w:hint="default" w:ascii="Times New Roman" w:hAnsi="Times New Roman" w:eastAsia="仿宋_GB2312" w:cs="Times New Roman"/>
                <w:bCs/>
                <w:color w:val="auto"/>
                <w:szCs w:val="21"/>
                <w:lang w:eastAsia="zh-CN"/>
              </w:rPr>
              <w:t>（</w:t>
            </w:r>
            <w:r>
              <w:rPr>
                <w:rFonts w:hint="default" w:ascii="Times New Roman" w:hAnsi="Times New Roman" w:eastAsia="仿宋_GB2312" w:cs="Times New Roman"/>
                <w:bCs/>
                <w:color w:val="auto"/>
                <w:szCs w:val="21"/>
              </w:rPr>
              <w:t>工业）放射工作人员个人剂量监测。</w:t>
            </w:r>
          </w:p>
        </w:tc>
      </w:tr>
      <w:tr w14:paraId="2D23CF58">
        <w:trPr>
          <w:trHeight w:val="816" w:hRule="atLeast"/>
          <w:tblHeader/>
          <w:jc w:val="center"/>
        </w:trPr>
        <w:tc>
          <w:tcPr>
            <w:tcW w:w="1734" w:type="dxa"/>
            <w:vMerge w:val="continue"/>
            <w:tcBorders>
              <w:left w:val="single" w:color="000000" w:sz="4" w:space="0"/>
              <w:bottom w:val="single" w:color="000000" w:sz="4" w:space="0"/>
              <w:right w:val="single" w:color="000000" w:sz="4" w:space="0"/>
            </w:tcBorders>
            <w:noWrap w:val="0"/>
            <w:vAlign w:val="center"/>
          </w:tcPr>
          <w:p w14:paraId="36B013A6">
            <w:pPr>
              <w:tabs>
                <w:tab w:val="left" w:pos="6660"/>
              </w:tabs>
              <w:adjustRightInd w:val="0"/>
              <w:snapToGrid w:val="0"/>
              <w:jc w:val="center"/>
              <w:rPr>
                <w:rFonts w:hint="default" w:ascii="Times New Roman" w:hAnsi="Times New Roman" w:eastAsia="仿宋_GB2312" w:cs="Times New Roman"/>
                <w:bCs/>
                <w:color w:val="auto"/>
                <w:szCs w:val="21"/>
              </w:rPr>
            </w:pPr>
          </w:p>
        </w:tc>
        <w:tc>
          <w:tcPr>
            <w:tcW w:w="1512" w:type="dxa"/>
            <w:vMerge w:val="continue"/>
            <w:tcBorders>
              <w:left w:val="single" w:color="000000" w:sz="4" w:space="0"/>
              <w:bottom w:val="single" w:color="000000" w:sz="4" w:space="0"/>
              <w:right w:val="single" w:color="000000" w:sz="4" w:space="0"/>
            </w:tcBorders>
            <w:noWrap w:val="0"/>
            <w:vAlign w:val="center"/>
          </w:tcPr>
          <w:p w14:paraId="6369599C">
            <w:pPr>
              <w:tabs>
                <w:tab w:val="left" w:pos="6660"/>
              </w:tabs>
              <w:adjustRightInd w:val="0"/>
              <w:snapToGrid w:val="0"/>
              <w:jc w:val="center"/>
              <w:rPr>
                <w:rFonts w:hint="default" w:ascii="Times New Roman" w:hAnsi="Times New Roman" w:eastAsia="仿宋_GB2312" w:cs="Times New Roman"/>
                <w:bCs/>
                <w:color w:val="auto"/>
                <w:szCs w:val="21"/>
              </w:rPr>
            </w:pPr>
          </w:p>
        </w:tc>
        <w:tc>
          <w:tcPr>
            <w:tcW w:w="1938" w:type="dxa"/>
            <w:tcBorders>
              <w:top w:val="single" w:color="auto" w:sz="4" w:space="0"/>
              <w:left w:val="single" w:color="000000" w:sz="4" w:space="0"/>
              <w:bottom w:val="single" w:color="000000" w:sz="4" w:space="0"/>
            </w:tcBorders>
            <w:noWrap w:val="0"/>
            <w:vAlign w:val="center"/>
          </w:tcPr>
          <w:p w14:paraId="4DFBA13F">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lang w:val="en-US" w:eastAsia="zh-CN"/>
              </w:rPr>
              <w:t>7</w:t>
            </w:r>
            <w:r>
              <w:rPr>
                <w:rFonts w:hint="default" w:ascii="Times New Roman" w:hAnsi="Times New Roman" w:eastAsia="仿宋_GB2312" w:cs="Times New Roman"/>
                <w:bCs/>
                <w:color w:val="auto"/>
                <w:szCs w:val="21"/>
              </w:rPr>
              <w:t>.职业病病人和疑似职业病病人处置</w:t>
            </w:r>
          </w:p>
        </w:tc>
        <w:tc>
          <w:tcPr>
            <w:tcW w:w="8945" w:type="dxa"/>
            <w:tcBorders>
              <w:top w:val="single" w:color="auto" w:sz="4" w:space="0"/>
              <w:left w:val="single" w:color="000000" w:sz="4" w:space="0"/>
              <w:bottom w:val="single" w:color="000000" w:sz="4" w:space="0"/>
            </w:tcBorders>
            <w:noWrap w:val="0"/>
            <w:vAlign w:val="center"/>
          </w:tcPr>
          <w:p w14:paraId="2CE8CA42">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1.是否按规定处置职业病人、疑似职业病人；</w:t>
            </w:r>
          </w:p>
          <w:p w14:paraId="44CB23EC">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2.是否为劳动者进行职业病诊断提供与职业史、职业病危害接触关系等相关资料。</w:t>
            </w:r>
          </w:p>
        </w:tc>
      </w:tr>
    </w:tbl>
    <w:p w14:paraId="2EA8ADA0">
      <w:pPr>
        <w:jc w:val="left"/>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注：重点检查内容中“</w:t>
      </w:r>
      <w:r>
        <w:rPr>
          <w:rFonts w:hint="default" w:ascii="Times New Roman" w:hAnsi="Times New Roman" w:eastAsia="仿宋_GB2312" w:cs="Times New Roman"/>
          <w:b/>
          <w:color w:val="auto"/>
          <w:sz w:val="24"/>
          <w:lang w:val="en-US"/>
        </w:rPr>
        <w:t>3</w:t>
      </w:r>
      <w:r>
        <w:rPr>
          <w:rFonts w:hint="default" w:ascii="Times New Roman" w:hAnsi="Times New Roman" w:eastAsia="仿宋_GB2312" w:cs="Times New Roman"/>
          <w:b/>
          <w:color w:val="auto"/>
          <w:sz w:val="24"/>
        </w:rPr>
        <w:t>.职业病危害项目申报”是必查项。</w:t>
      </w:r>
    </w:p>
    <w:p w14:paraId="62C5030D">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仿宋_GB2312" w:cs="Times New Roman"/>
          <w:color w:val="auto"/>
        </w:rPr>
        <w:br w:type="page"/>
      </w: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2</w:t>
      </w:r>
    </w:p>
    <w:p w14:paraId="4EFA1D17">
      <w:pPr>
        <w:jc w:val="left"/>
        <w:outlineLvl w:val="0"/>
        <w:rPr>
          <w:rFonts w:hint="default" w:ascii="Times New Roman" w:hAnsi="Times New Roman" w:eastAsia="黑体" w:cs="Times New Roman"/>
          <w:color w:val="auto"/>
          <w:w w:val="98"/>
          <w:kern w:val="0"/>
          <w:sz w:val="32"/>
          <w:szCs w:val="32"/>
          <w:lang w:bidi="ar"/>
        </w:rPr>
      </w:pPr>
    </w:p>
    <w:p w14:paraId="7DA2FF59">
      <w:pPr>
        <w:jc w:val="center"/>
        <w:outlineLvl w:val="0"/>
        <w:rPr>
          <w:rFonts w:hint="default" w:ascii="Times New Roman" w:hAnsi="Times New Roman" w:cs="Times New Roman"/>
          <w:color w:val="auto"/>
          <w:sz w:val="32"/>
        </w:rPr>
      </w:pPr>
      <w:r>
        <w:rPr>
          <w:rFonts w:hint="default" w:ascii="Times New Roman" w:hAnsi="Times New Roman" w:eastAsia="方正小标宋简体" w:cs="Times New Roman"/>
          <w:bCs/>
          <w:color w:val="auto"/>
          <w:sz w:val="44"/>
        </w:rPr>
        <w:t>2025年用人单位职业卫生国家随机监督抽查汇总表</w:t>
      </w:r>
    </w:p>
    <w:tbl>
      <w:tblPr>
        <w:tblStyle w:val="5"/>
        <w:tblW w:w="13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876"/>
        <w:gridCol w:w="948"/>
        <w:gridCol w:w="768"/>
        <w:gridCol w:w="660"/>
        <w:gridCol w:w="936"/>
        <w:gridCol w:w="876"/>
        <w:gridCol w:w="828"/>
        <w:gridCol w:w="833"/>
        <w:gridCol w:w="847"/>
        <w:gridCol w:w="864"/>
        <w:gridCol w:w="889"/>
        <w:gridCol w:w="1022"/>
        <w:gridCol w:w="837"/>
        <w:gridCol w:w="804"/>
        <w:gridCol w:w="831"/>
      </w:tblGrid>
      <w:tr w14:paraId="278686D3">
        <w:trPr>
          <w:trHeight w:val="537" w:hRule="atLeast"/>
          <w:jc w:val="center"/>
        </w:trPr>
        <w:tc>
          <w:tcPr>
            <w:tcW w:w="774" w:type="dxa"/>
            <w:vMerge w:val="restart"/>
            <w:noWrap w:val="0"/>
            <w:vAlign w:val="center"/>
          </w:tcPr>
          <w:p w14:paraId="0D0484D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监督</w:t>
            </w:r>
          </w:p>
          <w:p w14:paraId="726800BE">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检查</w:t>
            </w:r>
          </w:p>
          <w:p w14:paraId="2307D6A8">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对象</w:t>
            </w:r>
          </w:p>
        </w:tc>
        <w:tc>
          <w:tcPr>
            <w:tcW w:w="876" w:type="dxa"/>
            <w:vMerge w:val="restart"/>
            <w:noWrap w:val="0"/>
            <w:vAlign w:val="center"/>
          </w:tcPr>
          <w:p w14:paraId="3E1E5CB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辖区</w:t>
            </w:r>
          </w:p>
          <w:p w14:paraId="35F62CC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单位数</w:t>
            </w:r>
          </w:p>
        </w:tc>
        <w:tc>
          <w:tcPr>
            <w:tcW w:w="948" w:type="dxa"/>
            <w:vMerge w:val="restart"/>
            <w:noWrap w:val="0"/>
            <w:vAlign w:val="center"/>
          </w:tcPr>
          <w:p w14:paraId="110FFD16">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抽查</w:t>
            </w:r>
          </w:p>
          <w:p w14:paraId="521EA66C">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单位数</w:t>
            </w:r>
          </w:p>
        </w:tc>
        <w:tc>
          <w:tcPr>
            <w:tcW w:w="768" w:type="dxa"/>
            <w:vMerge w:val="restart"/>
            <w:noWrap w:val="0"/>
            <w:vAlign w:val="center"/>
          </w:tcPr>
          <w:p w14:paraId="29B258DE">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不合格单位数</w:t>
            </w:r>
          </w:p>
        </w:tc>
        <w:tc>
          <w:tcPr>
            <w:tcW w:w="7755" w:type="dxa"/>
            <w:gridSpan w:val="9"/>
            <w:noWrap w:val="0"/>
            <w:vAlign w:val="center"/>
          </w:tcPr>
          <w:p w14:paraId="2A23B35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不合格情况</w:t>
            </w:r>
          </w:p>
        </w:tc>
        <w:tc>
          <w:tcPr>
            <w:tcW w:w="2472" w:type="dxa"/>
            <w:gridSpan w:val="3"/>
            <w:vMerge w:val="restart"/>
            <w:noWrap w:val="0"/>
            <w:vAlign w:val="center"/>
          </w:tcPr>
          <w:p w14:paraId="6AC2F1F4">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行政处罚情况</w:t>
            </w:r>
          </w:p>
        </w:tc>
      </w:tr>
      <w:tr w14:paraId="690B0C35">
        <w:trPr>
          <w:trHeight w:val="537" w:hRule="atLeast"/>
          <w:jc w:val="center"/>
        </w:trPr>
        <w:tc>
          <w:tcPr>
            <w:tcW w:w="774" w:type="dxa"/>
            <w:vMerge w:val="continue"/>
            <w:noWrap w:val="0"/>
            <w:vAlign w:val="center"/>
          </w:tcPr>
          <w:p w14:paraId="23CB796E">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76" w:type="dxa"/>
            <w:vMerge w:val="continue"/>
            <w:noWrap w:val="0"/>
            <w:vAlign w:val="center"/>
          </w:tcPr>
          <w:p w14:paraId="06B31D89">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948" w:type="dxa"/>
            <w:vMerge w:val="continue"/>
            <w:noWrap w:val="0"/>
            <w:vAlign w:val="center"/>
          </w:tcPr>
          <w:p w14:paraId="25AB0976">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768" w:type="dxa"/>
            <w:vMerge w:val="continue"/>
            <w:noWrap w:val="0"/>
            <w:vAlign w:val="center"/>
          </w:tcPr>
          <w:p w14:paraId="3A2F2128">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660" w:type="dxa"/>
            <w:noWrap w:val="0"/>
            <w:vAlign w:val="center"/>
          </w:tcPr>
          <w:p w14:paraId="0CB3FAFB">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职业卫生培训</w:t>
            </w:r>
          </w:p>
        </w:tc>
        <w:tc>
          <w:tcPr>
            <w:tcW w:w="936" w:type="dxa"/>
            <w:noWrap w:val="0"/>
            <w:vAlign w:val="center"/>
          </w:tcPr>
          <w:p w14:paraId="2C94B85E">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建设项目“三同时”</w:t>
            </w:r>
          </w:p>
        </w:tc>
        <w:tc>
          <w:tcPr>
            <w:tcW w:w="876" w:type="dxa"/>
            <w:noWrap w:val="0"/>
            <w:vAlign w:val="center"/>
          </w:tcPr>
          <w:p w14:paraId="0735458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职业病危害项目申报</w:t>
            </w:r>
          </w:p>
        </w:tc>
        <w:tc>
          <w:tcPr>
            <w:tcW w:w="1661" w:type="dxa"/>
            <w:gridSpan w:val="2"/>
            <w:noWrap w:val="0"/>
            <w:vAlign w:val="center"/>
          </w:tcPr>
          <w:p w14:paraId="26C5DFF0">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工作场所职业卫生管理</w:t>
            </w:r>
          </w:p>
        </w:tc>
        <w:tc>
          <w:tcPr>
            <w:tcW w:w="847" w:type="dxa"/>
            <w:noWrap w:val="0"/>
            <w:vAlign w:val="center"/>
          </w:tcPr>
          <w:p w14:paraId="4E69A660">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职业病危害警示和告知</w:t>
            </w:r>
          </w:p>
        </w:tc>
        <w:tc>
          <w:tcPr>
            <w:tcW w:w="864" w:type="dxa"/>
            <w:noWrap w:val="0"/>
            <w:vAlign w:val="center"/>
          </w:tcPr>
          <w:p w14:paraId="34AB549D">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劳动者职业健康监护</w:t>
            </w:r>
          </w:p>
        </w:tc>
        <w:tc>
          <w:tcPr>
            <w:tcW w:w="1911" w:type="dxa"/>
            <w:gridSpan w:val="2"/>
            <w:noWrap w:val="0"/>
            <w:vAlign w:val="center"/>
          </w:tcPr>
          <w:p w14:paraId="27DDFAC2">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职业病病人和疑似职业病病人处置</w:t>
            </w:r>
          </w:p>
        </w:tc>
        <w:tc>
          <w:tcPr>
            <w:tcW w:w="2472" w:type="dxa"/>
            <w:gridSpan w:val="3"/>
            <w:vMerge w:val="continue"/>
            <w:noWrap w:val="0"/>
            <w:vAlign w:val="center"/>
          </w:tcPr>
          <w:p w14:paraId="0CC82AB8">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r>
      <w:tr w14:paraId="606407D5">
        <w:trPr>
          <w:trHeight w:val="340" w:hRule="atLeast"/>
          <w:jc w:val="center"/>
        </w:trPr>
        <w:tc>
          <w:tcPr>
            <w:tcW w:w="774" w:type="dxa"/>
            <w:vMerge w:val="continue"/>
            <w:noWrap w:val="0"/>
            <w:vAlign w:val="top"/>
          </w:tcPr>
          <w:p w14:paraId="42E82575">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76" w:type="dxa"/>
            <w:vMerge w:val="continue"/>
            <w:noWrap w:val="0"/>
            <w:vAlign w:val="top"/>
          </w:tcPr>
          <w:p w14:paraId="1D18276F">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948" w:type="dxa"/>
            <w:vMerge w:val="continue"/>
            <w:noWrap w:val="0"/>
            <w:vAlign w:val="top"/>
          </w:tcPr>
          <w:p w14:paraId="018C6AB9">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768" w:type="dxa"/>
            <w:vMerge w:val="continue"/>
            <w:noWrap w:val="0"/>
            <w:vAlign w:val="top"/>
          </w:tcPr>
          <w:p w14:paraId="4664B548">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660" w:type="dxa"/>
            <w:noWrap w:val="0"/>
            <w:vAlign w:val="center"/>
          </w:tcPr>
          <w:p w14:paraId="3249DE9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职业卫生培训不合格单位数</w:t>
            </w:r>
          </w:p>
        </w:tc>
        <w:tc>
          <w:tcPr>
            <w:tcW w:w="936" w:type="dxa"/>
            <w:noWrap w:val="0"/>
            <w:vAlign w:val="center"/>
          </w:tcPr>
          <w:p w14:paraId="61CAC592">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建设项目职业病防护设施“三同时”不合格单位数</w:t>
            </w:r>
          </w:p>
        </w:tc>
        <w:tc>
          <w:tcPr>
            <w:tcW w:w="876" w:type="dxa"/>
            <w:noWrap w:val="0"/>
            <w:vAlign w:val="center"/>
          </w:tcPr>
          <w:p w14:paraId="562DA8CB">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工作场所职业病危害项目申报不合格单位数</w:t>
            </w:r>
          </w:p>
        </w:tc>
        <w:tc>
          <w:tcPr>
            <w:tcW w:w="828" w:type="dxa"/>
            <w:noWrap w:val="0"/>
            <w:vAlign w:val="center"/>
          </w:tcPr>
          <w:p w14:paraId="1E13C9C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工作场所职业病危害因素监测、检测、评价不合格单位数</w:t>
            </w:r>
          </w:p>
        </w:tc>
        <w:tc>
          <w:tcPr>
            <w:tcW w:w="833" w:type="dxa"/>
            <w:noWrap w:val="0"/>
            <w:vAlign w:val="center"/>
          </w:tcPr>
          <w:p w14:paraId="12ED53AF">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职业病防护设施、应急救援设施、防护用品不合格单位数</w:t>
            </w:r>
          </w:p>
        </w:tc>
        <w:tc>
          <w:tcPr>
            <w:tcW w:w="847" w:type="dxa"/>
            <w:noWrap w:val="0"/>
            <w:vAlign w:val="center"/>
          </w:tcPr>
          <w:p w14:paraId="58E415C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职业病危害警示和告知不合格单位数</w:t>
            </w:r>
          </w:p>
        </w:tc>
        <w:tc>
          <w:tcPr>
            <w:tcW w:w="864" w:type="dxa"/>
            <w:noWrap w:val="0"/>
            <w:vAlign w:val="center"/>
          </w:tcPr>
          <w:p w14:paraId="724A0DFD">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劳动者职业健康监护、放射工作人员个人剂量监测不合格单位数</w:t>
            </w:r>
          </w:p>
        </w:tc>
        <w:tc>
          <w:tcPr>
            <w:tcW w:w="889" w:type="dxa"/>
            <w:noWrap w:val="0"/>
            <w:vAlign w:val="center"/>
          </w:tcPr>
          <w:p w14:paraId="3B81D27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职业病病人、疑似职业病病人处置不合格单位数</w:t>
            </w:r>
          </w:p>
        </w:tc>
        <w:tc>
          <w:tcPr>
            <w:tcW w:w="1022" w:type="dxa"/>
            <w:noWrap w:val="0"/>
            <w:vAlign w:val="center"/>
          </w:tcPr>
          <w:p w14:paraId="6CAEDD3F">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未为劳动者进行职业病诊断提供健康损害与职业史、职业病危害接触关系等相关资料单位数</w:t>
            </w:r>
          </w:p>
        </w:tc>
        <w:tc>
          <w:tcPr>
            <w:tcW w:w="837" w:type="dxa"/>
            <w:noWrap w:val="0"/>
            <w:vAlign w:val="center"/>
          </w:tcPr>
          <w:p w14:paraId="4701D0A4">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案件</w:t>
            </w:r>
          </w:p>
          <w:p w14:paraId="3AF52E8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rPr>
              <w:t>查处数</w:t>
            </w:r>
          </w:p>
        </w:tc>
        <w:tc>
          <w:tcPr>
            <w:tcW w:w="804" w:type="dxa"/>
            <w:noWrap w:val="0"/>
            <w:vAlign w:val="center"/>
          </w:tcPr>
          <w:p w14:paraId="5E3BA78D">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警告</w:t>
            </w:r>
          </w:p>
          <w:p w14:paraId="3896097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单位数</w:t>
            </w:r>
          </w:p>
        </w:tc>
        <w:tc>
          <w:tcPr>
            <w:tcW w:w="831" w:type="dxa"/>
            <w:noWrap w:val="0"/>
            <w:vAlign w:val="center"/>
          </w:tcPr>
          <w:p w14:paraId="4C3D1F8C">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罚款</w:t>
            </w:r>
            <w:r>
              <w:rPr>
                <w:rFonts w:hint="default" w:ascii="Times New Roman" w:hAnsi="Times New Roman" w:eastAsia="仿宋_GB2312" w:cs="Times New Roman"/>
                <w:color w:val="auto"/>
                <w:kern w:val="0"/>
                <w:szCs w:val="21"/>
                <w:lang w:eastAsia="zh-CN" w:bidi="ar"/>
              </w:rPr>
              <w:t>（</w:t>
            </w:r>
            <w:r>
              <w:rPr>
                <w:rFonts w:hint="default" w:ascii="Times New Roman" w:hAnsi="Times New Roman" w:eastAsia="仿宋_GB2312" w:cs="Times New Roman"/>
                <w:color w:val="auto"/>
                <w:kern w:val="0"/>
                <w:szCs w:val="21"/>
                <w:lang w:bidi="ar"/>
              </w:rPr>
              <w:t>万元）</w:t>
            </w:r>
          </w:p>
        </w:tc>
      </w:tr>
      <w:tr w14:paraId="454B124A">
        <w:trPr>
          <w:trHeight w:val="1094" w:hRule="atLeast"/>
          <w:jc w:val="center"/>
        </w:trPr>
        <w:tc>
          <w:tcPr>
            <w:tcW w:w="774" w:type="dxa"/>
            <w:noWrap w:val="0"/>
            <w:vAlign w:val="center"/>
          </w:tcPr>
          <w:p w14:paraId="086D249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用人</w:t>
            </w:r>
          </w:p>
          <w:p w14:paraId="5DB7ACE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单位</w:t>
            </w:r>
          </w:p>
        </w:tc>
        <w:tc>
          <w:tcPr>
            <w:tcW w:w="876" w:type="dxa"/>
            <w:noWrap w:val="0"/>
            <w:vAlign w:val="top"/>
          </w:tcPr>
          <w:p w14:paraId="507C4745">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948" w:type="dxa"/>
            <w:noWrap w:val="0"/>
            <w:vAlign w:val="top"/>
          </w:tcPr>
          <w:p w14:paraId="0AC6D71F">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768" w:type="dxa"/>
            <w:noWrap w:val="0"/>
            <w:vAlign w:val="top"/>
          </w:tcPr>
          <w:p w14:paraId="02830397">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660" w:type="dxa"/>
            <w:noWrap w:val="0"/>
            <w:vAlign w:val="top"/>
          </w:tcPr>
          <w:p w14:paraId="6B0506F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936" w:type="dxa"/>
            <w:noWrap w:val="0"/>
            <w:vAlign w:val="center"/>
          </w:tcPr>
          <w:p w14:paraId="0CA5C87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76" w:type="dxa"/>
            <w:noWrap w:val="0"/>
            <w:vAlign w:val="center"/>
          </w:tcPr>
          <w:p w14:paraId="07ABA652">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28" w:type="dxa"/>
            <w:noWrap w:val="0"/>
            <w:vAlign w:val="top"/>
          </w:tcPr>
          <w:p w14:paraId="3D3D5542">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33" w:type="dxa"/>
            <w:noWrap w:val="0"/>
            <w:vAlign w:val="top"/>
          </w:tcPr>
          <w:p w14:paraId="3E7563D5">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47" w:type="dxa"/>
            <w:noWrap w:val="0"/>
            <w:vAlign w:val="top"/>
          </w:tcPr>
          <w:p w14:paraId="08ECC2CF">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64" w:type="dxa"/>
            <w:noWrap w:val="0"/>
            <w:vAlign w:val="top"/>
          </w:tcPr>
          <w:p w14:paraId="687FE42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89" w:type="dxa"/>
            <w:noWrap w:val="0"/>
            <w:vAlign w:val="top"/>
          </w:tcPr>
          <w:p w14:paraId="150CF5DC">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1022" w:type="dxa"/>
            <w:noWrap w:val="0"/>
            <w:vAlign w:val="top"/>
          </w:tcPr>
          <w:p w14:paraId="169AFA54">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37" w:type="dxa"/>
            <w:noWrap w:val="0"/>
            <w:vAlign w:val="center"/>
          </w:tcPr>
          <w:p w14:paraId="6EF186C3">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04" w:type="dxa"/>
            <w:noWrap w:val="0"/>
            <w:vAlign w:val="top"/>
          </w:tcPr>
          <w:p w14:paraId="1E31B908">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831" w:type="dxa"/>
            <w:noWrap w:val="0"/>
            <w:vAlign w:val="center"/>
          </w:tcPr>
          <w:p w14:paraId="7F8081EC">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r>
    </w:tbl>
    <w:p w14:paraId="4F82D6DE">
      <w:pPr>
        <w:jc w:val="left"/>
        <w:outlineLvl w:val="0"/>
        <w:rPr>
          <w:rFonts w:hint="default" w:ascii="Times New Roman" w:hAnsi="Times New Roman" w:eastAsia="黑体" w:cs="Times New Roman"/>
          <w:color w:val="auto"/>
          <w:kern w:val="0"/>
          <w:sz w:val="32"/>
          <w:szCs w:val="32"/>
          <w:lang w:bidi="ar"/>
        </w:rPr>
      </w:pPr>
    </w:p>
    <w:p w14:paraId="345B5BFA">
      <w:pPr>
        <w:jc w:val="left"/>
        <w:outlineLvl w:val="0"/>
        <w:rPr>
          <w:rFonts w:hint="default" w:ascii="Times New Roman" w:hAnsi="Times New Roman" w:eastAsia="黑体" w:cs="Times New Roman"/>
          <w:color w:val="auto"/>
          <w:kern w:val="0"/>
          <w:sz w:val="32"/>
          <w:szCs w:val="32"/>
          <w:lang w:eastAsia="zh-CN" w:bidi="ar"/>
        </w:rPr>
      </w:pPr>
    </w:p>
    <w:p w14:paraId="41EA847B">
      <w:pPr>
        <w:spacing w:line="590" w:lineRule="exact"/>
        <w:rPr>
          <w:rFonts w:hint="default" w:ascii="Times New Roman" w:hAnsi="Times New Roman" w:eastAsia="黑体" w:cs="Times New Roman"/>
          <w:color w:val="auto"/>
          <w:sz w:val="32"/>
          <w:szCs w:val="32"/>
        </w:rPr>
      </w:pPr>
    </w:p>
    <w:p w14:paraId="2D84EB4B">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3</w:t>
      </w:r>
    </w:p>
    <w:p w14:paraId="5F963891">
      <w:pPr>
        <w:jc w:val="center"/>
        <w:outlineLvl w:val="0"/>
        <w:rPr>
          <w:rFonts w:hint="default" w:ascii="Times New Roman" w:hAnsi="Times New Roman" w:cs="Times New Roman"/>
          <w:color w:val="auto"/>
          <w:sz w:val="44"/>
        </w:rPr>
      </w:pPr>
      <w:r>
        <w:rPr>
          <w:rFonts w:hint="default" w:ascii="Times New Roman" w:hAnsi="Times New Roman" w:eastAsia="方正小标宋简体" w:cs="Times New Roman"/>
          <w:bCs/>
          <w:color w:val="auto"/>
          <w:sz w:val="44"/>
        </w:rPr>
        <w:t>2025年职业卫生和放射卫生技术服务机构国家随机监督抽查计划表</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0"/>
        <w:gridCol w:w="2260"/>
        <w:gridCol w:w="1528"/>
        <w:gridCol w:w="9446"/>
      </w:tblGrid>
      <w:tr w14:paraId="4384AD44">
        <w:trPr>
          <w:trHeight w:val="617" w:hRule="atLeast"/>
          <w:tblHeader/>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14:paraId="66E54B9E">
            <w:pPr>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监督检查对象</w:t>
            </w:r>
          </w:p>
        </w:tc>
        <w:tc>
          <w:tcPr>
            <w:tcW w:w="2260" w:type="dxa"/>
            <w:tcBorders>
              <w:top w:val="single" w:color="000000" w:sz="4" w:space="0"/>
              <w:left w:val="single" w:color="000000" w:sz="4" w:space="0"/>
              <w:bottom w:val="single" w:color="000000" w:sz="4" w:space="0"/>
              <w:right w:val="single" w:color="000000" w:sz="4" w:space="0"/>
            </w:tcBorders>
            <w:noWrap w:val="0"/>
            <w:vAlign w:val="center"/>
          </w:tcPr>
          <w:p w14:paraId="735C92CA">
            <w:pPr>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抽查任务</w:t>
            </w:r>
          </w:p>
        </w:tc>
        <w:tc>
          <w:tcPr>
            <w:tcW w:w="10974" w:type="dxa"/>
            <w:gridSpan w:val="2"/>
            <w:tcBorders>
              <w:top w:val="single" w:color="000000" w:sz="4" w:space="0"/>
              <w:left w:val="single" w:color="000000" w:sz="4" w:space="0"/>
              <w:bottom w:val="single" w:color="000000" w:sz="4" w:space="0"/>
            </w:tcBorders>
            <w:noWrap w:val="0"/>
            <w:vAlign w:val="center"/>
          </w:tcPr>
          <w:p w14:paraId="44BD1CE3">
            <w:pPr>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重点检查内容</w:t>
            </w:r>
          </w:p>
        </w:tc>
      </w:tr>
      <w:tr w14:paraId="6291663E">
        <w:trPr>
          <w:trHeight w:val="803" w:hRule="atLeast"/>
          <w:tblHeader/>
          <w:jc w:val="center"/>
        </w:trPr>
        <w:tc>
          <w:tcPr>
            <w:tcW w:w="940" w:type="dxa"/>
            <w:vMerge w:val="restart"/>
            <w:tcBorders>
              <w:top w:val="single" w:color="000000" w:sz="4" w:space="0"/>
              <w:left w:val="single" w:color="000000" w:sz="4" w:space="0"/>
              <w:right w:val="single" w:color="000000" w:sz="4" w:space="0"/>
            </w:tcBorders>
            <w:noWrap w:val="0"/>
            <w:vAlign w:val="center"/>
          </w:tcPr>
          <w:p w14:paraId="72DBBB9F">
            <w:pPr>
              <w:tabs>
                <w:tab w:val="left" w:pos="6660"/>
              </w:tabs>
              <w:adjustRightInd w:val="0"/>
              <w:snapToGrid w:val="0"/>
              <w:jc w:val="center"/>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职业卫生和放射卫生技术服务机构</w:t>
            </w:r>
          </w:p>
          <w:p w14:paraId="29F3B0B3">
            <w:pPr>
              <w:tabs>
                <w:tab w:val="left" w:pos="6660"/>
              </w:tabs>
              <w:adjustRightInd w:val="0"/>
              <w:snapToGrid w:val="0"/>
              <w:jc w:val="center"/>
              <w:rPr>
                <w:rFonts w:hint="default" w:ascii="Times New Roman" w:hAnsi="Times New Roman" w:eastAsia="仿宋_GB2312" w:cs="Times New Roman"/>
                <w:bCs/>
                <w:color w:val="auto"/>
                <w:szCs w:val="21"/>
              </w:rPr>
            </w:pPr>
          </w:p>
        </w:tc>
        <w:tc>
          <w:tcPr>
            <w:tcW w:w="2260" w:type="dxa"/>
            <w:vMerge w:val="restart"/>
            <w:tcBorders>
              <w:top w:val="single" w:color="000000" w:sz="4" w:space="0"/>
              <w:left w:val="single" w:color="000000" w:sz="4" w:space="0"/>
              <w:right w:val="single" w:color="000000" w:sz="4" w:space="0"/>
            </w:tcBorders>
            <w:noWrap w:val="0"/>
            <w:vAlign w:val="center"/>
          </w:tcPr>
          <w:p w14:paraId="03825135">
            <w:pPr>
              <w:tabs>
                <w:tab w:val="left" w:pos="6660"/>
              </w:tabs>
              <w:adjustRightInd w:val="0"/>
              <w:snapToGrid w:val="0"/>
              <w:jc w:val="center"/>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辖区内注册的职业卫生和放射卫生技术服务机构</w:t>
            </w:r>
            <w:r>
              <w:rPr>
                <w:rFonts w:hint="default" w:ascii="Times New Roman" w:hAnsi="Times New Roman" w:eastAsia="仿宋_GB2312" w:cs="Times New Roman"/>
                <w:bCs/>
                <w:color w:val="auto"/>
                <w:szCs w:val="21"/>
                <w:lang w:val="en-US" w:eastAsia="zh-CN"/>
              </w:rPr>
              <w:t>6</w:t>
            </w:r>
            <w:r>
              <w:rPr>
                <w:rFonts w:hint="default" w:ascii="Times New Roman" w:hAnsi="Times New Roman" w:eastAsia="仿宋_GB2312" w:cs="Times New Roman"/>
                <w:bCs/>
                <w:color w:val="auto"/>
                <w:szCs w:val="21"/>
              </w:rPr>
              <w:t>0%开展监督检查</w:t>
            </w:r>
          </w:p>
        </w:tc>
        <w:tc>
          <w:tcPr>
            <w:tcW w:w="1528" w:type="dxa"/>
            <w:tcBorders>
              <w:top w:val="single" w:color="000000" w:sz="4" w:space="0"/>
              <w:left w:val="single" w:color="000000" w:sz="4" w:space="0"/>
              <w:right w:val="single" w:color="000000" w:sz="4" w:space="0"/>
            </w:tcBorders>
            <w:noWrap w:val="0"/>
            <w:vAlign w:val="center"/>
          </w:tcPr>
          <w:p w14:paraId="79B5DE77">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1.资质证书</w:t>
            </w:r>
          </w:p>
        </w:tc>
        <w:tc>
          <w:tcPr>
            <w:tcW w:w="9446" w:type="dxa"/>
            <w:tcBorders>
              <w:top w:val="single" w:color="000000" w:sz="4" w:space="0"/>
              <w:left w:val="single" w:color="000000" w:sz="4" w:space="0"/>
              <w:right w:val="single" w:color="000000" w:sz="4" w:space="0"/>
            </w:tcBorders>
            <w:noWrap w:val="0"/>
            <w:vAlign w:val="center"/>
          </w:tcPr>
          <w:p w14:paraId="3ACEB097">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1.是否未取得职业卫生或放射卫生技术服务资质认可擅自从事职业卫生或放射卫生检测、评价技术服务；</w:t>
            </w:r>
          </w:p>
          <w:p w14:paraId="38BC1E22">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2.是否有涂改、倒卖、出租、出借技术服务机构资质证书，或者以其他形式非法转让技术服务机构资质证书情形。</w:t>
            </w:r>
          </w:p>
        </w:tc>
      </w:tr>
      <w:tr w14:paraId="22394CF4">
        <w:trPr>
          <w:trHeight w:val="550" w:hRule="atLeast"/>
          <w:tblHeader/>
          <w:jc w:val="center"/>
        </w:trPr>
        <w:tc>
          <w:tcPr>
            <w:tcW w:w="940" w:type="dxa"/>
            <w:vMerge w:val="continue"/>
            <w:tcBorders>
              <w:left w:val="single" w:color="000000" w:sz="4" w:space="0"/>
              <w:right w:val="single" w:color="000000" w:sz="4" w:space="0"/>
            </w:tcBorders>
            <w:noWrap w:val="0"/>
            <w:vAlign w:val="center"/>
          </w:tcPr>
          <w:p w14:paraId="21AFB671">
            <w:pPr>
              <w:tabs>
                <w:tab w:val="left" w:pos="6660"/>
              </w:tabs>
              <w:adjustRightInd w:val="0"/>
              <w:snapToGrid w:val="0"/>
              <w:jc w:val="left"/>
              <w:rPr>
                <w:rFonts w:hint="default" w:ascii="Times New Roman" w:hAnsi="Times New Roman" w:eastAsia="仿宋_GB2312" w:cs="Times New Roman"/>
                <w:bCs/>
                <w:color w:val="auto"/>
                <w:szCs w:val="21"/>
              </w:rPr>
            </w:pPr>
          </w:p>
        </w:tc>
        <w:tc>
          <w:tcPr>
            <w:tcW w:w="2260" w:type="dxa"/>
            <w:vMerge w:val="continue"/>
            <w:tcBorders>
              <w:left w:val="single" w:color="000000" w:sz="4" w:space="0"/>
              <w:right w:val="single" w:color="000000" w:sz="4" w:space="0"/>
            </w:tcBorders>
            <w:noWrap w:val="0"/>
            <w:vAlign w:val="center"/>
          </w:tcPr>
          <w:p w14:paraId="6024933E">
            <w:pPr>
              <w:tabs>
                <w:tab w:val="left" w:pos="6660"/>
              </w:tabs>
              <w:adjustRightInd w:val="0"/>
              <w:snapToGrid w:val="0"/>
              <w:jc w:val="left"/>
              <w:rPr>
                <w:rFonts w:hint="default" w:ascii="Times New Roman" w:hAnsi="Times New Roman" w:eastAsia="仿宋_GB2312" w:cs="Times New Roman"/>
                <w:bCs/>
                <w:color w:val="auto"/>
                <w:szCs w:val="21"/>
              </w:rPr>
            </w:pPr>
          </w:p>
        </w:tc>
        <w:tc>
          <w:tcPr>
            <w:tcW w:w="1528" w:type="dxa"/>
            <w:tcBorders>
              <w:top w:val="single" w:color="000000" w:sz="4" w:space="0"/>
              <w:left w:val="single" w:color="000000" w:sz="4" w:space="0"/>
              <w:right w:val="single" w:color="000000" w:sz="4" w:space="0"/>
            </w:tcBorders>
            <w:noWrap w:val="0"/>
            <w:vAlign w:val="center"/>
          </w:tcPr>
          <w:p w14:paraId="69C418D6">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2.业务范围</w:t>
            </w:r>
          </w:p>
          <w:p w14:paraId="28AFEA79">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及出具证明</w:t>
            </w:r>
          </w:p>
        </w:tc>
        <w:tc>
          <w:tcPr>
            <w:tcW w:w="9446" w:type="dxa"/>
            <w:tcBorders>
              <w:top w:val="single" w:color="000000" w:sz="4" w:space="0"/>
              <w:left w:val="single" w:color="000000" w:sz="4" w:space="0"/>
              <w:right w:val="single" w:color="000000" w:sz="4" w:space="0"/>
            </w:tcBorders>
            <w:noWrap w:val="0"/>
            <w:vAlign w:val="center"/>
          </w:tcPr>
          <w:p w14:paraId="098F5DA9">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1.是否超出资质认可范围从事职业卫生或放射卫生技术服务；</w:t>
            </w:r>
          </w:p>
          <w:p w14:paraId="7D2F7840">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2.是否出具虚假的职业卫生或放射卫生技术报告或其他虚假证明文件。</w:t>
            </w:r>
          </w:p>
        </w:tc>
      </w:tr>
      <w:tr w14:paraId="56324A2A">
        <w:trPr>
          <w:trHeight w:val="2986" w:hRule="atLeast"/>
          <w:tblHeader/>
          <w:jc w:val="center"/>
        </w:trPr>
        <w:tc>
          <w:tcPr>
            <w:tcW w:w="940" w:type="dxa"/>
            <w:vMerge w:val="continue"/>
            <w:tcBorders>
              <w:left w:val="single" w:color="000000" w:sz="4" w:space="0"/>
              <w:right w:val="single" w:color="000000" w:sz="4" w:space="0"/>
            </w:tcBorders>
            <w:noWrap w:val="0"/>
            <w:vAlign w:val="center"/>
          </w:tcPr>
          <w:p w14:paraId="5A74F0BD">
            <w:pPr>
              <w:tabs>
                <w:tab w:val="left" w:pos="6660"/>
              </w:tabs>
              <w:adjustRightInd w:val="0"/>
              <w:snapToGrid w:val="0"/>
              <w:jc w:val="left"/>
              <w:rPr>
                <w:rFonts w:hint="default" w:ascii="Times New Roman" w:hAnsi="Times New Roman" w:eastAsia="仿宋_GB2312" w:cs="Times New Roman"/>
                <w:bCs/>
                <w:color w:val="auto"/>
                <w:szCs w:val="21"/>
              </w:rPr>
            </w:pPr>
          </w:p>
        </w:tc>
        <w:tc>
          <w:tcPr>
            <w:tcW w:w="2260" w:type="dxa"/>
            <w:vMerge w:val="continue"/>
            <w:tcBorders>
              <w:left w:val="single" w:color="000000" w:sz="4" w:space="0"/>
              <w:right w:val="single" w:color="000000" w:sz="4" w:space="0"/>
            </w:tcBorders>
            <w:noWrap w:val="0"/>
            <w:vAlign w:val="center"/>
          </w:tcPr>
          <w:p w14:paraId="5237A11F">
            <w:pPr>
              <w:tabs>
                <w:tab w:val="left" w:pos="6660"/>
              </w:tabs>
              <w:adjustRightInd w:val="0"/>
              <w:snapToGrid w:val="0"/>
              <w:jc w:val="left"/>
              <w:rPr>
                <w:rFonts w:hint="default" w:ascii="Times New Roman" w:hAnsi="Times New Roman" w:eastAsia="仿宋_GB2312" w:cs="Times New Roman"/>
                <w:bCs/>
                <w:color w:val="auto"/>
                <w:szCs w:val="21"/>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7B187D49">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3.技术服务相关工作要求</w:t>
            </w:r>
          </w:p>
        </w:tc>
        <w:tc>
          <w:tcPr>
            <w:tcW w:w="9446" w:type="dxa"/>
            <w:tcBorders>
              <w:top w:val="single" w:color="000000" w:sz="4" w:space="0"/>
              <w:left w:val="single" w:color="000000" w:sz="4" w:space="0"/>
              <w:bottom w:val="single" w:color="000000" w:sz="4" w:space="0"/>
              <w:right w:val="single" w:color="000000" w:sz="4" w:space="0"/>
            </w:tcBorders>
            <w:noWrap w:val="0"/>
            <w:vAlign w:val="center"/>
          </w:tcPr>
          <w:p w14:paraId="587854BC">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按照法律法规和标准规范的要求开展现场调查、职业病危害因素识别、现场采样、现场检测、样品管理、实验室分析、数据处理及应用、危害程度评价、防护措施及其效果评价、技术报告编制等职业卫生或放射卫生技术服务活动；</w:t>
            </w:r>
          </w:p>
          <w:p w14:paraId="2E16D7EA">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2.是否存在具备自行检测条件而委托其他机构检测的情形，是否存在委托检测的机构不具备技术服务机构资质</w:t>
            </w:r>
            <w:r>
              <w:rPr>
                <w:rFonts w:hint="default" w:ascii="Times New Roman" w:hAnsi="Times New Roman" w:eastAsia="仿宋_GB2312" w:cs="Times New Roman"/>
                <w:bCs/>
                <w:color w:val="auto"/>
                <w:szCs w:val="21"/>
                <w:lang w:eastAsia="zh-CN"/>
              </w:rPr>
              <w:t>或</w:t>
            </w:r>
            <w:r>
              <w:rPr>
                <w:rFonts w:hint="default" w:ascii="Times New Roman" w:hAnsi="Times New Roman" w:eastAsia="仿宋_GB2312" w:cs="Times New Roman"/>
                <w:bCs/>
                <w:color w:val="auto"/>
                <w:szCs w:val="21"/>
              </w:rPr>
              <w:t>相应检测能力的情形，是否存在委托其他机构实施样品现场采集和检测结果分析及应用等工作的情形；</w:t>
            </w:r>
          </w:p>
          <w:p w14:paraId="61C1550F">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3.是否以书面形式与用人单位明确技术服务内容、范围以及双方的</w:t>
            </w:r>
            <w:r>
              <w:rPr>
                <w:rFonts w:hint="default" w:ascii="Times New Roman" w:hAnsi="Times New Roman" w:eastAsia="仿宋_GB2312" w:cs="Times New Roman"/>
                <w:bCs/>
                <w:color w:val="auto"/>
                <w:szCs w:val="21"/>
                <w:lang w:eastAsia="zh-CN"/>
              </w:rPr>
              <w:t>权利义务</w:t>
            </w:r>
            <w:r>
              <w:rPr>
                <w:rFonts w:hint="default" w:ascii="Times New Roman" w:hAnsi="Times New Roman" w:eastAsia="仿宋_GB2312" w:cs="Times New Roman"/>
                <w:bCs/>
                <w:color w:val="auto"/>
                <w:szCs w:val="21"/>
              </w:rPr>
              <w:t>；</w:t>
            </w:r>
          </w:p>
          <w:p w14:paraId="174684EC">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4.是否转包职业卫生或放射卫生技术服务项目；</w:t>
            </w:r>
          </w:p>
          <w:p w14:paraId="2D45B6B1">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5.是否擅自更改、简化技术服务程序和相关内容；</w:t>
            </w:r>
          </w:p>
          <w:p w14:paraId="79384174">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6.是否按规定在网上公开职业卫生或放射卫生技术报告相关信息；</w:t>
            </w:r>
          </w:p>
          <w:p w14:paraId="252E38D7">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7.是否按规定向卫生健康主管部门报送职业卫生或放射卫生技术服务相关信息。</w:t>
            </w:r>
          </w:p>
        </w:tc>
      </w:tr>
      <w:tr w14:paraId="4B2A119C">
        <w:trPr>
          <w:trHeight w:val="1197" w:hRule="atLeast"/>
          <w:tblHeader/>
          <w:jc w:val="center"/>
        </w:trPr>
        <w:tc>
          <w:tcPr>
            <w:tcW w:w="940" w:type="dxa"/>
            <w:vMerge w:val="continue"/>
            <w:tcBorders>
              <w:left w:val="single" w:color="000000" w:sz="4" w:space="0"/>
              <w:right w:val="single" w:color="000000" w:sz="4" w:space="0"/>
            </w:tcBorders>
            <w:noWrap w:val="0"/>
            <w:vAlign w:val="center"/>
          </w:tcPr>
          <w:p w14:paraId="06ED99AC">
            <w:pPr>
              <w:tabs>
                <w:tab w:val="left" w:pos="6660"/>
              </w:tabs>
              <w:adjustRightInd w:val="0"/>
              <w:snapToGrid w:val="0"/>
              <w:jc w:val="left"/>
              <w:rPr>
                <w:rFonts w:hint="default" w:ascii="Times New Roman" w:hAnsi="Times New Roman" w:eastAsia="仿宋_GB2312" w:cs="Times New Roman"/>
                <w:bCs/>
                <w:color w:val="auto"/>
                <w:szCs w:val="21"/>
              </w:rPr>
            </w:pPr>
          </w:p>
        </w:tc>
        <w:tc>
          <w:tcPr>
            <w:tcW w:w="2260" w:type="dxa"/>
            <w:vMerge w:val="continue"/>
            <w:tcBorders>
              <w:left w:val="single" w:color="000000" w:sz="4" w:space="0"/>
              <w:right w:val="single" w:color="000000" w:sz="4" w:space="0"/>
            </w:tcBorders>
            <w:noWrap w:val="0"/>
            <w:vAlign w:val="center"/>
          </w:tcPr>
          <w:p w14:paraId="36583AAA">
            <w:pPr>
              <w:tabs>
                <w:tab w:val="left" w:pos="6660"/>
              </w:tabs>
              <w:adjustRightInd w:val="0"/>
              <w:snapToGrid w:val="0"/>
              <w:jc w:val="left"/>
              <w:rPr>
                <w:rFonts w:hint="default" w:ascii="Times New Roman" w:hAnsi="Times New Roman" w:eastAsia="仿宋_GB2312" w:cs="Times New Roman"/>
                <w:bCs/>
                <w:color w:val="auto"/>
                <w:szCs w:val="21"/>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564F2A2D">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4.专业技术人员管理</w:t>
            </w:r>
          </w:p>
        </w:tc>
        <w:tc>
          <w:tcPr>
            <w:tcW w:w="9446" w:type="dxa"/>
            <w:tcBorders>
              <w:top w:val="single" w:color="000000" w:sz="4" w:space="0"/>
              <w:left w:val="single" w:color="000000" w:sz="4" w:space="0"/>
              <w:bottom w:val="single" w:color="000000" w:sz="4" w:space="0"/>
              <w:right w:val="single" w:color="000000" w:sz="4" w:space="0"/>
            </w:tcBorders>
            <w:noWrap w:val="0"/>
            <w:vAlign w:val="center"/>
          </w:tcPr>
          <w:p w14:paraId="6544595E">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1.是否使用非本机构专业技术人员从事职业卫生或放射卫生技术服务活动；</w:t>
            </w:r>
          </w:p>
          <w:p w14:paraId="0533D1A0">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2.是否安排未达到技术评审考核评估要求的专业技术人员参与职业卫生服务；</w:t>
            </w:r>
          </w:p>
          <w:p w14:paraId="6B89A443">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3.是否在职业卫生或放射卫生技术服务报告或者有关原始记录上代替他人签字；</w:t>
            </w:r>
          </w:p>
          <w:p w14:paraId="3CE75D3C">
            <w:pPr>
              <w:tabs>
                <w:tab w:val="left" w:pos="6660"/>
              </w:tabs>
              <w:adjustRightInd w:val="0"/>
              <w:snapToGrid w:val="0"/>
              <w:jc w:val="lef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4.是否未参与相应技术服务事项而在技术报告或者有关原始记录上签字。</w:t>
            </w:r>
          </w:p>
        </w:tc>
      </w:tr>
    </w:tbl>
    <w:p w14:paraId="75E46B65">
      <w:pPr>
        <w:spacing w:line="590" w:lineRule="exact"/>
        <w:rPr>
          <w:rFonts w:hint="default" w:ascii="Times New Roman" w:hAnsi="Times New Roman" w:eastAsia="黑体" w:cs="Times New Roman"/>
          <w:color w:val="auto"/>
          <w:sz w:val="32"/>
          <w:szCs w:val="32"/>
        </w:rPr>
      </w:pPr>
    </w:p>
    <w:p w14:paraId="5B9AC02C">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4</w:t>
      </w:r>
    </w:p>
    <w:p w14:paraId="7B650F31">
      <w:pPr>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 xml:space="preserve">2025年职业卫生和放射卫生技术服务机构国家随机监督抽查汇总表 </w:t>
      </w:r>
    </w:p>
    <w:tbl>
      <w:tblPr>
        <w:tblStyle w:val="5"/>
        <w:tblW w:w="50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558"/>
        <w:gridCol w:w="546"/>
        <w:gridCol w:w="694"/>
        <w:gridCol w:w="1269"/>
        <w:gridCol w:w="1841"/>
        <w:gridCol w:w="1278"/>
        <w:gridCol w:w="1058"/>
        <w:gridCol w:w="1255"/>
        <w:gridCol w:w="1434"/>
        <w:gridCol w:w="994"/>
        <w:gridCol w:w="876"/>
        <w:gridCol w:w="937"/>
        <w:gridCol w:w="835"/>
      </w:tblGrid>
      <w:tr w14:paraId="7DE42990">
        <w:trPr>
          <w:trHeight w:val="863" w:hRule="atLeast"/>
        </w:trPr>
        <w:tc>
          <w:tcPr>
            <w:tcW w:w="303" w:type="pct"/>
            <w:vMerge w:val="restart"/>
            <w:tcBorders>
              <w:top w:val="single" w:color="auto" w:sz="4" w:space="0"/>
              <w:left w:val="single" w:color="auto" w:sz="4" w:space="0"/>
              <w:right w:val="single" w:color="auto" w:sz="4" w:space="0"/>
            </w:tcBorders>
            <w:noWrap w:val="0"/>
            <w:vAlign w:val="center"/>
          </w:tcPr>
          <w:p w14:paraId="3F4DD4A7">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监督检查对象</w:t>
            </w:r>
          </w:p>
        </w:tc>
        <w:tc>
          <w:tcPr>
            <w:tcW w:w="193" w:type="pct"/>
            <w:vMerge w:val="restart"/>
            <w:tcBorders>
              <w:top w:val="single" w:color="auto" w:sz="4" w:space="0"/>
              <w:left w:val="single" w:color="auto" w:sz="4" w:space="0"/>
              <w:bottom w:val="single" w:color="auto" w:sz="4" w:space="0"/>
              <w:right w:val="single" w:color="auto" w:sz="4" w:space="0"/>
            </w:tcBorders>
            <w:noWrap w:val="0"/>
            <w:vAlign w:val="center"/>
          </w:tcPr>
          <w:p w14:paraId="1D4EA298">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辖</w:t>
            </w:r>
          </w:p>
          <w:p w14:paraId="7D61D119">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区</w:t>
            </w:r>
          </w:p>
          <w:p w14:paraId="6E8F8A75">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w:t>
            </w:r>
          </w:p>
          <w:p w14:paraId="650C8E20">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位</w:t>
            </w:r>
          </w:p>
          <w:p w14:paraId="086CC68B">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数</w:t>
            </w:r>
          </w:p>
        </w:tc>
        <w:tc>
          <w:tcPr>
            <w:tcW w:w="189" w:type="pct"/>
            <w:vMerge w:val="restart"/>
            <w:tcBorders>
              <w:top w:val="single" w:color="auto" w:sz="4" w:space="0"/>
              <w:left w:val="nil"/>
              <w:bottom w:val="single" w:color="auto" w:sz="4" w:space="0"/>
              <w:right w:val="single" w:color="auto" w:sz="4" w:space="0"/>
            </w:tcBorders>
            <w:noWrap w:val="0"/>
            <w:vAlign w:val="center"/>
          </w:tcPr>
          <w:p w14:paraId="15ED0EE2">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抽</w:t>
            </w:r>
          </w:p>
          <w:p w14:paraId="5F42A50D">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查</w:t>
            </w:r>
          </w:p>
          <w:p w14:paraId="47FB7AA7">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单</w:t>
            </w:r>
          </w:p>
          <w:p w14:paraId="7D06DE02">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位</w:t>
            </w:r>
          </w:p>
          <w:p w14:paraId="15171AC9">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数</w:t>
            </w:r>
          </w:p>
        </w:tc>
        <w:tc>
          <w:tcPr>
            <w:tcW w:w="240" w:type="pct"/>
            <w:vMerge w:val="restart"/>
            <w:tcBorders>
              <w:top w:val="single" w:color="auto" w:sz="4" w:space="0"/>
              <w:left w:val="nil"/>
              <w:right w:val="single" w:color="auto" w:sz="4" w:space="0"/>
            </w:tcBorders>
            <w:noWrap w:val="0"/>
            <w:vAlign w:val="center"/>
          </w:tcPr>
          <w:p w14:paraId="065DD8AA">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rPr>
              <w:t>不合格单位数</w:t>
            </w:r>
          </w:p>
        </w:tc>
        <w:tc>
          <w:tcPr>
            <w:tcW w:w="2814" w:type="pct"/>
            <w:gridSpan w:val="6"/>
            <w:tcBorders>
              <w:top w:val="single" w:color="auto" w:sz="4" w:space="0"/>
              <w:left w:val="nil"/>
              <w:bottom w:val="single" w:color="auto" w:sz="4" w:space="0"/>
              <w:right w:val="single" w:color="auto" w:sz="4" w:space="0"/>
            </w:tcBorders>
            <w:noWrap w:val="0"/>
            <w:vAlign w:val="center"/>
          </w:tcPr>
          <w:p w14:paraId="3A69AADA">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不合格情况</w:t>
            </w:r>
          </w:p>
        </w:tc>
        <w:tc>
          <w:tcPr>
            <w:tcW w:w="1260" w:type="pct"/>
            <w:gridSpan w:val="4"/>
            <w:tcBorders>
              <w:top w:val="single" w:color="auto" w:sz="4" w:space="0"/>
              <w:left w:val="nil"/>
              <w:bottom w:val="single" w:color="auto" w:sz="4" w:space="0"/>
              <w:right w:val="single" w:color="auto" w:sz="4" w:space="0"/>
            </w:tcBorders>
            <w:noWrap w:val="0"/>
            <w:vAlign w:val="center"/>
          </w:tcPr>
          <w:p w14:paraId="403BAD1D">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行政处罚情况</w:t>
            </w:r>
          </w:p>
        </w:tc>
      </w:tr>
      <w:tr w14:paraId="56B1793F">
        <w:trPr>
          <w:trHeight w:val="1411" w:hRule="atLeast"/>
        </w:trPr>
        <w:tc>
          <w:tcPr>
            <w:tcW w:w="303" w:type="pct"/>
            <w:vMerge w:val="continue"/>
            <w:tcBorders>
              <w:left w:val="single" w:color="auto" w:sz="4" w:space="0"/>
              <w:right w:val="single" w:color="auto" w:sz="4" w:space="0"/>
            </w:tcBorders>
            <w:noWrap w:val="0"/>
            <w:vAlign w:val="center"/>
          </w:tcPr>
          <w:p w14:paraId="271D5F96">
            <w:pPr>
              <w:jc w:val="center"/>
              <w:rPr>
                <w:rFonts w:hint="default" w:ascii="Times New Roman" w:hAnsi="Times New Roman" w:eastAsia="仿宋_GB2312" w:cs="Times New Roman"/>
                <w:color w:val="auto"/>
                <w:sz w:val="32"/>
              </w:rPr>
            </w:pPr>
          </w:p>
        </w:tc>
        <w:tc>
          <w:tcPr>
            <w:tcW w:w="193" w:type="pct"/>
            <w:vMerge w:val="continue"/>
            <w:tcBorders>
              <w:top w:val="single" w:color="auto" w:sz="4" w:space="0"/>
              <w:left w:val="single" w:color="auto" w:sz="4" w:space="0"/>
              <w:bottom w:val="single" w:color="auto" w:sz="4" w:space="0"/>
              <w:right w:val="single" w:color="auto" w:sz="4" w:space="0"/>
            </w:tcBorders>
            <w:noWrap w:val="0"/>
            <w:vAlign w:val="center"/>
          </w:tcPr>
          <w:p w14:paraId="17A752A9">
            <w:pPr>
              <w:jc w:val="center"/>
              <w:rPr>
                <w:rFonts w:hint="default" w:ascii="Times New Roman" w:hAnsi="Times New Roman" w:eastAsia="仿宋_GB2312" w:cs="Times New Roman"/>
                <w:color w:val="auto"/>
                <w:sz w:val="32"/>
              </w:rPr>
            </w:pPr>
          </w:p>
        </w:tc>
        <w:tc>
          <w:tcPr>
            <w:tcW w:w="189" w:type="pct"/>
            <w:vMerge w:val="continue"/>
            <w:tcBorders>
              <w:top w:val="single" w:color="auto" w:sz="4" w:space="0"/>
              <w:left w:val="nil"/>
              <w:bottom w:val="single" w:color="auto" w:sz="4" w:space="0"/>
              <w:right w:val="single" w:color="auto" w:sz="4" w:space="0"/>
            </w:tcBorders>
            <w:noWrap w:val="0"/>
            <w:vAlign w:val="center"/>
          </w:tcPr>
          <w:p w14:paraId="08D8FE3A">
            <w:pPr>
              <w:jc w:val="center"/>
              <w:rPr>
                <w:rFonts w:hint="default" w:ascii="Times New Roman" w:hAnsi="Times New Roman" w:eastAsia="仿宋_GB2312" w:cs="Times New Roman"/>
                <w:color w:val="auto"/>
                <w:sz w:val="32"/>
              </w:rPr>
            </w:pPr>
          </w:p>
        </w:tc>
        <w:tc>
          <w:tcPr>
            <w:tcW w:w="240" w:type="pct"/>
            <w:vMerge w:val="continue"/>
            <w:tcBorders>
              <w:left w:val="nil"/>
              <w:right w:val="single" w:color="auto" w:sz="4" w:space="0"/>
            </w:tcBorders>
            <w:noWrap w:val="0"/>
            <w:vAlign w:val="center"/>
          </w:tcPr>
          <w:p w14:paraId="41D8D5B1">
            <w:pPr>
              <w:adjustRightInd w:val="0"/>
              <w:snapToGrid w:val="0"/>
              <w:ind w:left="-42" w:leftChars="-20" w:right="-42" w:rightChars="-20"/>
              <w:jc w:val="center"/>
              <w:rPr>
                <w:rFonts w:hint="default" w:ascii="Times New Roman" w:hAnsi="Times New Roman" w:eastAsia="仿宋_GB2312" w:cs="Times New Roman"/>
                <w:color w:val="auto"/>
                <w:kern w:val="0"/>
                <w:szCs w:val="21"/>
                <w:lang w:bidi="ar"/>
              </w:rPr>
            </w:pPr>
          </w:p>
        </w:tc>
        <w:tc>
          <w:tcPr>
            <w:tcW w:w="1076" w:type="pct"/>
            <w:gridSpan w:val="2"/>
            <w:tcBorders>
              <w:top w:val="single" w:color="auto" w:sz="4" w:space="0"/>
              <w:left w:val="nil"/>
              <w:bottom w:val="single" w:color="auto" w:sz="4" w:space="0"/>
              <w:right w:val="single" w:color="auto" w:sz="4" w:space="0"/>
            </w:tcBorders>
            <w:noWrap w:val="0"/>
            <w:vAlign w:val="center"/>
          </w:tcPr>
          <w:p w14:paraId="0FACEC99">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资质证书</w:t>
            </w:r>
          </w:p>
        </w:tc>
        <w:tc>
          <w:tcPr>
            <w:tcW w:w="1738" w:type="pct"/>
            <w:gridSpan w:val="4"/>
            <w:tcBorders>
              <w:top w:val="single" w:color="auto" w:sz="4" w:space="0"/>
              <w:left w:val="nil"/>
              <w:bottom w:val="single" w:color="auto" w:sz="4" w:space="0"/>
              <w:right w:val="single" w:color="auto" w:sz="4" w:space="0"/>
            </w:tcBorders>
            <w:noWrap w:val="0"/>
            <w:vAlign w:val="center"/>
          </w:tcPr>
          <w:p w14:paraId="3513FADC">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技术服务规范性</w:t>
            </w:r>
          </w:p>
        </w:tc>
        <w:tc>
          <w:tcPr>
            <w:tcW w:w="344" w:type="pct"/>
            <w:tcBorders>
              <w:top w:val="single" w:color="auto" w:sz="4" w:space="0"/>
              <w:left w:val="nil"/>
              <w:right w:val="single" w:color="auto" w:sz="4" w:space="0"/>
            </w:tcBorders>
            <w:noWrap w:val="0"/>
            <w:vAlign w:val="center"/>
          </w:tcPr>
          <w:p w14:paraId="58436F9B">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案件查处数</w:t>
            </w:r>
          </w:p>
        </w:tc>
        <w:tc>
          <w:tcPr>
            <w:tcW w:w="303" w:type="pct"/>
            <w:tcBorders>
              <w:top w:val="single" w:color="auto" w:sz="4" w:space="0"/>
              <w:left w:val="nil"/>
              <w:right w:val="single" w:color="auto" w:sz="4" w:space="0"/>
            </w:tcBorders>
            <w:noWrap w:val="0"/>
            <w:vAlign w:val="center"/>
          </w:tcPr>
          <w:p w14:paraId="4917FC0C">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警告</w:t>
            </w:r>
          </w:p>
          <w:p w14:paraId="1982FD35">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单位数</w:t>
            </w:r>
          </w:p>
        </w:tc>
        <w:tc>
          <w:tcPr>
            <w:tcW w:w="324" w:type="pct"/>
            <w:tcBorders>
              <w:top w:val="single" w:color="auto" w:sz="4" w:space="0"/>
              <w:left w:val="nil"/>
              <w:right w:val="single" w:color="auto" w:sz="4" w:space="0"/>
            </w:tcBorders>
            <w:noWrap w:val="0"/>
            <w:vAlign w:val="center"/>
          </w:tcPr>
          <w:p w14:paraId="60FCB9E0">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罚款</w:t>
            </w:r>
          </w:p>
          <w:p w14:paraId="65474F16">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eastAsia="zh-CN" w:bidi="ar"/>
              </w:rPr>
              <w:t>（</w:t>
            </w:r>
            <w:r>
              <w:rPr>
                <w:rFonts w:hint="default" w:ascii="Times New Roman" w:hAnsi="Times New Roman" w:eastAsia="仿宋_GB2312" w:cs="Times New Roman"/>
                <w:color w:val="auto"/>
                <w:kern w:val="0"/>
                <w:szCs w:val="21"/>
                <w:lang w:bidi="ar"/>
              </w:rPr>
              <w:t>万元）</w:t>
            </w:r>
          </w:p>
        </w:tc>
        <w:tc>
          <w:tcPr>
            <w:tcW w:w="288" w:type="pct"/>
            <w:tcBorders>
              <w:top w:val="single" w:color="auto" w:sz="4" w:space="0"/>
              <w:left w:val="nil"/>
              <w:right w:val="single" w:color="auto" w:sz="4" w:space="0"/>
            </w:tcBorders>
            <w:noWrap w:val="0"/>
            <w:vAlign w:val="center"/>
          </w:tcPr>
          <w:p w14:paraId="3748E897">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没收</w:t>
            </w:r>
          </w:p>
          <w:p w14:paraId="5F982AD5">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违法</w:t>
            </w:r>
          </w:p>
          <w:p w14:paraId="134B6396">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所得</w:t>
            </w:r>
          </w:p>
          <w:p w14:paraId="7FD6E6EE">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eastAsia="zh-CN" w:bidi="ar"/>
              </w:rPr>
              <w:t>（</w:t>
            </w:r>
            <w:r>
              <w:rPr>
                <w:rFonts w:hint="default" w:ascii="Times New Roman" w:hAnsi="Times New Roman" w:eastAsia="仿宋_GB2312" w:cs="Times New Roman"/>
                <w:color w:val="auto"/>
                <w:kern w:val="0"/>
                <w:szCs w:val="21"/>
                <w:lang w:bidi="ar"/>
              </w:rPr>
              <w:t>万元）</w:t>
            </w:r>
          </w:p>
        </w:tc>
      </w:tr>
      <w:tr w14:paraId="2BF05D70">
        <w:trPr>
          <w:trHeight w:val="1110" w:hRule="atLeast"/>
        </w:trPr>
        <w:tc>
          <w:tcPr>
            <w:tcW w:w="303" w:type="pct"/>
            <w:vMerge w:val="continue"/>
            <w:tcBorders>
              <w:left w:val="single" w:color="auto" w:sz="4" w:space="0"/>
              <w:bottom w:val="single" w:color="auto" w:sz="4" w:space="0"/>
              <w:right w:val="single" w:color="auto" w:sz="4" w:space="0"/>
            </w:tcBorders>
            <w:noWrap w:val="0"/>
            <w:vAlign w:val="center"/>
          </w:tcPr>
          <w:p w14:paraId="29EE9FA1">
            <w:pPr>
              <w:jc w:val="center"/>
              <w:rPr>
                <w:rFonts w:hint="default" w:ascii="Times New Roman" w:hAnsi="Times New Roman" w:eastAsia="仿宋_GB2312" w:cs="Times New Roman"/>
                <w:color w:val="auto"/>
                <w:sz w:val="32"/>
              </w:rPr>
            </w:pPr>
          </w:p>
        </w:tc>
        <w:tc>
          <w:tcPr>
            <w:tcW w:w="193" w:type="pct"/>
            <w:vMerge w:val="continue"/>
            <w:tcBorders>
              <w:top w:val="single" w:color="auto" w:sz="4" w:space="0"/>
              <w:left w:val="single" w:color="auto" w:sz="4" w:space="0"/>
              <w:bottom w:val="single" w:color="auto" w:sz="4" w:space="0"/>
              <w:right w:val="single" w:color="auto" w:sz="4" w:space="0"/>
            </w:tcBorders>
            <w:noWrap w:val="0"/>
            <w:vAlign w:val="center"/>
          </w:tcPr>
          <w:p w14:paraId="0A45EE20">
            <w:pPr>
              <w:jc w:val="center"/>
              <w:rPr>
                <w:rFonts w:hint="default" w:ascii="Times New Roman" w:hAnsi="Times New Roman" w:eastAsia="仿宋_GB2312" w:cs="Times New Roman"/>
                <w:color w:val="auto"/>
                <w:sz w:val="32"/>
              </w:rPr>
            </w:pPr>
          </w:p>
        </w:tc>
        <w:tc>
          <w:tcPr>
            <w:tcW w:w="189" w:type="pct"/>
            <w:vMerge w:val="continue"/>
            <w:tcBorders>
              <w:top w:val="single" w:color="auto" w:sz="4" w:space="0"/>
              <w:left w:val="nil"/>
              <w:bottom w:val="single" w:color="auto" w:sz="4" w:space="0"/>
              <w:right w:val="single" w:color="auto" w:sz="4" w:space="0"/>
            </w:tcBorders>
            <w:noWrap w:val="0"/>
            <w:vAlign w:val="center"/>
          </w:tcPr>
          <w:p w14:paraId="3185DD5A">
            <w:pPr>
              <w:jc w:val="center"/>
              <w:rPr>
                <w:rFonts w:hint="default" w:ascii="Times New Roman" w:hAnsi="Times New Roman" w:eastAsia="仿宋_GB2312" w:cs="Times New Roman"/>
                <w:color w:val="auto"/>
                <w:sz w:val="32"/>
              </w:rPr>
            </w:pPr>
          </w:p>
        </w:tc>
        <w:tc>
          <w:tcPr>
            <w:tcW w:w="240" w:type="pct"/>
            <w:vMerge w:val="continue"/>
            <w:tcBorders>
              <w:left w:val="nil"/>
              <w:bottom w:val="single" w:color="auto" w:sz="4" w:space="0"/>
              <w:right w:val="single" w:color="auto" w:sz="4" w:space="0"/>
            </w:tcBorders>
            <w:noWrap w:val="0"/>
            <w:vAlign w:val="center"/>
          </w:tcPr>
          <w:p w14:paraId="23562F28">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p>
        </w:tc>
        <w:tc>
          <w:tcPr>
            <w:tcW w:w="439" w:type="pct"/>
            <w:tcBorders>
              <w:top w:val="single" w:color="auto" w:sz="4" w:space="0"/>
              <w:left w:val="nil"/>
              <w:bottom w:val="single" w:color="auto" w:sz="4" w:space="0"/>
              <w:right w:val="single" w:color="auto" w:sz="4" w:space="0"/>
            </w:tcBorders>
            <w:noWrap w:val="0"/>
            <w:vAlign w:val="center"/>
          </w:tcPr>
          <w:p w14:paraId="7CF82BF0">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无资质擅自从事检测、评价服务单位数</w:t>
            </w:r>
          </w:p>
        </w:tc>
        <w:tc>
          <w:tcPr>
            <w:tcW w:w="636" w:type="pct"/>
            <w:tcBorders>
              <w:top w:val="single" w:color="auto" w:sz="4" w:space="0"/>
              <w:left w:val="nil"/>
              <w:bottom w:val="single" w:color="auto" w:sz="4" w:space="0"/>
              <w:right w:val="single" w:color="auto" w:sz="4" w:space="0"/>
            </w:tcBorders>
            <w:noWrap w:val="0"/>
            <w:vAlign w:val="center"/>
          </w:tcPr>
          <w:p w14:paraId="4F70D662">
            <w:pPr>
              <w:spacing w:line="300" w:lineRule="exac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kern w:val="0"/>
                <w:szCs w:val="21"/>
                <w:lang w:bidi="ar"/>
              </w:rPr>
              <w:t>涂改、倒卖、出租、出借或其他形式非法转让资质证书单位数</w:t>
            </w:r>
          </w:p>
        </w:tc>
        <w:tc>
          <w:tcPr>
            <w:tcW w:w="442" w:type="pct"/>
            <w:tcBorders>
              <w:top w:val="single" w:color="auto" w:sz="4" w:space="0"/>
              <w:left w:val="nil"/>
              <w:bottom w:val="single" w:color="auto" w:sz="4" w:space="0"/>
              <w:right w:val="single" w:color="auto" w:sz="4" w:space="0"/>
            </w:tcBorders>
            <w:noWrap w:val="0"/>
            <w:vAlign w:val="center"/>
          </w:tcPr>
          <w:p w14:paraId="6297B5E7">
            <w:pPr>
              <w:adjustRightInd w:val="0"/>
              <w:snapToGrid w:val="0"/>
              <w:ind w:left="-105" w:leftChars="-50" w:right="-105" w:rightChars="-5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超出资质认可范围从事技术服务单位数</w:t>
            </w:r>
          </w:p>
        </w:tc>
        <w:tc>
          <w:tcPr>
            <w:tcW w:w="366" w:type="pct"/>
            <w:tcBorders>
              <w:top w:val="single" w:color="auto" w:sz="4" w:space="0"/>
              <w:left w:val="nil"/>
              <w:bottom w:val="single" w:color="auto" w:sz="4" w:space="0"/>
              <w:right w:val="single" w:color="auto" w:sz="4" w:space="0"/>
            </w:tcBorders>
            <w:noWrap w:val="0"/>
            <w:vAlign w:val="center"/>
          </w:tcPr>
          <w:p w14:paraId="29DCF796">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出具虚假证明文件单位数</w:t>
            </w:r>
          </w:p>
        </w:tc>
        <w:tc>
          <w:tcPr>
            <w:tcW w:w="434" w:type="pct"/>
            <w:tcBorders>
              <w:top w:val="single" w:color="auto" w:sz="4" w:space="0"/>
              <w:left w:val="nil"/>
              <w:bottom w:val="single" w:color="auto" w:sz="4" w:space="0"/>
              <w:right w:val="single" w:color="auto" w:sz="4" w:space="0"/>
            </w:tcBorders>
            <w:noWrap w:val="0"/>
            <w:vAlign w:val="center"/>
          </w:tcPr>
          <w:p w14:paraId="6457611E">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不符合技术服务相关工作要求单位数</w:t>
            </w:r>
          </w:p>
        </w:tc>
        <w:tc>
          <w:tcPr>
            <w:tcW w:w="495" w:type="pct"/>
            <w:tcBorders>
              <w:top w:val="single" w:color="auto" w:sz="4" w:space="0"/>
              <w:left w:val="nil"/>
              <w:bottom w:val="single" w:color="auto" w:sz="4" w:space="0"/>
              <w:right w:val="single" w:color="auto" w:sz="4" w:space="0"/>
            </w:tcBorders>
            <w:noWrap w:val="0"/>
            <w:vAlign w:val="center"/>
          </w:tcPr>
          <w:p w14:paraId="7E43BFE9">
            <w:pPr>
              <w:adjustRightInd w:val="0"/>
              <w:snapToGrid w:val="0"/>
              <w:ind w:left="-42" w:leftChars="-20" w:right="-42" w:rightChars="-20"/>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bidi="ar"/>
              </w:rPr>
              <w:t>不符合专业技术人员管理要求单位数</w:t>
            </w:r>
          </w:p>
        </w:tc>
        <w:tc>
          <w:tcPr>
            <w:tcW w:w="344" w:type="pct"/>
            <w:tcBorders>
              <w:left w:val="nil"/>
              <w:bottom w:val="single" w:color="auto" w:sz="4" w:space="0"/>
              <w:right w:val="single" w:color="auto" w:sz="4" w:space="0"/>
            </w:tcBorders>
            <w:noWrap w:val="0"/>
            <w:vAlign w:val="center"/>
          </w:tcPr>
          <w:p w14:paraId="5B9CB2AF">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03" w:type="pct"/>
            <w:tcBorders>
              <w:left w:val="nil"/>
              <w:bottom w:val="single" w:color="auto" w:sz="4" w:space="0"/>
              <w:right w:val="single" w:color="auto" w:sz="4" w:space="0"/>
            </w:tcBorders>
            <w:noWrap w:val="0"/>
            <w:vAlign w:val="center"/>
          </w:tcPr>
          <w:p w14:paraId="0CD7FF6B">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24" w:type="pct"/>
            <w:tcBorders>
              <w:left w:val="nil"/>
              <w:bottom w:val="single" w:color="auto" w:sz="4" w:space="0"/>
              <w:right w:val="single" w:color="auto" w:sz="4" w:space="0"/>
            </w:tcBorders>
            <w:noWrap w:val="0"/>
            <w:vAlign w:val="center"/>
          </w:tcPr>
          <w:p w14:paraId="028CEAE8">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288" w:type="pct"/>
            <w:tcBorders>
              <w:left w:val="nil"/>
              <w:bottom w:val="single" w:color="auto" w:sz="4" w:space="0"/>
              <w:right w:val="single" w:color="auto" w:sz="4" w:space="0"/>
            </w:tcBorders>
            <w:noWrap w:val="0"/>
            <w:vAlign w:val="center"/>
          </w:tcPr>
          <w:p w14:paraId="50935BA5">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r>
      <w:tr w14:paraId="2BB5B079">
        <w:trPr>
          <w:trHeight w:val="1033"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8501BE5">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职业卫生技术服务机构</w:t>
            </w:r>
          </w:p>
        </w:tc>
        <w:tc>
          <w:tcPr>
            <w:tcW w:w="193" w:type="pct"/>
            <w:tcBorders>
              <w:top w:val="single" w:color="auto" w:sz="4" w:space="0"/>
              <w:left w:val="single" w:color="auto" w:sz="4" w:space="0"/>
              <w:bottom w:val="single" w:color="auto" w:sz="4" w:space="0"/>
              <w:right w:val="single" w:color="auto" w:sz="4" w:space="0"/>
            </w:tcBorders>
            <w:noWrap w:val="0"/>
            <w:vAlign w:val="center"/>
          </w:tcPr>
          <w:p w14:paraId="7AFB4602">
            <w:pPr>
              <w:adjustRightInd w:val="0"/>
              <w:snapToGrid w:val="0"/>
              <w:ind w:left="-42" w:leftChars="-20" w:right="-42" w:rightChars="-20"/>
              <w:jc w:val="center"/>
              <w:rPr>
                <w:rFonts w:hint="default" w:ascii="Times New Roman" w:hAnsi="Times New Roman" w:eastAsia="仿宋_GB2312" w:cs="Times New Roman"/>
                <w:color w:val="auto"/>
                <w:sz w:val="32"/>
              </w:rPr>
            </w:pPr>
          </w:p>
        </w:tc>
        <w:tc>
          <w:tcPr>
            <w:tcW w:w="189" w:type="pct"/>
            <w:tcBorders>
              <w:top w:val="single" w:color="auto" w:sz="4" w:space="0"/>
              <w:left w:val="nil"/>
              <w:bottom w:val="single" w:color="auto" w:sz="4" w:space="0"/>
              <w:right w:val="single" w:color="auto" w:sz="4" w:space="0"/>
            </w:tcBorders>
            <w:noWrap w:val="0"/>
            <w:vAlign w:val="top"/>
          </w:tcPr>
          <w:p w14:paraId="312A88B2">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240" w:type="pct"/>
            <w:tcBorders>
              <w:top w:val="single" w:color="auto" w:sz="4" w:space="0"/>
              <w:left w:val="nil"/>
              <w:bottom w:val="single" w:color="auto" w:sz="4" w:space="0"/>
              <w:right w:val="single" w:color="auto" w:sz="4" w:space="0"/>
            </w:tcBorders>
            <w:noWrap w:val="0"/>
            <w:vAlign w:val="center"/>
          </w:tcPr>
          <w:p w14:paraId="1325481E">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39" w:type="pct"/>
            <w:tcBorders>
              <w:top w:val="single" w:color="auto" w:sz="4" w:space="0"/>
              <w:left w:val="nil"/>
              <w:bottom w:val="single" w:color="auto" w:sz="4" w:space="0"/>
              <w:right w:val="single" w:color="auto" w:sz="4" w:space="0"/>
            </w:tcBorders>
            <w:noWrap w:val="0"/>
            <w:vAlign w:val="center"/>
          </w:tcPr>
          <w:p w14:paraId="7C555791">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636" w:type="pct"/>
            <w:tcBorders>
              <w:top w:val="single" w:color="auto" w:sz="4" w:space="0"/>
              <w:left w:val="nil"/>
              <w:bottom w:val="single" w:color="auto" w:sz="4" w:space="0"/>
              <w:right w:val="single" w:color="auto" w:sz="4" w:space="0"/>
            </w:tcBorders>
            <w:noWrap w:val="0"/>
            <w:vAlign w:val="center"/>
          </w:tcPr>
          <w:p w14:paraId="20B259DB">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42" w:type="pct"/>
            <w:tcBorders>
              <w:top w:val="single" w:color="auto" w:sz="4" w:space="0"/>
              <w:left w:val="nil"/>
              <w:bottom w:val="single" w:color="auto" w:sz="4" w:space="0"/>
              <w:right w:val="single" w:color="auto" w:sz="4" w:space="0"/>
            </w:tcBorders>
            <w:noWrap w:val="0"/>
            <w:vAlign w:val="center"/>
          </w:tcPr>
          <w:p w14:paraId="3E02E833">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66" w:type="pct"/>
            <w:tcBorders>
              <w:top w:val="single" w:color="auto" w:sz="4" w:space="0"/>
              <w:left w:val="nil"/>
              <w:bottom w:val="single" w:color="auto" w:sz="4" w:space="0"/>
              <w:right w:val="single" w:color="auto" w:sz="4" w:space="0"/>
            </w:tcBorders>
            <w:noWrap w:val="0"/>
            <w:vAlign w:val="top"/>
          </w:tcPr>
          <w:p w14:paraId="3516B5DB">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34" w:type="pct"/>
            <w:tcBorders>
              <w:top w:val="single" w:color="auto" w:sz="4" w:space="0"/>
              <w:left w:val="nil"/>
              <w:bottom w:val="single" w:color="auto" w:sz="4" w:space="0"/>
              <w:right w:val="single" w:color="auto" w:sz="4" w:space="0"/>
            </w:tcBorders>
            <w:noWrap w:val="0"/>
            <w:vAlign w:val="top"/>
          </w:tcPr>
          <w:p w14:paraId="25B789A8">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95" w:type="pct"/>
            <w:tcBorders>
              <w:top w:val="single" w:color="auto" w:sz="4" w:space="0"/>
              <w:left w:val="nil"/>
              <w:bottom w:val="single" w:color="auto" w:sz="4" w:space="0"/>
              <w:right w:val="single" w:color="auto" w:sz="4" w:space="0"/>
            </w:tcBorders>
            <w:noWrap w:val="0"/>
            <w:vAlign w:val="top"/>
          </w:tcPr>
          <w:p w14:paraId="10328D84">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44" w:type="pct"/>
            <w:tcBorders>
              <w:top w:val="single" w:color="auto" w:sz="4" w:space="0"/>
              <w:left w:val="nil"/>
              <w:bottom w:val="single" w:color="auto" w:sz="4" w:space="0"/>
              <w:right w:val="single" w:color="auto" w:sz="4" w:space="0"/>
            </w:tcBorders>
            <w:noWrap w:val="0"/>
            <w:vAlign w:val="top"/>
          </w:tcPr>
          <w:p w14:paraId="286A5C20">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03" w:type="pct"/>
            <w:tcBorders>
              <w:top w:val="single" w:color="auto" w:sz="4" w:space="0"/>
              <w:left w:val="nil"/>
              <w:bottom w:val="single" w:color="auto" w:sz="4" w:space="0"/>
              <w:right w:val="single" w:color="auto" w:sz="4" w:space="0"/>
            </w:tcBorders>
            <w:noWrap w:val="0"/>
            <w:vAlign w:val="top"/>
          </w:tcPr>
          <w:p w14:paraId="0ED982A8">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24" w:type="pct"/>
            <w:tcBorders>
              <w:top w:val="single" w:color="auto" w:sz="4" w:space="0"/>
              <w:left w:val="nil"/>
              <w:bottom w:val="single" w:color="auto" w:sz="4" w:space="0"/>
              <w:right w:val="single" w:color="auto" w:sz="4" w:space="0"/>
            </w:tcBorders>
            <w:noWrap w:val="0"/>
            <w:vAlign w:val="top"/>
          </w:tcPr>
          <w:p w14:paraId="01396F12">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288" w:type="pct"/>
            <w:tcBorders>
              <w:top w:val="single" w:color="auto" w:sz="4" w:space="0"/>
              <w:left w:val="nil"/>
              <w:bottom w:val="single" w:color="auto" w:sz="4" w:space="0"/>
              <w:right w:val="single" w:color="auto" w:sz="4" w:space="0"/>
            </w:tcBorders>
            <w:noWrap w:val="0"/>
            <w:vAlign w:val="center"/>
          </w:tcPr>
          <w:p w14:paraId="2B809FC1">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r>
      <w:tr w14:paraId="000E23E9">
        <w:trPr>
          <w:trHeight w:val="866"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2D89F3D">
            <w:pPr>
              <w:adjustRightInd w:val="0"/>
              <w:snapToGrid w:val="0"/>
              <w:ind w:left="-105" w:leftChars="-50" w:right="-105" w:rightChars="-50"/>
              <w:jc w:val="center"/>
              <w:rPr>
                <w:rFonts w:hint="default" w:ascii="Times New Roman" w:hAnsi="Times New Roman" w:eastAsia="仿宋_GB2312" w:cs="Times New Roman"/>
                <w:color w:val="auto"/>
                <w:kern w:val="0"/>
                <w:szCs w:val="21"/>
                <w:lang w:bidi="ar"/>
              </w:rPr>
            </w:pPr>
            <w:r>
              <w:rPr>
                <w:rFonts w:hint="default" w:ascii="Times New Roman" w:hAnsi="Times New Roman" w:eastAsia="仿宋_GB2312" w:cs="Times New Roman"/>
                <w:color w:val="auto"/>
                <w:kern w:val="0"/>
                <w:szCs w:val="21"/>
                <w:lang w:bidi="ar"/>
              </w:rPr>
              <w:t>放射卫生技术服务机构</w:t>
            </w:r>
          </w:p>
        </w:tc>
        <w:tc>
          <w:tcPr>
            <w:tcW w:w="193" w:type="pct"/>
            <w:tcBorders>
              <w:top w:val="single" w:color="auto" w:sz="4" w:space="0"/>
              <w:left w:val="single" w:color="auto" w:sz="4" w:space="0"/>
              <w:bottom w:val="single" w:color="auto" w:sz="4" w:space="0"/>
              <w:right w:val="single" w:color="auto" w:sz="4" w:space="0"/>
            </w:tcBorders>
            <w:noWrap w:val="0"/>
            <w:vAlign w:val="center"/>
          </w:tcPr>
          <w:p w14:paraId="4593C362">
            <w:pPr>
              <w:adjustRightInd w:val="0"/>
              <w:snapToGrid w:val="0"/>
              <w:ind w:left="-42" w:leftChars="-20" w:right="-42" w:rightChars="-20"/>
              <w:jc w:val="center"/>
              <w:rPr>
                <w:rFonts w:hint="default" w:ascii="Times New Roman" w:hAnsi="Times New Roman" w:eastAsia="仿宋_GB2312" w:cs="Times New Roman"/>
                <w:color w:val="auto"/>
                <w:sz w:val="32"/>
              </w:rPr>
            </w:pPr>
          </w:p>
        </w:tc>
        <w:tc>
          <w:tcPr>
            <w:tcW w:w="189" w:type="pct"/>
            <w:tcBorders>
              <w:top w:val="single" w:color="auto" w:sz="4" w:space="0"/>
              <w:left w:val="nil"/>
              <w:bottom w:val="single" w:color="auto" w:sz="4" w:space="0"/>
              <w:right w:val="single" w:color="auto" w:sz="4" w:space="0"/>
            </w:tcBorders>
            <w:noWrap w:val="0"/>
            <w:vAlign w:val="top"/>
          </w:tcPr>
          <w:p w14:paraId="580209B2">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240" w:type="pct"/>
            <w:tcBorders>
              <w:top w:val="single" w:color="auto" w:sz="4" w:space="0"/>
              <w:left w:val="nil"/>
              <w:bottom w:val="single" w:color="auto" w:sz="4" w:space="0"/>
              <w:right w:val="single" w:color="auto" w:sz="4" w:space="0"/>
            </w:tcBorders>
            <w:noWrap w:val="0"/>
            <w:vAlign w:val="center"/>
          </w:tcPr>
          <w:p w14:paraId="0EC7295C">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39" w:type="pct"/>
            <w:tcBorders>
              <w:top w:val="single" w:color="auto" w:sz="4" w:space="0"/>
              <w:left w:val="nil"/>
              <w:bottom w:val="single" w:color="auto" w:sz="4" w:space="0"/>
              <w:right w:val="single" w:color="auto" w:sz="4" w:space="0"/>
            </w:tcBorders>
            <w:noWrap w:val="0"/>
            <w:vAlign w:val="center"/>
          </w:tcPr>
          <w:p w14:paraId="1C222A8D">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636" w:type="pct"/>
            <w:tcBorders>
              <w:top w:val="single" w:color="auto" w:sz="4" w:space="0"/>
              <w:left w:val="nil"/>
              <w:bottom w:val="single" w:color="auto" w:sz="4" w:space="0"/>
              <w:right w:val="single" w:color="auto" w:sz="4" w:space="0"/>
            </w:tcBorders>
            <w:noWrap w:val="0"/>
            <w:vAlign w:val="center"/>
          </w:tcPr>
          <w:p w14:paraId="3786A9E9">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42" w:type="pct"/>
            <w:tcBorders>
              <w:top w:val="single" w:color="auto" w:sz="4" w:space="0"/>
              <w:left w:val="nil"/>
              <w:bottom w:val="single" w:color="auto" w:sz="4" w:space="0"/>
              <w:right w:val="single" w:color="auto" w:sz="4" w:space="0"/>
            </w:tcBorders>
            <w:noWrap w:val="0"/>
            <w:vAlign w:val="center"/>
          </w:tcPr>
          <w:p w14:paraId="3BA41BAA">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66" w:type="pct"/>
            <w:tcBorders>
              <w:top w:val="single" w:color="auto" w:sz="4" w:space="0"/>
              <w:left w:val="nil"/>
              <w:bottom w:val="single" w:color="auto" w:sz="4" w:space="0"/>
              <w:right w:val="single" w:color="auto" w:sz="4" w:space="0"/>
            </w:tcBorders>
            <w:noWrap w:val="0"/>
            <w:vAlign w:val="top"/>
          </w:tcPr>
          <w:p w14:paraId="21CB6676">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34" w:type="pct"/>
            <w:tcBorders>
              <w:top w:val="single" w:color="auto" w:sz="4" w:space="0"/>
              <w:left w:val="nil"/>
              <w:bottom w:val="single" w:color="auto" w:sz="4" w:space="0"/>
              <w:right w:val="single" w:color="auto" w:sz="4" w:space="0"/>
            </w:tcBorders>
            <w:noWrap w:val="0"/>
            <w:vAlign w:val="top"/>
          </w:tcPr>
          <w:p w14:paraId="42EFCBCC">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495" w:type="pct"/>
            <w:tcBorders>
              <w:top w:val="single" w:color="auto" w:sz="4" w:space="0"/>
              <w:left w:val="nil"/>
              <w:bottom w:val="single" w:color="auto" w:sz="4" w:space="0"/>
              <w:right w:val="single" w:color="auto" w:sz="4" w:space="0"/>
            </w:tcBorders>
            <w:noWrap w:val="0"/>
            <w:vAlign w:val="top"/>
          </w:tcPr>
          <w:p w14:paraId="6E4980AA">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44" w:type="pct"/>
            <w:tcBorders>
              <w:top w:val="single" w:color="auto" w:sz="4" w:space="0"/>
              <w:left w:val="nil"/>
              <w:bottom w:val="single" w:color="auto" w:sz="4" w:space="0"/>
              <w:right w:val="single" w:color="auto" w:sz="4" w:space="0"/>
            </w:tcBorders>
            <w:noWrap w:val="0"/>
            <w:vAlign w:val="top"/>
          </w:tcPr>
          <w:p w14:paraId="1F8AEC61">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03" w:type="pct"/>
            <w:tcBorders>
              <w:top w:val="single" w:color="auto" w:sz="4" w:space="0"/>
              <w:left w:val="nil"/>
              <w:bottom w:val="single" w:color="auto" w:sz="4" w:space="0"/>
              <w:right w:val="single" w:color="auto" w:sz="4" w:space="0"/>
            </w:tcBorders>
            <w:noWrap w:val="0"/>
            <w:vAlign w:val="top"/>
          </w:tcPr>
          <w:p w14:paraId="79A32912">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324" w:type="pct"/>
            <w:tcBorders>
              <w:top w:val="single" w:color="auto" w:sz="4" w:space="0"/>
              <w:left w:val="nil"/>
              <w:bottom w:val="single" w:color="auto" w:sz="4" w:space="0"/>
              <w:right w:val="single" w:color="auto" w:sz="4" w:space="0"/>
            </w:tcBorders>
            <w:noWrap w:val="0"/>
            <w:vAlign w:val="top"/>
          </w:tcPr>
          <w:p w14:paraId="0B1B7B55">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c>
          <w:tcPr>
            <w:tcW w:w="288" w:type="pct"/>
            <w:tcBorders>
              <w:top w:val="single" w:color="auto" w:sz="4" w:space="0"/>
              <w:left w:val="nil"/>
              <w:bottom w:val="single" w:color="auto" w:sz="4" w:space="0"/>
              <w:right w:val="single" w:color="auto" w:sz="4" w:space="0"/>
            </w:tcBorders>
            <w:noWrap w:val="0"/>
            <w:vAlign w:val="center"/>
          </w:tcPr>
          <w:p w14:paraId="24550F77">
            <w:pPr>
              <w:adjustRightInd w:val="0"/>
              <w:snapToGrid w:val="0"/>
              <w:ind w:left="-42" w:leftChars="-20" w:right="-42" w:rightChars="-20"/>
              <w:jc w:val="center"/>
              <w:rPr>
                <w:rFonts w:hint="default" w:ascii="Times New Roman" w:hAnsi="Times New Roman" w:eastAsia="仿宋_GB2312" w:cs="Times New Roman"/>
                <w:color w:val="auto"/>
                <w:kern w:val="0"/>
                <w:szCs w:val="21"/>
              </w:rPr>
            </w:pPr>
          </w:p>
        </w:tc>
      </w:tr>
    </w:tbl>
    <w:p w14:paraId="053CBF84">
      <w:pPr>
        <w:spacing w:line="590" w:lineRule="exact"/>
        <w:rPr>
          <w:rFonts w:hint="default" w:ascii="Times New Roman" w:hAnsi="Times New Roman" w:eastAsia="黑体" w:cs="Times New Roman"/>
          <w:color w:val="auto"/>
          <w:sz w:val="32"/>
          <w:szCs w:val="32"/>
        </w:rPr>
      </w:pPr>
    </w:p>
    <w:p w14:paraId="096E60C1">
      <w:pPr>
        <w:spacing w:line="590" w:lineRule="exact"/>
        <w:rPr>
          <w:rFonts w:hint="default" w:ascii="Times New Roman" w:hAnsi="Times New Roman" w:eastAsia="黑体" w:cs="Times New Roman"/>
          <w:color w:val="auto"/>
          <w:sz w:val="32"/>
          <w:szCs w:val="32"/>
        </w:rPr>
      </w:pPr>
    </w:p>
    <w:p w14:paraId="62BF2F57">
      <w:pPr>
        <w:spacing w:line="590" w:lineRule="exact"/>
        <w:rPr>
          <w:rFonts w:hint="default" w:ascii="Times New Roman" w:hAnsi="Times New Roman" w:eastAsia="黑体" w:cs="Times New Roman"/>
          <w:color w:val="auto"/>
          <w:sz w:val="32"/>
          <w:szCs w:val="32"/>
        </w:rPr>
      </w:pPr>
    </w:p>
    <w:p w14:paraId="22EC6F33">
      <w:pPr>
        <w:spacing w:line="59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5</w:t>
      </w:r>
    </w:p>
    <w:p w14:paraId="13D379D2">
      <w:pPr>
        <w:spacing w:line="360" w:lineRule="auto"/>
        <w:jc w:val="center"/>
        <w:rPr>
          <w:rFonts w:hint="default" w:ascii="Times New Roman" w:hAnsi="Times New Roman" w:cs="Times New Roman"/>
          <w:b/>
          <w:color w:val="auto"/>
          <w:spacing w:val="-20"/>
          <w:sz w:val="44"/>
          <w:szCs w:val="22"/>
        </w:rPr>
      </w:pPr>
      <w:r>
        <w:rPr>
          <w:rFonts w:hint="default" w:ascii="Times New Roman" w:hAnsi="Times New Roman" w:eastAsia="方正小标宋简体" w:cs="Times New Roman"/>
          <w:bCs/>
          <w:color w:val="auto"/>
          <w:sz w:val="44"/>
        </w:rPr>
        <w:t>2</w:t>
      </w:r>
      <w:r>
        <w:rPr>
          <w:rFonts w:hint="default" w:ascii="Times New Roman" w:hAnsi="Times New Roman" w:eastAsia="方正小标宋简体" w:cs="Times New Roman"/>
          <w:bCs/>
          <w:color w:val="auto"/>
          <w:w w:val="95"/>
          <w:sz w:val="44"/>
        </w:rPr>
        <w:t>025年</w:t>
      </w:r>
      <w:r>
        <w:rPr>
          <w:rFonts w:hint="default" w:ascii="Times New Roman" w:hAnsi="Times New Roman" w:eastAsia="方正小标宋简体" w:cs="Times New Roman"/>
          <w:bCs/>
          <w:color w:val="auto"/>
          <w:spacing w:val="-20"/>
          <w:w w:val="95"/>
          <w:sz w:val="44"/>
          <w:szCs w:val="22"/>
        </w:rPr>
        <w:t>放射诊疗、职业健康检查、职业病诊断机构国家随机监督抽查工作计划</w:t>
      </w:r>
      <w:r>
        <w:rPr>
          <w:rFonts w:hint="default" w:ascii="Times New Roman" w:hAnsi="Times New Roman" w:eastAsia="方正小标宋简体" w:cs="Times New Roman"/>
          <w:bCs/>
          <w:color w:val="auto"/>
          <w:spacing w:val="-20"/>
          <w:sz w:val="44"/>
          <w:szCs w:val="22"/>
        </w:rPr>
        <w:t>表</w:t>
      </w:r>
    </w:p>
    <w:tbl>
      <w:tblPr>
        <w:tblStyle w:val="5"/>
        <w:tblW w:w="14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158"/>
        <w:gridCol w:w="960"/>
        <w:gridCol w:w="10013"/>
        <w:gridCol w:w="867"/>
      </w:tblGrid>
      <w:tr w14:paraId="54CCAB9F">
        <w:trPr>
          <w:trHeight w:val="6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D132F7E">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序号</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3F1921DB">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监督检查对象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574E5E8">
            <w:pPr>
              <w:spacing w:line="24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抽检</w:t>
            </w:r>
          </w:p>
          <w:p w14:paraId="2F204888">
            <w:pPr>
              <w:spacing w:line="24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比例</w:t>
            </w:r>
          </w:p>
        </w:tc>
        <w:tc>
          <w:tcPr>
            <w:tcW w:w="10013" w:type="dxa"/>
            <w:tcBorders>
              <w:top w:val="single" w:color="auto" w:sz="4" w:space="0"/>
              <w:left w:val="single" w:color="auto" w:sz="4" w:space="0"/>
              <w:bottom w:val="single" w:color="auto" w:sz="4" w:space="0"/>
              <w:right w:val="single" w:color="auto" w:sz="4" w:space="0"/>
            </w:tcBorders>
            <w:noWrap w:val="0"/>
            <w:vAlign w:val="center"/>
          </w:tcPr>
          <w:p w14:paraId="13E0BED6">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检查内容</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2198C199">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备注</w:t>
            </w:r>
          </w:p>
        </w:tc>
      </w:tr>
      <w:tr w14:paraId="03447BC8">
        <w:trPr>
          <w:trHeight w:val="174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3772E60">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1169D4F">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放射诊疗机构</w:t>
            </w:r>
          </w:p>
          <w:p w14:paraId="5B8E799A">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lang w:val="en-US"/>
              </w:rPr>
              <w:t>（</w:t>
            </w:r>
            <w:r>
              <w:rPr>
                <w:rFonts w:hint="default" w:ascii="Times New Roman" w:hAnsi="Times New Roman" w:eastAsia="仿宋_GB2312" w:cs="Times New Roman"/>
                <w:color w:val="auto"/>
                <w:szCs w:val="22"/>
              </w:rPr>
              <w:t>含中医医疗机构</w:t>
            </w:r>
            <w:r>
              <w:rPr>
                <w:rFonts w:hint="default" w:ascii="Times New Roman" w:hAnsi="Times New Roman" w:eastAsia="仿宋_GB2312" w:cs="Times New Roman"/>
                <w:color w:val="auto"/>
                <w:szCs w:val="22"/>
                <w:lang w:val="en-US"/>
              </w:rPr>
              <w:t>）</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B578DC9">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20%</w:t>
            </w:r>
          </w:p>
        </w:tc>
        <w:tc>
          <w:tcPr>
            <w:tcW w:w="10013" w:type="dxa"/>
            <w:tcBorders>
              <w:top w:val="single" w:color="auto" w:sz="4" w:space="0"/>
              <w:left w:val="single" w:color="auto" w:sz="4" w:space="0"/>
              <w:bottom w:val="single" w:color="auto" w:sz="4" w:space="0"/>
              <w:right w:val="single" w:color="auto" w:sz="4" w:space="0"/>
            </w:tcBorders>
            <w:noWrap w:val="0"/>
            <w:vAlign w:val="center"/>
          </w:tcPr>
          <w:p w14:paraId="4C237A34">
            <w:pPr>
              <w:numPr>
                <w:ilvl w:val="0"/>
                <w:numId w:val="0"/>
              </w:numPr>
              <w:tabs>
                <w:tab w:val="left" w:pos="312"/>
              </w:tabs>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lang w:val="en-US" w:eastAsia="zh-CN"/>
              </w:rPr>
              <w:t>1.</w:t>
            </w:r>
            <w:r>
              <w:rPr>
                <w:rFonts w:hint="default" w:ascii="Times New Roman" w:hAnsi="Times New Roman" w:eastAsia="仿宋_GB2312" w:cs="Times New Roman"/>
                <w:color w:val="auto"/>
                <w:szCs w:val="22"/>
                <w:lang w:eastAsia="zh-CN"/>
              </w:rPr>
              <w:t>放射诊疗</w:t>
            </w:r>
            <w:r>
              <w:rPr>
                <w:rFonts w:hint="default" w:ascii="Times New Roman" w:hAnsi="Times New Roman" w:eastAsia="仿宋_GB2312" w:cs="Times New Roman"/>
                <w:color w:val="auto"/>
                <w:szCs w:val="22"/>
              </w:rPr>
              <w:t>建设项目管理情况；2.放射诊疗场所管理及其防护措施情况；3.放射诊疗设备管理情况；4.放射工作人员</w:t>
            </w:r>
            <w:r>
              <w:rPr>
                <w:rFonts w:hint="default" w:ascii="Times New Roman" w:hAnsi="Times New Roman" w:eastAsia="仿宋_GB2312" w:cs="Times New Roman"/>
                <w:color w:val="auto"/>
                <w:szCs w:val="22"/>
                <w:lang w:eastAsia="zh-CN"/>
              </w:rPr>
              <w:t>健康</w:t>
            </w:r>
            <w:r>
              <w:rPr>
                <w:rFonts w:hint="default" w:ascii="Times New Roman" w:hAnsi="Times New Roman" w:eastAsia="仿宋_GB2312" w:cs="Times New Roman"/>
                <w:color w:val="auto"/>
                <w:szCs w:val="22"/>
              </w:rPr>
              <w:t>管理情况；5.开展放射诊疗人员条件管理情况；6.对患者、受检者及</w:t>
            </w:r>
            <w:r>
              <w:rPr>
                <w:rFonts w:hint="default" w:ascii="Times New Roman" w:hAnsi="Times New Roman" w:eastAsia="仿宋_GB2312" w:cs="Times New Roman"/>
                <w:color w:val="auto"/>
                <w:szCs w:val="22"/>
                <w:lang w:eastAsia="zh-CN"/>
              </w:rPr>
              <w:t>陪检者</w:t>
            </w:r>
            <w:r>
              <w:rPr>
                <w:rFonts w:hint="default" w:ascii="Times New Roman" w:hAnsi="Times New Roman" w:eastAsia="仿宋_GB2312" w:cs="Times New Roman"/>
                <w:color w:val="auto"/>
                <w:szCs w:val="22"/>
              </w:rPr>
              <w:t>的</w:t>
            </w:r>
            <w:r>
              <w:rPr>
                <w:rFonts w:hint="default" w:ascii="Times New Roman" w:hAnsi="Times New Roman" w:eastAsia="仿宋_GB2312" w:cs="Times New Roman"/>
                <w:color w:val="auto"/>
                <w:szCs w:val="22"/>
                <w:lang w:eastAsia="zh-CN"/>
              </w:rPr>
              <w:t>防</w:t>
            </w:r>
            <w:r>
              <w:rPr>
                <w:rFonts w:hint="default" w:ascii="Times New Roman" w:hAnsi="Times New Roman" w:eastAsia="仿宋_GB2312" w:cs="Times New Roman"/>
                <w:color w:val="auto"/>
                <w:szCs w:val="22"/>
              </w:rPr>
              <w:t>护情况；7.放射事件预防处置情况；8.</w:t>
            </w:r>
            <w:r>
              <w:rPr>
                <w:rFonts w:hint="default" w:ascii="Times New Roman" w:hAnsi="Times New Roman" w:eastAsia="仿宋_GB2312" w:cs="Times New Roman"/>
                <w:color w:val="auto"/>
                <w:szCs w:val="22"/>
                <w:lang w:eastAsia="zh-CN"/>
              </w:rPr>
              <w:t>疑似职业病和</w:t>
            </w:r>
            <w:r>
              <w:rPr>
                <w:rFonts w:hint="default" w:ascii="Times New Roman" w:hAnsi="Times New Roman" w:eastAsia="仿宋_GB2312" w:cs="Times New Roman"/>
                <w:color w:val="auto"/>
                <w:szCs w:val="22"/>
              </w:rPr>
              <w:t>职业病人</w:t>
            </w:r>
            <w:r>
              <w:rPr>
                <w:rFonts w:hint="default" w:ascii="Times New Roman" w:hAnsi="Times New Roman" w:eastAsia="仿宋_GB2312" w:cs="Times New Roman"/>
                <w:color w:val="auto"/>
                <w:szCs w:val="22"/>
                <w:lang w:eastAsia="zh-CN"/>
              </w:rPr>
              <w:t>处置</w:t>
            </w:r>
            <w:r>
              <w:rPr>
                <w:rFonts w:hint="default" w:ascii="Times New Roman" w:hAnsi="Times New Roman" w:eastAsia="仿宋_GB2312" w:cs="Times New Roman"/>
                <w:color w:val="auto"/>
                <w:szCs w:val="22"/>
              </w:rPr>
              <w:t>情况；9.档案管理与体系建设情况；10.X射线诊断管理情况；11.介入放射诊疗管理情况；12.核医学诊疗管理情况；13.放射治疗管理情况。</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1AF6279">
            <w:pPr>
              <w:spacing w:line="360" w:lineRule="auto"/>
              <w:rPr>
                <w:rFonts w:hint="default" w:ascii="Times New Roman" w:hAnsi="Times New Roman" w:eastAsia="仿宋_GB2312" w:cs="Times New Roman"/>
                <w:color w:val="auto"/>
                <w:szCs w:val="22"/>
              </w:rPr>
            </w:pPr>
          </w:p>
        </w:tc>
      </w:tr>
      <w:tr w14:paraId="7E3F1044">
        <w:trPr>
          <w:trHeight w:val="869"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5EB14E7">
            <w:pPr>
              <w:spacing w:line="360" w:lineRule="auto"/>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783CCF6">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职业健康检查机构</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D06D253">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lang w:val="en-US" w:eastAsia="zh-CN"/>
              </w:rPr>
              <w:t>6</w:t>
            </w:r>
            <w:r>
              <w:rPr>
                <w:rFonts w:hint="default" w:ascii="Times New Roman" w:hAnsi="Times New Roman" w:eastAsia="仿宋_GB2312" w:cs="Times New Roman"/>
                <w:color w:val="auto"/>
                <w:szCs w:val="22"/>
              </w:rPr>
              <w:t>0%</w:t>
            </w:r>
          </w:p>
        </w:tc>
        <w:tc>
          <w:tcPr>
            <w:tcW w:w="10013" w:type="dxa"/>
            <w:vMerge w:val="restart"/>
            <w:tcBorders>
              <w:top w:val="single" w:color="auto" w:sz="4" w:space="0"/>
              <w:left w:val="single" w:color="auto" w:sz="4" w:space="0"/>
              <w:bottom w:val="single" w:color="auto" w:sz="4" w:space="0"/>
              <w:right w:val="single" w:color="auto" w:sz="4" w:space="0"/>
            </w:tcBorders>
            <w:noWrap w:val="0"/>
            <w:vAlign w:val="center"/>
          </w:tcPr>
          <w:p w14:paraId="28B931C4">
            <w:pP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1.是否在备案的范围内开展工作；2.出具的报告是否符合相关要求；3.技术人员是否满足工作要求；4.仪器设备场所是否满足工作要求；5.质量控制、程序是否符合相关要求；6.档案管理是否符合相关要求；7.管理制度是否符合相关要求；8.劳动者保护是否符合相关要求；9.职业健康检查结果、职业禁忌、疑似职业病、职业病的告知、通知、报告是否符合相关要求</w:t>
            </w:r>
            <w:r>
              <w:rPr>
                <w:rFonts w:hint="default" w:ascii="Times New Roman" w:hAnsi="Times New Roman" w:eastAsia="仿宋_GB2312" w:cs="Times New Roman"/>
                <w:color w:val="auto"/>
                <w:szCs w:val="22"/>
                <w:lang w:eastAsia="zh-CN"/>
              </w:rPr>
              <w:t>；10.是否按照规定参加质量控制评估，若质量控制评估不合格是否按要求整改。</w:t>
            </w:r>
          </w:p>
        </w:tc>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1E573ADB">
            <w:pPr>
              <w:spacing w:line="360" w:lineRule="auto"/>
              <w:jc w:val="center"/>
              <w:rPr>
                <w:rFonts w:hint="default" w:ascii="Times New Roman" w:hAnsi="Times New Roman" w:eastAsia="仿宋_GB2312" w:cs="Times New Roman"/>
                <w:color w:val="auto"/>
                <w:szCs w:val="22"/>
              </w:rPr>
            </w:pPr>
          </w:p>
        </w:tc>
      </w:tr>
      <w:tr w14:paraId="151CFBDE">
        <w:trPr>
          <w:trHeight w:val="869"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13BC4D9">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3</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2BD41F6">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rPr>
              <w:t>职业病诊断机构</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1512498">
            <w:pPr>
              <w:jc w:val="center"/>
              <w:rPr>
                <w:rFonts w:hint="default" w:ascii="Times New Roman" w:hAnsi="Times New Roman" w:eastAsia="仿宋_GB2312" w:cs="Times New Roman"/>
                <w:color w:val="auto"/>
                <w:szCs w:val="22"/>
              </w:rPr>
            </w:pPr>
            <w:r>
              <w:rPr>
                <w:rFonts w:hint="default" w:ascii="Times New Roman" w:hAnsi="Times New Roman" w:eastAsia="仿宋_GB2312" w:cs="Times New Roman"/>
                <w:color w:val="auto"/>
                <w:szCs w:val="22"/>
                <w:lang w:val="en-US" w:eastAsia="zh-CN"/>
              </w:rPr>
              <w:t>6</w:t>
            </w:r>
            <w:r>
              <w:rPr>
                <w:rFonts w:hint="default" w:ascii="Times New Roman" w:hAnsi="Times New Roman" w:eastAsia="仿宋_GB2312" w:cs="Times New Roman"/>
                <w:color w:val="auto"/>
                <w:szCs w:val="22"/>
              </w:rPr>
              <w:t>0%</w:t>
            </w:r>
          </w:p>
        </w:tc>
        <w:tc>
          <w:tcPr>
            <w:tcW w:w="10013" w:type="dxa"/>
            <w:vMerge w:val="continue"/>
            <w:tcBorders>
              <w:top w:val="single" w:color="auto" w:sz="4" w:space="0"/>
              <w:left w:val="single" w:color="auto" w:sz="4" w:space="0"/>
              <w:bottom w:val="single" w:color="auto" w:sz="4" w:space="0"/>
              <w:right w:val="single" w:color="auto" w:sz="4" w:space="0"/>
            </w:tcBorders>
            <w:noWrap w:val="0"/>
            <w:vAlign w:val="center"/>
          </w:tcPr>
          <w:p w14:paraId="62F3B354">
            <w:pPr>
              <w:jc w:val="center"/>
              <w:rPr>
                <w:rFonts w:hint="default" w:ascii="Times New Roman" w:hAnsi="Times New Roman" w:eastAsia="仿宋_GB2312" w:cs="Times New Roman"/>
                <w:color w:val="auto"/>
                <w:szCs w:val="22"/>
              </w:rPr>
            </w:pPr>
          </w:p>
        </w:tc>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B3D0ADB">
            <w:pPr>
              <w:jc w:val="center"/>
              <w:rPr>
                <w:rFonts w:hint="default" w:ascii="Times New Roman" w:hAnsi="Times New Roman" w:eastAsia="仿宋_GB2312" w:cs="Times New Roman"/>
                <w:color w:val="auto"/>
                <w:szCs w:val="22"/>
              </w:rPr>
            </w:pPr>
          </w:p>
        </w:tc>
      </w:tr>
    </w:tbl>
    <w:p w14:paraId="5A1D7366">
      <w:pPr>
        <w:widowControl/>
        <w:spacing w:line="360" w:lineRule="auto"/>
        <w:jc w:val="left"/>
        <w:rPr>
          <w:rFonts w:hint="default" w:ascii="Times New Roman" w:hAnsi="Times New Roman" w:eastAsia="黑体" w:cs="Times New Roman"/>
          <w:color w:val="auto"/>
          <w:sz w:val="32"/>
          <w:szCs w:val="22"/>
        </w:rPr>
      </w:pPr>
    </w:p>
    <w:p w14:paraId="04AA4C17">
      <w:pPr>
        <w:pStyle w:val="4"/>
        <w:rPr>
          <w:rFonts w:hint="default" w:ascii="Times New Roman" w:hAnsi="Times New Roman" w:eastAsia="黑体" w:cs="Times New Roman"/>
          <w:color w:val="auto"/>
          <w:sz w:val="32"/>
          <w:szCs w:val="22"/>
        </w:rPr>
      </w:pPr>
    </w:p>
    <w:p w14:paraId="4040F7EA">
      <w:pPr>
        <w:rPr>
          <w:rFonts w:hint="default" w:ascii="Times New Roman" w:hAnsi="Times New Roman" w:cs="Times New Roman"/>
          <w:color w:val="auto"/>
        </w:rPr>
      </w:pPr>
    </w:p>
    <w:p w14:paraId="0DE2DBBB">
      <w:pPr>
        <w:widowControl/>
        <w:spacing w:line="360" w:lineRule="auto"/>
        <w:jc w:val="left"/>
        <w:rPr>
          <w:rFonts w:hint="default" w:ascii="Times New Roman" w:hAnsi="Times New Roman" w:eastAsia="黑体" w:cs="Times New Roman"/>
          <w:color w:val="auto"/>
          <w:sz w:val="32"/>
          <w:szCs w:val="22"/>
        </w:rPr>
      </w:pPr>
    </w:p>
    <w:p w14:paraId="27C5662B">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6</w:t>
      </w:r>
    </w:p>
    <w:p w14:paraId="7B826E3B">
      <w:pPr>
        <w:jc w:val="center"/>
        <w:rPr>
          <w:rFonts w:hint="default" w:ascii="Times New Roman" w:hAnsi="Times New Roman" w:eastAsia="方正小标宋简体" w:cs="Times New Roman"/>
          <w:bCs/>
          <w:color w:val="auto"/>
          <w:sz w:val="44"/>
          <w:szCs w:val="22"/>
        </w:rPr>
      </w:pPr>
      <w:r>
        <w:rPr>
          <w:rFonts w:hint="default" w:ascii="Times New Roman" w:hAnsi="Times New Roman" w:eastAsia="方正小标宋简体" w:cs="Times New Roman"/>
          <w:bCs/>
          <w:color w:val="auto"/>
          <w:sz w:val="44"/>
        </w:rPr>
        <w:t>2025年</w:t>
      </w:r>
      <w:r>
        <w:rPr>
          <w:rFonts w:hint="default" w:ascii="Times New Roman" w:hAnsi="Times New Roman" w:eastAsia="方正小标宋简体" w:cs="Times New Roman"/>
          <w:bCs/>
          <w:color w:val="auto"/>
          <w:sz w:val="44"/>
          <w:szCs w:val="22"/>
        </w:rPr>
        <w:t>放射诊疗机构国家随机监督抽查汇总表</w:t>
      </w:r>
    </w:p>
    <w:tbl>
      <w:tblPr>
        <w:tblStyle w:val="5"/>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703"/>
        <w:gridCol w:w="596"/>
        <w:gridCol w:w="809"/>
        <w:gridCol w:w="819"/>
        <w:gridCol w:w="739"/>
        <w:gridCol w:w="738"/>
        <w:gridCol w:w="692"/>
        <w:gridCol w:w="900"/>
        <w:gridCol w:w="750"/>
        <w:gridCol w:w="820"/>
        <w:gridCol w:w="715"/>
        <w:gridCol w:w="750"/>
        <w:gridCol w:w="750"/>
        <w:gridCol w:w="727"/>
        <w:gridCol w:w="785"/>
        <w:gridCol w:w="946"/>
        <w:gridCol w:w="987"/>
      </w:tblGrid>
      <w:tr w14:paraId="6ADDEF7C">
        <w:trPr>
          <w:trHeight w:val="724" w:hRule="atLeast"/>
          <w:jc w:val="center"/>
        </w:trPr>
        <w:tc>
          <w:tcPr>
            <w:tcW w:w="1086" w:type="dxa"/>
            <w:vMerge w:val="restart"/>
            <w:tcBorders>
              <w:top w:val="single" w:color="auto" w:sz="4" w:space="0"/>
              <w:left w:val="single" w:color="auto" w:sz="4" w:space="0"/>
              <w:bottom w:val="single" w:color="auto" w:sz="4" w:space="0"/>
              <w:right w:val="single" w:color="auto" w:sz="4" w:space="0"/>
            </w:tcBorders>
            <w:noWrap w:val="0"/>
            <w:vAlign w:val="center"/>
          </w:tcPr>
          <w:p w14:paraId="7D7C6C9D">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单位</w:t>
            </w:r>
          </w:p>
          <w:p w14:paraId="0EA854EB">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类别</w:t>
            </w:r>
          </w:p>
        </w:tc>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36B65724">
            <w:pPr>
              <w:spacing w:line="24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辖区内单位总数</w:t>
            </w:r>
          </w:p>
        </w:tc>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14:paraId="1B6227D1">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检查单位数</w:t>
            </w:r>
          </w:p>
        </w:tc>
        <w:tc>
          <w:tcPr>
            <w:tcW w:w="9994" w:type="dxa"/>
            <w:gridSpan w:val="13"/>
            <w:tcBorders>
              <w:top w:val="single" w:color="auto" w:sz="4" w:space="0"/>
              <w:left w:val="single" w:color="auto" w:sz="4" w:space="0"/>
              <w:bottom w:val="single" w:color="auto" w:sz="4" w:space="0"/>
              <w:right w:val="single" w:color="auto" w:sz="4" w:space="0"/>
            </w:tcBorders>
            <w:noWrap w:val="0"/>
            <w:vAlign w:val="center"/>
          </w:tcPr>
          <w:p w14:paraId="6F07EF2A">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不合格情况</w:t>
            </w:r>
          </w:p>
        </w:tc>
        <w:tc>
          <w:tcPr>
            <w:tcW w:w="1933" w:type="dxa"/>
            <w:gridSpan w:val="2"/>
            <w:tcBorders>
              <w:top w:val="single" w:color="auto" w:sz="4" w:space="0"/>
              <w:left w:val="single" w:color="auto" w:sz="4" w:space="0"/>
              <w:bottom w:val="single" w:color="auto" w:sz="4" w:space="0"/>
              <w:right w:val="single" w:color="auto" w:sz="4" w:space="0"/>
            </w:tcBorders>
            <w:noWrap w:val="0"/>
            <w:vAlign w:val="center"/>
          </w:tcPr>
          <w:p w14:paraId="7F56B360">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行政处罚情况</w:t>
            </w:r>
          </w:p>
        </w:tc>
      </w:tr>
      <w:tr w14:paraId="19A1D17B">
        <w:trPr>
          <w:trHeight w:val="3196" w:hRule="atLeast"/>
          <w:jc w:val="center"/>
        </w:trPr>
        <w:tc>
          <w:tcPr>
            <w:tcW w:w="1086" w:type="dxa"/>
            <w:vMerge w:val="continue"/>
            <w:tcBorders>
              <w:top w:val="single" w:color="auto" w:sz="4" w:space="0"/>
              <w:left w:val="single" w:color="auto" w:sz="4" w:space="0"/>
              <w:bottom w:val="single" w:color="auto" w:sz="4" w:space="0"/>
              <w:right w:val="single" w:color="auto" w:sz="4" w:space="0"/>
            </w:tcBorders>
            <w:noWrap w:val="0"/>
            <w:vAlign w:val="center"/>
          </w:tcPr>
          <w:p w14:paraId="7C7C7997">
            <w:pPr>
              <w:spacing w:line="240" w:lineRule="exact"/>
              <w:jc w:val="center"/>
              <w:rPr>
                <w:rFonts w:hint="default" w:ascii="Times New Roman" w:hAnsi="Times New Roman" w:eastAsia="仿宋_GB2312" w:cs="Times New Roman"/>
                <w:color w:val="auto"/>
                <w:szCs w:val="21"/>
              </w:rPr>
            </w:pPr>
          </w:p>
        </w:tc>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223B9A6A">
            <w:pPr>
              <w:spacing w:line="240" w:lineRule="exact"/>
              <w:rPr>
                <w:rFonts w:hint="default" w:ascii="Times New Roman" w:hAnsi="Times New Roman" w:eastAsia="仿宋_GB2312" w:cs="Times New Roman"/>
                <w:color w:val="auto"/>
                <w:szCs w:val="21"/>
              </w:rPr>
            </w:pPr>
          </w:p>
        </w:tc>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14:paraId="4844322B">
            <w:pPr>
              <w:spacing w:line="240" w:lineRule="exact"/>
              <w:rPr>
                <w:rFonts w:hint="default" w:ascii="Times New Roman" w:hAnsi="Times New Roman" w:eastAsia="仿宋_GB2312" w:cs="Times New Roman"/>
                <w:color w:val="auto"/>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14:paraId="01BF7EB5">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放射诊疗建设项目不符合有关规定单位数</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1C4D06C0">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放射诊疗场所及其防护措施不符合有关规定单位数</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5DBE2BFC">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放射诊疗设备及配套设施不符合有关规定单位数</w:t>
            </w:r>
          </w:p>
        </w:tc>
        <w:tc>
          <w:tcPr>
            <w:tcW w:w="738" w:type="dxa"/>
            <w:tcBorders>
              <w:top w:val="single" w:color="auto" w:sz="4" w:space="0"/>
              <w:left w:val="single" w:color="auto" w:sz="4" w:space="0"/>
              <w:bottom w:val="single" w:color="auto" w:sz="4" w:space="0"/>
              <w:right w:val="single" w:color="auto" w:sz="4" w:space="0"/>
            </w:tcBorders>
            <w:noWrap w:val="0"/>
            <w:vAlign w:val="center"/>
          </w:tcPr>
          <w:p w14:paraId="20DC84AC">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放射工作人员管理不符合有关规定单位数</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229F05A5">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开展放射诊疗的人员条件不符合有关规定单位数</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93D0F14">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对患者、受检者及</w:t>
            </w:r>
            <w:r>
              <w:rPr>
                <w:rFonts w:hint="default" w:ascii="Times New Roman" w:hAnsi="Times New Roman" w:eastAsia="仿宋_GB2312" w:cs="Times New Roman"/>
                <w:color w:val="auto"/>
                <w:szCs w:val="21"/>
                <w:lang w:eastAsia="zh-CN"/>
              </w:rPr>
              <w:t>陪检者</w:t>
            </w:r>
            <w:r>
              <w:rPr>
                <w:rFonts w:hint="default" w:ascii="Times New Roman" w:hAnsi="Times New Roman" w:eastAsia="仿宋_GB2312" w:cs="Times New Roman"/>
                <w:color w:val="auto"/>
                <w:szCs w:val="21"/>
              </w:rPr>
              <w:t>的保护不符合有关规定单位数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A137044">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放射事件预防处置不符合有关规定单位数</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F33EA87">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职业病人管理不符合有关规定单位数</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27D5ED5B">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档案管理与体系建设不符合有关规定单位数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67620B9">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X射线诊断管理不符合有关规定单位数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E3F0190">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介入放射诊疗管理不符合有关规定单位数</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41B5D12F">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核医学诊疗管理不符合有关规定单位数</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230F8E80">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放射治疗管理不符合有关规定单位数</w:t>
            </w:r>
          </w:p>
        </w:tc>
        <w:tc>
          <w:tcPr>
            <w:tcW w:w="946" w:type="dxa"/>
            <w:tcBorders>
              <w:top w:val="single" w:color="auto" w:sz="4" w:space="0"/>
              <w:left w:val="single" w:color="auto" w:sz="4" w:space="0"/>
              <w:bottom w:val="single" w:color="auto" w:sz="4" w:space="0"/>
              <w:right w:val="single" w:color="auto" w:sz="4" w:space="0"/>
            </w:tcBorders>
            <w:noWrap w:val="0"/>
            <w:vAlign w:val="center"/>
          </w:tcPr>
          <w:p w14:paraId="5804A52A">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案件查处数</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AA99C83">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罚没款金额</w:t>
            </w:r>
            <w:r>
              <w:rPr>
                <w:rFonts w:hint="default" w:ascii="Times New Roman" w:hAnsi="Times New Roman" w:eastAsia="仿宋_GB2312" w:cs="Times New Roman"/>
                <w:color w:val="auto"/>
                <w:szCs w:val="21"/>
                <w:lang w:eastAsia="zh-CN"/>
              </w:rPr>
              <w:t>（</w:t>
            </w:r>
            <w:r>
              <w:rPr>
                <w:rFonts w:hint="default" w:ascii="Times New Roman" w:hAnsi="Times New Roman" w:eastAsia="仿宋_GB2312" w:cs="Times New Roman"/>
                <w:color w:val="auto"/>
                <w:szCs w:val="21"/>
              </w:rPr>
              <w:t>万元）</w:t>
            </w:r>
          </w:p>
        </w:tc>
      </w:tr>
      <w:tr w14:paraId="2CA64BA5">
        <w:trPr>
          <w:trHeight w:val="845"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5D87ABFB">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放射诊疗机构</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75FCE8B6">
            <w:pPr>
              <w:spacing w:line="240" w:lineRule="exact"/>
              <w:rPr>
                <w:rFonts w:hint="default" w:ascii="Times New Roman" w:hAnsi="Times New Roman" w:eastAsia="仿宋_GB2312" w:cs="Times New Roman"/>
                <w:color w:val="auto"/>
                <w:szCs w:val="21"/>
              </w:rPr>
            </w:pPr>
          </w:p>
        </w:tc>
        <w:tc>
          <w:tcPr>
            <w:tcW w:w="596" w:type="dxa"/>
            <w:tcBorders>
              <w:top w:val="single" w:color="auto" w:sz="4" w:space="0"/>
              <w:left w:val="single" w:color="auto" w:sz="4" w:space="0"/>
              <w:bottom w:val="single" w:color="auto" w:sz="4" w:space="0"/>
              <w:right w:val="single" w:color="auto" w:sz="4" w:space="0"/>
            </w:tcBorders>
            <w:noWrap w:val="0"/>
            <w:vAlign w:val="center"/>
          </w:tcPr>
          <w:p w14:paraId="5B901B2C">
            <w:pPr>
              <w:spacing w:line="240" w:lineRule="exact"/>
              <w:rPr>
                <w:rFonts w:hint="default" w:ascii="Times New Roman" w:hAnsi="Times New Roman" w:eastAsia="仿宋_GB2312" w:cs="Times New Roman"/>
                <w:color w:val="auto"/>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14:paraId="754E3A32">
            <w:pPr>
              <w:spacing w:line="240" w:lineRule="exact"/>
              <w:rPr>
                <w:rFonts w:hint="default" w:ascii="Times New Roman" w:hAnsi="Times New Roman" w:eastAsia="仿宋_GB2312" w:cs="Times New Roman"/>
                <w:color w:val="auto"/>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C9286B2">
            <w:pPr>
              <w:spacing w:line="240" w:lineRule="exact"/>
              <w:rPr>
                <w:rFonts w:hint="default" w:ascii="Times New Roman" w:hAnsi="Times New Roman" w:eastAsia="仿宋_GB2312" w:cs="Times New Roman"/>
                <w:color w:val="auto"/>
                <w:szCs w:val="21"/>
              </w:rPr>
            </w:pPr>
          </w:p>
        </w:tc>
        <w:tc>
          <w:tcPr>
            <w:tcW w:w="739" w:type="dxa"/>
            <w:tcBorders>
              <w:top w:val="single" w:color="auto" w:sz="4" w:space="0"/>
              <w:left w:val="single" w:color="auto" w:sz="4" w:space="0"/>
              <w:bottom w:val="single" w:color="auto" w:sz="4" w:space="0"/>
              <w:right w:val="single" w:color="auto" w:sz="4" w:space="0"/>
            </w:tcBorders>
            <w:noWrap w:val="0"/>
            <w:vAlign w:val="center"/>
          </w:tcPr>
          <w:p w14:paraId="231A76F3">
            <w:pPr>
              <w:spacing w:line="240" w:lineRule="exact"/>
              <w:rPr>
                <w:rFonts w:hint="default" w:ascii="Times New Roman" w:hAnsi="Times New Roman" w:eastAsia="仿宋_GB2312" w:cs="Times New Roman"/>
                <w:color w:val="auto"/>
                <w:szCs w:val="21"/>
              </w:rPr>
            </w:pPr>
          </w:p>
        </w:tc>
        <w:tc>
          <w:tcPr>
            <w:tcW w:w="738" w:type="dxa"/>
            <w:tcBorders>
              <w:top w:val="single" w:color="auto" w:sz="4" w:space="0"/>
              <w:left w:val="single" w:color="auto" w:sz="4" w:space="0"/>
              <w:bottom w:val="single" w:color="auto" w:sz="4" w:space="0"/>
              <w:right w:val="single" w:color="auto" w:sz="4" w:space="0"/>
            </w:tcBorders>
            <w:noWrap w:val="0"/>
            <w:vAlign w:val="center"/>
          </w:tcPr>
          <w:p w14:paraId="72244C9C">
            <w:pPr>
              <w:spacing w:line="240" w:lineRule="exact"/>
              <w:rPr>
                <w:rFonts w:hint="default" w:ascii="Times New Roman" w:hAnsi="Times New Roman" w:eastAsia="仿宋_GB2312" w:cs="Times New Roman"/>
                <w:color w:val="auto"/>
                <w:szCs w:val="21"/>
              </w:rPr>
            </w:pPr>
          </w:p>
        </w:tc>
        <w:tc>
          <w:tcPr>
            <w:tcW w:w="692" w:type="dxa"/>
            <w:tcBorders>
              <w:top w:val="single" w:color="auto" w:sz="4" w:space="0"/>
              <w:left w:val="single" w:color="auto" w:sz="4" w:space="0"/>
              <w:bottom w:val="single" w:color="auto" w:sz="4" w:space="0"/>
              <w:right w:val="single" w:color="auto" w:sz="4" w:space="0"/>
            </w:tcBorders>
            <w:noWrap w:val="0"/>
            <w:vAlign w:val="center"/>
          </w:tcPr>
          <w:p w14:paraId="64AF9BC9">
            <w:pPr>
              <w:spacing w:line="240" w:lineRule="exact"/>
              <w:rPr>
                <w:rFonts w:hint="default" w:ascii="Times New Roman" w:hAnsi="Times New Roman" w:eastAsia="仿宋_GB2312" w:cs="Times New Roman"/>
                <w:color w:val="auto"/>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8F289A3">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4297E782">
            <w:pPr>
              <w:spacing w:line="240" w:lineRule="exact"/>
              <w:rPr>
                <w:rFonts w:hint="default" w:ascii="Times New Roman" w:hAnsi="Times New Roman" w:eastAsia="仿宋_GB2312" w:cs="Times New Roman"/>
                <w:color w:val="auto"/>
                <w:szCs w:val="21"/>
              </w:rPr>
            </w:pPr>
          </w:p>
        </w:tc>
        <w:tc>
          <w:tcPr>
            <w:tcW w:w="820" w:type="dxa"/>
            <w:tcBorders>
              <w:top w:val="single" w:color="auto" w:sz="4" w:space="0"/>
              <w:left w:val="single" w:color="auto" w:sz="4" w:space="0"/>
              <w:bottom w:val="single" w:color="auto" w:sz="4" w:space="0"/>
              <w:right w:val="single" w:color="auto" w:sz="4" w:space="0"/>
            </w:tcBorders>
            <w:noWrap w:val="0"/>
            <w:vAlign w:val="center"/>
          </w:tcPr>
          <w:p w14:paraId="41F0AA64">
            <w:pPr>
              <w:spacing w:line="240" w:lineRule="exact"/>
              <w:rPr>
                <w:rFonts w:hint="default" w:ascii="Times New Roman" w:hAnsi="Times New Roman" w:eastAsia="仿宋_GB2312" w:cs="Times New Roman"/>
                <w:color w:val="auto"/>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1F7476E0">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5762ECBB">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4262F690">
            <w:pPr>
              <w:spacing w:line="240" w:lineRule="exact"/>
              <w:rPr>
                <w:rFonts w:hint="default" w:ascii="Times New Roman" w:hAnsi="Times New Roman" w:eastAsia="仿宋_GB2312" w:cs="Times New Roman"/>
                <w:color w:val="auto"/>
                <w:szCs w:val="21"/>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629697FB">
            <w:pPr>
              <w:spacing w:line="240" w:lineRule="exact"/>
              <w:rPr>
                <w:rFonts w:hint="default" w:ascii="Times New Roman" w:hAnsi="Times New Roman" w:eastAsia="仿宋_GB2312" w:cs="Times New Roman"/>
                <w:color w:val="auto"/>
                <w:szCs w:val="21"/>
              </w:rPr>
            </w:pPr>
          </w:p>
        </w:tc>
        <w:tc>
          <w:tcPr>
            <w:tcW w:w="785" w:type="dxa"/>
            <w:tcBorders>
              <w:top w:val="single" w:color="auto" w:sz="4" w:space="0"/>
              <w:left w:val="single" w:color="auto" w:sz="4" w:space="0"/>
              <w:bottom w:val="single" w:color="auto" w:sz="4" w:space="0"/>
              <w:right w:val="single" w:color="auto" w:sz="4" w:space="0"/>
            </w:tcBorders>
            <w:noWrap w:val="0"/>
            <w:vAlign w:val="center"/>
          </w:tcPr>
          <w:p w14:paraId="3ABC5FF5">
            <w:pPr>
              <w:spacing w:line="240" w:lineRule="exact"/>
              <w:rPr>
                <w:rFonts w:hint="default" w:ascii="Times New Roman" w:hAnsi="Times New Roman" w:eastAsia="仿宋_GB2312" w:cs="Times New Roman"/>
                <w:color w:val="auto"/>
                <w:szCs w:val="21"/>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614D063">
            <w:pPr>
              <w:spacing w:line="240" w:lineRule="exact"/>
              <w:rPr>
                <w:rFonts w:hint="default" w:ascii="Times New Roman" w:hAnsi="Times New Roman" w:eastAsia="仿宋_GB2312" w:cs="Times New Roman"/>
                <w:color w:val="auto"/>
                <w:szCs w:val="21"/>
              </w:rPr>
            </w:pPr>
          </w:p>
        </w:tc>
        <w:tc>
          <w:tcPr>
            <w:tcW w:w="987" w:type="dxa"/>
            <w:tcBorders>
              <w:top w:val="single" w:color="auto" w:sz="4" w:space="0"/>
              <w:left w:val="single" w:color="auto" w:sz="4" w:space="0"/>
              <w:bottom w:val="single" w:color="auto" w:sz="4" w:space="0"/>
              <w:right w:val="single" w:color="auto" w:sz="4" w:space="0"/>
            </w:tcBorders>
            <w:noWrap w:val="0"/>
            <w:vAlign w:val="center"/>
          </w:tcPr>
          <w:p w14:paraId="6EA5D43B">
            <w:pPr>
              <w:spacing w:line="240" w:lineRule="exact"/>
              <w:rPr>
                <w:rFonts w:hint="default" w:ascii="Times New Roman" w:hAnsi="Times New Roman" w:eastAsia="仿宋_GB2312" w:cs="Times New Roman"/>
                <w:color w:val="auto"/>
                <w:szCs w:val="21"/>
              </w:rPr>
            </w:pPr>
          </w:p>
        </w:tc>
      </w:tr>
      <w:tr w14:paraId="6D966E0A">
        <w:trPr>
          <w:trHeight w:val="663"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14:paraId="59EA7861">
            <w:pPr>
              <w:spacing w:line="24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合计</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707C2953">
            <w:pPr>
              <w:spacing w:line="240" w:lineRule="exact"/>
              <w:rPr>
                <w:rFonts w:hint="default" w:ascii="Times New Roman" w:hAnsi="Times New Roman" w:eastAsia="仿宋_GB2312" w:cs="Times New Roman"/>
                <w:color w:val="auto"/>
                <w:szCs w:val="21"/>
              </w:rPr>
            </w:pPr>
          </w:p>
        </w:tc>
        <w:tc>
          <w:tcPr>
            <w:tcW w:w="596" w:type="dxa"/>
            <w:tcBorders>
              <w:top w:val="single" w:color="auto" w:sz="4" w:space="0"/>
              <w:left w:val="single" w:color="auto" w:sz="4" w:space="0"/>
              <w:bottom w:val="single" w:color="auto" w:sz="4" w:space="0"/>
              <w:right w:val="single" w:color="auto" w:sz="4" w:space="0"/>
            </w:tcBorders>
            <w:noWrap w:val="0"/>
            <w:vAlign w:val="center"/>
          </w:tcPr>
          <w:p w14:paraId="23A3DE81">
            <w:pPr>
              <w:spacing w:line="240" w:lineRule="exact"/>
              <w:rPr>
                <w:rFonts w:hint="default" w:ascii="Times New Roman" w:hAnsi="Times New Roman" w:eastAsia="仿宋_GB2312" w:cs="Times New Roman"/>
                <w:color w:val="auto"/>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14:paraId="5F86BB91">
            <w:pPr>
              <w:spacing w:line="240" w:lineRule="exact"/>
              <w:rPr>
                <w:rFonts w:hint="default" w:ascii="Times New Roman" w:hAnsi="Times New Roman" w:eastAsia="仿宋_GB2312" w:cs="Times New Roman"/>
                <w:color w:val="auto"/>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4A7A837">
            <w:pPr>
              <w:spacing w:line="240" w:lineRule="exact"/>
              <w:rPr>
                <w:rFonts w:hint="default" w:ascii="Times New Roman" w:hAnsi="Times New Roman" w:eastAsia="仿宋_GB2312" w:cs="Times New Roman"/>
                <w:color w:val="auto"/>
                <w:szCs w:val="21"/>
              </w:rPr>
            </w:pPr>
          </w:p>
        </w:tc>
        <w:tc>
          <w:tcPr>
            <w:tcW w:w="739" w:type="dxa"/>
            <w:tcBorders>
              <w:top w:val="single" w:color="auto" w:sz="4" w:space="0"/>
              <w:left w:val="single" w:color="auto" w:sz="4" w:space="0"/>
              <w:bottom w:val="single" w:color="auto" w:sz="4" w:space="0"/>
              <w:right w:val="single" w:color="auto" w:sz="4" w:space="0"/>
            </w:tcBorders>
            <w:noWrap w:val="0"/>
            <w:vAlign w:val="center"/>
          </w:tcPr>
          <w:p w14:paraId="72AAE1D8">
            <w:pPr>
              <w:spacing w:line="240" w:lineRule="exact"/>
              <w:rPr>
                <w:rFonts w:hint="default" w:ascii="Times New Roman" w:hAnsi="Times New Roman" w:eastAsia="仿宋_GB2312" w:cs="Times New Roman"/>
                <w:color w:val="auto"/>
                <w:szCs w:val="21"/>
              </w:rPr>
            </w:pPr>
          </w:p>
        </w:tc>
        <w:tc>
          <w:tcPr>
            <w:tcW w:w="738" w:type="dxa"/>
            <w:tcBorders>
              <w:top w:val="single" w:color="auto" w:sz="4" w:space="0"/>
              <w:left w:val="single" w:color="auto" w:sz="4" w:space="0"/>
              <w:bottom w:val="single" w:color="auto" w:sz="4" w:space="0"/>
              <w:right w:val="single" w:color="auto" w:sz="4" w:space="0"/>
            </w:tcBorders>
            <w:noWrap w:val="0"/>
            <w:vAlign w:val="center"/>
          </w:tcPr>
          <w:p w14:paraId="6D07D909">
            <w:pPr>
              <w:spacing w:line="240" w:lineRule="exact"/>
              <w:rPr>
                <w:rFonts w:hint="default" w:ascii="Times New Roman" w:hAnsi="Times New Roman" w:eastAsia="仿宋_GB2312" w:cs="Times New Roman"/>
                <w:color w:val="auto"/>
                <w:szCs w:val="21"/>
              </w:rPr>
            </w:pPr>
          </w:p>
        </w:tc>
        <w:tc>
          <w:tcPr>
            <w:tcW w:w="692" w:type="dxa"/>
            <w:tcBorders>
              <w:top w:val="single" w:color="auto" w:sz="4" w:space="0"/>
              <w:left w:val="single" w:color="auto" w:sz="4" w:space="0"/>
              <w:bottom w:val="single" w:color="auto" w:sz="4" w:space="0"/>
              <w:right w:val="single" w:color="auto" w:sz="4" w:space="0"/>
            </w:tcBorders>
            <w:noWrap w:val="0"/>
            <w:vAlign w:val="center"/>
          </w:tcPr>
          <w:p w14:paraId="4B263245">
            <w:pPr>
              <w:spacing w:line="240" w:lineRule="exact"/>
              <w:rPr>
                <w:rFonts w:hint="default" w:ascii="Times New Roman" w:hAnsi="Times New Roman" w:eastAsia="仿宋_GB2312" w:cs="Times New Roman"/>
                <w:color w:val="auto"/>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B4984D8">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42F1F36E">
            <w:pPr>
              <w:spacing w:line="240" w:lineRule="exact"/>
              <w:rPr>
                <w:rFonts w:hint="default" w:ascii="Times New Roman" w:hAnsi="Times New Roman" w:eastAsia="仿宋_GB2312" w:cs="Times New Roman"/>
                <w:color w:val="auto"/>
                <w:szCs w:val="21"/>
              </w:rPr>
            </w:pPr>
          </w:p>
        </w:tc>
        <w:tc>
          <w:tcPr>
            <w:tcW w:w="820" w:type="dxa"/>
            <w:tcBorders>
              <w:top w:val="single" w:color="auto" w:sz="4" w:space="0"/>
              <w:left w:val="single" w:color="auto" w:sz="4" w:space="0"/>
              <w:bottom w:val="single" w:color="auto" w:sz="4" w:space="0"/>
              <w:right w:val="single" w:color="auto" w:sz="4" w:space="0"/>
            </w:tcBorders>
            <w:noWrap w:val="0"/>
            <w:vAlign w:val="center"/>
          </w:tcPr>
          <w:p w14:paraId="683F6ADA">
            <w:pPr>
              <w:spacing w:line="240" w:lineRule="exact"/>
              <w:rPr>
                <w:rFonts w:hint="default" w:ascii="Times New Roman" w:hAnsi="Times New Roman" w:eastAsia="仿宋_GB2312" w:cs="Times New Roman"/>
                <w:color w:val="auto"/>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4D3F719D">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9FA1E91">
            <w:pPr>
              <w:spacing w:line="240" w:lineRule="exact"/>
              <w:rPr>
                <w:rFonts w:hint="default" w:ascii="Times New Roman" w:hAnsi="Times New Roman" w:eastAsia="仿宋_GB2312" w:cs="Times New Roman"/>
                <w:color w:val="auto"/>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0CF54D1">
            <w:pPr>
              <w:spacing w:line="240" w:lineRule="exact"/>
              <w:rPr>
                <w:rFonts w:hint="default" w:ascii="Times New Roman" w:hAnsi="Times New Roman" w:eastAsia="仿宋_GB2312" w:cs="Times New Roman"/>
                <w:color w:val="auto"/>
                <w:szCs w:val="21"/>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165095A8">
            <w:pPr>
              <w:spacing w:line="240" w:lineRule="exact"/>
              <w:rPr>
                <w:rFonts w:hint="default" w:ascii="Times New Roman" w:hAnsi="Times New Roman" w:eastAsia="仿宋_GB2312" w:cs="Times New Roman"/>
                <w:color w:val="auto"/>
                <w:szCs w:val="21"/>
              </w:rPr>
            </w:pPr>
          </w:p>
        </w:tc>
        <w:tc>
          <w:tcPr>
            <w:tcW w:w="785" w:type="dxa"/>
            <w:tcBorders>
              <w:top w:val="single" w:color="auto" w:sz="4" w:space="0"/>
              <w:left w:val="single" w:color="auto" w:sz="4" w:space="0"/>
              <w:bottom w:val="single" w:color="auto" w:sz="4" w:space="0"/>
              <w:right w:val="single" w:color="auto" w:sz="4" w:space="0"/>
            </w:tcBorders>
            <w:noWrap w:val="0"/>
            <w:vAlign w:val="center"/>
          </w:tcPr>
          <w:p w14:paraId="70A224C7">
            <w:pPr>
              <w:spacing w:line="240" w:lineRule="exact"/>
              <w:rPr>
                <w:rFonts w:hint="default" w:ascii="Times New Roman" w:hAnsi="Times New Roman" w:eastAsia="仿宋_GB2312" w:cs="Times New Roman"/>
                <w:color w:val="auto"/>
                <w:szCs w:val="21"/>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E8EB10D">
            <w:pPr>
              <w:spacing w:line="240" w:lineRule="exact"/>
              <w:rPr>
                <w:rFonts w:hint="default" w:ascii="Times New Roman" w:hAnsi="Times New Roman" w:eastAsia="仿宋_GB2312" w:cs="Times New Roman"/>
                <w:color w:val="auto"/>
                <w:szCs w:val="21"/>
              </w:rPr>
            </w:pPr>
          </w:p>
        </w:tc>
        <w:tc>
          <w:tcPr>
            <w:tcW w:w="987" w:type="dxa"/>
            <w:tcBorders>
              <w:top w:val="single" w:color="auto" w:sz="4" w:space="0"/>
              <w:left w:val="single" w:color="auto" w:sz="4" w:space="0"/>
              <w:bottom w:val="single" w:color="auto" w:sz="4" w:space="0"/>
              <w:right w:val="single" w:color="auto" w:sz="4" w:space="0"/>
            </w:tcBorders>
            <w:noWrap w:val="0"/>
            <w:vAlign w:val="center"/>
          </w:tcPr>
          <w:p w14:paraId="76A14EED">
            <w:pPr>
              <w:spacing w:line="240" w:lineRule="exact"/>
              <w:rPr>
                <w:rFonts w:hint="default" w:ascii="Times New Roman" w:hAnsi="Times New Roman" w:eastAsia="仿宋_GB2312" w:cs="Times New Roman"/>
                <w:color w:val="auto"/>
                <w:szCs w:val="21"/>
              </w:rPr>
            </w:pPr>
          </w:p>
        </w:tc>
      </w:tr>
    </w:tbl>
    <w:p w14:paraId="1FAC633A">
      <w:pPr>
        <w:rPr>
          <w:rFonts w:hint="default" w:ascii="Times New Roman" w:hAnsi="Times New Roman" w:eastAsia="仿宋_GB2312" w:cs="Times New Roman"/>
          <w:color w:val="auto"/>
          <w:sz w:val="32"/>
          <w:szCs w:val="22"/>
        </w:rPr>
      </w:pPr>
    </w:p>
    <w:p w14:paraId="36876500">
      <w:pPr>
        <w:rPr>
          <w:rFonts w:hint="default" w:ascii="Times New Roman" w:hAnsi="Times New Roman" w:eastAsia="仿宋_GB2312" w:cs="Times New Roman"/>
          <w:color w:val="auto"/>
          <w:sz w:val="32"/>
          <w:szCs w:val="22"/>
        </w:rPr>
      </w:pPr>
    </w:p>
    <w:p w14:paraId="3C8497B0">
      <w:pPr>
        <w:pStyle w:val="4"/>
        <w:rPr>
          <w:rFonts w:hint="default" w:ascii="Times New Roman" w:hAnsi="Times New Roman" w:cs="Times New Roman"/>
          <w:color w:val="auto"/>
        </w:rPr>
      </w:pPr>
    </w:p>
    <w:p w14:paraId="240B8DEB">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7</w:t>
      </w:r>
    </w:p>
    <w:p w14:paraId="58935549">
      <w:pPr>
        <w:spacing w:line="240" w:lineRule="atLeast"/>
        <w:jc w:val="center"/>
        <w:rPr>
          <w:rFonts w:hint="default" w:ascii="Times New Roman" w:hAnsi="Times New Roman" w:eastAsia="方正小标宋简体" w:cs="Times New Roman"/>
          <w:bCs/>
          <w:color w:val="auto"/>
          <w:sz w:val="44"/>
          <w:szCs w:val="22"/>
        </w:rPr>
      </w:pPr>
      <w:r>
        <w:rPr>
          <w:rFonts w:hint="default" w:ascii="Times New Roman" w:hAnsi="Times New Roman" w:eastAsia="方正小标宋简体" w:cs="Times New Roman"/>
          <w:bCs/>
          <w:color w:val="auto"/>
          <w:sz w:val="44"/>
        </w:rPr>
        <w:t>2025年</w:t>
      </w:r>
      <w:r>
        <w:rPr>
          <w:rFonts w:hint="default" w:ascii="Times New Roman" w:hAnsi="Times New Roman" w:eastAsia="方正小标宋简体" w:cs="Times New Roman"/>
          <w:bCs/>
          <w:color w:val="auto"/>
          <w:sz w:val="44"/>
          <w:szCs w:val="22"/>
        </w:rPr>
        <w:t>职业健康检查机构、职业病诊断机构</w:t>
      </w:r>
      <w:r>
        <w:rPr>
          <w:rFonts w:hint="default" w:ascii="Times New Roman" w:hAnsi="Times New Roman" w:eastAsia="方正小标宋简体" w:cs="Times New Roman"/>
          <w:bCs/>
          <w:color w:val="auto"/>
          <w:sz w:val="44"/>
          <w:szCs w:val="44"/>
        </w:rPr>
        <w:t>国家随机监督抽查汇总表</w:t>
      </w:r>
    </w:p>
    <w:tbl>
      <w:tblPr>
        <w:tblStyle w:val="5"/>
        <w:tblW w:w="14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723"/>
        <w:gridCol w:w="777"/>
        <w:gridCol w:w="1160"/>
        <w:gridCol w:w="981"/>
        <w:gridCol w:w="941"/>
        <w:gridCol w:w="1091"/>
        <w:gridCol w:w="696"/>
        <w:gridCol w:w="1118"/>
        <w:gridCol w:w="941"/>
        <w:gridCol w:w="1036"/>
        <w:gridCol w:w="791"/>
        <w:gridCol w:w="1268"/>
        <w:gridCol w:w="450"/>
        <w:gridCol w:w="777"/>
      </w:tblGrid>
      <w:tr w14:paraId="2215D142">
        <w:trPr>
          <w:trHeight w:val="757" w:hRule="atLeast"/>
        </w:trPr>
        <w:tc>
          <w:tcPr>
            <w:tcW w:w="1721" w:type="dxa"/>
            <w:vMerge w:val="restart"/>
            <w:tcBorders>
              <w:top w:val="single" w:color="auto" w:sz="4" w:space="0"/>
              <w:left w:val="single" w:color="auto" w:sz="4" w:space="0"/>
              <w:bottom w:val="single" w:color="auto" w:sz="4" w:space="0"/>
              <w:right w:val="single" w:color="auto" w:sz="4" w:space="0"/>
            </w:tcBorders>
            <w:noWrap w:val="0"/>
            <w:vAlign w:val="center"/>
          </w:tcPr>
          <w:p w14:paraId="37590021">
            <w:pPr>
              <w:spacing w:line="240" w:lineRule="exact"/>
              <w:rPr>
                <w:rFonts w:hint="default" w:ascii="Times New Roman" w:hAnsi="Times New Roman" w:eastAsia="仿宋_GB2312" w:cs="Times New Roman"/>
                <w:color w:val="auto"/>
                <w:sz w:val="24"/>
                <w:szCs w:val="22"/>
              </w:rPr>
            </w:pPr>
          </w:p>
        </w:tc>
        <w:tc>
          <w:tcPr>
            <w:tcW w:w="723" w:type="dxa"/>
            <w:vMerge w:val="restart"/>
            <w:tcBorders>
              <w:top w:val="single" w:color="auto" w:sz="4" w:space="0"/>
              <w:left w:val="single" w:color="auto" w:sz="4" w:space="0"/>
              <w:bottom w:val="single" w:color="auto" w:sz="4" w:space="0"/>
              <w:right w:val="single" w:color="auto" w:sz="4" w:space="0"/>
            </w:tcBorders>
            <w:noWrap w:val="0"/>
            <w:vAlign w:val="center"/>
          </w:tcPr>
          <w:p w14:paraId="6EA03954">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辖区内单位总数</w:t>
            </w:r>
          </w:p>
        </w:tc>
        <w:tc>
          <w:tcPr>
            <w:tcW w:w="777" w:type="dxa"/>
            <w:vMerge w:val="restart"/>
            <w:tcBorders>
              <w:top w:val="single" w:color="auto" w:sz="4" w:space="0"/>
              <w:left w:val="single" w:color="auto" w:sz="4" w:space="0"/>
              <w:bottom w:val="single" w:color="auto" w:sz="4" w:space="0"/>
              <w:right w:val="single" w:color="auto" w:sz="4" w:space="0"/>
            </w:tcBorders>
            <w:noWrap w:val="0"/>
            <w:vAlign w:val="center"/>
          </w:tcPr>
          <w:p w14:paraId="7DC9B02D">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检查单位数</w:t>
            </w:r>
          </w:p>
        </w:tc>
        <w:tc>
          <w:tcPr>
            <w:tcW w:w="10023" w:type="dxa"/>
            <w:gridSpan w:val="10"/>
            <w:tcBorders>
              <w:top w:val="single" w:color="auto" w:sz="4" w:space="0"/>
              <w:left w:val="single" w:color="auto" w:sz="4" w:space="0"/>
              <w:bottom w:val="single" w:color="auto" w:sz="4" w:space="0"/>
              <w:right w:val="single" w:color="auto" w:sz="4" w:space="0"/>
            </w:tcBorders>
            <w:noWrap w:val="0"/>
            <w:vAlign w:val="center"/>
          </w:tcPr>
          <w:p w14:paraId="2C84871D">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不合格情况</w:t>
            </w:r>
          </w:p>
        </w:tc>
        <w:tc>
          <w:tcPr>
            <w:tcW w:w="1227" w:type="dxa"/>
            <w:gridSpan w:val="2"/>
            <w:tcBorders>
              <w:top w:val="single" w:color="auto" w:sz="4" w:space="0"/>
              <w:left w:val="single" w:color="auto" w:sz="4" w:space="0"/>
              <w:bottom w:val="single" w:color="auto" w:sz="4" w:space="0"/>
              <w:right w:val="single" w:color="auto" w:sz="4" w:space="0"/>
            </w:tcBorders>
            <w:noWrap w:val="0"/>
            <w:vAlign w:val="center"/>
          </w:tcPr>
          <w:p w14:paraId="5C73D58B">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行政处罚情况</w:t>
            </w:r>
          </w:p>
        </w:tc>
      </w:tr>
      <w:tr w14:paraId="2144EEA6">
        <w:trPr>
          <w:trHeight w:val="2202" w:hRule="atLeast"/>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60554639">
            <w:pPr>
              <w:spacing w:line="240" w:lineRule="exact"/>
              <w:jc w:val="center"/>
              <w:rPr>
                <w:rFonts w:hint="default" w:ascii="Times New Roman" w:hAnsi="Times New Roman" w:eastAsia="仿宋_GB2312" w:cs="Times New Roman"/>
                <w:color w:val="auto"/>
                <w:sz w:val="24"/>
                <w:szCs w:val="22"/>
              </w:rPr>
            </w:pPr>
          </w:p>
        </w:tc>
        <w:tc>
          <w:tcPr>
            <w:tcW w:w="723" w:type="dxa"/>
            <w:vMerge w:val="continue"/>
            <w:tcBorders>
              <w:top w:val="single" w:color="auto" w:sz="4" w:space="0"/>
              <w:left w:val="single" w:color="auto" w:sz="4" w:space="0"/>
              <w:bottom w:val="single" w:color="auto" w:sz="4" w:space="0"/>
              <w:right w:val="single" w:color="auto" w:sz="4" w:space="0"/>
            </w:tcBorders>
            <w:noWrap w:val="0"/>
            <w:vAlign w:val="center"/>
          </w:tcPr>
          <w:p w14:paraId="686CFB6C">
            <w:pPr>
              <w:spacing w:line="240" w:lineRule="exact"/>
              <w:jc w:val="center"/>
              <w:rPr>
                <w:rFonts w:hint="default" w:ascii="Times New Roman" w:hAnsi="Times New Roman" w:eastAsia="仿宋_GB2312" w:cs="Times New Roman"/>
                <w:color w:val="auto"/>
                <w:sz w:val="21"/>
                <w:szCs w:val="21"/>
              </w:rPr>
            </w:pPr>
          </w:p>
        </w:tc>
        <w:tc>
          <w:tcPr>
            <w:tcW w:w="777" w:type="dxa"/>
            <w:vMerge w:val="continue"/>
            <w:tcBorders>
              <w:top w:val="single" w:color="auto" w:sz="4" w:space="0"/>
              <w:left w:val="single" w:color="auto" w:sz="4" w:space="0"/>
              <w:bottom w:val="single" w:color="auto" w:sz="4" w:space="0"/>
              <w:right w:val="single" w:color="auto" w:sz="4" w:space="0"/>
            </w:tcBorders>
            <w:noWrap w:val="0"/>
            <w:vAlign w:val="center"/>
          </w:tcPr>
          <w:p w14:paraId="01AB85FD">
            <w:pPr>
              <w:spacing w:line="240" w:lineRule="exact"/>
              <w:jc w:val="center"/>
              <w:rPr>
                <w:rFonts w:hint="default" w:ascii="Times New Roman" w:hAnsi="Times New Roman" w:eastAsia="仿宋_GB2312" w:cs="Times New Roman"/>
                <w:color w:val="auto"/>
                <w:sz w:val="21"/>
                <w:szCs w:val="21"/>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11DE52C7">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未在备案范围内开展工作单位数</w:t>
            </w:r>
          </w:p>
        </w:tc>
        <w:tc>
          <w:tcPr>
            <w:tcW w:w="981" w:type="dxa"/>
            <w:tcBorders>
              <w:top w:val="single" w:color="auto" w:sz="4" w:space="0"/>
              <w:left w:val="single" w:color="auto" w:sz="4" w:space="0"/>
              <w:bottom w:val="single" w:color="auto" w:sz="4" w:space="0"/>
              <w:right w:val="single" w:color="auto" w:sz="4" w:space="0"/>
            </w:tcBorders>
            <w:noWrap w:val="0"/>
            <w:vAlign w:val="center"/>
          </w:tcPr>
          <w:p w14:paraId="7DBEF161">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出具的报告书、诊断证明书不符合相关要求单位数</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0DE4EFE4">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人员不能满足工作要求单位数</w:t>
            </w:r>
          </w:p>
        </w:tc>
        <w:tc>
          <w:tcPr>
            <w:tcW w:w="1091" w:type="dxa"/>
            <w:tcBorders>
              <w:top w:val="single" w:color="auto" w:sz="4" w:space="0"/>
              <w:left w:val="single" w:color="auto" w:sz="4" w:space="0"/>
              <w:bottom w:val="single" w:color="auto" w:sz="4" w:space="0"/>
              <w:right w:val="single" w:color="auto" w:sz="4" w:space="0"/>
            </w:tcBorders>
            <w:noWrap w:val="0"/>
            <w:vAlign w:val="center"/>
          </w:tcPr>
          <w:p w14:paraId="6B51C076">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仪器设备场所不能满足工作要求单位数</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4CF546CE">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出具虚假证明文件</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1C91E32">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质量控制、程序不符合相关要求单位数</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71BBA6F3">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档案管理不符合相关要求单位数</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25677867">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管理制度不符合相关要求单位数</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4C8E5DED">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劳动者保护不符合相关要求单位数</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A7C1DA0">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职业健康检查结果、职业禁忌、疑似职业病、职业病的告知、通知、报告不符合相关要求单位数</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4448D03F">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案件查处数</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5435203D">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罚没款金额</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万元）</w:t>
            </w:r>
          </w:p>
        </w:tc>
      </w:tr>
      <w:tr w14:paraId="2CA1FCFC">
        <w:trPr>
          <w:trHeight w:val="664" w:hRule="atLeast"/>
        </w:trPr>
        <w:tc>
          <w:tcPr>
            <w:tcW w:w="1721" w:type="dxa"/>
            <w:tcBorders>
              <w:top w:val="single" w:color="auto" w:sz="4" w:space="0"/>
              <w:left w:val="single" w:color="auto" w:sz="4" w:space="0"/>
              <w:bottom w:val="single" w:color="auto" w:sz="4" w:space="0"/>
              <w:right w:val="single" w:color="auto" w:sz="4" w:space="0"/>
            </w:tcBorders>
            <w:noWrap w:val="0"/>
            <w:vAlign w:val="center"/>
          </w:tcPr>
          <w:p w14:paraId="08EA4D13">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职业健康检查机构</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1787E9E2">
            <w:pPr>
              <w:spacing w:line="240" w:lineRule="exact"/>
              <w:jc w:val="center"/>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3C5F03BA">
            <w:pPr>
              <w:spacing w:line="240" w:lineRule="exact"/>
              <w:jc w:val="center"/>
              <w:rPr>
                <w:rFonts w:hint="default" w:ascii="Times New Roman" w:hAnsi="Times New Roman" w:eastAsia="仿宋_GB2312" w:cs="Times New Roman"/>
                <w:color w:val="auto"/>
                <w:sz w:val="24"/>
                <w:szCs w:val="22"/>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4A1A6A4C">
            <w:pPr>
              <w:spacing w:line="240" w:lineRule="exact"/>
              <w:jc w:val="center"/>
              <w:rPr>
                <w:rFonts w:hint="default" w:ascii="Times New Roman" w:hAnsi="Times New Roman" w:eastAsia="仿宋_GB2312" w:cs="Times New Roman"/>
                <w:color w:val="auto"/>
                <w:sz w:val="24"/>
                <w:szCs w:val="22"/>
              </w:rPr>
            </w:pPr>
          </w:p>
        </w:tc>
        <w:tc>
          <w:tcPr>
            <w:tcW w:w="981" w:type="dxa"/>
            <w:tcBorders>
              <w:top w:val="single" w:color="auto" w:sz="4" w:space="0"/>
              <w:left w:val="single" w:color="auto" w:sz="4" w:space="0"/>
              <w:bottom w:val="single" w:color="auto" w:sz="4" w:space="0"/>
              <w:right w:val="single" w:color="auto" w:sz="4" w:space="0"/>
            </w:tcBorders>
            <w:noWrap w:val="0"/>
            <w:vAlign w:val="center"/>
          </w:tcPr>
          <w:p w14:paraId="6FC61FFA">
            <w:pPr>
              <w:spacing w:line="240" w:lineRule="exact"/>
              <w:jc w:val="center"/>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5B4EA0F9">
            <w:pPr>
              <w:spacing w:line="240" w:lineRule="exact"/>
              <w:jc w:val="center"/>
              <w:rPr>
                <w:rFonts w:hint="default" w:ascii="Times New Roman" w:hAnsi="Times New Roman" w:eastAsia="仿宋_GB2312" w:cs="Times New Roman"/>
                <w:color w:val="auto"/>
                <w:sz w:val="24"/>
                <w:szCs w:val="22"/>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6815FAB0">
            <w:pPr>
              <w:spacing w:line="240" w:lineRule="exact"/>
              <w:jc w:val="center"/>
              <w:rPr>
                <w:rFonts w:hint="default" w:ascii="Times New Roman" w:hAnsi="Times New Roman" w:eastAsia="仿宋_GB2312" w:cs="Times New Roman"/>
                <w:color w:val="auto"/>
                <w:sz w:val="24"/>
                <w:szCs w:val="22"/>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35A986D3">
            <w:pPr>
              <w:spacing w:line="240" w:lineRule="exact"/>
              <w:jc w:val="center"/>
              <w:rPr>
                <w:rFonts w:hint="default" w:ascii="Times New Roman" w:hAnsi="Times New Roman" w:eastAsia="仿宋_GB2312" w:cs="Times New Roman"/>
                <w:color w:val="auto"/>
                <w:sz w:val="24"/>
                <w:szCs w:val="22"/>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9C439CB">
            <w:pPr>
              <w:spacing w:line="240" w:lineRule="exact"/>
              <w:jc w:val="center"/>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6AAD65F1">
            <w:pPr>
              <w:spacing w:line="240" w:lineRule="exact"/>
              <w:jc w:val="center"/>
              <w:rPr>
                <w:rFonts w:hint="default" w:ascii="Times New Roman" w:hAnsi="Times New Roman" w:eastAsia="仿宋_GB2312" w:cs="Times New Roman"/>
                <w:color w:val="auto"/>
                <w:sz w:val="24"/>
                <w:szCs w:val="22"/>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6E6F078C">
            <w:pPr>
              <w:spacing w:line="240" w:lineRule="exact"/>
              <w:jc w:val="center"/>
              <w:rPr>
                <w:rFonts w:hint="default" w:ascii="Times New Roman" w:hAnsi="Times New Roman" w:eastAsia="仿宋_GB2312" w:cs="Times New Roman"/>
                <w:color w:val="auto"/>
                <w:sz w:val="24"/>
                <w:szCs w:val="22"/>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5795E631">
            <w:pPr>
              <w:spacing w:line="240" w:lineRule="exact"/>
              <w:jc w:val="center"/>
              <w:rPr>
                <w:rFonts w:hint="default" w:ascii="Times New Roman" w:hAnsi="Times New Roman" w:eastAsia="仿宋_GB2312" w:cs="Times New Roman"/>
                <w:color w:val="auto"/>
                <w:sz w:val="24"/>
                <w:szCs w:val="22"/>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623C86F">
            <w:pPr>
              <w:spacing w:line="240" w:lineRule="exact"/>
              <w:jc w:val="center"/>
              <w:rPr>
                <w:rFonts w:hint="default" w:ascii="Times New Roman" w:hAnsi="Times New Roman" w:eastAsia="仿宋_GB2312" w:cs="Times New Roman"/>
                <w:color w:val="auto"/>
                <w:sz w:val="24"/>
                <w:szCs w:val="22"/>
              </w:rPr>
            </w:pPr>
          </w:p>
        </w:tc>
        <w:tc>
          <w:tcPr>
            <w:tcW w:w="450" w:type="dxa"/>
            <w:tcBorders>
              <w:top w:val="single" w:color="auto" w:sz="4" w:space="0"/>
              <w:left w:val="single" w:color="auto" w:sz="4" w:space="0"/>
              <w:bottom w:val="single" w:color="auto" w:sz="4" w:space="0"/>
              <w:right w:val="single" w:color="auto" w:sz="4" w:space="0"/>
            </w:tcBorders>
            <w:noWrap w:val="0"/>
            <w:vAlign w:val="center"/>
          </w:tcPr>
          <w:p w14:paraId="22F97203">
            <w:pPr>
              <w:spacing w:line="240" w:lineRule="exact"/>
              <w:jc w:val="center"/>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0B7CB75B">
            <w:pPr>
              <w:spacing w:line="240" w:lineRule="exact"/>
              <w:jc w:val="center"/>
              <w:rPr>
                <w:rFonts w:hint="default" w:ascii="Times New Roman" w:hAnsi="Times New Roman" w:eastAsia="仿宋_GB2312" w:cs="Times New Roman"/>
                <w:color w:val="auto"/>
                <w:sz w:val="24"/>
                <w:szCs w:val="22"/>
              </w:rPr>
            </w:pPr>
          </w:p>
        </w:tc>
      </w:tr>
      <w:tr w14:paraId="2A34315A">
        <w:trPr>
          <w:trHeight w:val="664" w:hRule="atLeast"/>
        </w:trPr>
        <w:tc>
          <w:tcPr>
            <w:tcW w:w="1721" w:type="dxa"/>
            <w:tcBorders>
              <w:top w:val="single" w:color="auto" w:sz="4" w:space="0"/>
              <w:left w:val="single" w:color="auto" w:sz="4" w:space="0"/>
              <w:bottom w:val="single" w:color="auto" w:sz="4" w:space="0"/>
              <w:right w:val="single" w:color="auto" w:sz="4" w:space="0"/>
            </w:tcBorders>
            <w:noWrap w:val="0"/>
            <w:vAlign w:val="center"/>
          </w:tcPr>
          <w:p w14:paraId="03DDDCDA">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职业病诊断机构</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6AA8E62">
            <w:pPr>
              <w:spacing w:line="240" w:lineRule="exact"/>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19B1D9C8">
            <w:pPr>
              <w:spacing w:line="240" w:lineRule="exact"/>
              <w:rPr>
                <w:rFonts w:hint="default" w:ascii="Times New Roman" w:hAnsi="Times New Roman" w:eastAsia="仿宋_GB2312" w:cs="Times New Roman"/>
                <w:color w:val="auto"/>
                <w:sz w:val="24"/>
                <w:szCs w:val="22"/>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7D88641F">
            <w:pPr>
              <w:spacing w:line="240" w:lineRule="exact"/>
              <w:rPr>
                <w:rFonts w:hint="default" w:ascii="Times New Roman" w:hAnsi="Times New Roman" w:eastAsia="仿宋_GB2312" w:cs="Times New Roman"/>
                <w:color w:val="auto"/>
                <w:sz w:val="24"/>
                <w:szCs w:val="22"/>
              </w:rPr>
            </w:pPr>
          </w:p>
        </w:tc>
        <w:tc>
          <w:tcPr>
            <w:tcW w:w="981" w:type="dxa"/>
            <w:tcBorders>
              <w:top w:val="single" w:color="auto" w:sz="4" w:space="0"/>
              <w:left w:val="single" w:color="auto" w:sz="4" w:space="0"/>
              <w:bottom w:val="single" w:color="auto" w:sz="4" w:space="0"/>
              <w:right w:val="single" w:color="auto" w:sz="4" w:space="0"/>
            </w:tcBorders>
            <w:noWrap w:val="0"/>
            <w:vAlign w:val="center"/>
          </w:tcPr>
          <w:p w14:paraId="73FC5105">
            <w:pPr>
              <w:spacing w:line="240" w:lineRule="exact"/>
              <w:jc w:val="center"/>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06A21446">
            <w:pPr>
              <w:spacing w:line="240" w:lineRule="exact"/>
              <w:jc w:val="center"/>
              <w:rPr>
                <w:rFonts w:hint="default" w:ascii="Times New Roman" w:hAnsi="Times New Roman" w:eastAsia="仿宋_GB2312" w:cs="Times New Roman"/>
                <w:color w:val="auto"/>
                <w:sz w:val="24"/>
                <w:szCs w:val="22"/>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2D0F7A7B">
            <w:pPr>
              <w:spacing w:line="240" w:lineRule="exact"/>
              <w:jc w:val="center"/>
              <w:rPr>
                <w:rFonts w:hint="default" w:ascii="Times New Roman" w:hAnsi="Times New Roman" w:eastAsia="仿宋_GB2312" w:cs="Times New Roman"/>
                <w:color w:val="auto"/>
                <w:sz w:val="24"/>
                <w:szCs w:val="22"/>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452519BD">
            <w:pPr>
              <w:spacing w:line="240" w:lineRule="exact"/>
              <w:jc w:val="center"/>
              <w:rPr>
                <w:rFonts w:hint="default" w:ascii="Times New Roman" w:hAnsi="Times New Roman" w:eastAsia="仿宋_GB2312" w:cs="Times New Roman"/>
                <w:color w:val="auto"/>
                <w:sz w:val="24"/>
                <w:szCs w:val="22"/>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3D7DDD7">
            <w:pPr>
              <w:spacing w:line="240" w:lineRule="exact"/>
              <w:jc w:val="center"/>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35E249D3">
            <w:pPr>
              <w:spacing w:line="240" w:lineRule="exact"/>
              <w:jc w:val="center"/>
              <w:rPr>
                <w:rFonts w:hint="default" w:ascii="Times New Roman" w:hAnsi="Times New Roman" w:eastAsia="仿宋_GB2312" w:cs="Times New Roman"/>
                <w:color w:val="auto"/>
                <w:sz w:val="24"/>
                <w:szCs w:val="22"/>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38BB3044">
            <w:pPr>
              <w:spacing w:line="240" w:lineRule="exact"/>
              <w:jc w:val="center"/>
              <w:rPr>
                <w:rFonts w:hint="default" w:ascii="Times New Roman" w:hAnsi="Times New Roman" w:eastAsia="仿宋_GB2312" w:cs="Times New Roman"/>
                <w:color w:val="auto"/>
                <w:sz w:val="24"/>
                <w:szCs w:val="22"/>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67B53CB9">
            <w:pPr>
              <w:spacing w:line="240" w:lineRule="exact"/>
              <w:rPr>
                <w:rFonts w:hint="default" w:ascii="Times New Roman" w:hAnsi="Times New Roman" w:eastAsia="仿宋_GB2312" w:cs="Times New Roman"/>
                <w:color w:val="auto"/>
                <w:sz w:val="24"/>
                <w:szCs w:val="22"/>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22769EE">
            <w:pPr>
              <w:spacing w:line="240" w:lineRule="exact"/>
              <w:rPr>
                <w:rFonts w:hint="default" w:ascii="Times New Roman" w:hAnsi="Times New Roman" w:eastAsia="仿宋_GB2312" w:cs="Times New Roman"/>
                <w:color w:val="auto"/>
                <w:sz w:val="24"/>
                <w:szCs w:val="22"/>
              </w:rPr>
            </w:pPr>
          </w:p>
        </w:tc>
        <w:tc>
          <w:tcPr>
            <w:tcW w:w="450" w:type="dxa"/>
            <w:tcBorders>
              <w:top w:val="single" w:color="auto" w:sz="4" w:space="0"/>
              <w:left w:val="single" w:color="auto" w:sz="4" w:space="0"/>
              <w:bottom w:val="single" w:color="auto" w:sz="4" w:space="0"/>
              <w:right w:val="single" w:color="auto" w:sz="4" w:space="0"/>
            </w:tcBorders>
            <w:noWrap w:val="0"/>
            <w:vAlign w:val="center"/>
          </w:tcPr>
          <w:p w14:paraId="120945C2">
            <w:pPr>
              <w:spacing w:line="240" w:lineRule="exact"/>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078F966E">
            <w:pPr>
              <w:spacing w:line="240" w:lineRule="exact"/>
              <w:rPr>
                <w:rFonts w:hint="default" w:ascii="Times New Roman" w:hAnsi="Times New Roman" w:eastAsia="仿宋_GB2312" w:cs="Times New Roman"/>
                <w:color w:val="auto"/>
                <w:sz w:val="24"/>
                <w:szCs w:val="22"/>
              </w:rPr>
            </w:pPr>
          </w:p>
        </w:tc>
      </w:tr>
      <w:tr w14:paraId="29EA4825">
        <w:trPr>
          <w:trHeight w:val="664" w:hRule="atLeast"/>
        </w:trPr>
        <w:tc>
          <w:tcPr>
            <w:tcW w:w="1721" w:type="dxa"/>
            <w:tcBorders>
              <w:top w:val="single" w:color="auto" w:sz="4" w:space="0"/>
              <w:left w:val="single" w:color="auto" w:sz="4" w:space="0"/>
              <w:bottom w:val="single" w:color="auto" w:sz="4" w:space="0"/>
              <w:right w:val="single" w:color="auto" w:sz="4" w:space="0"/>
            </w:tcBorders>
            <w:noWrap w:val="0"/>
            <w:vAlign w:val="center"/>
          </w:tcPr>
          <w:p w14:paraId="01936BC5">
            <w:pPr>
              <w:spacing w:line="24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合计</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01FB220E">
            <w:pPr>
              <w:spacing w:line="240" w:lineRule="exact"/>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1E0F4830">
            <w:pPr>
              <w:spacing w:line="240" w:lineRule="exact"/>
              <w:rPr>
                <w:rFonts w:hint="default" w:ascii="Times New Roman" w:hAnsi="Times New Roman" w:eastAsia="仿宋_GB2312" w:cs="Times New Roman"/>
                <w:color w:val="auto"/>
                <w:sz w:val="24"/>
                <w:szCs w:val="22"/>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1A35D1B4">
            <w:pPr>
              <w:spacing w:line="240" w:lineRule="exact"/>
              <w:rPr>
                <w:rFonts w:hint="default" w:ascii="Times New Roman" w:hAnsi="Times New Roman" w:eastAsia="仿宋_GB2312" w:cs="Times New Roman"/>
                <w:color w:val="auto"/>
                <w:sz w:val="24"/>
                <w:szCs w:val="22"/>
              </w:rPr>
            </w:pPr>
          </w:p>
        </w:tc>
        <w:tc>
          <w:tcPr>
            <w:tcW w:w="981" w:type="dxa"/>
            <w:tcBorders>
              <w:top w:val="single" w:color="auto" w:sz="4" w:space="0"/>
              <w:left w:val="single" w:color="auto" w:sz="4" w:space="0"/>
              <w:bottom w:val="single" w:color="auto" w:sz="4" w:space="0"/>
              <w:right w:val="single" w:color="auto" w:sz="4" w:space="0"/>
            </w:tcBorders>
            <w:noWrap w:val="0"/>
            <w:vAlign w:val="center"/>
          </w:tcPr>
          <w:p w14:paraId="19326F49">
            <w:pPr>
              <w:spacing w:line="240" w:lineRule="exact"/>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5BDA3173">
            <w:pPr>
              <w:spacing w:line="240" w:lineRule="exact"/>
              <w:rPr>
                <w:rFonts w:hint="default" w:ascii="Times New Roman" w:hAnsi="Times New Roman" w:eastAsia="仿宋_GB2312" w:cs="Times New Roman"/>
                <w:color w:val="auto"/>
                <w:sz w:val="24"/>
                <w:szCs w:val="22"/>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162D5F49">
            <w:pPr>
              <w:spacing w:line="240" w:lineRule="exact"/>
              <w:rPr>
                <w:rFonts w:hint="default" w:ascii="Times New Roman" w:hAnsi="Times New Roman" w:eastAsia="仿宋_GB2312" w:cs="Times New Roman"/>
                <w:color w:val="auto"/>
                <w:sz w:val="24"/>
                <w:szCs w:val="22"/>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3439709F">
            <w:pPr>
              <w:spacing w:line="240" w:lineRule="exact"/>
              <w:rPr>
                <w:rFonts w:hint="default" w:ascii="Times New Roman" w:hAnsi="Times New Roman" w:eastAsia="仿宋_GB2312" w:cs="Times New Roman"/>
                <w:color w:val="auto"/>
                <w:sz w:val="24"/>
                <w:szCs w:val="22"/>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35E4661">
            <w:pPr>
              <w:spacing w:line="240" w:lineRule="exact"/>
              <w:rPr>
                <w:rFonts w:hint="default" w:ascii="Times New Roman" w:hAnsi="Times New Roman" w:eastAsia="仿宋_GB2312" w:cs="Times New Roman"/>
                <w:color w:val="auto"/>
                <w:sz w:val="24"/>
                <w:szCs w:val="22"/>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01AC76A2">
            <w:pPr>
              <w:spacing w:line="240" w:lineRule="exact"/>
              <w:rPr>
                <w:rFonts w:hint="default" w:ascii="Times New Roman" w:hAnsi="Times New Roman" w:eastAsia="仿宋_GB2312" w:cs="Times New Roman"/>
                <w:color w:val="auto"/>
                <w:sz w:val="24"/>
                <w:szCs w:val="22"/>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0DE3B16">
            <w:pPr>
              <w:spacing w:line="240" w:lineRule="exact"/>
              <w:rPr>
                <w:rFonts w:hint="default" w:ascii="Times New Roman" w:hAnsi="Times New Roman" w:eastAsia="仿宋_GB2312" w:cs="Times New Roman"/>
                <w:color w:val="auto"/>
                <w:sz w:val="24"/>
                <w:szCs w:val="22"/>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33B5ADC1">
            <w:pPr>
              <w:spacing w:line="240" w:lineRule="exact"/>
              <w:rPr>
                <w:rFonts w:hint="default" w:ascii="Times New Roman" w:hAnsi="Times New Roman" w:eastAsia="仿宋_GB2312" w:cs="Times New Roman"/>
                <w:color w:val="auto"/>
                <w:sz w:val="24"/>
                <w:szCs w:val="22"/>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FA2C86B">
            <w:pPr>
              <w:spacing w:line="240" w:lineRule="exact"/>
              <w:rPr>
                <w:rFonts w:hint="default" w:ascii="Times New Roman" w:hAnsi="Times New Roman" w:eastAsia="仿宋_GB2312" w:cs="Times New Roman"/>
                <w:color w:val="auto"/>
                <w:sz w:val="24"/>
                <w:szCs w:val="22"/>
              </w:rPr>
            </w:pPr>
          </w:p>
        </w:tc>
        <w:tc>
          <w:tcPr>
            <w:tcW w:w="450" w:type="dxa"/>
            <w:tcBorders>
              <w:top w:val="single" w:color="auto" w:sz="4" w:space="0"/>
              <w:left w:val="single" w:color="auto" w:sz="4" w:space="0"/>
              <w:bottom w:val="single" w:color="auto" w:sz="4" w:space="0"/>
              <w:right w:val="single" w:color="auto" w:sz="4" w:space="0"/>
            </w:tcBorders>
            <w:noWrap w:val="0"/>
            <w:vAlign w:val="center"/>
          </w:tcPr>
          <w:p w14:paraId="3CF894E3">
            <w:pPr>
              <w:spacing w:line="240" w:lineRule="exact"/>
              <w:rPr>
                <w:rFonts w:hint="default" w:ascii="Times New Roman" w:hAnsi="Times New Roman" w:eastAsia="仿宋_GB2312" w:cs="Times New Roman"/>
                <w:color w:val="auto"/>
                <w:sz w:val="24"/>
                <w:szCs w:val="22"/>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7CE11877">
            <w:pPr>
              <w:spacing w:line="240" w:lineRule="exact"/>
              <w:rPr>
                <w:rFonts w:hint="default" w:ascii="Times New Roman" w:hAnsi="Times New Roman" w:eastAsia="仿宋_GB2312" w:cs="Times New Roman"/>
                <w:color w:val="auto"/>
                <w:sz w:val="24"/>
                <w:szCs w:val="22"/>
              </w:rPr>
            </w:pPr>
          </w:p>
        </w:tc>
      </w:tr>
    </w:tbl>
    <w:p w14:paraId="798BE452">
      <w:pPr>
        <w:rPr>
          <w:rFonts w:hint="default" w:ascii="Times New Roman" w:hAnsi="Times New Roman" w:cs="Times New Roman"/>
          <w:color w:val="auto"/>
          <w:szCs w:val="22"/>
        </w:rPr>
      </w:pPr>
    </w:p>
    <w:p w14:paraId="1517217F">
      <w:pPr>
        <w:spacing w:before="156" w:beforeLines="50" w:line="600" w:lineRule="exact"/>
        <w:jc w:val="left"/>
        <w:rPr>
          <w:rFonts w:hint="default" w:ascii="Times New Roman" w:hAnsi="Times New Roman" w:eastAsia="黑体" w:cs="Times New Roman"/>
          <w:color w:val="auto"/>
          <w:sz w:val="32"/>
          <w:szCs w:val="32"/>
        </w:rPr>
      </w:pPr>
    </w:p>
    <w:p w14:paraId="16924292">
      <w:pPr>
        <w:spacing w:line="590" w:lineRule="exact"/>
        <w:rPr>
          <w:rFonts w:hint="default" w:ascii="Times New Roman" w:hAnsi="Times New Roman" w:eastAsia="黑体" w:cs="Times New Roman"/>
          <w:color w:val="auto"/>
          <w:sz w:val="32"/>
          <w:szCs w:val="32"/>
        </w:rPr>
      </w:pPr>
    </w:p>
    <w:p w14:paraId="34D5C33F">
      <w:pPr>
        <w:spacing w:line="590" w:lineRule="exact"/>
        <w:rPr>
          <w:rFonts w:hint="default" w:ascii="Times New Roman" w:hAnsi="Times New Roman" w:eastAsia="黑体" w:cs="Times New Roman"/>
          <w:color w:val="auto"/>
          <w:sz w:val="32"/>
          <w:szCs w:val="32"/>
        </w:rPr>
        <w:sectPr>
          <w:headerReference r:id="rId3" w:type="default"/>
          <w:footerReference r:id="rId4" w:type="default"/>
          <w:pgSz w:w="16838" w:h="11906" w:orient="landscape"/>
          <w:pgMar w:top="1474" w:right="1417" w:bottom="1474" w:left="1417" w:header="850" w:footer="907" w:gutter="0"/>
          <w:pgBorders w:offsetFrom="page">
            <w:top w:val="none" w:sz="0" w:space="0"/>
            <w:left w:val="none" w:sz="0" w:space="0"/>
            <w:bottom w:val="none" w:sz="0" w:space="0"/>
            <w:right w:val="none" w:sz="0" w:space="0"/>
          </w:pgBorders>
          <w:pgNumType w:fmt="decimal"/>
          <w:cols w:space="720" w:num="1"/>
          <w:rtlGutter w:val="0"/>
          <w:docGrid w:type="lines" w:linePitch="452" w:charSpace="0"/>
        </w:sectPr>
      </w:pPr>
    </w:p>
    <w:p w14:paraId="21D73AD7">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default" w:ascii="Times New Roman" w:hAnsi="Times New Roman" w:eastAsia="黑体" w:cs="Times New Roman"/>
          <w:color w:val="auto"/>
          <w:sz w:val="32"/>
          <w:szCs w:val="32"/>
          <w:lang w:val="en-US" w:eastAsia="zh-CN"/>
        </w:rPr>
        <w:t>8</w:t>
      </w:r>
    </w:p>
    <w:p w14:paraId="5ED469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简体" w:cs="Times New Roman"/>
          <w:bCs/>
          <w:color w:val="auto"/>
          <w:sz w:val="44"/>
          <w:szCs w:val="22"/>
          <w:lang w:eastAsia="zh-CN"/>
        </w:rPr>
      </w:pPr>
      <w:r>
        <w:rPr>
          <w:rFonts w:hint="default" w:ascii="Times New Roman" w:hAnsi="Times New Roman" w:eastAsia="方正小标宋简体" w:cs="Times New Roman"/>
          <w:bCs/>
          <w:color w:val="auto"/>
          <w:sz w:val="44"/>
          <w:szCs w:val="22"/>
        </w:rPr>
        <w:t>2025年</w:t>
      </w:r>
      <w:r>
        <w:rPr>
          <w:rFonts w:hint="eastAsia" w:eastAsia="方正小标宋简体" w:cs="Times New Roman"/>
          <w:bCs/>
          <w:color w:val="auto"/>
          <w:sz w:val="44"/>
          <w:szCs w:val="22"/>
          <w:lang w:eastAsia="zh-CN"/>
        </w:rPr>
        <w:t>天津市用人单位职业卫生</w:t>
      </w:r>
    </w:p>
    <w:p w14:paraId="66DB33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bCs/>
          <w:color w:val="auto"/>
          <w:sz w:val="44"/>
          <w:szCs w:val="44"/>
          <w:lang w:eastAsia="zh-CN"/>
        </w:rPr>
      </w:pPr>
      <w:r>
        <w:rPr>
          <w:rFonts w:hint="eastAsia" w:eastAsia="方正小标宋简体" w:cs="Times New Roman"/>
          <w:bCs/>
          <w:color w:val="auto"/>
          <w:sz w:val="44"/>
          <w:szCs w:val="22"/>
          <w:lang w:eastAsia="zh-CN"/>
        </w:rPr>
        <w:t>国家随机监督抽查安排</w:t>
      </w:r>
    </w:p>
    <w:p w14:paraId="0301BBE6">
      <w:pPr>
        <w:spacing w:line="240" w:lineRule="exact"/>
        <w:ind w:right="-643" w:rightChars="-306"/>
        <w:jc w:val="center"/>
        <w:rPr>
          <w:rFonts w:ascii="Times New Roman" w:hAnsi="Times New Roman" w:eastAsia="仿宋"/>
          <w:color w:val="auto"/>
          <w:sz w:val="24"/>
          <w:szCs w:val="24"/>
        </w:rPr>
      </w:pP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245"/>
        <w:gridCol w:w="2327"/>
        <w:gridCol w:w="2223"/>
      </w:tblGrid>
      <w:tr w14:paraId="60DE6337">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4E717A0C">
            <w:pPr>
              <w:spacing w:line="300" w:lineRule="exact"/>
              <w:jc w:val="center"/>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t>辖区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60AD686">
            <w:pPr>
              <w:spacing w:line="300" w:lineRule="exact"/>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eastAsia="zh-CN"/>
              </w:rPr>
              <w:t>申报系统用人单位</w:t>
            </w:r>
            <w:r>
              <w:rPr>
                <w:rFonts w:hint="default" w:ascii="Times New Roman" w:hAnsi="Times New Roman" w:eastAsia="仿宋" w:cs="Times New Roman"/>
                <w:color w:val="auto"/>
                <w:sz w:val="24"/>
                <w:szCs w:val="24"/>
              </w:rPr>
              <w:t>数</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0B48BE5">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非工业放射用人单位</w:t>
            </w:r>
            <w:r>
              <w:rPr>
                <w:rFonts w:hint="eastAsia" w:ascii="Times New Roman" w:hAnsi="Times New Roman" w:eastAsia="仿宋" w:cs="Times New Roman"/>
                <w:color w:val="auto"/>
                <w:sz w:val="24"/>
                <w:szCs w:val="24"/>
                <w:lang w:eastAsia="zh-CN"/>
              </w:rPr>
              <w:t>任务</w:t>
            </w:r>
            <w:r>
              <w:rPr>
                <w:rFonts w:hint="default" w:ascii="Times New Roman" w:hAnsi="Times New Roman" w:eastAsia="仿宋" w:cs="Times New Roman"/>
                <w:color w:val="auto"/>
                <w:sz w:val="24"/>
                <w:szCs w:val="24"/>
              </w:rPr>
              <w:t>数</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390D915A">
            <w:pPr>
              <w:spacing w:line="300" w:lineRule="exact"/>
              <w:jc w:val="center"/>
              <w:rPr>
                <w:rFonts w:hint="eastAsia" w:eastAsia="仿宋" w:cs="Times New Roman"/>
                <w:color w:val="auto"/>
                <w:sz w:val="24"/>
                <w:szCs w:val="24"/>
                <w:lang w:eastAsia="zh-CN"/>
              </w:rPr>
            </w:pPr>
            <w:r>
              <w:rPr>
                <w:rFonts w:hint="eastAsia" w:eastAsia="仿宋" w:cs="Times New Roman"/>
                <w:color w:val="auto"/>
                <w:sz w:val="24"/>
                <w:szCs w:val="24"/>
                <w:lang w:eastAsia="zh-CN"/>
              </w:rPr>
              <w:t>工业放射应用单位</w:t>
            </w:r>
          </w:p>
          <w:p w14:paraId="62FE40F7">
            <w:pPr>
              <w:spacing w:line="300" w:lineRule="exact"/>
              <w:jc w:val="center"/>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任务数</w:t>
            </w:r>
          </w:p>
        </w:tc>
      </w:tr>
      <w:tr w14:paraId="58B61A9E">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56B70F0F">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和平区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45FC00D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11</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13C35EC2">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3</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7428273D">
            <w:pPr>
              <w:spacing w:line="300" w:lineRule="exact"/>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本底全覆盖</w:t>
            </w:r>
          </w:p>
        </w:tc>
      </w:tr>
      <w:tr w14:paraId="2B5543DC">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23E82EB3">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河东区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0FC21CA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50</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26013684">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10</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44662165">
            <w:pPr>
              <w:spacing w:line="300" w:lineRule="exact"/>
              <w:jc w:val="center"/>
              <w:rPr>
                <w:rFonts w:hint="default" w:ascii="Times New Roman" w:hAnsi="Times New Roman" w:eastAsia="仿宋" w:cs="Times New Roman"/>
                <w:color w:val="auto"/>
                <w:sz w:val="24"/>
                <w:szCs w:val="24"/>
                <w:lang w:val="en-US"/>
              </w:rPr>
            </w:pPr>
            <w:r>
              <w:rPr>
                <w:rFonts w:hint="eastAsia" w:eastAsia="仿宋" w:cs="Times New Roman"/>
                <w:color w:val="auto"/>
                <w:sz w:val="24"/>
                <w:szCs w:val="24"/>
                <w:lang w:val="en-US" w:eastAsia="zh-CN"/>
              </w:rPr>
              <w:t>本底全覆盖</w:t>
            </w:r>
          </w:p>
        </w:tc>
      </w:tr>
      <w:tr w14:paraId="0B94B74D">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4730B08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河西区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23D3B09">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45</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48641DED">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9</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295414C7">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2BD1CC41">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161AAEF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南开区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484CF6C">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51</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14CE1F2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11</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3B433D80">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49F98681">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2952560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河北区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202716C">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25</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1A6739E7">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44B9FD7C">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78856C52">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5330FFB0">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红桥区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449C15C9">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17</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2C1D5D78">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4</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2D99B691">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64573169">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676342C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东丽区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134F068">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291</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0BFE6AE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59</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5F196ED9">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1B466138">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0925659A">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西青区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5E4A34B4">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546</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AEC504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110</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69B39F60">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6200A779">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4FEBA550">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津南区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31435E15">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563</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13AC2AC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113</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60D78D43">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6F5EBA35">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09867EB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北辰区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DF3A414">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466</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8427D3C">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94</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0EC6B2BD">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03DB465A">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2C071DB4">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武清区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5AE00670">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796</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3080780F">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160</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08EA5431">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2A7F2D5A">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127C3ABF">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宝坻区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7DE6A224">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713</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CCF8563">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143</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0E0F24F6">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0472F9CB">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0A3B4B1C">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宁河区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5418C967">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567</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153DDBA">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114</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4067F643">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38E7AA67">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0A7F62D1">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静海区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75484CAC">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806</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201D90C9">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162</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27FCCF14">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01ACCDB5">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297D08EB">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蓟州区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4ADE17E3">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622</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009571BD">
            <w:pPr>
              <w:keepNext w:val="0"/>
              <w:keepLines w:val="0"/>
              <w:widowControl/>
              <w:suppressLineNumbers w:val="0"/>
              <w:jc w:val="center"/>
              <w:textAlignment w:val="center"/>
              <w:rPr>
                <w:rFonts w:hint="default" w:ascii="Times New Roman" w:hAnsi="Times New Roman" w:eastAsia="仿宋" w:cs="Times New Roman"/>
                <w:color w:val="auto"/>
                <w:sz w:val="24"/>
                <w:szCs w:val="24"/>
              </w:rPr>
            </w:pPr>
            <w:r>
              <w:rPr>
                <w:rFonts w:hint="eastAsia" w:ascii="Times New Roman" w:hAnsi="Times New Roman" w:eastAsia="仿宋" w:cs="宋体"/>
                <w:i w:val="0"/>
                <w:iCs w:val="0"/>
                <w:color w:val="auto"/>
                <w:kern w:val="0"/>
                <w:sz w:val="24"/>
                <w:szCs w:val="24"/>
                <w:u w:val="none"/>
                <w:lang w:val="en-US" w:eastAsia="zh-CN" w:bidi="ar"/>
              </w:rPr>
              <w:t>125</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0D1C09CF">
            <w:pPr>
              <w:spacing w:line="300" w:lineRule="exact"/>
              <w:jc w:val="center"/>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本底全覆盖</w:t>
            </w:r>
          </w:p>
        </w:tc>
      </w:tr>
      <w:tr w14:paraId="76E9F490">
        <w:trPr>
          <w:trHeight w:val="567" w:hRule="atLeast"/>
          <w:jc w:val="center"/>
        </w:trPr>
        <w:tc>
          <w:tcPr>
            <w:tcW w:w="1010" w:type="pct"/>
            <w:tcBorders>
              <w:top w:val="single" w:color="auto" w:sz="4" w:space="0"/>
              <w:left w:val="single" w:color="auto" w:sz="4" w:space="0"/>
              <w:bottom w:val="single" w:color="auto" w:sz="4" w:space="0"/>
              <w:right w:val="single" w:color="auto" w:sz="4" w:space="0"/>
            </w:tcBorders>
            <w:noWrap w:val="0"/>
            <w:vAlign w:val="center"/>
          </w:tcPr>
          <w:p w14:paraId="2B0E2558">
            <w:pPr>
              <w:keepNext w:val="0"/>
              <w:keepLines w:val="0"/>
              <w:widowControl/>
              <w:suppressLineNumbers w:val="0"/>
              <w:jc w:val="center"/>
              <w:textAlignment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宋体"/>
                <w:i w:val="0"/>
                <w:iCs w:val="0"/>
                <w:color w:val="auto"/>
                <w:kern w:val="0"/>
                <w:sz w:val="24"/>
                <w:szCs w:val="24"/>
                <w:u w:val="none"/>
                <w:lang w:val="en-US" w:eastAsia="zh-CN" w:bidi="ar"/>
              </w:rPr>
              <w:t>滨海新区</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5E084235">
            <w:pPr>
              <w:keepNext w:val="0"/>
              <w:keepLines w:val="0"/>
              <w:widowControl/>
              <w:suppressLineNumbers w:val="0"/>
              <w:jc w:val="center"/>
              <w:textAlignment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宋体"/>
                <w:i w:val="0"/>
                <w:iCs w:val="0"/>
                <w:color w:val="auto"/>
                <w:kern w:val="0"/>
                <w:sz w:val="24"/>
                <w:szCs w:val="24"/>
                <w:u w:val="none"/>
                <w:lang w:val="en-US" w:eastAsia="zh-CN" w:bidi="ar"/>
              </w:rPr>
              <w:t>1659</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49A72C97">
            <w:pPr>
              <w:keepNext w:val="0"/>
              <w:keepLines w:val="0"/>
              <w:widowControl/>
              <w:suppressLineNumbers w:val="0"/>
              <w:jc w:val="center"/>
              <w:textAlignment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宋体"/>
                <w:i w:val="0"/>
                <w:iCs w:val="0"/>
                <w:color w:val="auto"/>
                <w:kern w:val="0"/>
                <w:sz w:val="24"/>
                <w:szCs w:val="24"/>
                <w:u w:val="none"/>
                <w:lang w:val="en-US" w:eastAsia="zh-CN" w:bidi="ar"/>
              </w:rPr>
              <w:t>332</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2EC005E1">
            <w:pPr>
              <w:spacing w:line="300" w:lineRule="exact"/>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本底全覆盖</w:t>
            </w:r>
          </w:p>
        </w:tc>
      </w:tr>
    </w:tbl>
    <w:p w14:paraId="35D59E84">
      <w:pPr>
        <w:autoSpaceDE w:val="0"/>
        <w:spacing w:line="360" w:lineRule="auto"/>
        <w:rPr>
          <w:rFonts w:hint="eastAsia" w:ascii="宋体" w:hAnsi="宋体" w:eastAsia="仿宋" w:cs="宋体"/>
          <w:b/>
          <w:bCs/>
          <w:color w:val="auto"/>
          <w:kern w:val="0"/>
          <w:sz w:val="22"/>
          <w:szCs w:val="22"/>
          <w:shd w:val="clear" w:color="auto" w:fill="auto"/>
          <w:lang w:val="en-US" w:eastAsia="zh-CN" w:bidi="ar"/>
        </w:rPr>
      </w:pPr>
      <w:r>
        <w:rPr>
          <w:rFonts w:hint="eastAsia" w:ascii="宋体" w:hAnsi="宋体" w:eastAsia="仿宋" w:cs="宋体"/>
          <w:b/>
          <w:bCs/>
          <w:color w:val="auto"/>
          <w:kern w:val="0"/>
          <w:sz w:val="22"/>
          <w:szCs w:val="22"/>
          <w:shd w:val="clear" w:color="auto" w:fill="auto"/>
          <w:lang w:val="en-US" w:eastAsia="zh-CN" w:bidi="ar"/>
        </w:rPr>
        <w:t>注：申报系统用人单位数来自《市卫生健康委关于2025年3月全市职业病危害项目申报工作进展情况的通报》（津卫职健便函〔2025〕328号）。</w:t>
      </w:r>
    </w:p>
    <w:p w14:paraId="0A3275BC">
      <w:pPr>
        <w:spacing w:line="590" w:lineRule="exact"/>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附表</w:t>
      </w:r>
      <w:r>
        <w:rPr>
          <w:rFonts w:hint="eastAsia" w:eastAsia="黑体" w:cs="Times New Roman"/>
          <w:color w:val="auto"/>
          <w:sz w:val="32"/>
          <w:szCs w:val="32"/>
          <w:lang w:val="en-US" w:eastAsia="zh-CN"/>
        </w:rPr>
        <w:t>9</w:t>
      </w:r>
    </w:p>
    <w:p w14:paraId="6C3EBB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简体" w:cs="Times New Roman"/>
          <w:bCs/>
          <w:color w:val="auto"/>
          <w:sz w:val="44"/>
          <w:szCs w:val="22"/>
          <w:lang w:eastAsia="zh-CN"/>
        </w:rPr>
      </w:pPr>
      <w:r>
        <w:rPr>
          <w:rFonts w:hint="eastAsia" w:eastAsia="方正小标宋简体" w:cs="Times New Roman"/>
          <w:bCs/>
          <w:color w:val="auto"/>
          <w:sz w:val="44"/>
          <w:szCs w:val="22"/>
          <w:lang w:eastAsia="zh-CN"/>
        </w:rPr>
        <w:t>用人单位职业卫生</w:t>
      </w:r>
    </w:p>
    <w:p w14:paraId="3EE5BD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方正小标宋简体" w:cs="Times New Roman"/>
          <w:bCs/>
          <w:color w:val="auto"/>
          <w:sz w:val="44"/>
          <w:szCs w:val="22"/>
          <w:lang w:val="en-US" w:eastAsia="zh-CN"/>
        </w:rPr>
      </w:pPr>
      <w:r>
        <w:rPr>
          <w:rFonts w:hint="eastAsia" w:eastAsia="方正小标宋简体" w:cs="Times New Roman"/>
          <w:bCs/>
          <w:color w:val="auto"/>
          <w:sz w:val="44"/>
          <w:szCs w:val="22"/>
          <w:lang w:eastAsia="zh-CN"/>
        </w:rPr>
        <w:t>国家随机监督抽查明细表</w:t>
      </w:r>
    </w:p>
    <w:p w14:paraId="437DCDA5">
      <w:pPr>
        <w:pStyle w:val="4"/>
        <w:jc w:val="left"/>
        <w:rPr>
          <w:rFonts w:hint="default"/>
          <w:color w:val="auto"/>
          <w:sz w:val="28"/>
          <w:szCs w:val="28"/>
          <w:lang w:val="en-US" w:eastAsia="zh-CN"/>
        </w:rPr>
      </w:pPr>
      <w:r>
        <w:rPr>
          <w:rFonts w:hint="eastAsia"/>
          <w:color w:val="auto"/>
          <w:sz w:val="28"/>
          <w:szCs w:val="28"/>
          <w:lang w:eastAsia="zh-CN"/>
        </w:rPr>
        <w:t>填写单位：</w:t>
      </w:r>
      <w:r>
        <w:rPr>
          <w:rFonts w:hint="eastAsia"/>
          <w:color w:val="auto"/>
          <w:sz w:val="28"/>
          <w:szCs w:val="28"/>
          <w:u w:val="single"/>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3572"/>
        <w:gridCol w:w="1838"/>
        <w:gridCol w:w="1192"/>
        <w:gridCol w:w="1148"/>
      </w:tblGrid>
      <w:tr w14:paraId="7A8015C7">
        <w:tc>
          <w:tcPr>
            <w:tcW w:w="801" w:type="dxa"/>
            <w:noWrap w:val="0"/>
            <w:vAlign w:val="top"/>
          </w:tcPr>
          <w:p w14:paraId="15F629A5">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序号</w:t>
            </w:r>
          </w:p>
        </w:tc>
        <w:tc>
          <w:tcPr>
            <w:tcW w:w="3823" w:type="dxa"/>
            <w:noWrap w:val="0"/>
            <w:vAlign w:val="top"/>
          </w:tcPr>
          <w:p w14:paraId="460B7FE5">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lang w:eastAsia="zh-CN"/>
              </w:rPr>
              <w:t>差异化监督执法用人单位名称</w:t>
            </w:r>
          </w:p>
        </w:tc>
        <w:tc>
          <w:tcPr>
            <w:tcW w:w="1965" w:type="dxa"/>
            <w:noWrap w:val="0"/>
            <w:vAlign w:val="top"/>
          </w:tcPr>
          <w:p w14:paraId="1931712D">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社会信用代码</w:t>
            </w:r>
          </w:p>
        </w:tc>
        <w:tc>
          <w:tcPr>
            <w:tcW w:w="1260" w:type="dxa"/>
            <w:noWrap w:val="0"/>
            <w:vAlign w:val="top"/>
          </w:tcPr>
          <w:p w14:paraId="407975C0">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监督员1</w:t>
            </w:r>
          </w:p>
        </w:tc>
        <w:tc>
          <w:tcPr>
            <w:tcW w:w="1212" w:type="dxa"/>
            <w:noWrap w:val="0"/>
            <w:vAlign w:val="top"/>
          </w:tcPr>
          <w:p w14:paraId="08A726F2">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监督员2</w:t>
            </w:r>
          </w:p>
        </w:tc>
      </w:tr>
      <w:tr w14:paraId="371AB40E">
        <w:tc>
          <w:tcPr>
            <w:tcW w:w="801" w:type="dxa"/>
            <w:noWrap w:val="0"/>
            <w:vAlign w:val="top"/>
          </w:tcPr>
          <w:p w14:paraId="13A3E797">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3C37514A">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75B627F9">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7AFF3A05">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6AF54CA4">
            <w:pPr>
              <w:jc w:val="center"/>
              <w:rPr>
                <w:rFonts w:hint="eastAsia" w:ascii="方正仿宋_GBK" w:hAnsi="方正仿宋_GBK" w:eastAsia="方正仿宋_GBK" w:cs="方正仿宋_GBK"/>
                <w:color w:val="auto"/>
                <w:sz w:val="24"/>
                <w:szCs w:val="24"/>
                <w:vertAlign w:val="baseline"/>
                <w:lang w:val="en-US" w:eastAsia="zh-CN"/>
              </w:rPr>
            </w:pPr>
          </w:p>
        </w:tc>
      </w:tr>
      <w:tr w14:paraId="56023FD5">
        <w:tc>
          <w:tcPr>
            <w:tcW w:w="801" w:type="dxa"/>
            <w:noWrap w:val="0"/>
            <w:vAlign w:val="top"/>
          </w:tcPr>
          <w:p w14:paraId="0A9EEF70">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280D7BC6">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4A34E951">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5B1C6896">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3D94C958">
            <w:pPr>
              <w:jc w:val="center"/>
              <w:rPr>
                <w:rFonts w:hint="eastAsia" w:ascii="方正仿宋_GBK" w:hAnsi="方正仿宋_GBK" w:eastAsia="方正仿宋_GBK" w:cs="方正仿宋_GBK"/>
                <w:color w:val="auto"/>
                <w:sz w:val="24"/>
                <w:szCs w:val="24"/>
                <w:vertAlign w:val="baseline"/>
                <w:lang w:val="en-US" w:eastAsia="zh-CN"/>
              </w:rPr>
            </w:pPr>
          </w:p>
        </w:tc>
      </w:tr>
      <w:tr w14:paraId="1808E60C">
        <w:tc>
          <w:tcPr>
            <w:tcW w:w="801" w:type="dxa"/>
            <w:noWrap w:val="0"/>
            <w:vAlign w:val="top"/>
          </w:tcPr>
          <w:p w14:paraId="44698762">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17B02373">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45EAC703">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2D352394">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031DF449">
            <w:pPr>
              <w:jc w:val="center"/>
              <w:rPr>
                <w:rFonts w:hint="eastAsia" w:ascii="方正仿宋_GBK" w:hAnsi="方正仿宋_GBK" w:eastAsia="方正仿宋_GBK" w:cs="方正仿宋_GBK"/>
                <w:color w:val="auto"/>
                <w:sz w:val="24"/>
                <w:szCs w:val="24"/>
                <w:vertAlign w:val="baseline"/>
                <w:lang w:val="en-US" w:eastAsia="zh-CN"/>
              </w:rPr>
            </w:pPr>
          </w:p>
        </w:tc>
      </w:tr>
      <w:tr w14:paraId="6DC8F5D0">
        <w:tc>
          <w:tcPr>
            <w:tcW w:w="801" w:type="dxa"/>
            <w:noWrap w:val="0"/>
            <w:vAlign w:val="top"/>
          </w:tcPr>
          <w:p w14:paraId="02656CA3">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55DEFFA2">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281D24BD">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17418233">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0B0A3FE3">
            <w:pPr>
              <w:jc w:val="center"/>
              <w:rPr>
                <w:rFonts w:hint="eastAsia" w:ascii="方正仿宋_GBK" w:hAnsi="方正仿宋_GBK" w:eastAsia="方正仿宋_GBK" w:cs="方正仿宋_GBK"/>
                <w:color w:val="auto"/>
                <w:sz w:val="24"/>
                <w:szCs w:val="24"/>
                <w:vertAlign w:val="baseline"/>
                <w:lang w:val="en-US" w:eastAsia="zh-CN"/>
              </w:rPr>
            </w:pPr>
          </w:p>
        </w:tc>
      </w:tr>
      <w:tr w14:paraId="05A1A5F7">
        <w:tc>
          <w:tcPr>
            <w:tcW w:w="801" w:type="dxa"/>
            <w:noWrap w:val="0"/>
            <w:vAlign w:val="top"/>
          </w:tcPr>
          <w:p w14:paraId="030B4E7E">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序号</w:t>
            </w:r>
          </w:p>
        </w:tc>
        <w:tc>
          <w:tcPr>
            <w:tcW w:w="3823" w:type="dxa"/>
            <w:noWrap w:val="0"/>
            <w:vAlign w:val="top"/>
          </w:tcPr>
          <w:p w14:paraId="03450254">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highlight w:val="none"/>
                <w:lang w:val="en-US" w:eastAsia="zh-CN"/>
              </w:rPr>
              <w:t>20-24新发职业病用人单位名称</w:t>
            </w:r>
          </w:p>
        </w:tc>
        <w:tc>
          <w:tcPr>
            <w:tcW w:w="1965" w:type="dxa"/>
            <w:noWrap w:val="0"/>
            <w:vAlign w:val="top"/>
          </w:tcPr>
          <w:p w14:paraId="6D92D266">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社会信用代码</w:t>
            </w:r>
          </w:p>
        </w:tc>
        <w:tc>
          <w:tcPr>
            <w:tcW w:w="1260" w:type="dxa"/>
            <w:noWrap w:val="0"/>
            <w:vAlign w:val="top"/>
          </w:tcPr>
          <w:p w14:paraId="42F01295">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监督员1</w:t>
            </w:r>
          </w:p>
        </w:tc>
        <w:tc>
          <w:tcPr>
            <w:tcW w:w="1212" w:type="dxa"/>
            <w:noWrap w:val="0"/>
            <w:vAlign w:val="top"/>
          </w:tcPr>
          <w:p w14:paraId="1693842C">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监督员2</w:t>
            </w:r>
          </w:p>
        </w:tc>
      </w:tr>
      <w:tr w14:paraId="2421AB83">
        <w:tc>
          <w:tcPr>
            <w:tcW w:w="801" w:type="dxa"/>
            <w:noWrap w:val="0"/>
            <w:vAlign w:val="top"/>
          </w:tcPr>
          <w:p w14:paraId="6CE8138A">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68CCBCFC">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36FB9BCB">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2AF097CC">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1F40A5A5">
            <w:pPr>
              <w:jc w:val="center"/>
              <w:rPr>
                <w:rFonts w:hint="eastAsia" w:ascii="方正仿宋_GBK" w:hAnsi="方正仿宋_GBK" w:eastAsia="方正仿宋_GBK" w:cs="方正仿宋_GBK"/>
                <w:color w:val="auto"/>
                <w:sz w:val="24"/>
                <w:szCs w:val="24"/>
                <w:vertAlign w:val="baseline"/>
                <w:lang w:val="en-US" w:eastAsia="zh-CN"/>
              </w:rPr>
            </w:pPr>
          </w:p>
        </w:tc>
      </w:tr>
      <w:tr w14:paraId="795AF6DF">
        <w:tc>
          <w:tcPr>
            <w:tcW w:w="801" w:type="dxa"/>
            <w:noWrap w:val="0"/>
            <w:vAlign w:val="top"/>
          </w:tcPr>
          <w:p w14:paraId="6324EB42">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20E862AC">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04AD0F27">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0A2355AD">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565CBCBA">
            <w:pPr>
              <w:jc w:val="center"/>
              <w:rPr>
                <w:rFonts w:hint="eastAsia" w:ascii="方正仿宋_GBK" w:hAnsi="方正仿宋_GBK" w:eastAsia="方正仿宋_GBK" w:cs="方正仿宋_GBK"/>
                <w:color w:val="auto"/>
                <w:sz w:val="24"/>
                <w:szCs w:val="24"/>
                <w:vertAlign w:val="baseline"/>
                <w:lang w:val="en-US" w:eastAsia="zh-CN"/>
              </w:rPr>
            </w:pPr>
          </w:p>
        </w:tc>
      </w:tr>
      <w:tr w14:paraId="589693CF">
        <w:tc>
          <w:tcPr>
            <w:tcW w:w="801" w:type="dxa"/>
            <w:noWrap w:val="0"/>
            <w:vAlign w:val="top"/>
          </w:tcPr>
          <w:p w14:paraId="5F5C09D9">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132FFAAD">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2547AD7F">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689D0FFC">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7F8DCF88">
            <w:pPr>
              <w:jc w:val="center"/>
              <w:rPr>
                <w:rFonts w:hint="eastAsia" w:ascii="方正仿宋_GBK" w:hAnsi="方正仿宋_GBK" w:eastAsia="方正仿宋_GBK" w:cs="方正仿宋_GBK"/>
                <w:color w:val="auto"/>
                <w:sz w:val="24"/>
                <w:szCs w:val="24"/>
                <w:vertAlign w:val="baseline"/>
                <w:lang w:val="en-US" w:eastAsia="zh-CN"/>
              </w:rPr>
            </w:pPr>
          </w:p>
        </w:tc>
      </w:tr>
      <w:tr w14:paraId="33AB1FCB">
        <w:tc>
          <w:tcPr>
            <w:tcW w:w="801" w:type="dxa"/>
            <w:noWrap w:val="0"/>
            <w:vAlign w:val="top"/>
          </w:tcPr>
          <w:p w14:paraId="05B4716E">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635695C9">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594CC1C3">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49E8A083">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7C833B3B">
            <w:pPr>
              <w:jc w:val="center"/>
              <w:rPr>
                <w:rFonts w:hint="eastAsia" w:ascii="方正仿宋_GBK" w:hAnsi="方正仿宋_GBK" w:eastAsia="方正仿宋_GBK" w:cs="方正仿宋_GBK"/>
                <w:color w:val="auto"/>
                <w:sz w:val="24"/>
                <w:szCs w:val="24"/>
                <w:vertAlign w:val="baseline"/>
                <w:lang w:val="en-US" w:eastAsia="zh-CN"/>
              </w:rPr>
            </w:pPr>
          </w:p>
        </w:tc>
      </w:tr>
      <w:tr w14:paraId="545BDB4A">
        <w:tc>
          <w:tcPr>
            <w:tcW w:w="801" w:type="dxa"/>
            <w:noWrap w:val="0"/>
            <w:vAlign w:val="top"/>
          </w:tcPr>
          <w:p w14:paraId="0C81A53F">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序号</w:t>
            </w:r>
          </w:p>
        </w:tc>
        <w:tc>
          <w:tcPr>
            <w:tcW w:w="3823" w:type="dxa"/>
            <w:noWrap w:val="0"/>
            <w:vAlign w:val="top"/>
          </w:tcPr>
          <w:p w14:paraId="4A64F40F">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工业放射应用单位名称</w:t>
            </w:r>
          </w:p>
        </w:tc>
        <w:tc>
          <w:tcPr>
            <w:tcW w:w="1965" w:type="dxa"/>
            <w:noWrap w:val="0"/>
            <w:vAlign w:val="top"/>
          </w:tcPr>
          <w:p w14:paraId="4FCE2C3B">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社会信用代码</w:t>
            </w:r>
          </w:p>
        </w:tc>
        <w:tc>
          <w:tcPr>
            <w:tcW w:w="1260" w:type="dxa"/>
            <w:noWrap w:val="0"/>
            <w:vAlign w:val="top"/>
          </w:tcPr>
          <w:p w14:paraId="0453CE71">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监督员1</w:t>
            </w:r>
          </w:p>
        </w:tc>
        <w:tc>
          <w:tcPr>
            <w:tcW w:w="1212" w:type="dxa"/>
            <w:noWrap w:val="0"/>
            <w:vAlign w:val="top"/>
          </w:tcPr>
          <w:p w14:paraId="3F838EA9">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监督员2</w:t>
            </w:r>
          </w:p>
        </w:tc>
      </w:tr>
      <w:tr w14:paraId="04888CA2">
        <w:tc>
          <w:tcPr>
            <w:tcW w:w="801" w:type="dxa"/>
            <w:noWrap w:val="0"/>
            <w:vAlign w:val="top"/>
          </w:tcPr>
          <w:p w14:paraId="325B64FB">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1D7D6E4E">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2E235F22">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53233BBC">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431ECAF5">
            <w:pPr>
              <w:jc w:val="center"/>
              <w:rPr>
                <w:rFonts w:hint="eastAsia" w:ascii="方正仿宋_GBK" w:hAnsi="方正仿宋_GBK" w:eastAsia="方正仿宋_GBK" w:cs="方正仿宋_GBK"/>
                <w:color w:val="auto"/>
                <w:sz w:val="24"/>
                <w:szCs w:val="24"/>
                <w:vertAlign w:val="baseline"/>
                <w:lang w:val="en-US" w:eastAsia="zh-CN"/>
              </w:rPr>
            </w:pPr>
          </w:p>
        </w:tc>
      </w:tr>
      <w:tr w14:paraId="41139B04">
        <w:tc>
          <w:tcPr>
            <w:tcW w:w="801" w:type="dxa"/>
            <w:noWrap w:val="0"/>
            <w:vAlign w:val="top"/>
          </w:tcPr>
          <w:p w14:paraId="1BED4287">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49F91D1F">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40083D41">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2338A76B">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60F23A34">
            <w:pPr>
              <w:jc w:val="center"/>
              <w:rPr>
                <w:rFonts w:hint="eastAsia" w:ascii="方正仿宋_GBK" w:hAnsi="方正仿宋_GBK" w:eastAsia="方正仿宋_GBK" w:cs="方正仿宋_GBK"/>
                <w:color w:val="auto"/>
                <w:sz w:val="24"/>
                <w:szCs w:val="24"/>
                <w:vertAlign w:val="baseline"/>
                <w:lang w:val="en-US" w:eastAsia="zh-CN"/>
              </w:rPr>
            </w:pPr>
          </w:p>
        </w:tc>
      </w:tr>
      <w:tr w14:paraId="27A773FA">
        <w:tc>
          <w:tcPr>
            <w:tcW w:w="801" w:type="dxa"/>
            <w:noWrap w:val="0"/>
            <w:vAlign w:val="top"/>
          </w:tcPr>
          <w:p w14:paraId="05F1138A">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2541EBBD">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02C39878">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5E6345C3">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7B4BB582">
            <w:pPr>
              <w:jc w:val="center"/>
              <w:rPr>
                <w:rFonts w:hint="eastAsia" w:ascii="方正仿宋_GBK" w:hAnsi="方正仿宋_GBK" w:eastAsia="方正仿宋_GBK" w:cs="方正仿宋_GBK"/>
                <w:color w:val="auto"/>
                <w:sz w:val="24"/>
                <w:szCs w:val="24"/>
                <w:vertAlign w:val="baseline"/>
                <w:lang w:val="en-US" w:eastAsia="zh-CN"/>
              </w:rPr>
            </w:pPr>
          </w:p>
        </w:tc>
      </w:tr>
      <w:tr w14:paraId="7681C093">
        <w:tc>
          <w:tcPr>
            <w:tcW w:w="801" w:type="dxa"/>
            <w:noWrap w:val="0"/>
            <w:vAlign w:val="top"/>
          </w:tcPr>
          <w:p w14:paraId="02ED7F17">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46C624FF">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134F5B49">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4DAB598A">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33BADF14">
            <w:pPr>
              <w:jc w:val="center"/>
              <w:rPr>
                <w:rFonts w:hint="eastAsia" w:ascii="方正仿宋_GBK" w:hAnsi="方正仿宋_GBK" w:eastAsia="方正仿宋_GBK" w:cs="方正仿宋_GBK"/>
                <w:color w:val="auto"/>
                <w:sz w:val="24"/>
                <w:szCs w:val="24"/>
                <w:vertAlign w:val="baseline"/>
                <w:lang w:val="en-US" w:eastAsia="zh-CN"/>
              </w:rPr>
            </w:pPr>
          </w:p>
        </w:tc>
      </w:tr>
      <w:tr w14:paraId="518F8929">
        <w:tc>
          <w:tcPr>
            <w:tcW w:w="801" w:type="dxa"/>
            <w:noWrap w:val="0"/>
            <w:vAlign w:val="top"/>
          </w:tcPr>
          <w:p w14:paraId="5AD1E425">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序号</w:t>
            </w:r>
          </w:p>
        </w:tc>
        <w:tc>
          <w:tcPr>
            <w:tcW w:w="3823" w:type="dxa"/>
            <w:noWrap w:val="0"/>
            <w:vAlign w:val="top"/>
          </w:tcPr>
          <w:p w14:paraId="28A7E834">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highlight w:val="none"/>
                <w:lang w:val="en-US" w:eastAsia="zh-CN"/>
              </w:rPr>
              <w:t>职业病危害严重行业用人单位名称</w:t>
            </w:r>
          </w:p>
        </w:tc>
        <w:tc>
          <w:tcPr>
            <w:tcW w:w="1965" w:type="dxa"/>
            <w:noWrap w:val="0"/>
            <w:vAlign w:val="top"/>
          </w:tcPr>
          <w:p w14:paraId="55FF8B33">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社会信用代码</w:t>
            </w:r>
          </w:p>
        </w:tc>
        <w:tc>
          <w:tcPr>
            <w:tcW w:w="1260" w:type="dxa"/>
            <w:noWrap w:val="0"/>
            <w:vAlign w:val="top"/>
          </w:tcPr>
          <w:p w14:paraId="31519AD9">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监督员1</w:t>
            </w:r>
          </w:p>
        </w:tc>
        <w:tc>
          <w:tcPr>
            <w:tcW w:w="1212" w:type="dxa"/>
            <w:noWrap w:val="0"/>
            <w:vAlign w:val="top"/>
          </w:tcPr>
          <w:p w14:paraId="0452E97D">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监督员2</w:t>
            </w:r>
          </w:p>
        </w:tc>
      </w:tr>
      <w:tr w14:paraId="297442E0">
        <w:tc>
          <w:tcPr>
            <w:tcW w:w="801" w:type="dxa"/>
            <w:noWrap w:val="0"/>
            <w:vAlign w:val="top"/>
          </w:tcPr>
          <w:p w14:paraId="5F2C589A">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66F9A3AF">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189DEBD3">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25B743B9">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4FB9FCB6">
            <w:pPr>
              <w:jc w:val="center"/>
              <w:rPr>
                <w:rFonts w:hint="eastAsia" w:ascii="方正仿宋_GBK" w:hAnsi="方正仿宋_GBK" w:eastAsia="方正仿宋_GBK" w:cs="方正仿宋_GBK"/>
                <w:color w:val="auto"/>
                <w:sz w:val="24"/>
                <w:szCs w:val="24"/>
                <w:vertAlign w:val="baseline"/>
                <w:lang w:val="en-US" w:eastAsia="zh-CN"/>
              </w:rPr>
            </w:pPr>
          </w:p>
        </w:tc>
      </w:tr>
      <w:tr w14:paraId="18A116AB">
        <w:tc>
          <w:tcPr>
            <w:tcW w:w="801" w:type="dxa"/>
            <w:noWrap w:val="0"/>
            <w:vAlign w:val="top"/>
          </w:tcPr>
          <w:p w14:paraId="23A3AC44">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2981B3BA">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7128F087">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46F757DA">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7417BD72">
            <w:pPr>
              <w:jc w:val="center"/>
              <w:rPr>
                <w:rFonts w:hint="eastAsia" w:ascii="方正仿宋_GBK" w:hAnsi="方正仿宋_GBK" w:eastAsia="方正仿宋_GBK" w:cs="方正仿宋_GBK"/>
                <w:color w:val="auto"/>
                <w:sz w:val="24"/>
                <w:szCs w:val="24"/>
                <w:vertAlign w:val="baseline"/>
                <w:lang w:val="en-US" w:eastAsia="zh-CN"/>
              </w:rPr>
            </w:pPr>
          </w:p>
        </w:tc>
      </w:tr>
      <w:tr w14:paraId="7E1B22C6">
        <w:tc>
          <w:tcPr>
            <w:tcW w:w="801" w:type="dxa"/>
            <w:noWrap w:val="0"/>
            <w:vAlign w:val="top"/>
          </w:tcPr>
          <w:p w14:paraId="17A6E70B">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2C64184D">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34EC3F58">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0E1527F3">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5E8A63CE">
            <w:pPr>
              <w:jc w:val="center"/>
              <w:rPr>
                <w:rFonts w:hint="eastAsia" w:ascii="方正仿宋_GBK" w:hAnsi="方正仿宋_GBK" w:eastAsia="方正仿宋_GBK" w:cs="方正仿宋_GBK"/>
                <w:color w:val="auto"/>
                <w:sz w:val="24"/>
                <w:szCs w:val="24"/>
                <w:vertAlign w:val="baseline"/>
                <w:lang w:val="en-US" w:eastAsia="zh-CN"/>
              </w:rPr>
            </w:pPr>
          </w:p>
        </w:tc>
      </w:tr>
      <w:tr w14:paraId="0D53D8BC">
        <w:tc>
          <w:tcPr>
            <w:tcW w:w="801" w:type="dxa"/>
            <w:noWrap w:val="0"/>
            <w:vAlign w:val="top"/>
          </w:tcPr>
          <w:p w14:paraId="45EDCF98">
            <w:pPr>
              <w:jc w:val="center"/>
              <w:rPr>
                <w:rFonts w:hint="eastAsia" w:ascii="方正仿宋_GBK" w:hAnsi="方正仿宋_GBK" w:eastAsia="方正仿宋_GBK" w:cs="方正仿宋_GBK"/>
                <w:color w:val="auto"/>
                <w:sz w:val="24"/>
                <w:szCs w:val="24"/>
                <w:vertAlign w:val="baseline"/>
                <w:lang w:val="en-US" w:eastAsia="zh-CN"/>
              </w:rPr>
            </w:pPr>
          </w:p>
        </w:tc>
        <w:tc>
          <w:tcPr>
            <w:tcW w:w="3823" w:type="dxa"/>
            <w:noWrap w:val="0"/>
            <w:vAlign w:val="top"/>
          </w:tcPr>
          <w:p w14:paraId="056460CA">
            <w:pPr>
              <w:jc w:val="center"/>
              <w:rPr>
                <w:rFonts w:hint="eastAsia" w:ascii="方正仿宋_GBK" w:hAnsi="方正仿宋_GBK" w:eastAsia="方正仿宋_GBK" w:cs="方正仿宋_GBK"/>
                <w:color w:val="auto"/>
                <w:sz w:val="24"/>
                <w:szCs w:val="24"/>
                <w:vertAlign w:val="baseline"/>
                <w:lang w:val="en-US" w:eastAsia="zh-CN"/>
              </w:rPr>
            </w:pPr>
          </w:p>
        </w:tc>
        <w:tc>
          <w:tcPr>
            <w:tcW w:w="1965" w:type="dxa"/>
            <w:noWrap w:val="0"/>
            <w:vAlign w:val="top"/>
          </w:tcPr>
          <w:p w14:paraId="227500A4">
            <w:pPr>
              <w:jc w:val="center"/>
              <w:rPr>
                <w:rFonts w:hint="eastAsia" w:ascii="方正仿宋_GBK" w:hAnsi="方正仿宋_GBK" w:eastAsia="方正仿宋_GBK" w:cs="方正仿宋_GBK"/>
                <w:color w:val="auto"/>
                <w:sz w:val="24"/>
                <w:szCs w:val="24"/>
                <w:vertAlign w:val="baseline"/>
                <w:lang w:val="en-US" w:eastAsia="zh-CN"/>
              </w:rPr>
            </w:pPr>
          </w:p>
        </w:tc>
        <w:tc>
          <w:tcPr>
            <w:tcW w:w="1260" w:type="dxa"/>
            <w:noWrap w:val="0"/>
            <w:vAlign w:val="top"/>
          </w:tcPr>
          <w:p w14:paraId="7BB8617C">
            <w:pPr>
              <w:jc w:val="center"/>
              <w:rPr>
                <w:rFonts w:hint="eastAsia" w:ascii="方正仿宋_GBK" w:hAnsi="方正仿宋_GBK" w:eastAsia="方正仿宋_GBK" w:cs="方正仿宋_GBK"/>
                <w:color w:val="auto"/>
                <w:sz w:val="24"/>
                <w:szCs w:val="24"/>
                <w:vertAlign w:val="baseline"/>
                <w:lang w:val="en-US" w:eastAsia="zh-CN"/>
              </w:rPr>
            </w:pPr>
          </w:p>
        </w:tc>
        <w:tc>
          <w:tcPr>
            <w:tcW w:w="1212" w:type="dxa"/>
            <w:noWrap w:val="0"/>
            <w:vAlign w:val="top"/>
          </w:tcPr>
          <w:p w14:paraId="6614A57B">
            <w:pPr>
              <w:jc w:val="center"/>
              <w:rPr>
                <w:rFonts w:hint="eastAsia" w:ascii="方正仿宋_GBK" w:hAnsi="方正仿宋_GBK" w:eastAsia="方正仿宋_GBK" w:cs="方正仿宋_GBK"/>
                <w:color w:val="auto"/>
                <w:sz w:val="24"/>
                <w:szCs w:val="24"/>
                <w:vertAlign w:val="baseline"/>
                <w:lang w:val="en-US" w:eastAsia="zh-CN"/>
              </w:rPr>
            </w:pPr>
          </w:p>
        </w:tc>
      </w:tr>
      <w:tr w14:paraId="0D3F2040">
        <w:tc>
          <w:tcPr>
            <w:tcW w:w="801" w:type="dxa"/>
            <w:noWrap w:val="0"/>
            <w:vAlign w:val="top"/>
          </w:tcPr>
          <w:p w14:paraId="1F67ECDB">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序号</w:t>
            </w:r>
          </w:p>
        </w:tc>
        <w:tc>
          <w:tcPr>
            <w:tcW w:w="3823" w:type="dxa"/>
            <w:noWrap w:val="0"/>
            <w:vAlign w:val="top"/>
          </w:tcPr>
          <w:p w14:paraId="217CD1E1">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highlight w:val="none"/>
                <w:lang w:val="en-US" w:eastAsia="zh-CN"/>
              </w:rPr>
              <w:t>职业病危害一般行业用人单位名称</w:t>
            </w:r>
          </w:p>
        </w:tc>
        <w:tc>
          <w:tcPr>
            <w:tcW w:w="1965" w:type="dxa"/>
            <w:noWrap w:val="0"/>
            <w:vAlign w:val="top"/>
          </w:tcPr>
          <w:p w14:paraId="416B5ED6">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社会信用代码</w:t>
            </w:r>
          </w:p>
        </w:tc>
        <w:tc>
          <w:tcPr>
            <w:tcW w:w="1260" w:type="dxa"/>
            <w:noWrap w:val="0"/>
            <w:vAlign w:val="top"/>
          </w:tcPr>
          <w:p w14:paraId="3A651EDB">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监督员1</w:t>
            </w:r>
          </w:p>
        </w:tc>
        <w:tc>
          <w:tcPr>
            <w:tcW w:w="1212" w:type="dxa"/>
            <w:noWrap w:val="0"/>
            <w:vAlign w:val="top"/>
          </w:tcPr>
          <w:p w14:paraId="2E023B96">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监督员2</w:t>
            </w:r>
          </w:p>
        </w:tc>
      </w:tr>
      <w:tr w14:paraId="41B4A1F4">
        <w:tc>
          <w:tcPr>
            <w:tcW w:w="801" w:type="dxa"/>
            <w:noWrap w:val="0"/>
            <w:vAlign w:val="top"/>
          </w:tcPr>
          <w:p w14:paraId="237B82FE">
            <w:pPr>
              <w:jc w:val="center"/>
              <w:rPr>
                <w:rFonts w:hint="eastAsia" w:ascii="方正仿宋_GBK" w:hAnsi="方正仿宋_GBK" w:eastAsia="方正仿宋_GBK" w:cs="方正仿宋_GBK"/>
                <w:color w:val="auto"/>
                <w:sz w:val="21"/>
                <w:szCs w:val="21"/>
                <w:vertAlign w:val="baseline"/>
                <w:lang w:val="en-US" w:eastAsia="zh-CN"/>
              </w:rPr>
            </w:pPr>
          </w:p>
        </w:tc>
        <w:tc>
          <w:tcPr>
            <w:tcW w:w="3823" w:type="dxa"/>
            <w:noWrap w:val="0"/>
            <w:vAlign w:val="top"/>
          </w:tcPr>
          <w:p w14:paraId="39336995">
            <w:pPr>
              <w:jc w:val="center"/>
              <w:rPr>
                <w:rFonts w:hint="eastAsia" w:ascii="方正仿宋_GBK" w:hAnsi="方正仿宋_GBK" w:eastAsia="方正仿宋_GBK" w:cs="方正仿宋_GBK"/>
                <w:color w:val="auto"/>
                <w:sz w:val="21"/>
                <w:szCs w:val="21"/>
                <w:vertAlign w:val="baseline"/>
                <w:lang w:val="en-US" w:eastAsia="zh-CN"/>
              </w:rPr>
            </w:pPr>
          </w:p>
        </w:tc>
        <w:tc>
          <w:tcPr>
            <w:tcW w:w="1965" w:type="dxa"/>
            <w:noWrap w:val="0"/>
            <w:vAlign w:val="top"/>
          </w:tcPr>
          <w:p w14:paraId="50713828">
            <w:pPr>
              <w:jc w:val="center"/>
              <w:rPr>
                <w:rFonts w:hint="eastAsia" w:ascii="方正仿宋_GBK" w:hAnsi="方正仿宋_GBK" w:eastAsia="方正仿宋_GBK" w:cs="方正仿宋_GBK"/>
                <w:color w:val="auto"/>
                <w:sz w:val="21"/>
                <w:szCs w:val="21"/>
                <w:vertAlign w:val="baseline"/>
                <w:lang w:val="en-US" w:eastAsia="zh-CN"/>
              </w:rPr>
            </w:pPr>
          </w:p>
        </w:tc>
        <w:tc>
          <w:tcPr>
            <w:tcW w:w="1260" w:type="dxa"/>
            <w:noWrap w:val="0"/>
            <w:vAlign w:val="top"/>
          </w:tcPr>
          <w:p w14:paraId="4261B6EC">
            <w:pPr>
              <w:jc w:val="center"/>
              <w:rPr>
                <w:rFonts w:hint="eastAsia" w:ascii="方正仿宋_GBK" w:hAnsi="方正仿宋_GBK" w:eastAsia="方正仿宋_GBK" w:cs="方正仿宋_GBK"/>
                <w:color w:val="auto"/>
                <w:sz w:val="21"/>
                <w:szCs w:val="21"/>
                <w:vertAlign w:val="baseline"/>
                <w:lang w:val="en-US" w:eastAsia="zh-CN"/>
              </w:rPr>
            </w:pPr>
          </w:p>
        </w:tc>
        <w:tc>
          <w:tcPr>
            <w:tcW w:w="1212" w:type="dxa"/>
            <w:noWrap w:val="0"/>
            <w:vAlign w:val="top"/>
          </w:tcPr>
          <w:p w14:paraId="2A1500ED">
            <w:pPr>
              <w:jc w:val="center"/>
              <w:rPr>
                <w:rFonts w:hint="eastAsia" w:ascii="方正仿宋_GBK" w:hAnsi="方正仿宋_GBK" w:eastAsia="方正仿宋_GBK" w:cs="方正仿宋_GBK"/>
                <w:color w:val="auto"/>
                <w:sz w:val="21"/>
                <w:szCs w:val="21"/>
                <w:vertAlign w:val="baseline"/>
                <w:lang w:val="en-US" w:eastAsia="zh-CN"/>
              </w:rPr>
            </w:pPr>
          </w:p>
        </w:tc>
      </w:tr>
      <w:tr w14:paraId="2B905674">
        <w:tc>
          <w:tcPr>
            <w:tcW w:w="801" w:type="dxa"/>
            <w:noWrap w:val="0"/>
            <w:vAlign w:val="top"/>
          </w:tcPr>
          <w:p w14:paraId="3C745A85">
            <w:pPr>
              <w:jc w:val="center"/>
              <w:rPr>
                <w:rFonts w:hint="eastAsia" w:ascii="方正仿宋_GBK" w:hAnsi="方正仿宋_GBK" w:eastAsia="方正仿宋_GBK" w:cs="方正仿宋_GBK"/>
                <w:color w:val="auto"/>
                <w:sz w:val="21"/>
                <w:szCs w:val="21"/>
                <w:vertAlign w:val="baseline"/>
                <w:lang w:val="en-US" w:eastAsia="zh-CN"/>
              </w:rPr>
            </w:pPr>
          </w:p>
        </w:tc>
        <w:tc>
          <w:tcPr>
            <w:tcW w:w="3823" w:type="dxa"/>
            <w:noWrap w:val="0"/>
            <w:vAlign w:val="top"/>
          </w:tcPr>
          <w:p w14:paraId="64314211">
            <w:pPr>
              <w:jc w:val="center"/>
              <w:rPr>
                <w:rFonts w:hint="eastAsia" w:ascii="方正仿宋_GBK" w:hAnsi="方正仿宋_GBK" w:eastAsia="方正仿宋_GBK" w:cs="方正仿宋_GBK"/>
                <w:color w:val="auto"/>
                <w:sz w:val="21"/>
                <w:szCs w:val="21"/>
                <w:vertAlign w:val="baseline"/>
                <w:lang w:val="en-US" w:eastAsia="zh-CN"/>
              </w:rPr>
            </w:pPr>
          </w:p>
        </w:tc>
        <w:tc>
          <w:tcPr>
            <w:tcW w:w="1965" w:type="dxa"/>
            <w:noWrap w:val="0"/>
            <w:vAlign w:val="top"/>
          </w:tcPr>
          <w:p w14:paraId="73E75806">
            <w:pPr>
              <w:jc w:val="center"/>
              <w:rPr>
                <w:rFonts w:hint="eastAsia" w:ascii="方正仿宋_GBK" w:hAnsi="方正仿宋_GBK" w:eastAsia="方正仿宋_GBK" w:cs="方正仿宋_GBK"/>
                <w:color w:val="auto"/>
                <w:sz w:val="21"/>
                <w:szCs w:val="21"/>
                <w:vertAlign w:val="baseline"/>
                <w:lang w:val="en-US" w:eastAsia="zh-CN"/>
              </w:rPr>
            </w:pPr>
          </w:p>
        </w:tc>
        <w:tc>
          <w:tcPr>
            <w:tcW w:w="1260" w:type="dxa"/>
            <w:noWrap w:val="0"/>
            <w:vAlign w:val="top"/>
          </w:tcPr>
          <w:p w14:paraId="2F708043">
            <w:pPr>
              <w:jc w:val="center"/>
              <w:rPr>
                <w:rFonts w:hint="eastAsia" w:ascii="方正仿宋_GBK" w:hAnsi="方正仿宋_GBK" w:eastAsia="方正仿宋_GBK" w:cs="方正仿宋_GBK"/>
                <w:color w:val="auto"/>
                <w:sz w:val="21"/>
                <w:szCs w:val="21"/>
                <w:vertAlign w:val="baseline"/>
                <w:lang w:val="en-US" w:eastAsia="zh-CN"/>
              </w:rPr>
            </w:pPr>
          </w:p>
        </w:tc>
        <w:tc>
          <w:tcPr>
            <w:tcW w:w="1212" w:type="dxa"/>
            <w:noWrap w:val="0"/>
            <w:vAlign w:val="top"/>
          </w:tcPr>
          <w:p w14:paraId="197475E5">
            <w:pPr>
              <w:jc w:val="center"/>
              <w:rPr>
                <w:rFonts w:hint="eastAsia" w:ascii="方正仿宋_GBK" w:hAnsi="方正仿宋_GBK" w:eastAsia="方正仿宋_GBK" w:cs="方正仿宋_GBK"/>
                <w:color w:val="auto"/>
                <w:sz w:val="21"/>
                <w:szCs w:val="21"/>
                <w:vertAlign w:val="baseline"/>
                <w:lang w:val="en-US" w:eastAsia="zh-CN"/>
              </w:rPr>
            </w:pPr>
          </w:p>
        </w:tc>
      </w:tr>
      <w:tr w14:paraId="0015E911">
        <w:tc>
          <w:tcPr>
            <w:tcW w:w="801" w:type="dxa"/>
            <w:noWrap w:val="0"/>
            <w:vAlign w:val="top"/>
          </w:tcPr>
          <w:p w14:paraId="5B31D42F">
            <w:pPr>
              <w:jc w:val="center"/>
              <w:rPr>
                <w:rFonts w:hint="eastAsia" w:ascii="方正仿宋_GBK" w:hAnsi="方正仿宋_GBK" w:eastAsia="方正仿宋_GBK" w:cs="方正仿宋_GBK"/>
                <w:color w:val="auto"/>
                <w:sz w:val="21"/>
                <w:szCs w:val="21"/>
                <w:vertAlign w:val="baseline"/>
                <w:lang w:val="en-US" w:eastAsia="zh-CN"/>
              </w:rPr>
            </w:pPr>
          </w:p>
        </w:tc>
        <w:tc>
          <w:tcPr>
            <w:tcW w:w="3823" w:type="dxa"/>
            <w:noWrap w:val="0"/>
            <w:vAlign w:val="top"/>
          </w:tcPr>
          <w:p w14:paraId="68AAC1D5">
            <w:pPr>
              <w:jc w:val="center"/>
              <w:rPr>
                <w:rFonts w:hint="eastAsia" w:ascii="方正仿宋_GBK" w:hAnsi="方正仿宋_GBK" w:eastAsia="方正仿宋_GBK" w:cs="方正仿宋_GBK"/>
                <w:color w:val="auto"/>
                <w:sz w:val="21"/>
                <w:szCs w:val="21"/>
                <w:vertAlign w:val="baseline"/>
                <w:lang w:val="en-US" w:eastAsia="zh-CN"/>
              </w:rPr>
            </w:pPr>
          </w:p>
        </w:tc>
        <w:tc>
          <w:tcPr>
            <w:tcW w:w="1965" w:type="dxa"/>
            <w:noWrap w:val="0"/>
            <w:vAlign w:val="top"/>
          </w:tcPr>
          <w:p w14:paraId="0CE92311">
            <w:pPr>
              <w:jc w:val="center"/>
              <w:rPr>
                <w:rFonts w:hint="eastAsia" w:ascii="方正仿宋_GBK" w:hAnsi="方正仿宋_GBK" w:eastAsia="方正仿宋_GBK" w:cs="方正仿宋_GBK"/>
                <w:color w:val="auto"/>
                <w:sz w:val="21"/>
                <w:szCs w:val="21"/>
                <w:vertAlign w:val="baseline"/>
                <w:lang w:val="en-US" w:eastAsia="zh-CN"/>
              </w:rPr>
            </w:pPr>
          </w:p>
        </w:tc>
        <w:tc>
          <w:tcPr>
            <w:tcW w:w="1260" w:type="dxa"/>
            <w:noWrap w:val="0"/>
            <w:vAlign w:val="top"/>
          </w:tcPr>
          <w:p w14:paraId="7742BE5F">
            <w:pPr>
              <w:jc w:val="center"/>
              <w:rPr>
                <w:rFonts w:hint="eastAsia" w:ascii="方正仿宋_GBK" w:hAnsi="方正仿宋_GBK" w:eastAsia="方正仿宋_GBK" w:cs="方正仿宋_GBK"/>
                <w:color w:val="auto"/>
                <w:sz w:val="21"/>
                <w:szCs w:val="21"/>
                <w:vertAlign w:val="baseline"/>
                <w:lang w:val="en-US" w:eastAsia="zh-CN"/>
              </w:rPr>
            </w:pPr>
          </w:p>
        </w:tc>
        <w:tc>
          <w:tcPr>
            <w:tcW w:w="1212" w:type="dxa"/>
            <w:noWrap w:val="0"/>
            <w:vAlign w:val="top"/>
          </w:tcPr>
          <w:p w14:paraId="23528727">
            <w:pPr>
              <w:jc w:val="center"/>
              <w:rPr>
                <w:rFonts w:hint="eastAsia" w:ascii="方正仿宋_GBK" w:hAnsi="方正仿宋_GBK" w:eastAsia="方正仿宋_GBK" w:cs="方正仿宋_GBK"/>
                <w:color w:val="auto"/>
                <w:sz w:val="21"/>
                <w:szCs w:val="21"/>
                <w:vertAlign w:val="baseline"/>
                <w:lang w:val="en-US" w:eastAsia="zh-CN"/>
              </w:rPr>
            </w:pPr>
          </w:p>
        </w:tc>
      </w:tr>
      <w:tr w14:paraId="472D0FDE">
        <w:tc>
          <w:tcPr>
            <w:tcW w:w="801" w:type="dxa"/>
            <w:noWrap w:val="0"/>
            <w:vAlign w:val="top"/>
          </w:tcPr>
          <w:p w14:paraId="5CF1B0A7">
            <w:pPr>
              <w:jc w:val="center"/>
              <w:rPr>
                <w:rFonts w:hint="eastAsia" w:ascii="方正仿宋_GBK" w:hAnsi="方正仿宋_GBK" w:eastAsia="方正仿宋_GBK" w:cs="方正仿宋_GBK"/>
                <w:color w:val="auto"/>
                <w:sz w:val="21"/>
                <w:szCs w:val="21"/>
                <w:vertAlign w:val="baseline"/>
                <w:lang w:val="en-US" w:eastAsia="zh-CN"/>
              </w:rPr>
            </w:pPr>
          </w:p>
        </w:tc>
        <w:tc>
          <w:tcPr>
            <w:tcW w:w="3823" w:type="dxa"/>
            <w:noWrap w:val="0"/>
            <w:vAlign w:val="top"/>
          </w:tcPr>
          <w:p w14:paraId="7C8C7690">
            <w:pPr>
              <w:jc w:val="center"/>
              <w:rPr>
                <w:rFonts w:hint="eastAsia" w:ascii="方正仿宋_GBK" w:hAnsi="方正仿宋_GBK" w:eastAsia="方正仿宋_GBK" w:cs="方正仿宋_GBK"/>
                <w:color w:val="auto"/>
                <w:sz w:val="21"/>
                <w:szCs w:val="21"/>
                <w:vertAlign w:val="baseline"/>
                <w:lang w:val="en-US" w:eastAsia="zh-CN"/>
              </w:rPr>
            </w:pPr>
          </w:p>
        </w:tc>
        <w:tc>
          <w:tcPr>
            <w:tcW w:w="1965" w:type="dxa"/>
            <w:noWrap w:val="0"/>
            <w:vAlign w:val="top"/>
          </w:tcPr>
          <w:p w14:paraId="115762BB">
            <w:pPr>
              <w:jc w:val="center"/>
              <w:rPr>
                <w:rFonts w:hint="eastAsia" w:ascii="方正仿宋_GBK" w:hAnsi="方正仿宋_GBK" w:eastAsia="方正仿宋_GBK" w:cs="方正仿宋_GBK"/>
                <w:color w:val="auto"/>
                <w:sz w:val="21"/>
                <w:szCs w:val="21"/>
                <w:vertAlign w:val="baseline"/>
                <w:lang w:val="en-US" w:eastAsia="zh-CN"/>
              </w:rPr>
            </w:pPr>
          </w:p>
        </w:tc>
        <w:tc>
          <w:tcPr>
            <w:tcW w:w="1260" w:type="dxa"/>
            <w:noWrap w:val="0"/>
            <w:vAlign w:val="top"/>
          </w:tcPr>
          <w:p w14:paraId="7E74343F">
            <w:pPr>
              <w:jc w:val="center"/>
              <w:rPr>
                <w:rFonts w:hint="eastAsia" w:ascii="方正仿宋_GBK" w:hAnsi="方正仿宋_GBK" w:eastAsia="方正仿宋_GBK" w:cs="方正仿宋_GBK"/>
                <w:color w:val="auto"/>
                <w:sz w:val="21"/>
                <w:szCs w:val="21"/>
                <w:vertAlign w:val="baseline"/>
                <w:lang w:val="en-US" w:eastAsia="zh-CN"/>
              </w:rPr>
            </w:pPr>
          </w:p>
        </w:tc>
        <w:tc>
          <w:tcPr>
            <w:tcW w:w="1212" w:type="dxa"/>
            <w:noWrap w:val="0"/>
            <w:vAlign w:val="top"/>
          </w:tcPr>
          <w:p w14:paraId="53E3A3D5">
            <w:pPr>
              <w:jc w:val="center"/>
              <w:rPr>
                <w:rFonts w:hint="eastAsia" w:ascii="方正仿宋_GBK" w:hAnsi="方正仿宋_GBK" w:eastAsia="方正仿宋_GBK" w:cs="方正仿宋_GBK"/>
                <w:color w:val="auto"/>
                <w:sz w:val="21"/>
                <w:szCs w:val="21"/>
                <w:vertAlign w:val="baseline"/>
                <w:lang w:val="en-US" w:eastAsia="zh-CN"/>
              </w:rPr>
            </w:pPr>
          </w:p>
        </w:tc>
      </w:tr>
    </w:tbl>
    <w:p w14:paraId="2BC70C80">
      <w:pPr>
        <w:pStyle w:val="2"/>
        <w:rPr>
          <w:rFonts w:hint="eastAsia" w:ascii="宋体" w:hAnsi="宋体" w:eastAsia="仿宋" w:cs="宋体"/>
          <w:b/>
          <w:bCs/>
          <w:color w:val="auto"/>
          <w:kern w:val="0"/>
          <w:sz w:val="22"/>
          <w:szCs w:val="22"/>
          <w:shd w:val="clear" w:color="auto" w:fill="auto"/>
          <w:lang w:val="en-US" w:eastAsia="zh-CN" w:bidi="ar"/>
        </w:rPr>
      </w:pPr>
    </w:p>
    <w:p w14:paraId="179DB360">
      <w:pPr>
        <w:pStyle w:val="2"/>
        <w:rPr>
          <w:rFonts w:hint="eastAsia" w:ascii="宋体" w:hAnsi="宋体" w:eastAsia="仿宋" w:cs="宋体"/>
          <w:b/>
          <w:bCs/>
          <w:color w:val="auto"/>
          <w:kern w:val="0"/>
          <w:sz w:val="22"/>
          <w:szCs w:val="22"/>
          <w:shd w:val="clear" w:color="auto" w:fill="auto"/>
          <w:lang w:val="en-US" w:eastAsia="zh-CN" w:bidi="ar"/>
        </w:rPr>
      </w:pPr>
    </w:p>
    <w:p w14:paraId="617A5750">
      <w:pPr>
        <w:pStyle w:val="2"/>
        <w:rPr>
          <w:rFonts w:hint="eastAsia" w:ascii="宋体" w:hAnsi="宋体" w:eastAsia="仿宋" w:cs="宋体"/>
          <w:b/>
          <w:bCs/>
          <w:color w:val="auto"/>
          <w:kern w:val="0"/>
          <w:sz w:val="22"/>
          <w:szCs w:val="22"/>
          <w:shd w:val="clear" w:color="auto" w:fill="auto"/>
          <w:lang w:val="en-US" w:eastAsia="zh-CN" w:bidi="ar"/>
        </w:rPr>
      </w:pPr>
    </w:p>
    <w:p w14:paraId="3A2DF1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Cambria">
    <w:altName w:val="苹方-简"/>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00"/>
    <w:family w:val="auto"/>
    <w:pitch w:val="default"/>
    <w:sig w:usb0="00000000" w:usb1="00000000" w:usb2="00000000" w:usb3="00000000" w:csb0="00040000" w:csb1="00000000"/>
  </w:font>
  <w:font w:name="方正小标宋简体">
    <w:altName w:val="汉仪书宋二KW"/>
    <w:panose1 w:val="02000000000000000000"/>
    <w:charset w:val="00"/>
    <w:family w:val="script"/>
    <w:pitch w:val="default"/>
    <w:sig w:usb0="00000000" w:usb1="00000000" w:usb2="00000012" w:usb3="00000000" w:csb0="00040001" w:csb1="00000000"/>
  </w:font>
  <w:font w:name="楷体_GB2312">
    <w:altName w:val="汉仪楷体简"/>
    <w:panose1 w:val="02010609030101010101"/>
    <w:charset w:val="00"/>
    <w:family w:val="auto"/>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BE71B">
    <w:pPr>
      <w:pStyle w:val="2"/>
      <w:rPr>
        <w:rFonts w:hint="eastAsia" w:ascii="仿宋_GB2312" w:hAnsi="仿宋_GB2312" w:eastAsia="仿宋_GB2312" w:cs="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-110490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9F0AFC">
                          <w:pPr>
                            <w:pStyle w:val="2"/>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8.7pt;height:144pt;width:144pt;mso-position-horizontal:outside;mso-position-horizontal-relative:margin;mso-wrap-style:none;z-index:251659264;mso-width-relative:page;mso-height-relative:page;" filled="f" stroked="f" coordsize="21600,21600" o:gfxdata="UEsDBAoAAAAAAIdO4kAAAAAAAAAAAAAAAAAEAAAAZHJzL1BLAwQUAAAACACHTuJAreD3+9QAAAAI&#10;AQAADwAAAGRycy9kb3ducmV2LnhtbE2PMU/DMBCFdyT+g3VIbK2TCjVRiNOhEgsbBSGxufE1jrDP&#10;ke2myb/nmGC7u/f07nvtYfFOzBjTGEhBuS1AIPXBjDQo+Hh/2dQgUtZktAuEClZMcOju71rdmHCj&#10;N5xPeRAcQqnRCmzOUyNl6i16nbZhQmLtEqLXmdc4SBP1jcO9k7ui2EuvR+IPVk94tNh/n65eQbV8&#10;BpwSHvHrMvfRjmvtXlelHh/K4hlExiX/meEXn9GhY6ZzuJJJwingIlnBpqyeQLC8q2u+nHmoij3I&#10;rpX/C3Q/UEsDBBQAAAAIAIdO4kDkov7PyAEAAJkDAAAOAAAAZHJzL2Uyb0RvYy54bWytU82O0zAQ&#10;viPxDpbv1GkPqIqarhZVi5AQIC08gOvYjSX/yeM26QvAG3Diwp3n6nMwdpLuslz2sBdnPDP+Zr5v&#10;JpubwRpykhG0dw1dLipKpBO+1e7Q0G9f796sKYHEXcuNd7KhZwn0Zvv61aYPtVz5zptWRoIgDuo+&#10;NLRLKdSMgeik5bDwQToMKh8tT3iNB9ZG3iO6NWxVVW9Z72MbohcSAL27MUgnxPgcQK+UFnLnxdFK&#10;l0bUKA1PSAk6HYBuS7dKSZE+KwUyEdNQZJrKiUXQ3ueTbTe8PkQeOi2mFvhzWnjCyXLtsOgVascT&#10;J8eo/4OyWkQPXqWF8JaNRIoiyGJZPdHmvuNBFi4oNYSr6PBysOLT6UskusVNoMRxiwO//Pxx+fXn&#10;8vs7WWZ5+gA1Zt0HzEvDOz/k1MkP6MysBxVt/iIfgnEU93wVVw6JiPxovVqvKwwJjM0XxGEPz0OE&#10;9F56S7LR0IjTK6Ly00dIY+qckqs5f6eNQT+vjfvHgZjZw3LvY4/ZSsN+mBrf+/aMfHocfEMd7jkl&#10;5oNDXfOOzEacjf1sHEPUh64sUa4H4faYsInSW64wwk6FcWKF3bRdeSUe30vWwx+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t4Pf71AAAAAgBAAAPAAAAAAAAAAEAIAAAACIAAABkcnMvZG93bnJl&#10;di54bWxQSwECFAAUAAAACACHTuJA5KL+z8gBAACZAwAADgAAAAAAAAABACAAAAAjAQAAZHJzL2Uy&#10;b0RvYy54bWxQSwUGAAAAAAYABgBZAQAAXQUAAAAA&#10;">
              <v:path/>
              <v:fill on="f" focussize="0,0"/>
              <v:stroke on="f"/>
              <v:imagedata o:title=""/>
              <o:lock v:ext="edit" aspectratio="f"/>
              <v:textbox inset="0mm,0mm,0mm,0mm" style="mso-fit-shape-to-text:t;">
                <w:txbxContent>
                  <w:p w14:paraId="059F0AFC">
                    <w:pPr>
                      <w:pStyle w:val="2"/>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4A2D5">
    <w:pPr>
      <w:pStyle w:val="3"/>
      <w:pBdr>
        <w:bottom w:val="none" w:color="auto" w:sz="0" w:space="0"/>
      </w:pBdr>
      <w:rPr>
        <w:rFonts w:hint="default" w:ascii="Times New Roman" w:hAnsi="Times New Roman" w:cs="Times New Roman"/>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2BD31A"/>
    <w:rsid w:val="5F2BD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before="240" w:after="60"/>
      <w:jc w:val="center"/>
      <w:outlineLvl w:val="0"/>
    </w:pPr>
    <w:rPr>
      <w:rFonts w:ascii="Cambria" w:hAnsi="Cambria"/>
      <w:b/>
      <w:bCs/>
      <w:szCs w:val="32"/>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2025-05-21T21:43:00Z</dcterms:created>
  <dc:creator>雨熹 Cisia</dc:creator>
  <cp:lastModifiedBy>雨熹 Cisia</cp:lastModifiedBy>
  <dcterms:modified xsi:type="dcterms:W3CDTF">2025-05-21T21:43:55Z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12DF19EFA6598D8175D82D68645B30CB_41</vt:lpwstr>
  </property>
</Properties>
</file>