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cs="宋体"/>
          <w:b/>
          <w:bCs/>
          <w:sz w:val="32"/>
          <w:szCs w:val="28"/>
        </w:rPr>
      </w:pPr>
      <w:r>
        <w:rPr>
          <w:rFonts w:ascii="仿宋" w:hAnsi="仿宋" w:eastAsia="仿宋" w:cs="宋体"/>
          <w:b/>
          <w:bCs/>
          <w:sz w:val="32"/>
          <w:szCs w:val="28"/>
        </w:rPr>
        <w:t>申请人须知</w:t>
      </w:r>
    </w:p>
    <w:p>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pPr>
        <w:spacing w:line="360" w:lineRule="auto"/>
        <w:jc w:val="center"/>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Times New Roman"/>
                <w:kern w:val="0"/>
                <w:sz w:val="20"/>
                <w:szCs w:val="20"/>
              </w:rPr>
            </w:pPr>
            <w:r>
              <w:rPr>
                <w:rFonts w:hint="eastAsia" w:ascii="仿宋" w:hAnsi="仿宋" w:eastAsia="仿宋" w:cs="宋体"/>
                <w:kern w:val="0"/>
                <w:sz w:val="28"/>
                <w:szCs w:val="28"/>
              </w:rPr>
              <w:t>审查内容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遴选报价是否超过遴选文件规定预算金额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遴选文件的签署、盖章是否合格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8"/>
                <w:szCs w:val="28"/>
              </w:rPr>
            </w:pPr>
            <w:r>
              <w:rPr>
                <w:rFonts w:hint="eastAsia" w:ascii="仿宋" w:hAnsi="仿宋" w:eastAsia="仿宋" w:cs="宋体"/>
                <w:kern w:val="0"/>
                <w:sz w:val="28"/>
                <w:szCs w:val="28"/>
              </w:rPr>
              <w:t>是否提供满足遴选文件中要求的申请人资格要求的承诺函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是否为独立法人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rPr>
          <w:rFonts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w:t>
      </w:r>
      <w:r>
        <w:rPr>
          <w:rFonts w:hint="eastAsia" w:ascii="仿宋" w:hAnsi="仿宋" w:eastAsia="仿宋" w:cs="宋体"/>
          <w:bCs/>
          <w:color w:val="auto"/>
          <w:sz w:val="28"/>
          <w:szCs w:val="28"/>
        </w:rPr>
        <w:t>成交候选人</w:t>
      </w:r>
      <w:r>
        <w:rPr>
          <w:rFonts w:hint="eastAsia" w:ascii="仿宋" w:hAnsi="仿宋" w:eastAsia="仿宋" w:cs="宋体"/>
          <w:bCs/>
          <w:sz w:val="28"/>
          <w:szCs w:val="28"/>
        </w:rPr>
        <w:t>。</w:t>
      </w:r>
      <w:r>
        <w:rPr>
          <w:rFonts w:hint="eastAsia" w:ascii="仿宋" w:hAnsi="仿宋" w:eastAsia="仿宋" w:cs="宋体"/>
          <w:b/>
          <w:bCs/>
          <w:sz w:val="28"/>
          <w:szCs w:val="28"/>
        </w:rPr>
        <w:t>由各业务处室最终决定成交申请人。</w:t>
      </w:r>
      <w:r>
        <w:rPr>
          <w:rFonts w:hint="eastAsia" w:ascii="仿宋" w:hAnsi="仿宋" w:eastAsia="仿宋" w:cs="宋体"/>
          <w:bCs/>
          <w:sz w:val="28"/>
          <w:szCs w:val="28"/>
        </w:rPr>
        <w:t>评分分值计算保留小数点后两位，第三位四舍五入。</w:t>
      </w:r>
    </w:p>
    <w:p>
      <w:pPr>
        <w:spacing w:line="360" w:lineRule="auto"/>
        <w:jc w:val="left"/>
        <w:rPr>
          <w:rFonts w:hint="eastAsia" w:ascii="仿宋" w:hAnsi="仿宋" w:eastAsia="仿宋" w:cs="宋体"/>
          <w:bCs/>
          <w:sz w:val="28"/>
          <w:szCs w:val="28"/>
        </w:rPr>
      </w:pPr>
      <w:r>
        <w:rPr>
          <w:rFonts w:hint="eastAsia" w:ascii="仿宋" w:hAnsi="仿宋" w:eastAsia="仿宋" w:cs="宋体"/>
          <w:bCs/>
          <w:sz w:val="28"/>
          <w:szCs w:val="28"/>
          <w:lang w:val="en-US" w:eastAsia="zh-CN"/>
        </w:rPr>
        <w:t>5、</w:t>
      </w:r>
      <w:r>
        <w:rPr>
          <w:rFonts w:hint="eastAsia" w:ascii="仿宋" w:hAnsi="仿宋" w:eastAsia="仿宋" w:cs="宋体"/>
          <w:bCs/>
          <w:sz w:val="28"/>
          <w:szCs w:val="28"/>
          <w:lang w:eastAsia="zh-CN"/>
        </w:rPr>
        <w:t>如对本项目进行实质性响应的供应商不足</w:t>
      </w:r>
      <w:r>
        <w:rPr>
          <w:rFonts w:hint="eastAsia" w:ascii="仿宋" w:hAnsi="仿宋" w:eastAsia="仿宋" w:cs="宋体"/>
          <w:bCs/>
          <w:sz w:val="28"/>
          <w:szCs w:val="28"/>
          <w:lang w:val="en-US" w:eastAsia="zh-CN"/>
        </w:rPr>
        <w:t>2</w:t>
      </w:r>
      <w:r>
        <w:rPr>
          <w:rFonts w:hint="eastAsia" w:ascii="仿宋" w:hAnsi="仿宋" w:eastAsia="仿宋" w:cs="宋体"/>
          <w:bCs/>
          <w:sz w:val="28"/>
          <w:szCs w:val="28"/>
          <w:lang w:eastAsia="zh-CN"/>
        </w:rPr>
        <w:t>家但大于等于</w:t>
      </w:r>
      <w:r>
        <w:rPr>
          <w:rFonts w:hint="eastAsia" w:ascii="仿宋" w:hAnsi="仿宋" w:eastAsia="仿宋" w:cs="宋体"/>
          <w:bCs/>
          <w:sz w:val="28"/>
          <w:szCs w:val="28"/>
          <w:lang w:val="en-US" w:eastAsia="zh-CN"/>
        </w:rPr>
        <w:t>1</w:t>
      </w:r>
      <w:r>
        <w:rPr>
          <w:rFonts w:hint="eastAsia" w:ascii="仿宋" w:hAnsi="仿宋" w:eastAsia="仿宋" w:cs="宋体"/>
          <w:bCs/>
          <w:sz w:val="28"/>
          <w:szCs w:val="28"/>
          <w:lang w:eastAsia="zh-CN"/>
        </w:rPr>
        <w:t>家时，项目主办处室决定是否继续进行采购活动或延期遴选文件获取时间及递交申请文件时间。如继续进行采购活动，如评审小组按照遴选文件对供应商的申请文件综合打分不足</w:t>
      </w:r>
      <w:r>
        <w:rPr>
          <w:rFonts w:hint="eastAsia" w:ascii="仿宋" w:hAnsi="仿宋" w:eastAsia="仿宋" w:cs="宋体"/>
          <w:bCs/>
          <w:sz w:val="28"/>
          <w:szCs w:val="28"/>
          <w:lang w:val="en-US" w:eastAsia="zh-CN"/>
        </w:rPr>
        <w:t>60分时，</w:t>
      </w:r>
      <w:r>
        <w:rPr>
          <w:rFonts w:hint="eastAsia" w:ascii="仿宋" w:hAnsi="仿宋" w:eastAsia="仿宋" w:cs="宋体"/>
          <w:bCs/>
          <w:sz w:val="28"/>
          <w:szCs w:val="28"/>
          <w:lang w:eastAsia="zh-CN"/>
        </w:rPr>
        <w:t>项目主办处室可以选择</w:t>
      </w:r>
      <w:r>
        <w:rPr>
          <w:rFonts w:hint="eastAsia" w:ascii="仿宋" w:hAnsi="仿宋" w:eastAsia="仿宋" w:cs="宋体"/>
          <w:bCs/>
          <w:sz w:val="28"/>
          <w:szCs w:val="28"/>
          <w:lang w:val="en-US" w:eastAsia="zh-CN"/>
        </w:rPr>
        <w:t>本项目废标</w:t>
      </w:r>
      <w:r>
        <w:rPr>
          <w:rFonts w:hint="eastAsia" w:ascii="仿宋" w:hAnsi="仿宋" w:eastAsia="仿宋" w:cs="宋体"/>
          <w:bCs/>
          <w:sz w:val="28"/>
          <w:szCs w:val="28"/>
          <w:lang w:eastAsia="zh-CN"/>
        </w:rPr>
        <w:t>。</w:t>
      </w:r>
    </w:p>
    <w:p>
      <w:pPr>
        <w:spacing w:line="360" w:lineRule="auto"/>
        <w:rPr>
          <w:rFonts w:hint="eastAsia" w:ascii="仿宋" w:hAnsi="仿宋" w:eastAsia="仿宋" w:cs="宋体"/>
          <w:bCs/>
          <w:sz w:val="28"/>
          <w:szCs w:val="28"/>
        </w:rPr>
      </w:pPr>
      <w:r>
        <w:rPr>
          <w:rFonts w:hint="eastAsia" w:ascii="仿宋" w:hAnsi="仿宋" w:eastAsia="仿宋" w:cs="宋体"/>
          <w:bCs/>
          <w:sz w:val="28"/>
          <w:szCs w:val="28"/>
          <w:lang w:val="en-US" w:eastAsia="zh-CN"/>
        </w:rPr>
        <w:t>6</w:t>
      </w:r>
      <w:r>
        <w:rPr>
          <w:rFonts w:hint="eastAsia" w:ascii="仿宋" w:hAnsi="仿宋" w:eastAsia="仿宋" w:cs="宋体"/>
          <w:bCs/>
          <w:sz w:val="28"/>
          <w:szCs w:val="28"/>
        </w:rPr>
        <w:t>、成交供应商拒绝与采购人签订合同的，采购人可以按照评审报告推荐的成交候选人名单排序，确定下一候选人为成交供应商，也可以重新开展采购活动。</w:t>
      </w: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rPr>
      </w:pPr>
    </w:p>
    <w:p>
      <w:pPr>
        <w:spacing w:line="360" w:lineRule="auto"/>
        <w:jc w:val="center"/>
        <w:rPr>
          <w:rFonts w:ascii="仿宋" w:hAnsi="仿宋" w:eastAsia="仿宋" w:cs="宋体"/>
          <w:b/>
          <w:bCs/>
          <w:sz w:val="32"/>
          <w:szCs w:val="28"/>
        </w:rPr>
      </w:pPr>
      <w:r>
        <w:rPr>
          <w:rFonts w:ascii="仿宋" w:hAnsi="仿宋" w:eastAsia="仿宋" w:cs="宋体"/>
          <w:b/>
          <w:bCs/>
          <w:sz w:val="32"/>
          <w:szCs w:val="28"/>
        </w:rPr>
        <w:t>评分标准</w:t>
      </w:r>
    </w:p>
    <w:tbl>
      <w:tblPr>
        <w:tblStyle w:val="10"/>
        <w:tblpPr w:leftFromText="180" w:rightFromText="180" w:vertAnchor="page" w:horzAnchor="page" w:tblpX="1878" w:tblpY="231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3"/>
        <w:gridCol w:w="1344"/>
        <w:gridCol w:w="4798"/>
        <w:gridCol w:w="13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100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themeColor="text1"/>
                <w:kern w:val="0"/>
                <w:sz w:val="21"/>
                <w:szCs w:val="21"/>
                <w14:textFill>
                  <w14:solidFill>
                    <w14:schemeClr w14:val="tx1"/>
                  </w14:solidFill>
                </w14:textFill>
              </w:rPr>
            </w:pPr>
            <w:r>
              <w:rPr>
                <w:rFonts w:hint="eastAsia" w:ascii="仿宋" w:hAnsi="仿宋" w:eastAsia="仿宋" w:cs="宋体"/>
                <w:color w:val="000000" w:themeColor="text1"/>
                <w:kern w:val="0"/>
                <w:sz w:val="21"/>
                <w:szCs w:val="21"/>
                <w14:textFill>
                  <w14:solidFill>
                    <w14:schemeClr w14:val="tx1"/>
                  </w14:solidFill>
                </w14:textFill>
              </w:rPr>
              <w:t>内容</w:t>
            </w:r>
          </w:p>
        </w:tc>
        <w:tc>
          <w:tcPr>
            <w:tcW w:w="1344" w:type="dxa"/>
            <w:tcBorders>
              <w:top w:val="single" w:color="auto" w:sz="4" w:space="0"/>
              <w:left w:val="nil"/>
              <w:bottom w:val="nil"/>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评分因素分项</w:t>
            </w:r>
          </w:p>
        </w:tc>
        <w:tc>
          <w:tcPr>
            <w:tcW w:w="4798" w:type="dxa"/>
            <w:tcBorders>
              <w:top w:val="single" w:color="auto" w:sz="4" w:space="0"/>
              <w:left w:val="nil"/>
              <w:bottom w:val="nil"/>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评分标准</w:t>
            </w:r>
          </w:p>
        </w:tc>
        <w:tc>
          <w:tcPr>
            <w:tcW w:w="1383"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03" w:type="dxa"/>
            <w:tcBorders>
              <w:top w:val="nil"/>
              <w:left w:val="single" w:color="auto" w:sz="4" w:space="0"/>
              <w:bottom w:val="single" w:color="auto" w:sz="4" w:space="0"/>
              <w:right w:val="nil"/>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价格部分（10分）</w:t>
            </w:r>
          </w:p>
        </w:tc>
        <w:tc>
          <w:tcPr>
            <w:tcW w:w="13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价格（10分）</w:t>
            </w:r>
          </w:p>
        </w:tc>
        <w:tc>
          <w:tcPr>
            <w:tcW w:w="4798" w:type="dxa"/>
            <w:tcBorders>
              <w:top w:val="single" w:color="auto" w:sz="4" w:space="0"/>
              <w:left w:val="nil"/>
              <w:bottom w:val="single" w:color="auto" w:sz="4" w:space="0"/>
              <w:right w:val="single" w:color="auto" w:sz="4" w:space="0"/>
            </w:tcBorders>
            <w:vAlign w:val="center"/>
          </w:tcPr>
          <w:p>
            <w:pPr>
              <w:widowControl/>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报价得分=（评审基准价/报价）×价格权值10</w:t>
            </w:r>
          </w:p>
          <w:p>
            <w:pPr>
              <w:widowControl/>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注：实质性响应遴选文件要求且价格最低的报价为评审基准价。</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0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商务</w:t>
            </w:r>
            <w:r>
              <w:rPr>
                <w:rFonts w:hint="eastAsia" w:ascii="仿宋" w:hAnsi="仿宋" w:eastAsia="仿宋" w:cs="宋体"/>
                <w:color w:val="000000" w:themeColor="text1"/>
                <w:kern w:val="0"/>
                <w:sz w:val="18"/>
                <w:szCs w:val="18"/>
                <w14:textFill>
                  <w14:solidFill>
                    <w14:schemeClr w14:val="tx1"/>
                  </w14:solidFill>
                </w14:textFill>
              </w:rPr>
              <w:br w:type="textWrapping"/>
            </w:r>
            <w:r>
              <w:rPr>
                <w:rFonts w:hint="eastAsia" w:ascii="仿宋" w:hAnsi="仿宋" w:eastAsia="仿宋" w:cs="宋体"/>
                <w:color w:val="000000" w:themeColor="text1"/>
                <w:kern w:val="0"/>
                <w:sz w:val="18"/>
                <w:szCs w:val="18"/>
                <w14:textFill>
                  <w14:solidFill>
                    <w14:schemeClr w14:val="tx1"/>
                  </w14:solidFill>
                </w14:textFill>
              </w:rPr>
              <w:t>（25分）</w:t>
            </w:r>
          </w:p>
        </w:tc>
        <w:tc>
          <w:tcPr>
            <w:tcW w:w="1344"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供应商基本情况</w:t>
            </w:r>
          </w:p>
        </w:tc>
        <w:tc>
          <w:tcPr>
            <w:tcW w:w="4798"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供应商资质情况良好（承担专业资质等）得5分。</w:t>
            </w:r>
            <w:r>
              <w:rPr>
                <w:rFonts w:hint="eastAsia" w:ascii="仿宋" w:hAnsi="仿宋" w:eastAsia="仿宋" w:cs="宋体"/>
                <w:color w:val="000000" w:themeColor="text1"/>
                <w:kern w:val="0"/>
                <w:sz w:val="18"/>
                <w:szCs w:val="18"/>
                <w14:textFill>
                  <w14:solidFill>
                    <w14:schemeClr w14:val="tx1"/>
                  </w14:solidFill>
                </w14:textFill>
              </w:rPr>
              <w:br w:type="textWrapping"/>
            </w:r>
            <w:r>
              <w:rPr>
                <w:rFonts w:hint="eastAsia" w:ascii="仿宋" w:hAnsi="仿宋" w:eastAsia="仿宋" w:cs="宋体"/>
                <w:color w:val="000000" w:themeColor="text1"/>
                <w:kern w:val="0"/>
                <w:sz w:val="18"/>
                <w:szCs w:val="18"/>
                <w14:textFill>
                  <w14:solidFill>
                    <w14:schemeClr w14:val="tx1"/>
                  </w14:solidFill>
                </w14:textFill>
              </w:rPr>
              <w:t>注：供应商需提供相关证明材料，否则不予认可。</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344"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供应商的业绩</w:t>
            </w:r>
          </w:p>
        </w:tc>
        <w:tc>
          <w:tcPr>
            <w:tcW w:w="4798"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供应商近三年（20</w:t>
            </w:r>
            <w:r>
              <w:rPr>
                <w:rFonts w:hint="eastAsia" w:ascii="仿宋" w:hAnsi="仿宋" w:eastAsia="仿宋" w:cs="宋体"/>
                <w:color w:val="000000" w:themeColor="text1"/>
                <w:kern w:val="0"/>
                <w:sz w:val="18"/>
                <w:szCs w:val="18"/>
                <w:lang w:val="en-US" w:eastAsia="zh-CN"/>
                <w14:textFill>
                  <w14:solidFill>
                    <w14:schemeClr w14:val="tx1"/>
                  </w14:solidFill>
                </w14:textFill>
              </w:rPr>
              <w:t>22</w:t>
            </w:r>
            <w:r>
              <w:rPr>
                <w:rFonts w:hint="eastAsia" w:ascii="仿宋" w:hAnsi="仿宋" w:eastAsia="仿宋" w:cs="宋体"/>
                <w:color w:val="000000" w:themeColor="text1"/>
                <w:kern w:val="0"/>
                <w:sz w:val="18"/>
                <w:szCs w:val="18"/>
                <w14:textFill>
                  <w14:solidFill>
                    <w14:schemeClr w14:val="tx1"/>
                  </w14:solidFill>
                </w14:textFill>
              </w:rPr>
              <w:t>年1月起至本采购活动遴选公告发布前（以合同签订日期为准））承接过类似服务业绩，每提供1个业绩得5分，最多得20分。</w:t>
            </w:r>
            <w:r>
              <w:rPr>
                <w:rFonts w:hint="eastAsia" w:ascii="仿宋" w:hAnsi="仿宋" w:eastAsia="仿宋" w:cs="宋体"/>
                <w:color w:val="000000" w:themeColor="text1"/>
                <w:kern w:val="0"/>
                <w:sz w:val="18"/>
                <w:szCs w:val="18"/>
                <w14:textFill>
                  <w14:solidFill>
                    <w14:schemeClr w14:val="tx1"/>
                  </w14:solidFill>
                </w14:textFill>
              </w:rPr>
              <w:br w:type="textWrapping"/>
            </w:r>
            <w:r>
              <w:rPr>
                <w:rFonts w:hint="eastAsia" w:ascii="仿宋" w:hAnsi="仿宋" w:eastAsia="仿宋" w:cs="宋体"/>
                <w:color w:val="000000" w:themeColor="text1"/>
                <w:kern w:val="0"/>
                <w:sz w:val="18"/>
                <w:szCs w:val="18"/>
                <w14:textFill>
                  <w14:solidFill>
                    <w14:schemeClr w14:val="tx1"/>
                  </w14:solidFill>
                </w14:textFill>
              </w:rPr>
              <w:t>注：需提供业绩合同或协议复印件并加盖公章，如无材料证明或证明材料不完整，上述内容将视为零分。</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0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技术</w:t>
            </w:r>
            <w:r>
              <w:rPr>
                <w:rFonts w:hint="eastAsia" w:ascii="仿宋" w:hAnsi="仿宋" w:eastAsia="仿宋" w:cs="宋体"/>
                <w:color w:val="000000" w:themeColor="text1"/>
                <w:kern w:val="0"/>
                <w:sz w:val="18"/>
                <w:szCs w:val="18"/>
                <w14:textFill>
                  <w14:solidFill>
                    <w14:schemeClr w14:val="tx1"/>
                  </w14:solidFill>
                </w14:textFill>
              </w:rPr>
              <w:br w:type="textWrapping"/>
            </w:r>
            <w:r>
              <w:rPr>
                <w:rFonts w:hint="eastAsia" w:ascii="仿宋" w:hAnsi="仿宋" w:eastAsia="仿宋" w:cs="宋体"/>
                <w:color w:val="000000" w:themeColor="text1"/>
                <w:kern w:val="0"/>
                <w:sz w:val="18"/>
                <w:szCs w:val="18"/>
                <w14:textFill>
                  <w14:solidFill>
                    <w14:schemeClr w14:val="tx1"/>
                  </w14:solidFill>
                </w14:textFill>
              </w:rPr>
              <w:t>（65分）</w:t>
            </w:r>
          </w:p>
        </w:tc>
        <w:tc>
          <w:tcPr>
            <w:tcW w:w="1344"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项目方案</w:t>
            </w:r>
          </w:p>
        </w:tc>
        <w:tc>
          <w:tcPr>
            <w:tcW w:w="4798" w:type="dxa"/>
            <w:tcBorders>
              <w:top w:val="nil"/>
              <w:left w:val="nil"/>
              <w:bottom w:val="single" w:color="auto"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整体方案设计</w:t>
            </w:r>
            <w:r>
              <w:rPr>
                <w:rFonts w:hint="eastAsia" w:ascii="仿宋" w:hAnsi="仿宋" w:eastAsia="仿宋" w:cs="宋体"/>
                <w:color w:val="000000" w:themeColor="text1"/>
                <w:kern w:val="0"/>
                <w:sz w:val="18"/>
                <w:szCs w:val="18"/>
                <w:lang w:eastAsia="zh-CN"/>
                <w14:textFill>
                  <w14:solidFill>
                    <w14:schemeClr w14:val="tx1"/>
                  </w14:solidFill>
                </w14:textFill>
              </w:rPr>
              <w:t>及</w:t>
            </w:r>
            <w:r>
              <w:rPr>
                <w:rFonts w:hint="eastAsia" w:ascii="仿宋" w:hAnsi="仿宋" w:eastAsia="仿宋" w:cs="宋体"/>
                <w:color w:val="000000" w:themeColor="text1"/>
                <w:kern w:val="0"/>
                <w:sz w:val="18"/>
                <w:szCs w:val="18"/>
                <w14:textFill>
                  <w14:solidFill>
                    <w14:schemeClr w14:val="tx1"/>
                  </w14:solidFill>
                </w14:textFill>
              </w:rPr>
              <w:t>工作流程计划：完善、合理，具有针对性，科学性、可操作性强，进度安排最合理高效，能够完全满足采购人需求得16-20分；方案基本完整、合理，针对性、可操作性一般，进度安排基本满足需求得9-15分；方案一般，较简单，得4-8分；方案粗略、较差得1-3分，不提供得0分。</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03" w:type="dxa"/>
            <w:vMerge w:val="continue"/>
            <w:tcBorders>
              <w:left w:val="single" w:color="auto" w:sz="4" w:space="0"/>
              <w:right w:val="single" w:color="auto" w:sz="4" w:space="0"/>
            </w:tcBorders>
            <w:vAlign w:val="center"/>
          </w:tcPr>
          <w:p>
            <w:pPr>
              <w:widowControl/>
              <w:jc w:val="center"/>
              <w:rPr>
                <w:rFonts w:hint="eastAsia" w:ascii="仿宋" w:hAnsi="仿宋" w:eastAsia="仿宋" w:cs="宋体"/>
                <w:color w:val="000000" w:themeColor="text1"/>
                <w:kern w:val="0"/>
                <w:sz w:val="18"/>
                <w:szCs w:val="18"/>
                <w14:textFill>
                  <w14:solidFill>
                    <w14:schemeClr w14:val="tx1"/>
                  </w14:solidFill>
                </w14:textFill>
              </w:rPr>
            </w:pPr>
          </w:p>
        </w:tc>
        <w:tc>
          <w:tcPr>
            <w:tcW w:w="1344"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需求理解和分析</w:t>
            </w:r>
          </w:p>
        </w:tc>
        <w:tc>
          <w:tcPr>
            <w:tcW w:w="4798" w:type="dxa"/>
            <w:tcBorders>
              <w:top w:val="nil"/>
              <w:left w:val="nil"/>
              <w:bottom w:val="single" w:color="auto" w:sz="4" w:space="0"/>
              <w:right w:val="single" w:color="auto" w:sz="4" w:space="0"/>
            </w:tcBorders>
            <w:vAlign w:val="center"/>
          </w:tcPr>
          <w:p>
            <w:pPr>
              <w:widowControl/>
              <w:jc w:val="left"/>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投标人对本项目的背景、工作内容、建设目标，以及重点、难点、关键点等的理解程度及相关分析情况：</w:t>
            </w:r>
          </w:p>
          <w:p>
            <w:pPr>
              <w:widowControl/>
              <w:jc w:val="left"/>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项目需求分析内容完整、分析透彻、理解项目管理要求，按项目特点找到重点难点问题并提出完善解决方案，得5分；提供了通用、简单的分析理解，基本符合采购需求，或理解程度不够深入，得3分；需求分析内容有偏差、未理解项目工作要求，得0分。</w:t>
            </w:r>
          </w:p>
        </w:tc>
        <w:tc>
          <w:tcPr>
            <w:tcW w:w="1383"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themeColor="text1"/>
                <w:kern w:val="0"/>
                <w:sz w:val="18"/>
                <w:szCs w:val="18"/>
                <w:lang w:val="en-US" w:eastAsia="zh-CN"/>
                <w14:textFill>
                  <w14:solidFill>
                    <w14:schemeClr w14:val="tx1"/>
                  </w14:solidFill>
                </w14:textFill>
              </w:rPr>
            </w:pPr>
            <w:r>
              <w:rPr>
                <w:rFonts w:hint="eastAsia" w:ascii="仿宋" w:hAnsi="仿宋" w:eastAsia="仿宋" w:cs="宋体"/>
                <w:color w:val="000000" w:themeColor="text1"/>
                <w:kern w:val="0"/>
                <w:sz w:val="18"/>
                <w:szCs w:val="18"/>
                <w:lang w:val="en-US" w:eastAsia="zh-CN"/>
                <w14:textFill>
                  <w14:solidFill>
                    <w14:schemeClr w14:val="tx1"/>
                  </w14:solidFill>
                </w14:textFill>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10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344" w:type="dxa"/>
            <w:tcBorders>
              <w:top w:val="nil"/>
              <w:left w:val="nil"/>
              <w:bottom w:val="single" w:color="auto" w:sz="4" w:space="0"/>
              <w:right w:val="single" w:color="auto" w:sz="4" w:space="0"/>
            </w:tcBorders>
            <w:vAlign w:val="center"/>
          </w:tcPr>
          <w:p>
            <w:pPr>
              <w:widowControl/>
              <w:jc w:val="center"/>
              <w:rPr>
                <w:rFonts w:hint="eastAsia" w:ascii="仿宋" w:hAnsi="仿宋" w:eastAsia="仿宋" w:cs="宋体"/>
                <w:color w:val="000000" w:themeColor="text1"/>
                <w:kern w:val="0"/>
                <w:sz w:val="18"/>
                <w:szCs w:val="18"/>
                <w:lang w:eastAsia="zh-CN"/>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项目人员配备</w:t>
            </w:r>
            <w:r>
              <w:rPr>
                <w:rFonts w:hint="eastAsia" w:ascii="仿宋" w:hAnsi="仿宋" w:eastAsia="仿宋" w:cs="宋体"/>
                <w:color w:val="000000" w:themeColor="text1"/>
                <w:kern w:val="0"/>
                <w:sz w:val="18"/>
                <w:szCs w:val="18"/>
                <w:lang w:eastAsia="zh-CN"/>
                <w14:textFill>
                  <w14:solidFill>
                    <w14:schemeClr w14:val="tx1"/>
                  </w14:solidFill>
                </w14:textFill>
              </w:rPr>
              <w:t>方案</w:t>
            </w:r>
          </w:p>
        </w:tc>
        <w:tc>
          <w:tcPr>
            <w:tcW w:w="4798" w:type="dxa"/>
            <w:tcBorders>
              <w:top w:val="nil"/>
              <w:left w:val="nil"/>
              <w:bottom w:val="single" w:color="auto" w:sz="4" w:space="0"/>
              <w:right w:val="single" w:color="auto" w:sz="4" w:space="0"/>
            </w:tcBorders>
            <w:vAlign w:val="center"/>
          </w:tcPr>
          <w:p>
            <w:pPr>
              <w:widowControl/>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1、方案内容进行了详细的阐述，贴合项目实际情况；为本项目配备的人员充足、配置合理，项目负责人熟悉本项目所涉险种、经验丰富、业务能力强，完全满足项目需求，得11-15分；</w:t>
            </w:r>
          </w:p>
          <w:p>
            <w:pPr>
              <w:widowControl/>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2、方案内容虽进行阐述，但配备的人员并未紧密贴合项目实际需求，得6-10分；</w:t>
            </w:r>
          </w:p>
          <w:p>
            <w:pPr>
              <w:widowControl/>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3、方案内容虽进行阐述但为本项目配备的人员不充足，配置不合理，距项目需求差距较大，得1-5分；</w:t>
            </w:r>
          </w:p>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4、方案内容未进行任何阐述或不满足项目需求，得 0 分。</w:t>
            </w:r>
          </w:p>
        </w:tc>
        <w:tc>
          <w:tcPr>
            <w:tcW w:w="1383" w:type="dxa"/>
            <w:tcBorders>
              <w:top w:val="nil"/>
              <w:left w:val="nil"/>
              <w:bottom w:val="single" w:color="auto" w:sz="4" w:space="0"/>
              <w:right w:val="single" w:color="auto" w:sz="4" w:space="0"/>
            </w:tcBorders>
            <w:vAlign w:val="center"/>
          </w:tcPr>
          <w:p>
            <w:pPr>
              <w:widowControl/>
              <w:jc w:val="center"/>
              <w:rPr>
                <w:rFonts w:hint="default" w:ascii="仿宋" w:hAnsi="仿宋" w:eastAsia="仿宋" w:cs="宋体"/>
                <w:color w:val="000000" w:themeColor="text1"/>
                <w:kern w:val="0"/>
                <w:sz w:val="18"/>
                <w:szCs w:val="18"/>
                <w:lang w:val="en-US" w:eastAsia="zh-CN"/>
                <w14:textFill>
                  <w14:solidFill>
                    <w14:schemeClr w14:val="tx1"/>
                  </w14:solidFill>
                </w14:textFill>
              </w:rPr>
            </w:pPr>
            <w:r>
              <w:rPr>
                <w:rFonts w:hint="eastAsia" w:ascii="仿宋" w:hAnsi="仿宋" w:eastAsia="仿宋" w:cs="宋体"/>
                <w:color w:val="000000" w:themeColor="text1"/>
                <w:kern w:val="0"/>
                <w:sz w:val="18"/>
                <w:szCs w:val="18"/>
                <w:lang w:val="en-US" w:eastAsia="zh-CN"/>
                <w14:textFill>
                  <w14:solidFill>
                    <w14:schemeClr w14:val="tx1"/>
                  </w14:solidFill>
                </w14:textFill>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344"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质量保证措施</w:t>
            </w:r>
          </w:p>
        </w:tc>
        <w:tc>
          <w:tcPr>
            <w:tcW w:w="4798" w:type="dxa"/>
            <w:tcBorders>
              <w:top w:val="nil"/>
              <w:left w:val="nil"/>
              <w:bottom w:val="single" w:color="auto" w:sz="4" w:space="0"/>
              <w:right w:val="single" w:color="auto" w:sz="4" w:space="0"/>
            </w:tcBorders>
            <w:vAlign w:val="center"/>
          </w:tcPr>
          <w:p>
            <w:pPr>
              <w:widowControl/>
              <w:jc w:val="left"/>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对项目管理、售后管理、质量保证制度和承诺进行阐述，有具体方案及措施描述，完全贴合项目需求得11-15分；</w:t>
            </w:r>
          </w:p>
          <w:p>
            <w:pPr>
              <w:widowControl/>
              <w:jc w:val="left"/>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对项目管理、售后管理、质量保证制度和承诺进行阐述，贴合项目需求，但缺少具体方案及措施描述得6-10分；</w:t>
            </w:r>
          </w:p>
          <w:p>
            <w:pPr>
              <w:widowControl/>
              <w:jc w:val="left"/>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对项目管理、售后管理、质量保证制度和承诺，部分贴合项目需求，得1-5 分；</w:t>
            </w:r>
          </w:p>
          <w:p>
            <w:pPr>
              <w:widowControl/>
              <w:jc w:val="left"/>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未提供得0分</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344"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服务承诺</w:t>
            </w:r>
          </w:p>
        </w:tc>
        <w:tc>
          <w:tcPr>
            <w:tcW w:w="4798" w:type="dxa"/>
            <w:tcBorders>
              <w:top w:val="nil"/>
              <w:left w:val="nil"/>
              <w:bottom w:val="single" w:color="auto" w:sz="4" w:space="0"/>
              <w:right w:val="single" w:color="auto" w:sz="4" w:space="0"/>
            </w:tcBorders>
            <w:vAlign w:val="center"/>
          </w:tcPr>
          <w:p>
            <w:pPr>
              <w:widowControl/>
              <w:jc w:val="left"/>
              <w:rPr>
                <w:rFonts w:ascii="仿宋" w:hAnsi="仿宋" w:eastAsia="仿宋" w:cs="Times New Roman"/>
                <w:color w:val="000000" w:themeColor="text1"/>
                <w:kern w:val="0"/>
                <w:sz w:val="18"/>
                <w:szCs w:val="18"/>
                <w14:textFill>
                  <w14:solidFill>
                    <w14:schemeClr w14:val="tx1"/>
                  </w14:solidFill>
                </w14:textFill>
              </w:rPr>
            </w:pPr>
            <w:r>
              <w:rPr>
                <w:rFonts w:hint="eastAsia" w:ascii="仿宋" w:hAnsi="仿宋" w:eastAsia="仿宋" w:cs="Times New Roman"/>
                <w:color w:val="000000" w:themeColor="text1"/>
                <w:kern w:val="0"/>
                <w:sz w:val="18"/>
                <w:szCs w:val="18"/>
                <w14:textFill>
                  <w14:solidFill>
                    <w14:schemeClr w14:val="tx1"/>
                  </w14:solidFill>
                </w14:textFill>
              </w:rPr>
              <w:t>供应商须提供沟通机制，内容包括①服务人员安排②沟通方案，要求有专人定期沟通，配合。优秀的，得</w:t>
            </w:r>
            <w:r>
              <w:rPr>
                <w:rFonts w:ascii="仿宋" w:hAnsi="仿宋" w:eastAsia="仿宋" w:cs="Times New Roman"/>
                <w:color w:val="000000" w:themeColor="text1"/>
                <w:kern w:val="0"/>
                <w:sz w:val="18"/>
                <w:szCs w:val="18"/>
                <w14:textFill>
                  <w14:solidFill>
                    <w14:schemeClr w14:val="tx1"/>
                  </w14:solidFill>
                </w14:textFill>
              </w:rPr>
              <w:t>7-10</w:t>
            </w:r>
            <w:r>
              <w:rPr>
                <w:rFonts w:hint="eastAsia" w:ascii="仿宋" w:hAnsi="仿宋" w:eastAsia="仿宋" w:cs="Times New Roman"/>
                <w:color w:val="000000" w:themeColor="text1"/>
                <w:kern w:val="0"/>
                <w:sz w:val="18"/>
                <w:szCs w:val="18"/>
                <w14:textFill>
                  <w14:solidFill>
                    <w14:schemeClr w14:val="tx1"/>
                  </w14:solidFill>
                </w14:textFill>
              </w:rPr>
              <w:t>分；良好的，得</w:t>
            </w:r>
            <w:r>
              <w:rPr>
                <w:rFonts w:ascii="仿宋" w:hAnsi="仿宋" w:eastAsia="仿宋" w:cs="Times New Roman"/>
                <w:color w:val="000000" w:themeColor="text1"/>
                <w:kern w:val="0"/>
                <w:sz w:val="18"/>
                <w:szCs w:val="18"/>
                <w14:textFill>
                  <w14:solidFill>
                    <w14:schemeClr w14:val="tx1"/>
                  </w14:solidFill>
                </w14:textFill>
              </w:rPr>
              <w:t>4-6</w:t>
            </w:r>
            <w:r>
              <w:rPr>
                <w:rFonts w:hint="eastAsia" w:ascii="仿宋" w:hAnsi="仿宋" w:eastAsia="仿宋" w:cs="Times New Roman"/>
                <w:color w:val="000000" w:themeColor="text1"/>
                <w:kern w:val="0"/>
                <w:sz w:val="18"/>
                <w:szCs w:val="18"/>
                <w14:textFill>
                  <w14:solidFill>
                    <w14:schemeClr w14:val="tx1"/>
                  </w14:solidFill>
                </w14:textFill>
              </w:rPr>
              <w:t>分；一般的，得</w:t>
            </w:r>
            <w:r>
              <w:rPr>
                <w:rFonts w:ascii="仿宋" w:hAnsi="仿宋" w:eastAsia="仿宋" w:cs="Times New Roman"/>
                <w:color w:val="000000" w:themeColor="text1"/>
                <w:kern w:val="0"/>
                <w:sz w:val="18"/>
                <w:szCs w:val="18"/>
                <w14:textFill>
                  <w14:solidFill>
                    <w14:schemeClr w14:val="tx1"/>
                  </w14:solidFill>
                </w14:textFill>
              </w:rPr>
              <w:t>1-3</w:t>
            </w:r>
            <w:r>
              <w:rPr>
                <w:rFonts w:hint="eastAsia" w:ascii="仿宋" w:hAnsi="仿宋" w:eastAsia="仿宋" w:cs="Times New Roman"/>
                <w:color w:val="000000" w:themeColor="text1"/>
                <w:kern w:val="0"/>
                <w:sz w:val="18"/>
                <w:szCs w:val="18"/>
                <w14:textFill>
                  <w14:solidFill>
                    <w14:schemeClr w14:val="tx1"/>
                  </w14:solidFill>
                </w14:textFill>
              </w:rPr>
              <w:t>分；较差的，得</w:t>
            </w:r>
            <w:r>
              <w:rPr>
                <w:rFonts w:ascii="仿宋" w:hAnsi="仿宋" w:eastAsia="仿宋" w:cs="Times New Roman"/>
                <w:color w:val="000000" w:themeColor="text1"/>
                <w:kern w:val="0"/>
                <w:sz w:val="18"/>
                <w:szCs w:val="18"/>
                <w14:textFill>
                  <w14:solidFill>
                    <w14:schemeClr w14:val="tx1"/>
                  </w14:solidFill>
                </w14:textFill>
              </w:rPr>
              <w:t>0</w:t>
            </w:r>
            <w:r>
              <w:rPr>
                <w:rFonts w:hint="eastAsia" w:ascii="仿宋" w:hAnsi="仿宋" w:eastAsia="仿宋" w:cs="Times New Roman"/>
                <w:color w:val="000000" w:themeColor="text1"/>
                <w:kern w:val="0"/>
                <w:sz w:val="18"/>
                <w:szCs w:val="18"/>
                <w14:textFill>
                  <w14:solidFill>
                    <w14:schemeClr w14:val="tx1"/>
                  </w14:solidFill>
                </w14:textFill>
              </w:rPr>
              <w:t>分。</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14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总分</w:t>
            </w:r>
          </w:p>
        </w:tc>
        <w:tc>
          <w:tcPr>
            <w:tcW w:w="1383" w:type="dxa"/>
            <w:tcBorders>
              <w:top w:val="nil"/>
              <w:left w:val="nil"/>
              <w:bottom w:val="single" w:color="auto" w:sz="4" w:space="0"/>
              <w:right w:val="single" w:color="auto" w:sz="4" w:space="0"/>
            </w:tcBorders>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w:t>
            </w:r>
          </w:p>
        </w:tc>
      </w:tr>
    </w:tbl>
    <w:p>
      <w:pPr>
        <w:spacing w:line="360" w:lineRule="auto"/>
        <w:rPr>
          <w:rFonts w:hint="eastAsia" w:ascii="仿宋" w:hAnsi="仿宋" w:eastAsia="仿宋" w:cs="宋体"/>
          <w:bCs/>
          <w:sz w:val="28"/>
          <w:szCs w:val="28"/>
        </w:rPr>
      </w:pPr>
    </w:p>
    <w:p>
      <w:pPr>
        <w:spacing w:line="360" w:lineRule="auto"/>
        <w:rPr>
          <w:rFonts w:hint="eastAsia" w:ascii="仿宋" w:hAnsi="仿宋" w:eastAsia="仿宋" w:cs="宋体"/>
          <w:bCs/>
          <w:sz w:val="28"/>
          <w:szCs w:val="28"/>
          <w:lang w:val="en-US" w:eastAsia="zh-CN"/>
        </w:rPr>
      </w:pPr>
    </w:p>
    <w:p>
      <w:pPr>
        <w:widowControl/>
        <w:jc w:val="left"/>
        <w:rPr>
          <w:rFonts w:ascii="仿宋" w:hAnsi="仿宋" w:eastAsia="仿宋" w:cs="宋体"/>
          <w:b/>
          <w:bCs/>
          <w:sz w:val="32"/>
          <w:szCs w:val="28"/>
        </w:rPr>
      </w:pPr>
      <w:bookmarkStart w:id="0" w:name="_GoBack"/>
      <w:bookmarkEnd w:id="0"/>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Arial">
    <w:altName w:val="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jY5ODU0NjQ5ZjQ0NWEwM2Y5NDA5NmM4Y2MzMWMxZTYifQ=="/>
  </w:docVars>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99485C"/>
    <w:rsid w:val="00B33D64"/>
    <w:rsid w:val="00B927D3"/>
    <w:rsid w:val="00BA4C9E"/>
    <w:rsid w:val="00CA49E3"/>
    <w:rsid w:val="00D875C2"/>
    <w:rsid w:val="00DB1122"/>
    <w:rsid w:val="00FF1677"/>
    <w:rsid w:val="0185358B"/>
    <w:rsid w:val="28BA4A28"/>
    <w:rsid w:val="2A021EEC"/>
    <w:rsid w:val="3757749D"/>
    <w:rsid w:val="473506D4"/>
    <w:rsid w:val="68A51AEC"/>
    <w:rsid w:val="7834054B"/>
    <w:rsid w:val="DCBB022E"/>
    <w:rsid w:val="DFBA1A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pPr>
      <w:jc w:val="left"/>
    </w:pPr>
  </w:style>
  <w:style w:type="paragraph" w:styleId="3">
    <w:name w:val="Body Text Indent"/>
    <w:basedOn w:val="1"/>
    <w:unhideWhenUsed/>
    <w:qFormat/>
    <w:uiPriority w:val="99"/>
    <w:pPr>
      <w:spacing w:after="120"/>
      <w:ind w:left="420" w:leftChars="200"/>
    </w:pPr>
  </w:style>
  <w:style w:type="paragraph" w:styleId="4">
    <w:name w:val="Balloon Text"/>
    <w:basedOn w:val="1"/>
    <w:link w:val="20"/>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envelope return"/>
    <w:basedOn w:val="1"/>
    <w:unhideWhenUsed/>
    <w:qFormat/>
    <w:uiPriority w:val="0"/>
    <w:pPr>
      <w:snapToGrid w:val="0"/>
    </w:pPr>
    <w:rPr>
      <w:rFonts w:ascii="Arial" w:hAnsi="Arial"/>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9"/>
    <w:unhideWhenUsed/>
    <w:qFormat/>
    <w:uiPriority w:val="99"/>
    <w:rPr>
      <w:b/>
      <w:bCs/>
    </w:rPr>
  </w:style>
  <w:style w:type="paragraph" w:styleId="9">
    <w:name w:val="Body Text First Indent 2"/>
    <w:basedOn w:val="3"/>
    <w:next w:val="1"/>
    <w:qFormat/>
    <w:uiPriority w:val="0"/>
    <w:pPr>
      <w:ind w:firstLine="420" w:firstLineChars="200"/>
    </w:pPr>
    <w:rPr>
      <w:rFonts w:ascii="Calibri" w:hAnsi="Calibri"/>
    </w:rPr>
  </w:style>
  <w:style w:type="character" w:styleId="12">
    <w:name w:val="annotation reference"/>
    <w:basedOn w:val="11"/>
    <w:unhideWhenUsed/>
    <w:qFormat/>
    <w:uiPriority w:val="99"/>
    <w:rPr>
      <w:sz w:val="21"/>
      <w:szCs w:val="21"/>
    </w:rPr>
  </w:style>
  <w:style w:type="paragraph" w:customStyle="1" w:styleId="13">
    <w:name w:val="List Paragraph"/>
    <w:basedOn w:val="1"/>
    <w:link w:val="17"/>
    <w:qFormat/>
    <w:uiPriority w:val="34"/>
    <w:pPr>
      <w:ind w:firstLine="420" w:firstLineChars="200"/>
    </w:pPr>
    <w:rPr>
      <w:rFonts w:ascii="Calibri" w:hAnsi="Calibri"/>
    </w:rPr>
  </w:style>
  <w:style w:type="paragraph" w:customStyle="1" w:styleId="14">
    <w:name w:val="正文表格"/>
    <w:basedOn w:val="1"/>
    <w:qFormat/>
    <w:uiPriority w:val="0"/>
    <w:pPr>
      <w:adjustRightInd w:val="0"/>
      <w:snapToGrid w:val="0"/>
      <w:jc w:val="left"/>
    </w:pPr>
    <w:rPr>
      <w:rFonts w:ascii="宋体" w:hAnsi="宋体"/>
      <w:color w:val="000000"/>
      <w:szCs w:val="21"/>
    </w:rPr>
  </w:style>
  <w:style w:type="character" w:customStyle="1" w:styleId="15">
    <w:name w:val="页眉 Char"/>
    <w:basedOn w:val="11"/>
    <w:link w:val="7"/>
    <w:qFormat/>
    <w:uiPriority w:val="99"/>
    <w:rPr>
      <w:sz w:val="18"/>
      <w:szCs w:val="18"/>
    </w:rPr>
  </w:style>
  <w:style w:type="character" w:customStyle="1" w:styleId="16">
    <w:name w:val="页脚 Char"/>
    <w:basedOn w:val="11"/>
    <w:link w:val="5"/>
    <w:qFormat/>
    <w:uiPriority w:val="99"/>
    <w:rPr>
      <w:sz w:val="18"/>
      <w:szCs w:val="18"/>
    </w:rPr>
  </w:style>
  <w:style w:type="character" w:customStyle="1" w:styleId="17">
    <w:name w:val="列出段落 Char"/>
    <w:link w:val="13"/>
    <w:qFormat/>
    <w:uiPriority w:val="34"/>
    <w:rPr>
      <w:rFonts w:ascii="Calibri" w:hAnsi="Calibri"/>
    </w:rPr>
  </w:style>
  <w:style w:type="character" w:customStyle="1" w:styleId="18">
    <w:name w:val="批注文字 Char"/>
    <w:basedOn w:val="11"/>
    <w:link w:val="2"/>
    <w:semiHidden/>
    <w:qFormat/>
    <w:uiPriority w:val="99"/>
  </w:style>
  <w:style w:type="character" w:customStyle="1" w:styleId="19">
    <w:name w:val="批注主题 Char"/>
    <w:basedOn w:val="18"/>
    <w:link w:val="8"/>
    <w:semiHidden/>
    <w:qFormat/>
    <w:uiPriority w:val="99"/>
    <w:rPr>
      <w:b/>
      <w:bCs/>
    </w:rPr>
  </w:style>
  <w:style w:type="character" w:customStyle="1" w:styleId="20">
    <w:name w:val="批注框文本 Char"/>
    <w:basedOn w:val="11"/>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322</Words>
  <Characters>1837</Characters>
  <Lines>15</Lines>
  <Paragraphs>4</Paragraphs>
  <TotalTime>4</TotalTime>
  <ScaleCrop>false</ScaleCrop>
  <LinksUpToDate>false</LinksUpToDate>
  <CharactersWithSpaces>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2022-04-19T04:00:00Z</dcterms:created>
  <dc:creator>强文晓</dc:creator>
  <cp:lastModifiedBy>admin</cp:lastModifiedBy>
  <dcterms:modified xsi:type="dcterms:W3CDTF">2025-03-14T16:01:20Z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E9DF036E6E8A4B939C7F8AAFD271A14B_12</vt:lpwstr>
  </property>
</Properties>
</file>