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申请人须知</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1、遴选响应文件签署和盖章要求：遴选响应文件需打印或用不退色墨水书写，由申请人的法定代表人或其授权代表在遴选文件规定的地方签字，并进行逐页盖章或加盖骑缝章。</w:t>
      </w:r>
    </w:p>
    <w:p>
      <w:pPr>
        <w:spacing w:line="360" w:lineRule="auto"/>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Cs/>
          <w:sz w:val="32"/>
          <w:szCs w:val="32"/>
        </w:rPr>
        <w:t>2、遴选小组对申请人的遴选响应文件进行商务审查，以确定其是否满足遴选文件的实质性要求，并形成商务审查结果。申请人有任何一项不符合《商务审查表》要求的，</w:t>
      </w:r>
      <w:r>
        <w:rPr>
          <w:rFonts w:hint="eastAsia" w:ascii="仿宋_GB2312" w:hAnsi="仿宋_GB2312" w:eastAsia="仿宋_GB2312" w:cs="仿宋_GB2312"/>
          <w:b/>
          <w:bCs/>
          <w:sz w:val="32"/>
          <w:szCs w:val="32"/>
        </w:rPr>
        <w:t>遴选响应无效。</w:t>
      </w:r>
    </w:p>
    <w:p>
      <w:pPr>
        <w:spacing w:line="360" w:lineRule="auto"/>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商务审查表</w:t>
      </w:r>
    </w:p>
    <w:tbl>
      <w:tblPr>
        <w:tblStyle w:val="7"/>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4042"/>
        <w:gridCol w:w="3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10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序号</w:t>
            </w:r>
          </w:p>
        </w:tc>
        <w:tc>
          <w:tcPr>
            <w:tcW w:w="7426"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审查内容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遴选报价是否超过遴选文件规定预算金额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遴选文件的签署、盖章是否合格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是否提供满足遴选文件中要求的申请人资格要求的承诺函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rPr>
              <w:t>4</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eastAsia="zh-CN"/>
              </w:rPr>
              <w:t>是否为独立法人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5144" w:type="dxa"/>
            <w:gridSpan w:val="2"/>
            <w:tcBorders>
              <w:top w:val="single" w:color="auto" w:sz="4" w:space="0"/>
              <w:left w:val="single" w:color="auto" w:sz="4" w:space="0"/>
              <w:bottom w:val="single" w:color="auto" w:sz="4" w:space="0"/>
              <w:right w:val="nil"/>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结论</w:t>
            </w:r>
          </w:p>
        </w:tc>
        <w:tc>
          <w:tcPr>
            <w:tcW w:w="3384"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合格/不合格</w:t>
            </w:r>
          </w:p>
        </w:tc>
      </w:tr>
    </w:tbl>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成交候选人。由各业务处室最终决定成交申请人。评分分值计算保留小数点后两位，第三位四舍五入。</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如对本项目进行实质性响应的供应商不足</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家但大于等于</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家时，项目主办处室决定是否继续进行采购活动或延期遴选文件获取时间及递交申请文件时间。如继续进行采购活动，如评审小组按照遴选文件对供应商的申请文件综合打分不足</w:t>
      </w:r>
      <w:r>
        <w:rPr>
          <w:rFonts w:hint="eastAsia" w:ascii="仿宋_GB2312" w:hAnsi="仿宋_GB2312" w:eastAsia="仿宋_GB2312" w:cs="仿宋_GB2312"/>
          <w:bCs/>
          <w:sz w:val="32"/>
          <w:szCs w:val="32"/>
          <w:lang w:val="en-US" w:eastAsia="zh-CN"/>
        </w:rPr>
        <w:t>60分时，</w:t>
      </w:r>
      <w:r>
        <w:rPr>
          <w:rFonts w:hint="eastAsia" w:ascii="仿宋_GB2312" w:hAnsi="仿宋_GB2312" w:eastAsia="仿宋_GB2312" w:cs="仿宋_GB2312"/>
          <w:bCs/>
          <w:sz w:val="32"/>
          <w:szCs w:val="32"/>
          <w:lang w:eastAsia="zh-CN"/>
        </w:rPr>
        <w:t>项目主办处室可以选择</w:t>
      </w:r>
      <w:r>
        <w:rPr>
          <w:rFonts w:hint="eastAsia" w:ascii="仿宋_GB2312" w:hAnsi="仿宋_GB2312" w:eastAsia="仿宋_GB2312" w:cs="仿宋_GB2312"/>
          <w:bCs/>
          <w:sz w:val="32"/>
          <w:szCs w:val="32"/>
          <w:lang w:val="en-US" w:eastAsia="zh-CN"/>
        </w:rPr>
        <w:t>本项目废标</w:t>
      </w:r>
      <w:r>
        <w:rPr>
          <w:rFonts w:hint="eastAsia" w:ascii="仿宋_GB2312" w:hAnsi="仿宋_GB2312" w:eastAsia="仿宋_GB2312" w:cs="仿宋_GB2312"/>
          <w:bCs/>
          <w:sz w:val="32"/>
          <w:szCs w:val="32"/>
          <w:lang w:eastAsia="zh-CN"/>
        </w:rPr>
        <w:t>。</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、成交供应商拒绝与采购人签订合同的，采购人可以按照评审报告推荐的成交候选人名单排序，确定下一候选人为成交供应商，也可以重新开展政府采购活动。</w:t>
      </w:r>
    </w:p>
    <w:p>
      <w:pPr>
        <w:widowControl/>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br w:type="page"/>
      </w:r>
    </w:p>
    <w:p>
      <w:pPr>
        <w:spacing w:line="360" w:lineRule="auto"/>
        <w:jc w:val="center"/>
        <w:rPr>
          <w:rFonts w:ascii="仿宋" w:hAnsi="仿宋" w:eastAsia="仿宋" w:cs="宋体"/>
          <w:b/>
          <w:bCs/>
          <w:sz w:val="32"/>
          <w:szCs w:val="28"/>
        </w:rPr>
      </w:pPr>
      <w:r>
        <w:rPr>
          <w:rFonts w:ascii="仿宋" w:hAnsi="仿宋" w:eastAsia="仿宋" w:cs="宋体"/>
          <w:b/>
          <w:bCs/>
          <w:sz w:val="32"/>
          <w:szCs w:val="28"/>
        </w:rPr>
        <w:t>评分标准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111"/>
        <w:gridCol w:w="6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17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lang w:eastAsia="zh-CN"/>
              </w:rPr>
              <w:t>评审因素</w:t>
            </w:r>
          </w:p>
        </w:tc>
        <w:tc>
          <w:tcPr>
            <w:tcW w:w="6331"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0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商务部分</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25分</w:t>
            </w:r>
            <w:r>
              <w:rPr>
                <w:rFonts w:hint="eastAsia" w:ascii="仿宋_GB2312" w:hAnsi="仿宋_GB2312" w:eastAsia="仿宋_GB2312" w:cs="仿宋_GB2312"/>
                <w:sz w:val="21"/>
                <w:szCs w:val="21"/>
                <w:lang w:eastAsia="zh-CN"/>
              </w:rPr>
              <w:t>）</w:t>
            </w:r>
          </w:p>
        </w:tc>
        <w:tc>
          <w:tcPr>
            <w:tcW w:w="1111" w:type="dxa"/>
            <w:vMerge w:val="restart"/>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供应商基本情况</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供应商资</w:t>
            </w:r>
            <w:r>
              <w:rPr>
                <w:rFonts w:hint="eastAsia" w:ascii="仿宋_GB2312" w:hAnsi="仿宋_GB2312" w:eastAsia="仿宋_GB2312" w:cs="仿宋_GB2312"/>
                <w:sz w:val="21"/>
                <w:szCs w:val="21"/>
                <w:lang w:eastAsia="zh-CN"/>
              </w:rPr>
              <w:t>质</w:t>
            </w:r>
            <w:r>
              <w:rPr>
                <w:rFonts w:hint="eastAsia" w:ascii="仿宋_GB2312" w:hAnsi="仿宋_GB2312" w:eastAsia="仿宋_GB2312" w:cs="仿宋_GB2312"/>
                <w:sz w:val="21"/>
                <w:szCs w:val="21"/>
              </w:rPr>
              <w:t>情况良好（</w:t>
            </w:r>
            <w:r>
              <w:rPr>
                <w:rFonts w:hint="eastAsia" w:ascii="仿宋_GB2312" w:hAnsi="仿宋_GB2312" w:eastAsia="仿宋_GB2312" w:cs="仿宋_GB2312"/>
                <w:sz w:val="21"/>
                <w:szCs w:val="21"/>
                <w:lang w:eastAsia="zh-CN"/>
              </w:rPr>
              <w:t>承担专业资质</w:t>
            </w:r>
            <w:r>
              <w:rPr>
                <w:rFonts w:hint="eastAsia" w:ascii="仿宋_GB2312" w:hAnsi="仿宋_GB2312" w:eastAsia="仿宋_GB2312" w:cs="仿宋_GB2312"/>
                <w:sz w:val="21"/>
                <w:szCs w:val="21"/>
              </w:rPr>
              <w:t>等）</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vMerge w:val="continue"/>
            <w:noWrap w:val="0"/>
            <w:vAlign w:val="center"/>
          </w:tcPr>
          <w:p>
            <w:pPr>
              <w:widowControl/>
              <w:spacing w:line="300" w:lineRule="exact"/>
              <w:jc w:val="center"/>
              <w:rPr>
                <w:rFonts w:hint="eastAsia" w:ascii="仿宋_GB2312" w:hAnsi="仿宋_GB2312" w:eastAsia="仿宋_GB2312" w:cs="仿宋_GB2312"/>
                <w:sz w:val="21"/>
                <w:szCs w:val="21"/>
                <w:vertAlign w:val="baseline"/>
              </w:rPr>
            </w:pP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熟悉</w:t>
            </w:r>
            <w:r>
              <w:rPr>
                <w:rFonts w:hint="eastAsia" w:ascii="仿宋_GB2312" w:hAnsi="仿宋_GB2312" w:eastAsia="仿宋_GB2312" w:cs="仿宋_GB2312"/>
                <w:sz w:val="21"/>
                <w:szCs w:val="21"/>
                <w:lang w:eastAsia="zh-CN"/>
              </w:rPr>
              <w:t>营养健康领域，有营养、食品、健康等技能提升和培训项目相关</w:t>
            </w:r>
            <w:r>
              <w:rPr>
                <w:rFonts w:hint="eastAsia" w:ascii="仿宋_GB2312" w:hAnsi="仿宋_GB2312" w:eastAsia="仿宋_GB2312" w:cs="仿宋_GB2312"/>
                <w:sz w:val="21"/>
                <w:szCs w:val="21"/>
              </w:rPr>
              <w:t>工作</w:t>
            </w:r>
            <w:r>
              <w:rPr>
                <w:rFonts w:hint="eastAsia" w:ascii="仿宋_GB2312" w:hAnsi="仿宋_GB2312" w:eastAsia="仿宋_GB2312" w:cs="仿宋_GB2312"/>
                <w:sz w:val="21"/>
                <w:szCs w:val="21"/>
                <w:lang w:eastAsia="zh-CN"/>
              </w:rPr>
              <w:t>经验</w:t>
            </w:r>
            <w:r>
              <w:rPr>
                <w:rFonts w:hint="eastAsia" w:ascii="仿宋_GB2312" w:hAnsi="仿宋_GB2312" w:eastAsia="仿宋_GB2312" w:cs="仿宋_GB2312"/>
                <w:sz w:val="21"/>
                <w:szCs w:val="21"/>
              </w:rPr>
              <w:t>。（横向比较，最优得</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分、一般得</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分、较差得0分）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供应商的业绩</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（15分）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rPr>
              <w:t>供应商近三年（20</w:t>
            </w:r>
            <w:r>
              <w:rPr>
                <w:rFonts w:hint="eastAsia" w:ascii="仿宋_GB2312" w:hAnsi="仿宋_GB2312" w:eastAsia="仿宋_GB2312" w:cs="仿宋_GB2312"/>
                <w:sz w:val="21"/>
                <w:szCs w:val="21"/>
                <w:lang w:val="en-US" w:eastAsia="zh-CN"/>
              </w:rPr>
              <w:t>22</w:t>
            </w:r>
            <w:r>
              <w:rPr>
                <w:rFonts w:hint="eastAsia" w:ascii="仿宋_GB2312" w:hAnsi="仿宋_GB2312" w:eastAsia="仿宋_GB2312" w:cs="仿宋_GB2312"/>
                <w:sz w:val="21"/>
                <w:szCs w:val="21"/>
              </w:rPr>
              <w:t>年1月起至本采购活动遴选公告发布前（以合同签订日期为准））承接过类似服务业绩，每提供1个业绩得5分，最多得</w:t>
            </w:r>
            <w:r>
              <w:rPr>
                <w:rFonts w:hint="eastAsia" w:ascii="仿宋_GB2312" w:hAnsi="仿宋_GB2312" w:eastAsia="仿宋_GB2312" w:cs="仿宋_GB2312"/>
                <w:sz w:val="21"/>
                <w:szCs w:val="21"/>
                <w:lang w:val="en-US" w:eastAsia="zh-CN"/>
              </w:rPr>
              <w:t>15</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注：需提供业绩合同或协议复印件并加盖公章，如无材料证明或证明材料不完整，上述内容将视为零分。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10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color w:val="000000"/>
                <w:sz w:val="21"/>
                <w:szCs w:val="21"/>
              </w:rPr>
              <w:t>技术部分（</w:t>
            </w:r>
            <w:r>
              <w:rPr>
                <w:rFonts w:hint="eastAsia" w:ascii="仿宋_GB2312" w:hAnsi="仿宋_GB2312" w:eastAsia="仿宋_GB2312" w:cs="仿宋_GB2312"/>
                <w:color w:val="000000"/>
                <w:sz w:val="21"/>
                <w:szCs w:val="21"/>
                <w:lang w:val="en-US" w:eastAsia="zh-CN"/>
              </w:rPr>
              <w:t>65</w:t>
            </w:r>
            <w:r>
              <w:rPr>
                <w:rFonts w:hint="eastAsia" w:ascii="仿宋_GB2312" w:hAnsi="仿宋_GB2312" w:eastAsia="仿宋_GB2312" w:cs="仿宋_GB2312"/>
                <w:color w:val="000000"/>
                <w:sz w:val="21"/>
                <w:szCs w:val="21"/>
              </w:rPr>
              <w:t>分）</w:t>
            </w: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实施方案内容与工作方法（3</w:t>
            </w:r>
            <w:r>
              <w:rPr>
                <w:rFonts w:hint="eastAsia" w:ascii="仿宋_GB2312" w:hAnsi="仿宋_GB2312" w:eastAsia="仿宋_GB2312" w:cs="仿宋_GB2312"/>
                <w:sz w:val="21"/>
                <w:szCs w:val="21"/>
                <w:lang w:val="en-US" w:eastAsia="zh-CN"/>
              </w:rPr>
              <w:t>0</w:t>
            </w:r>
            <w:r>
              <w:rPr>
                <w:rFonts w:hint="eastAsia" w:ascii="仿宋_GB2312" w:hAnsi="仿宋_GB2312" w:eastAsia="仿宋_GB2312" w:cs="仿宋_GB2312"/>
                <w:sz w:val="21"/>
                <w:szCs w:val="21"/>
              </w:rPr>
              <w:t>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项目实施方案编制思路清晰、目标明确、条理严谨，实施方案对项目结果的最终实现具有良好的支撑性、衔接性，符合遴选工作任务要求，预期成果及技术路线完备。优秀的，得</w:t>
            </w:r>
            <w:r>
              <w:rPr>
                <w:rFonts w:hint="eastAsia" w:ascii="仿宋_GB2312" w:hAnsi="仿宋_GB2312" w:eastAsia="仿宋_GB2312" w:cs="仿宋_GB2312"/>
                <w:sz w:val="21"/>
                <w:szCs w:val="21"/>
                <w:lang w:val="en-US" w:eastAsia="zh-CN"/>
              </w:rPr>
              <w:t>30</w:t>
            </w:r>
            <w:r>
              <w:rPr>
                <w:rFonts w:hint="eastAsia" w:ascii="仿宋_GB2312" w:hAnsi="仿宋_GB2312" w:eastAsia="仿宋_GB2312" w:cs="仿宋_GB2312"/>
                <w:sz w:val="21"/>
                <w:szCs w:val="21"/>
              </w:rPr>
              <w:t>分；良好的，得20分；一般的，得10分；较差的，</w:t>
            </w:r>
            <w:bookmarkStart w:id="0" w:name="_GoBack"/>
            <w:bookmarkEnd w:id="0"/>
            <w:r>
              <w:rPr>
                <w:rFonts w:hint="eastAsia" w:ascii="仿宋_GB2312" w:hAnsi="仿宋_GB2312" w:eastAsia="仿宋_GB2312" w:cs="仿宋_GB2312"/>
                <w:sz w:val="21"/>
                <w:szCs w:val="21"/>
              </w:rPr>
              <w:t>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color w:val="000000"/>
                <w:sz w:val="21"/>
                <w:szCs w:val="21"/>
              </w:rPr>
            </w:pPr>
          </w:p>
        </w:tc>
        <w:tc>
          <w:tcPr>
            <w:tcW w:w="1111" w:type="dxa"/>
            <w:vMerge w:val="restart"/>
            <w:noWrap w:val="0"/>
            <w:vAlign w:val="center"/>
          </w:tcPr>
          <w:p>
            <w:pPr>
              <w:widowControl/>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项目人员配备</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（10分）</w:t>
            </w:r>
          </w:p>
        </w:tc>
        <w:tc>
          <w:tcPr>
            <w:tcW w:w="6331" w:type="dxa"/>
            <w:noWrap w:val="0"/>
            <w:vAlign w:val="center"/>
          </w:tcPr>
          <w:p>
            <w:pPr>
              <w:spacing w:line="300" w:lineRule="exact"/>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rPr>
              <w:t>拟投入本项目负责人20</w:t>
            </w:r>
            <w:r>
              <w:rPr>
                <w:rFonts w:hint="eastAsia" w:ascii="仿宋_GB2312" w:hAnsi="仿宋_GB2312" w:eastAsia="仿宋_GB2312" w:cs="仿宋_GB2312"/>
                <w:sz w:val="21"/>
                <w:szCs w:val="21"/>
                <w:lang w:val="en-US" w:eastAsia="zh-CN"/>
              </w:rPr>
              <w:t>22</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eastAsia="zh-CN"/>
              </w:rPr>
              <w:t>以来</w:t>
            </w:r>
            <w:r>
              <w:rPr>
                <w:rFonts w:hint="eastAsia" w:ascii="仿宋_GB2312" w:hAnsi="仿宋_GB2312" w:eastAsia="仿宋_GB2312" w:cs="仿宋_GB2312"/>
                <w:sz w:val="21"/>
                <w:szCs w:val="21"/>
              </w:rPr>
              <w:t>承担的</w:t>
            </w:r>
            <w:r>
              <w:rPr>
                <w:rFonts w:hint="eastAsia" w:ascii="仿宋_GB2312" w:hAnsi="仿宋_GB2312" w:eastAsia="仿宋_GB2312" w:cs="仿宋_GB2312"/>
                <w:sz w:val="21"/>
                <w:szCs w:val="21"/>
                <w:lang w:eastAsia="zh-CN"/>
              </w:rPr>
              <w:t>营养、食品、健康等技能提升和培训项目</w:t>
            </w:r>
            <w:r>
              <w:rPr>
                <w:rFonts w:hint="eastAsia" w:ascii="仿宋_GB2312" w:hAnsi="仿宋_GB2312" w:eastAsia="仿宋_GB2312" w:cs="仿宋_GB2312"/>
                <w:sz w:val="21"/>
                <w:szCs w:val="21"/>
              </w:rPr>
              <w:t>工作情况。每项业绩得2分，最高得6分（需提供参与该项目的相关证明材料）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color w:val="000000"/>
                <w:sz w:val="21"/>
                <w:szCs w:val="21"/>
              </w:rPr>
            </w:pPr>
          </w:p>
        </w:tc>
        <w:tc>
          <w:tcPr>
            <w:tcW w:w="1111" w:type="dxa"/>
            <w:vMerge w:val="continue"/>
            <w:tcBorders/>
            <w:noWrap w:val="0"/>
            <w:vAlign w:val="center"/>
          </w:tcPr>
          <w:p>
            <w:pPr>
              <w:widowControl/>
              <w:spacing w:line="300" w:lineRule="exact"/>
              <w:jc w:val="center"/>
              <w:rPr>
                <w:rFonts w:hint="eastAsia" w:ascii="仿宋_GB2312" w:hAnsi="仿宋_GB2312" w:eastAsia="仿宋_GB2312" w:cs="仿宋_GB2312"/>
                <w:sz w:val="21"/>
                <w:szCs w:val="21"/>
              </w:rPr>
            </w:pPr>
          </w:p>
        </w:tc>
        <w:tc>
          <w:tcPr>
            <w:tcW w:w="6331" w:type="dxa"/>
            <w:noWrap w:val="0"/>
            <w:vAlign w:val="center"/>
          </w:tcPr>
          <w:p>
            <w:pPr>
              <w:spacing w:line="300" w:lineRule="exact"/>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rPr>
              <w:t>拟投入本项目团队主要成员情况及参与过相关项目的资料，需提供人员名册，必须保证后续参与该项工作。（横向比较，最优得4分、较好得2分、一般得1分、较差得0分）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color w:val="000000"/>
                <w:sz w:val="21"/>
                <w:szCs w:val="21"/>
              </w:rPr>
            </w:pP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质量保证措施</w:t>
            </w:r>
          </w:p>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（15分）</w:t>
            </w:r>
          </w:p>
        </w:tc>
        <w:tc>
          <w:tcPr>
            <w:tcW w:w="6331" w:type="dxa"/>
            <w:noWrap w:val="0"/>
            <w:vAlign w:val="center"/>
          </w:tcPr>
          <w:p>
            <w:pPr>
              <w:widowControl/>
              <w:spacing w:line="300" w:lineRule="exact"/>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供应商质量管理体系健全，技术支持有保障，人员安排合理，能够在服务期内高质量完成合同要求。</w:t>
            </w:r>
            <w:r>
              <w:rPr>
                <w:rFonts w:hint="eastAsia" w:ascii="仿宋_GB2312" w:hAnsi="仿宋_GB2312" w:eastAsia="仿宋_GB2312" w:cs="仿宋_GB2312"/>
                <w:sz w:val="21"/>
                <w:szCs w:val="21"/>
                <w:lang w:eastAsia="zh-CN"/>
              </w:rPr>
              <w:t>包括并不限于以下方面：</w:t>
            </w:r>
          </w:p>
          <w:p>
            <w:pPr>
              <w:widowControl/>
              <w:spacing w:line="300" w:lineRule="exac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1.具备教育培训相关经历，具备开展实训实践的场所或联合培养单位，可以满足理论教学和实践培训的相关要求；</w:t>
            </w:r>
          </w:p>
          <w:p>
            <w:pPr>
              <w:widowControl/>
              <w:spacing w:line="300" w:lineRule="exac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2.具备营养、食品、健康等方面行业培训相关经验，拥有符合营养指导员培训师资素质和能力要求且相对稳定的专（兼）职师资队伍；</w:t>
            </w:r>
          </w:p>
          <w:p>
            <w:pPr>
              <w:widowControl/>
              <w:spacing w:line="300" w:lineRule="exac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3.具备健全的培训管理制度，可对教学培训和日常运营管理工作提供人财物配套全面保障，具有专门的培训场所、教学设备、管理服务团队；</w:t>
            </w:r>
          </w:p>
          <w:p>
            <w:pPr>
              <w:widowControl/>
              <w:spacing w:line="300" w:lineRule="exac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4.遵守国家各项政策法规，无不良记录。</w:t>
            </w:r>
          </w:p>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优秀的，得15分；良好的，得10分；一般的，得5分；较差的，得0分。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服务承诺（</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供应商须提供沟通机制，内容包括①服务人员安排②沟通方案，要求有专人定期沟通，配合。优秀的，得</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分；良好的，得</w:t>
            </w:r>
            <w:r>
              <w:rPr>
                <w:rFonts w:hint="eastAsia" w:ascii="仿宋_GB2312" w:hAnsi="仿宋_GB2312" w:eastAsia="仿宋_GB2312" w:cs="仿宋_GB2312"/>
                <w:sz w:val="21"/>
                <w:szCs w:val="21"/>
                <w:lang w:val="en-US" w:eastAsia="zh-CN"/>
              </w:rPr>
              <w:t>7</w:t>
            </w:r>
            <w:r>
              <w:rPr>
                <w:rFonts w:hint="eastAsia" w:ascii="仿宋_GB2312" w:hAnsi="仿宋_GB2312" w:eastAsia="仿宋_GB2312" w:cs="仿宋_GB2312"/>
                <w:sz w:val="21"/>
                <w:szCs w:val="21"/>
              </w:rPr>
              <w:t>分；一般的，得</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分；较差的，得0分。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067"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投标报价（10分）</w:t>
            </w:r>
          </w:p>
        </w:tc>
        <w:tc>
          <w:tcPr>
            <w:tcW w:w="744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报价得分=（评审基准价/报价）×价格权值10%×100</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注：实质性响应遴选文件要求且价格最低的报价为评审基准价。</w:t>
            </w:r>
          </w:p>
        </w:tc>
      </w:tr>
    </w:tbl>
    <w:p>
      <w:pPr>
        <w:spacing w:line="360" w:lineRule="auto"/>
        <w:jc w:val="both"/>
        <w:rPr>
          <w:rFonts w:ascii="仿宋" w:hAnsi="仿宋" w:eastAsia="仿宋" w:cs="宋体"/>
          <w:b/>
          <w:bCs/>
          <w:sz w:val="32"/>
          <w:szCs w:val="28"/>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85C"/>
    <w:rsid w:val="000A22BF"/>
    <w:rsid w:val="00193EAA"/>
    <w:rsid w:val="002813AC"/>
    <w:rsid w:val="00296944"/>
    <w:rsid w:val="002D2684"/>
    <w:rsid w:val="003B2C36"/>
    <w:rsid w:val="003D1C53"/>
    <w:rsid w:val="003E70D5"/>
    <w:rsid w:val="004D73E0"/>
    <w:rsid w:val="004F644E"/>
    <w:rsid w:val="00504DC9"/>
    <w:rsid w:val="00515BAC"/>
    <w:rsid w:val="006337E9"/>
    <w:rsid w:val="006F7B9A"/>
    <w:rsid w:val="0072607C"/>
    <w:rsid w:val="007A7660"/>
    <w:rsid w:val="008A2C42"/>
    <w:rsid w:val="0099485C"/>
    <w:rsid w:val="00B33D64"/>
    <w:rsid w:val="00B927D3"/>
    <w:rsid w:val="00BA4C9E"/>
    <w:rsid w:val="00CA49E3"/>
    <w:rsid w:val="00D875C2"/>
    <w:rsid w:val="00DB1122"/>
    <w:rsid w:val="00FF1677"/>
    <w:rsid w:val="0185358B"/>
    <w:rsid w:val="473506D4"/>
    <w:rsid w:val="4D7FAF96"/>
    <w:rsid w:val="6BDDFD0F"/>
    <w:rsid w:val="75B7D338"/>
    <w:rsid w:val="7AFFAF45"/>
    <w:rsid w:val="7CAFFD4A"/>
    <w:rsid w:val="F3EF8EDC"/>
    <w:rsid w:val="F5C7F393"/>
    <w:rsid w:val="FFB701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style>
  <w:style w:type="paragraph" w:styleId="3">
    <w:name w:val="Balloon Text"/>
    <w:basedOn w:val="1"/>
    <w:link w:val="17"/>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unhideWhenUsed/>
    <w:qFormat/>
    <w:uiPriority w:val="99"/>
    <w:rPr>
      <w:b/>
      <w:bCs/>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unhideWhenUsed/>
    <w:qFormat/>
    <w:uiPriority w:val="99"/>
    <w:rPr>
      <w:sz w:val="21"/>
      <w:szCs w:val="21"/>
    </w:rPr>
  </w:style>
  <w:style w:type="paragraph" w:customStyle="1" w:styleId="11">
    <w:name w:val="List Paragraph"/>
    <w:basedOn w:val="1"/>
    <w:link w:val="14"/>
    <w:qFormat/>
    <w:uiPriority w:val="34"/>
    <w:pPr>
      <w:ind w:firstLine="420" w:firstLineChars="200"/>
    </w:pPr>
    <w:rPr>
      <w:rFonts w:ascii="Calibri" w:hAnsi="Calibri"/>
    </w:rPr>
  </w:style>
  <w:style w:type="character" w:customStyle="1" w:styleId="12">
    <w:name w:val="页眉 Char"/>
    <w:basedOn w:val="9"/>
    <w:link w:val="5"/>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列出段落 Char"/>
    <w:link w:val="11"/>
    <w:qFormat/>
    <w:uiPriority w:val="34"/>
    <w:rPr>
      <w:rFonts w:ascii="Calibri" w:hAnsi="Calibri"/>
    </w:rPr>
  </w:style>
  <w:style w:type="character" w:customStyle="1" w:styleId="15">
    <w:name w:val="批注文字 Char"/>
    <w:basedOn w:val="9"/>
    <w:link w:val="2"/>
    <w:semiHidden/>
    <w:qFormat/>
    <w:uiPriority w:val="99"/>
  </w:style>
  <w:style w:type="character" w:customStyle="1" w:styleId="16">
    <w:name w:val="批注主题 Char"/>
    <w:basedOn w:val="15"/>
    <w:link w:val="6"/>
    <w:semiHidden/>
    <w:qFormat/>
    <w:uiPriority w:val="99"/>
    <w:rPr>
      <w:b/>
      <w:bCs/>
    </w:rPr>
  </w:style>
  <w:style w:type="character" w:customStyle="1" w:styleId="17">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322</Words>
  <Characters>1837</Characters>
  <Lines>15</Lines>
  <Paragraphs>4</Paragraphs>
  <TotalTime>2</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2022-04-20T20:00:00Z</dcterms:created>
  <dc:creator>强文晓</dc:creator>
  <cp:lastModifiedBy>user</cp:lastModifiedBy>
  <dcterms:modified xsi:type="dcterms:W3CDTF">2025-02-18T15:48:58Z</dcterms:modified>
  <dc:title>申请人须知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