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BCA2933">
      <w:pPr>
        <w:jc w:val="center"/>
        <w:rPr>
          <w:rFonts w:hint="eastAsia" w:ascii="宋体" w:hAnsi="宋体" w:cs="宋体"/>
          <w:color w:val="auto"/>
        </w:rPr>
      </w:pPr>
      <w:r>
        <w:rPr>
          <w:rFonts w:hint="eastAsia" w:ascii="宋体" w:hAnsi="宋体" w:cs="宋体"/>
          <w:color w:val="auto"/>
        </w:rPr>
        <w:t xml:space="preserve"> </w:t>
      </w:r>
    </w:p>
    <w:p w14:paraId="474E64AB">
      <w:pPr>
        <w:jc w:val="center"/>
        <w:rPr>
          <w:rFonts w:hint="eastAsia" w:ascii="宋体" w:hAnsi="宋体" w:cs="宋体"/>
          <w:color w:val="auto"/>
        </w:rPr>
      </w:pPr>
    </w:p>
    <w:p w14:paraId="1375E93B">
      <w:pPr>
        <w:spacing w:line="1600" w:lineRule="exact"/>
        <w:jc w:val="center"/>
        <w:rPr>
          <w:rFonts w:hint="eastAsia" w:ascii="宋体" w:hAnsi="宋体" w:cs="宋体"/>
          <w:color w:val="auto"/>
          <w:sz w:val="100"/>
        </w:rPr>
      </w:pPr>
      <w:r>
        <w:rPr>
          <w:rFonts w:hint="eastAsia" w:ascii="宋体" w:hAnsi="宋体" w:cs="宋体"/>
          <w:color w:val="auto"/>
          <w:sz w:val="100"/>
        </w:rPr>
        <w:t>政府采购</w:t>
      </w:r>
    </w:p>
    <w:p w14:paraId="0A8DE660">
      <w:pPr>
        <w:spacing w:line="1600" w:lineRule="exact"/>
        <w:jc w:val="center"/>
        <w:rPr>
          <w:rFonts w:hint="eastAsia" w:ascii="宋体" w:hAnsi="宋体" w:cs="宋体"/>
          <w:color w:val="auto"/>
          <w:sz w:val="130"/>
          <w:szCs w:val="130"/>
        </w:rPr>
      </w:pPr>
      <w:r>
        <w:rPr>
          <w:rFonts w:hint="eastAsia" w:ascii="宋体" w:hAnsi="宋体" w:cs="宋体"/>
          <w:color w:val="auto"/>
          <w:sz w:val="130"/>
          <w:szCs w:val="130"/>
        </w:rPr>
        <w:t>竞争性磋商文件</w:t>
      </w:r>
    </w:p>
    <w:p w14:paraId="2296E840">
      <w:pPr>
        <w:spacing w:line="700" w:lineRule="exact"/>
        <w:jc w:val="center"/>
        <w:rPr>
          <w:rFonts w:hint="eastAsia" w:ascii="宋体" w:hAnsi="宋体" w:cs="宋体"/>
          <w:color w:val="auto"/>
          <w:sz w:val="32"/>
        </w:rPr>
      </w:pPr>
    </w:p>
    <w:p w14:paraId="41843664">
      <w:pPr>
        <w:spacing w:line="700" w:lineRule="exact"/>
        <w:jc w:val="center"/>
        <w:rPr>
          <w:rFonts w:hint="eastAsia" w:ascii="宋体" w:hAnsi="宋体" w:cs="宋体"/>
          <w:color w:val="auto"/>
          <w:sz w:val="32"/>
        </w:rPr>
      </w:pPr>
    </w:p>
    <w:p w14:paraId="7FD2B65B">
      <w:pPr>
        <w:spacing w:line="700" w:lineRule="exact"/>
        <w:jc w:val="center"/>
        <w:rPr>
          <w:rFonts w:hint="eastAsia" w:ascii="宋体" w:hAnsi="宋体" w:cs="宋体"/>
          <w:color w:val="auto"/>
          <w:sz w:val="32"/>
        </w:rPr>
      </w:pPr>
    </w:p>
    <w:p w14:paraId="7535DB82">
      <w:pPr>
        <w:spacing w:line="700" w:lineRule="exact"/>
        <w:jc w:val="center"/>
        <w:rPr>
          <w:rFonts w:hint="eastAsia" w:ascii="宋体" w:hAnsi="宋体" w:cs="宋体"/>
          <w:color w:val="auto"/>
          <w:sz w:val="32"/>
        </w:rPr>
      </w:pPr>
    </w:p>
    <w:p w14:paraId="769C9E37">
      <w:pPr>
        <w:spacing w:line="500" w:lineRule="exact"/>
        <w:ind w:firstLine="720" w:firstLineChars="200"/>
        <w:rPr>
          <w:rFonts w:hint="eastAsia" w:ascii="宋体" w:hAnsi="宋体" w:eastAsia="宋体" w:cs="宋体"/>
          <w:color w:val="auto"/>
          <w:sz w:val="36"/>
          <w:szCs w:val="36"/>
          <w:lang w:eastAsia="zh-CN"/>
        </w:rPr>
      </w:pPr>
      <w:r>
        <w:rPr>
          <w:rFonts w:hint="eastAsia" w:ascii="宋体" w:hAnsi="宋体" w:cs="宋体"/>
          <w:color w:val="auto"/>
          <w:sz w:val="36"/>
          <w:szCs w:val="36"/>
        </w:rPr>
        <w:t>项  目  号：</w:t>
      </w:r>
      <w:r>
        <w:rPr>
          <w:rFonts w:hint="eastAsia" w:ascii="宋体" w:hAnsi="宋体" w:cs="宋体"/>
          <w:color w:val="auto"/>
          <w:sz w:val="36"/>
          <w:szCs w:val="36"/>
          <w:lang w:eastAsia="zh-CN"/>
        </w:rPr>
        <w:t>CQS24C01589</w:t>
      </w:r>
    </w:p>
    <w:p w14:paraId="5E4E1377">
      <w:pPr>
        <w:spacing w:line="500" w:lineRule="exact"/>
        <w:ind w:left="3237" w:leftChars="256" w:hanging="2520" w:hangingChars="700"/>
        <w:jc w:val="left"/>
        <w:rPr>
          <w:rFonts w:hint="eastAsia" w:ascii="宋体" w:hAnsi="宋体" w:eastAsia="宋体" w:cs="宋体"/>
          <w:color w:val="auto"/>
          <w:sz w:val="36"/>
          <w:szCs w:val="36"/>
          <w:lang w:eastAsia="zh-CN"/>
        </w:rPr>
      </w:pPr>
      <w:r>
        <w:rPr>
          <w:rFonts w:hint="eastAsia" w:ascii="宋体" w:hAnsi="宋体" w:cs="宋体"/>
          <w:color w:val="auto"/>
          <w:sz w:val="36"/>
          <w:szCs w:val="36"/>
        </w:rPr>
        <w:t>磋商项目名称：</w:t>
      </w:r>
      <w:r>
        <w:rPr>
          <w:rFonts w:hint="eastAsia" w:ascii="宋体" w:hAnsi="宋体" w:cs="宋体"/>
          <w:color w:val="auto"/>
          <w:sz w:val="36"/>
          <w:szCs w:val="36"/>
          <w:lang w:eastAsia="zh-CN"/>
        </w:rPr>
        <w:t>重庆市医疗保障信息平台网络安全等级保护测评服务</w:t>
      </w:r>
    </w:p>
    <w:p w14:paraId="65892B89">
      <w:pPr>
        <w:spacing w:line="700" w:lineRule="exact"/>
        <w:ind w:firstLine="1749" w:firstLineChars="486"/>
        <w:rPr>
          <w:rFonts w:hint="eastAsia" w:ascii="宋体" w:hAnsi="宋体" w:cs="宋体"/>
          <w:color w:val="auto"/>
          <w:sz w:val="36"/>
          <w:szCs w:val="36"/>
        </w:rPr>
      </w:pPr>
    </w:p>
    <w:p w14:paraId="254AFB46">
      <w:pPr>
        <w:spacing w:line="700" w:lineRule="exact"/>
        <w:ind w:firstLine="1749" w:firstLineChars="486"/>
        <w:rPr>
          <w:rFonts w:hint="eastAsia" w:ascii="宋体" w:hAnsi="宋体" w:cs="宋体"/>
          <w:color w:val="auto"/>
          <w:sz w:val="36"/>
          <w:szCs w:val="36"/>
        </w:rPr>
      </w:pPr>
    </w:p>
    <w:p w14:paraId="795FE365">
      <w:pPr>
        <w:spacing w:line="700" w:lineRule="exact"/>
        <w:jc w:val="center"/>
        <w:rPr>
          <w:rFonts w:hint="eastAsia" w:ascii="宋体" w:hAnsi="宋体" w:cs="宋体"/>
          <w:b/>
          <w:color w:val="auto"/>
          <w:sz w:val="36"/>
          <w:szCs w:val="36"/>
        </w:rPr>
      </w:pPr>
    </w:p>
    <w:p w14:paraId="7A6FA537">
      <w:pPr>
        <w:spacing w:line="500" w:lineRule="exact"/>
        <w:jc w:val="center"/>
        <w:rPr>
          <w:rFonts w:hint="eastAsia" w:ascii="宋体" w:hAnsi="宋体" w:cs="宋体"/>
          <w:color w:val="auto"/>
          <w:sz w:val="36"/>
          <w:szCs w:val="36"/>
        </w:rPr>
      </w:pPr>
      <w:r>
        <w:rPr>
          <w:rFonts w:hint="eastAsia" w:ascii="宋体" w:hAnsi="宋体" w:cs="宋体"/>
          <w:color w:val="auto"/>
          <w:sz w:val="36"/>
          <w:szCs w:val="36"/>
        </w:rPr>
        <w:t>采购人：重庆市医疗保障局</w:t>
      </w:r>
    </w:p>
    <w:p w14:paraId="55E0FD77">
      <w:pPr>
        <w:spacing w:line="500" w:lineRule="exact"/>
        <w:jc w:val="center"/>
        <w:rPr>
          <w:rFonts w:hint="eastAsia" w:ascii="宋体" w:hAnsi="宋体" w:cs="宋体"/>
          <w:color w:val="auto"/>
          <w:sz w:val="36"/>
          <w:szCs w:val="36"/>
        </w:rPr>
      </w:pPr>
      <w:r>
        <w:rPr>
          <w:rFonts w:hint="eastAsia" w:ascii="宋体" w:hAnsi="宋体" w:cs="宋体"/>
          <w:color w:val="auto"/>
          <w:sz w:val="36"/>
          <w:szCs w:val="36"/>
        </w:rPr>
        <w:t>采购代理机构：</w:t>
      </w:r>
      <w:r>
        <w:rPr>
          <w:rFonts w:hint="eastAsia" w:ascii="宋体" w:hAnsi="宋体" w:eastAsia="宋体" w:cs="宋体"/>
          <w:sz w:val="36"/>
          <w:szCs w:val="36"/>
        </w:rPr>
        <w:t>重庆希维招标代理有限公司</w:t>
      </w:r>
    </w:p>
    <w:p w14:paraId="53784E35">
      <w:pPr>
        <w:spacing w:line="500" w:lineRule="exact"/>
        <w:jc w:val="center"/>
        <w:rPr>
          <w:rFonts w:hint="eastAsia" w:ascii="宋体" w:hAnsi="宋体" w:cs="宋体"/>
          <w:color w:val="auto"/>
          <w:sz w:val="36"/>
          <w:szCs w:val="36"/>
        </w:rPr>
      </w:pPr>
    </w:p>
    <w:p w14:paraId="22AEAA79">
      <w:pPr>
        <w:spacing w:line="720" w:lineRule="exact"/>
        <w:jc w:val="center"/>
        <w:rPr>
          <w:rFonts w:hint="eastAsia" w:ascii="宋体" w:hAnsi="宋体" w:cs="宋体"/>
          <w:color w:val="auto"/>
          <w:sz w:val="48"/>
          <w:szCs w:val="32"/>
        </w:rPr>
      </w:pPr>
      <w:r>
        <w:rPr>
          <w:rFonts w:hint="eastAsia" w:ascii="宋体" w:hAnsi="宋体" w:cs="宋体"/>
          <w:color w:val="auto"/>
          <w:sz w:val="36"/>
          <w:szCs w:val="36"/>
        </w:rPr>
        <w:t>二〇二</w:t>
      </w:r>
      <w:r>
        <w:rPr>
          <w:rFonts w:hint="eastAsia" w:ascii="宋体" w:hAnsi="宋体" w:cs="宋体"/>
          <w:color w:val="auto"/>
          <w:sz w:val="36"/>
          <w:szCs w:val="36"/>
          <w:lang w:val="en-US" w:eastAsia="zh-CN"/>
        </w:rPr>
        <w:t>五</w:t>
      </w:r>
      <w:r>
        <w:rPr>
          <w:rFonts w:hint="eastAsia" w:ascii="宋体" w:hAnsi="宋体" w:cs="宋体"/>
          <w:color w:val="auto"/>
          <w:sz w:val="36"/>
          <w:szCs w:val="36"/>
        </w:rPr>
        <w:t>年</w:t>
      </w:r>
      <w:r>
        <w:rPr>
          <w:rFonts w:hint="eastAsia" w:ascii="宋体" w:hAnsi="宋体" w:cs="宋体"/>
          <w:color w:val="auto"/>
          <w:sz w:val="36"/>
          <w:szCs w:val="36"/>
          <w:lang w:val="en-US" w:eastAsia="zh-CN"/>
        </w:rPr>
        <w:t>一</w:t>
      </w:r>
      <w:r>
        <w:rPr>
          <w:rFonts w:hint="eastAsia" w:ascii="宋体" w:hAnsi="宋体" w:cs="宋体"/>
          <w:color w:val="auto"/>
          <w:sz w:val="36"/>
          <w:szCs w:val="36"/>
        </w:rPr>
        <w:t>月</w:t>
      </w:r>
    </w:p>
    <w:p w14:paraId="7FECD86E">
      <w:pPr>
        <w:spacing w:line="720" w:lineRule="exact"/>
        <w:jc w:val="center"/>
        <w:rPr>
          <w:rFonts w:hint="eastAsia" w:ascii="宋体" w:hAnsi="宋体" w:cs="宋体"/>
          <w:color w:val="auto"/>
          <w:sz w:val="48"/>
          <w:szCs w:val="32"/>
        </w:rPr>
        <w:sectPr>
          <w:headerReference r:id="rId4" w:type="first"/>
          <w:footerReference r:id="rId7" w:type="first"/>
          <w:headerReference r:id="rId3" w:type="default"/>
          <w:footerReference r:id="rId5" w:type="default"/>
          <w:footerReference r:id="rId6" w:type="even"/>
          <w:pgSz w:w="11907" w:h="16840"/>
          <w:pgMar w:top="1134" w:right="1191" w:bottom="1134" w:left="1304" w:header="851" w:footer="992" w:gutter="0"/>
          <w:pgNumType w:fmt="numberInDash" w:start="1"/>
          <w:cols w:space="720" w:num="1"/>
          <w:titlePg/>
          <w:docGrid w:linePitch="381" w:charSpace="-5735"/>
        </w:sectPr>
      </w:pPr>
    </w:p>
    <w:p w14:paraId="6D1A1DAF">
      <w:pPr>
        <w:spacing w:line="480" w:lineRule="exact"/>
        <w:jc w:val="center"/>
        <w:rPr>
          <w:rFonts w:hint="eastAsia" w:ascii="宋体" w:hAnsi="宋体" w:cs="宋体"/>
          <w:color w:val="auto"/>
          <w:sz w:val="44"/>
          <w:szCs w:val="28"/>
        </w:rPr>
      </w:pPr>
      <w:r>
        <w:rPr>
          <w:rFonts w:hint="eastAsia" w:ascii="宋体" w:hAnsi="宋体" w:cs="宋体"/>
          <w:color w:val="auto"/>
          <w:sz w:val="44"/>
          <w:szCs w:val="28"/>
        </w:rPr>
        <w:t>目   录</w:t>
      </w:r>
    </w:p>
    <w:p w14:paraId="73ED9E01">
      <w:pPr>
        <w:pStyle w:val="39"/>
        <w:tabs>
          <w:tab w:val="right" w:leader="dot" w:pos="9412"/>
        </w:tabs>
      </w:pPr>
      <w:r>
        <w:rPr>
          <w:rFonts w:hint="eastAsia" w:ascii="宋体" w:hAnsi="宋体" w:cs="宋体"/>
          <w:color w:val="auto"/>
          <w:sz w:val="44"/>
          <w:szCs w:val="28"/>
        </w:rPr>
        <w:fldChar w:fldCharType="begin"/>
      </w:r>
      <w:r>
        <w:rPr>
          <w:rFonts w:hint="eastAsia" w:ascii="宋体" w:hAnsi="宋体" w:cs="宋体"/>
          <w:color w:val="auto"/>
          <w:sz w:val="44"/>
          <w:szCs w:val="28"/>
        </w:rPr>
        <w:instrText xml:space="preserve">TOC \o "1-3" \h \u </w:instrText>
      </w:r>
      <w:r>
        <w:rPr>
          <w:rFonts w:hint="eastAsia" w:ascii="宋体" w:hAnsi="宋体" w:cs="宋体"/>
          <w:color w:val="auto"/>
          <w:sz w:val="44"/>
          <w:szCs w:val="28"/>
        </w:rPr>
        <w:fldChar w:fldCharType="separate"/>
      </w:r>
      <w:r>
        <w:rPr>
          <w:rFonts w:hint="eastAsia" w:ascii="宋体" w:hAnsi="宋体" w:cs="宋体"/>
          <w:color w:val="auto"/>
          <w:szCs w:val="28"/>
        </w:rPr>
        <w:fldChar w:fldCharType="begin"/>
      </w:r>
      <w:r>
        <w:rPr>
          <w:rFonts w:hint="eastAsia" w:ascii="宋体" w:hAnsi="宋体" w:cs="宋体"/>
          <w:szCs w:val="28"/>
        </w:rPr>
        <w:instrText xml:space="preserve"> HYPERLINK \l _Toc32192 </w:instrText>
      </w:r>
      <w:r>
        <w:rPr>
          <w:rFonts w:hint="eastAsia" w:ascii="宋体" w:hAnsi="宋体" w:cs="宋体"/>
          <w:szCs w:val="28"/>
        </w:rPr>
        <w:fldChar w:fldCharType="separate"/>
      </w:r>
      <w:r>
        <w:rPr>
          <w:rFonts w:hint="eastAsia" w:cs="宋体"/>
          <w:bCs/>
          <w:szCs w:val="36"/>
        </w:rPr>
        <w:t>第一篇  采购邀请书</w:t>
      </w:r>
      <w:r>
        <w:tab/>
      </w:r>
      <w:r>
        <w:fldChar w:fldCharType="begin"/>
      </w:r>
      <w:r>
        <w:instrText xml:space="preserve"> PAGEREF _Toc32192 \h </w:instrText>
      </w:r>
      <w:r>
        <w:fldChar w:fldCharType="separate"/>
      </w:r>
      <w:r>
        <w:t>- 3 -</w:t>
      </w:r>
      <w:r>
        <w:fldChar w:fldCharType="end"/>
      </w:r>
      <w:r>
        <w:rPr>
          <w:rFonts w:hint="eastAsia" w:ascii="宋体" w:hAnsi="宋体" w:cs="宋体"/>
          <w:color w:val="auto"/>
          <w:szCs w:val="28"/>
        </w:rPr>
        <w:fldChar w:fldCharType="end"/>
      </w:r>
    </w:p>
    <w:p w14:paraId="63C4376C">
      <w:pPr>
        <w:pStyle w:val="47"/>
        <w:tabs>
          <w:tab w:val="right" w:leader="dot" w:pos="9412"/>
        </w:tabs>
      </w:pPr>
      <w:r>
        <w:rPr>
          <w:rFonts w:hint="eastAsia" w:ascii="宋体" w:hAnsi="宋体" w:cs="宋体"/>
          <w:color w:val="auto"/>
          <w:szCs w:val="28"/>
        </w:rPr>
        <w:fldChar w:fldCharType="begin"/>
      </w:r>
      <w:r>
        <w:rPr>
          <w:rFonts w:hint="eastAsia" w:ascii="宋体" w:hAnsi="宋体" w:cs="宋体"/>
          <w:szCs w:val="28"/>
        </w:rPr>
        <w:instrText xml:space="preserve"> HYPERLINK \l _Toc5361 </w:instrText>
      </w:r>
      <w:r>
        <w:rPr>
          <w:rFonts w:hint="eastAsia" w:ascii="宋体" w:hAnsi="宋体" w:cs="宋体"/>
          <w:szCs w:val="28"/>
        </w:rPr>
        <w:fldChar w:fldCharType="separate"/>
      </w:r>
      <w:r>
        <w:rPr>
          <w:rFonts w:hint="eastAsia" w:ascii="宋体" w:hAnsi="宋体" w:cs="宋体"/>
        </w:rPr>
        <w:t>一、竞争性磋商内容</w:t>
      </w:r>
      <w:r>
        <w:tab/>
      </w:r>
      <w:r>
        <w:fldChar w:fldCharType="begin"/>
      </w:r>
      <w:r>
        <w:instrText xml:space="preserve"> PAGEREF _Toc5361 \h </w:instrText>
      </w:r>
      <w:r>
        <w:fldChar w:fldCharType="separate"/>
      </w:r>
      <w:r>
        <w:t>- 3 -</w:t>
      </w:r>
      <w:r>
        <w:fldChar w:fldCharType="end"/>
      </w:r>
      <w:r>
        <w:rPr>
          <w:rFonts w:hint="eastAsia" w:ascii="宋体" w:hAnsi="宋体" w:cs="宋体"/>
          <w:color w:val="auto"/>
          <w:szCs w:val="28"/>
        </w:rPr>
        <w:fldChar w:fldCharType="end"/>
      </w:r>
    </w:p>
    <w:p w14:paraId="57EB58E2">
      <w:pPr>
        <w:pStyle w:val="47"/>
        <w:tabs>
          <w:tab w:val="right" w:leader="dot" w:pos="9412"/>
        </w:tabs>
      </w:pPr>
      <w:r>
        <w:rPr>
          <w:rFonts w:hint="eastAsia" w:ascii="宋体" w:hAnsi="宋体" w:cs="宋体"/>
          <w:color w:val="auto"/>
          <w:szCs w:val="28"/>
        </w:rPr>
        <w:fldChar w:fldCharType="begin"/>
      </w:r>
      <w:r>
        <w:rPr>
          <w:rFonts w:hint="eastAsia" w:ascii="宋体" w:hAnsi="宋体" w:cs="宋体"/>
          <w:szCs w:val="28"/>
        </w:rPr>
        <w:instrText xml:space="preserve"> HYPERLINK \l _Toc15328 </w:instrText>
      </w:r>
      <w:r>
        <w:rPr>
          <w:rFonts w:hint="eastAsia" w:ascii="宋体" w:hAnsi="宋体" w:cs="宋体"/>
          <w:szCs w:val="28"/>
        </w:rPr>
        <w:fldChar w:fldCharType="separate"/>
      </w:r>
      <w:r>
        <w:rPr>
          <w:rFonts w:hint="eastAsia" w:ascii="宋体" w:hAnsi="宋体" w:cs="宋体"/>
        </w:rPr>
        <w:t>二、资金来源</w:t>
      </w:r>
      <w:r>
        <w:tab/>
      </w:r>
      <w:r>
        <w:fldChar w:fldCharType="begin"/>
      </w:r>
      <w:r>
        <w:instrText xml:space="preserve"> PAGEREF _Toc15328 \h </w:instrText>
      </w:r>
      <w:r>
        <w:fldChar w:fldCharType="separate"/>
      </w:r>
      <w:r>
        <w:t>- 3 -</w:t>
      </w:r>
      <w:r>
        <w:fldChar w:fldCharType="end"/>
      </w:r>
      <w:r>
        <w:rPr>
          <w:rFonts w:hint="eastAsia" w:ascii="宋体" w:hAnsi="宋体" w:cs="宋体"/>
          <w:color w:val="auto"/>
          <w:szCs w:val="28"/>
        </w:rPr>
        <w:fldChar w:fldCharType="end"/>
      </w:r>
    </w:p>
    <w:p w14:paraId="087D3C17">
      <w:pPr>
        <w:pStyle w:val="47"/>
        <w:tabs>
          <w:tab w:val="right" w:leader="dot" w:pos="9412"/>
        </w:tabs>
      </w:pPr>
      <w:r>
        <w:rPr>
          <w:rFonts w:hint="eastAsia" w:ascii="宋体" w:hAnsi="宋体" w:cs="宋体"/>
          <w:color w:val="auto"/>
          <w:szCs w:val="28"/>
        </w:rPr>
        <w:fldChar w:fldCharType="begin"/>
      </w:r>
      <w:r>
        <w:rPr>
          <w:rFonts w:hint="eastAsia" w:ascii="宋体" w:hAnsi="宋体" w:cs="宋体"/>
          <w:szCs w:val="28"/>
        </w:rPr>
        <w:instrText xml:space="preserve"> HYPERLINK \l _Toc21180 </w:instrText>
      </w:r>
      <w:r>
        <w:rPr>
          <w:rFonts w:hint="eastAsia" w:ascii="宋体" w:hAnsi="宋体" w:cs="宋体"/>
          <w:szCs w:val="28"/>
        </w:rPr>
        <w:fldChar w:fldCharType="separate"/>
      </w:r>
      <w:r>
        <w:rPr>
          <w:rFonts w:hint="eastAsia" w:ascii="宋体" w:hAnsi="宋体" w:cs="宋体"/>
        </w:rPr>
        <w:t>三、供应商资格条件</w:t>
      </w:r>
      <w:r>
        <w:tab/>
      </w:r>
      <w:r>
        <w:fldChar w:fldCharType="begin"/>
      </w:r>
      <w:r>
        <w:instrText xml:space="preserve"> PAGEREF _Toc21180 \h </w:instrText>
      </w:r>
      <w:r>
        <w:fldChar w:fldCharType="separate"/>
      </w:r>
      <w:r>
        <w:t>- 3 -</w:t>
      </w:r>
      <w:r>
        <w:fldChar w:fldCharType="end"/>
      </w:r>
      <w:r>
        <w:rPr>
          <w:rFonts w:hint="eastAsia" w:ascii="宋体" w:hAnsi="宋体" w:cs="宋体"/>
          <w:color w:val="auto"/>
          <w:szCs w:val="28"/>
        </w:rPr>
        <w:fldChar w:fldCharType="end"/>
      </w:r>
    </w:p>
    <w:p w14:paraId="1B7AFAF9">
      <w:pPr>
        <w:pStyle w:val="47"/>
        <w:tabs>
          <w:tab w:val="right" w:leader="dot" w:pos="9412"/>
        </w:tabs>
      </w:pPr>
      <w:r>
        <w:rPr>
          <w:rFonts w:hint="eastAsia" w:ascii="宋体" w:hAnsi="宋体" w:cs="宋体"/>
          <w:color w:val="auto"/>
          <w:szCs w:val="28"/>
        </w:rPr>
        <w:fldChar w:fldCharType="begin"/>
      </w:r>
      <w:r>
        <w:rPr>
          <w:rFonts w:hint="eastAsia" w:ascii="宋体" w:hAnsi="宋体" w:cs="宋体"/>
          <w:szCs w:val="28"/>
        </w:rPr>
        <w:instrText xml:space="preserve"> HYPERLINK \l _Toc14238 </w:instrText>
      </w:r>
      <w:r>
        <w:rPr>
          <w:rFonts w:hint="eastAsia" w:ascii="宋体" w:hAnsi="宋体" w:cs="宋体"/>
          <w:szCs w:val="28"/>
        </w:rPr>
        <w:fldChar w:fldCharType="separate"/>
      </w:r>
      <w:r>
        <w:rPr>
          <w:rFonts w:hint="eastAsia" w:ascii="宋体" w:hAnsi="宋体" w:cs="宋体"/>
        </w:rPr>
        <w:t>四、磋商有关说明</w:t>
      </w:r>
      <w:r>
        <w:tab/>
      </w:r>
      <w:r>
        <w:fldChar w:fldCharType="begin"/>
      </w:r>
      <w:r>
        <w:instrText xml:space="preserve"> PAGEREF _Toc14238 \h </w:instrText>
      </w:r>
      <w:r>
        <w:fldChar w:fldCharType="separate"/>
      </w:r>
      <w:r>
        <w:t>- 3 -</w:t>
      </w:r>
      <w:r>
        <w:fldChar w:fldCharType="end"/>
      </w:r>
      <w:r>
        <w:rPr>
          <w:rFonts w:hint="eastAsia" w:ascii="宋体" w:hAnsi="宋体" w:cs="宋体"/>
          <w:color w:val="auto"/>
          <w:szCs w:val="28"/>
        </w:rPr>
        <w:fldChar w:fldCharType="end"/>
      </w:r>
    </w:p>
    <w:p w14:paraId="33C328C7">
      <w:pPr>
        <w:pStyle w:val="47"/>
        <w:tabs>
          <w:tab w:val="right" w:leader="dot" w:pos="9412"/>
        </w:tabs>
      </w:pPr>
      <w:r>
        <w:rPr>
          <w:rFonts w:hint="eastAsia" w:ascii="宋体" w:hAnsi="宋体" w:cs="宋体"/>
          <w:color w:val="auto"/>
          <w:szCs w:val="28"/>
        </w:rPr>
        <w:fldChar w:fldCharType="begin"/>
      </w:r>
      <w:r>
        <w:rPr>
          <w:rFonts w:hint="eastAsia" w:ascii="宋体" w:hAnsi="宋体" w:cs="宋体"/>
          <w:szCs w:val="28"/>
        </w:rPr>
        <w:instrText xml:space="preserve"> HYPERLINK \l _Toc26435 </w:instrText>
      </w:r>
      <w:r>
        <w:rPr>
          <w:rFonts w:hint="eastAsia" w:ascii="宋体" w:hAnsi="宋体" w:cs="宋体"/>
          <w:szCs w:val="28"/>
        </w:rPr>
        <w:fldChar w:fldCharType="separate"/>
      </w:r>
      <w:r>
        <w:rPr>
          <w:rFonts w:hint="eastAsia" w:ascii="宋体" w:hAnsi="宋体" w:cs="宋体"/>
        </w:rPr>
        <w:t>五、采购项目需落实的政府采购政策</w:t>
      </w:r>
      <w:r>
        <w:tab/>
      </w:r>
      <w:r>
        <w:fldChar w:fldCharType="begin"/>
      </w:r>
      <w:r>
        <w:instrText xml:space="preserve"> PAGEREF _Toc26435 \h </w:instrText>
      </w:r>
      <w:r>
        <w:fldChar w:fldCharType="separate"/>
      </w:r>
      <w:r>
        <w:t>- 4 -</w:t>
      </w:r>
      <w:r>
        <w:fldChar w:fldCharType="end"/>
      </w:r>
      <w:r>
        <w:rPr>
          <w:rFonts w:hint="eastAsia" w:ascii="宋体" w:hAnsi="宋体" w:cs="宋体"/>
          <w:color w:val="auto"/>
          <w:szCs w:val="28"/>
        </w:rPr>
        <w:fldChar w:fldCharType="end"/>
      </w:r>
    </w:p>
    <w:p w14:paraId="5771BB67">
      <w:pPr>
        <w:pStyle w:val="47"/>
        <w:tabs>
          <w:tab w:val="right" w:leader="dot" w:pos="9412"/>
        </w:tabs>
      </w:pPr>
      <w:r>
        <w:rPr>
          <w:rFonts w:hint="eastAsia" w:ascii="宋体" w:hAnsi="宋体" w:cs="宋体"/>
          <w:color w:val="auto"/>
          <w:szCs w:val="28"/>
        </w:rPr>
        <w:fldChar w:fldCharType="begin"/>
      </w:r>
      <w:r>
        <w:rPr>
          <w:rFonts w:hint="eastAsia" w:ascii="宋体" w:hAnsi="宋体" w:cs="宋体"/>
          <w:szCs w:val="28"/>
        </w:rPr>
        <w:instrText xml:space="preserve"> HYPERLINK \l _Toc28004 </w:instrText>
      </w:r>
      <w:r>
        <w:rPr>
          <w:rFonts w:hint="eastAsia" w:ascii="宋体" w:hAnsi="宋体" w:cs="宋体"/>
          <w:szCs w:val="28"/>
        </w:rPr>
        <w:fldChar w:fldCharType="separate"/>
      </w:r>
      <w:r>
        <w:rPr>
          <w:rFonts w:hint="eastAsia" w:ascii="宋体" w:hAnsi="宋体" w:cs="宋体"/>
        </w:rPr>
        <w:t>六、其它有关规定</w:t>
      </w:r>
      <w:r>
        <w:tab/>
      </w:r>
      <w:r>
        <w:fldChar w:fldCharType="begin"/>
      </w:r>
      <w:r>
        <w:instrText xml:space="preserve"> PAGEREF _Toc28004 \h </w:instrText>
      </w:r>
      <w:r>
        <w:fldChar w:fldCharType="separate"/>
      </w:r>
      <w:r>
        <w:t>- 4 -</w:t>
      </w:r>
      <w:r>
        <w:fldChar w:fldCharType="end"/>
      </w:r>
      <w:r>
        <w:rPr>
          <w:rFonts w:hint="eastAsia" w:ascii="宋体" w:hAnsi="宋体" w:cs="宋体"/>
          <w:color w:val="auto"/>
          <w:szCs w:val="28"/>
        </w:rPr>
        <w:fldChar w:fldCharType="end"/>
      </w:r>
    </w:p>
    <w:p w14:paraId="5812DF68">
      <w:pPr>
        <w:pStyle w:val="47"/>
        <w:tabs>
          <w:tab w:val="right" w:leader="dot" w:pos="9412"/>
        </w:tabs>
      </w:pPr>
      <w:r>
        <w:rPr>
          <w:rFonts w:hint="eastAsia" w:ascii="宋体" w:hAnsi="宋体" w:cs="宋体"/>
          <w:color w:val="auto"/>
          <w:szCs w:val="28"/>
        </w:rPr>
        <w:fldChar w:fldCharType="begin"/>
      </w:r>
      <w:r>
        <w:rPr>
          <w:rFonts w:hint="eastAsia" w:ascii="宋体" w:hAnsi="宋体" w:cs="宋体"/>
          <w:szCs w:val="28"/>
        </w:rPr>
        <w:instrText xml:space="preserve"> HYPERLINK \l _Toc19462 </w:instrText>
      </w:r>
      <w:r>
        <w:rPr>
          <w:rFonts w:hint="eastAsia" w:ascii="宋体" w:hAnsi="宋体" w:cs="宋体"/>
          <w:szCs w:val="28"/>
        </w:rPr>
        <w:fldChar w:fldCharType="separate"/>
      </w:r>
      <w:r>
        <w:rPr>
          <w:rFonts w:hint="eastAsia" w:ascii="宋体" w:hAnsi="宋体" w:cs="宋体"/>
        </w:rPr>
        <w:t>七、联系方式</w:t>
      </w:r>
      <w:r>
        <w:tab/>
      </w:r>
      <w:r>
        <w:fldChar w:fldCharType="begin"/>
      </w:r>
      <w:r>
        <w:instrText xml:space="preserve"> PAGEREF _Toc19462 \h </w:instrText>
      </w:r>
      <w:r>
        <w:fldChar w:fldCharType="separate"/>
      </w:r>
      <w:r>
        <w:t>- 5 -</w:t>
      </w:r>
      <w:r>
        <w:fldChar w:fldCharType="end"/>
      </w:r>
      <w:r>
        <w:rPr>
          <w:rFonts w:hint="eastAsia" w:ascii="宋体" w:hAnsi="宋体" w:cs="宋体"/>
          <w:color w:val="auto"/>
          <w:szCs w:val="28"/>
        </w:rPr>
        <w:fldChar w:fldCharType="end"/>
      </w:r>
    </w:p>
    <w:p w14:paraId="4C5DE0CC">
      <w:pPr>
        <w:pStyle w:val="39"/>
        <w:tabs>
          <w:tab w:val="right" w:leader="dot" w:pos="9412"/>
        </w:tabs>
      </w:pPr>
      <w:r>
        <w:rPr>
          <w:rFonts w:hint="eastAsia" w:ascii="宋体" w:hAnsi="宋体" w:cs="宋体"/>
          <w:color w:val="auto"/>
          <w:szCs w:val="28"/>
        </w:rPr>
        <w:fldChar w:fldCharType="begin"/>
      </w:r>
      <w:r>
        <w:rPr>
          <w:rFonts w:hint="eastAsia" w:ascii="宋体" w:hAnsi="宋体" w:cs="宋体"/>
          <w:szCs w:val="28"/>
        </w:rPr>
        <w:instrText xml:space="preserve"> HYPERLINK \l _Toc3200 </w:instrText>
      </w:r>
      <w:r>
        <w:rPr>
          <w:rFonts w:hint="eastAsia" w:ascii="宋体" w:hAnsi="宋体" w:cs="宋体"/>
          <w:szCs w:val="28"/>
        </w:rPr>
        <w:fldChar w:fldCharType="separate"/>
      </w:r>
      <w:r>
        <w:rPr>
          <w:rFonts w:hint="eastAsia" w:cs="宋体"/>
          <w:bCs/>
          <w:szCs w:val="36"/>
        </w:rPr>
        <w:t>第二篇  项目技术需求</w:t>
      </w:r>
      <w:r>
        <w:tab/>
      </w:r>
      <w:r>
        <w:fldChar w:fldCharType="begin"/>
      </w:r>
      <w:r>
        <w:instrText xml:space="preserve"> PAGEREF _Toc3200 \h </w:instrText>
      </w:r>
      <w:r>
        <w:fldChar w:fldCharType="separate"/>
      </w:r>
      <w:r>
        <w:t>- 6 -</w:t>
      </w:r>
      <w:r>
        <w:fldChar w:fldCharType="end"/>
      </w:r>
      <w:r>
        <w:rPr>
          <w:rFonts w:hint="eastAsia" w:ascii="宋体" w:hAnsi="宋体" w:cs="宋体"/>
          <w:color w:val="auto"/>
          <w:szCs w:val="28"/>
        </w:rPr>
        <w:fldChar w:fldCharType="end"/>
      </w:r>
    </w:p>
    <w:p w14:paraId="7A7E0B29">
      <w:pPr>
        <w:pStyle w:val="47"/>
        <w:tabs>
          <w:tab w:val="right" w:leader="dot" w:pos="9412"/>
        </w:tabs>
      </w:pPr>
      <w:r>
        <w:rPr>
          <w:rFonts w:hint="eastAsia" w:ascii="宋体" w:hAnsi="宋体" w:cs="宋体"/>
          <w:color w:val="auto"/>
          <w:szCs w:val="28"/>
        </w:rPr>
        <w:fldChar w:fldCharType="begin"/>
      </w:r>
      <w:r>
        <w:rPr>
          <w:rFonts w:hint="eastAsia" w:ascii="宋体" w:hAnsi="宋体" w:cs="宋体"/>
          <w:szCs w:val="28"/>
        </w:rPr>
        <w:instrText xml:space="preserve"> HYPERLINK \l _Toc26529 </w:instrText>
      </w:r>
      <w:r>
        <w:rPr>
          <w:rFonts w:hint="eastAsia" w:ascii="宋体" w:hAnsi="宋体" w:cs="宋体"/>
          <w:szCs w:val="28"/>
        </w:rPr>
        <w:fldChar w:fldCharType="separate"/>
      </w:r>
      <w:r>
        <w:rPr>
          <w:rFonts w:hint="eastAsia" w:ascii="宋体" w:hAnsi="宋体" w:cs="宋体"/>
          <w:highlight w:val="none"/>
        </w:rPr>
        <w:t>一、服务范围、要求及标准</w:t>
      </w:r>
      <w:r>
        <w:tab/>
      </w:r>
      <w:r>
        <w:fldChar w:fldCharType="begin"/>
      </w:r>
      <w:r>
        <w:instrText xml:space="preserve"> PAGEREF _Toc26529 \h </w:instrText>
      </w:r>
      <w:r>
        <w:fldChar w:fldCharType="separate"/>
      </w:r>
      <w:r>
        <w:t>- 6 -</w:t>
      </w:r>
      <w:r>
        <w:fldChar w:fldCharType="end"/>
      </w:r>
      <w:r>
        <w:rPr>
          <w:rFonts w:hint="eastAsia" w:ascii="宋体" w:hAnsi="宋体" w:cs="宋体"/>
          <w:color w:val="auto"/>
          <w:szCs w:val="28"/>
        </w:rPr>
        <w:fldChar w:fldCharType="end"/>
      </w:r>
    </w:p>
    <w:p w14:paraId="12C36F95">
      <w:pPr>
        <w:pStyle w:val="47"/>
        <w:tabs>
          <w:tab w:val="right" w:leader="dot" w:pos="9412"/>
        </w:tabs>
      </w:pPr>
      <w:r>
        <w:rPr>
          <w:rFonts w:hint="eastAsia" w:ascii="宋体" w:hAnsi="宋体" w:cs="宋体"/>
          <w:color w:val="auto"/>
          <w:szCs w:val="28"/>
        </w:rPr>
        <w:fldChar w:fldCharType="begin"/>
      </w:r>
      <w:r>
        <w:rPr>
          <w:rFonts w:hint="eastAsia" w:ascii="宋体" w:hAnsi="宋体" w:cs="宋体"/>
          <w:szCs w:val="28"/>
        </w:rPr>
        <w:instrText xml:space="preserve"> HYPERLINK \l _Toc11138 </w:instrText>
      </w:r>
      <w:r>
        <w:rPr>
          <w:rFonts w:hint="eastAsia" w:ascii="宋体" w:hAnsi="宋体" w:cs="宋体"/>
          <w:szCs w:val="28"/>
        </w:rPr>
        <w:fldChar w:fldCharType="separate"/>
      </w:r>
      <w:r>
        <w:rPr>
          <w:rFonts w:hint="eastAsia" w:ascii="宋体" w:hAnsi="宋体" w:cs="宋体"/>
          <w:highlight w:val="none"/>
        </w:rPr>
        <w:t>二、项目服务内容</w:t>
      </w:r>
      <w:r>
        <w:tab/>
      </w:r>
      <w:r>
        <w:fldChar w:fldCharType="begin"/>
      </w:r>
      <w:r>
        <w:instrText xml:space="preserve"> PAGEREF _Toc11138 \h </w:instrText>
      </w:r>
      <w:r>
        <w:fldChar w:fldCharType="separate"/>
      </w:r>
      <w:r>
        <w:t>- 6 -</w:t>
      </w:r>
      <w:r>
        <w:fldChar w:fldCharType="end"/>
      </w:r>
      <w:r>
        <w:rPr>
          <w:rFonts w:hint="eastAsia" w:ascii="宋体" w:hAnsi="宋体" w:cs="宋体"/>
          <w:color w:val="auto"/>
          <w:szCs w:val="28"/>
        </w:rPr>
        <w:fldChar w:fldCharType="end"/>
      </w:r>
    </w:p>
    <w:p w14:paraId="1B291CC4">
      <w:pPr>
        <w:pStyle w:val="47"/>
        <w:tabs>
          <w:tab w:val="right" w:leader="dot" w:pos="9412"/>
        </w:tabs>
      </w:pPr>
      <w:r>
        <w:rPr>
          <w:rFonts w:hint="eastAsia" w:ascii="宋体" w:hAnsi="宋体" w:cs="宋体"/>
          <w:color w:val="auto"/>
          <w:szCs w:val="28"/>
        </w:rPr>
        <w:fldChar w:fldCharType="begin"/>
      </w:r>
      <w:r>
        <w:rPr>
          <w:rFonts w:hint="eastAsia" w:ascii="宋体" w:hAnsi="宋体" w:cs="宋体"/>
          <w:szCs w:val="28"/>
        </w:rPr>
        <w:instrText xml:space="preserve"> HYPERLINK \l _Toc7997 </w:instrText>
      </w:r>
      <w:r>
        <w:rPr>
          <w:rFonts w:hint="eastAsia" w:ascii="宋体" w:hAnsi="宋体" w:cs="宋体"/>
          <w:szCs w:val="28"/>
        </w:rPr>
        <w:fldChar w:fldCharType="separate"/>
      </w:r>
      <w:r>
        <w:rPr>
          <w:rFonts w:hint="eastAsia" w:ascii="宋体" w:hAnsi="宋体" w:eastAsia="宋体" w:cs="宋体"/>
          <w:highlight w:val="none"/>
        </w:rPr>
        <w:t>三、项目服务要求</w:t>
      </w:r>
      <w:r>
        <w:tab/>
      </w:r>
      <w:r>
        <w:fldChar w:fldCharType="begin"/>
      </w:r>
      <w:r>
        <w:instrText xml:space="preserve"> PAGEREF _Toc7997 \h </w:instrText>
      </w:r>
      <w:r>
        <w:fldChar w:fldCharType="separate"/>
      </w:r>
      <w:r>
        <w:t>- 7 -</w:t>
      </w:r>
      <w:r>
        <w:fldChar w:fldCharType="end"/>
      </w:r>
      <w:r>
        <w:rPr>
          <w:rFonts w:hint="eastAsia" w:ascii="宋体" w:hAnsi="宋体" w:cs="宋体"/>
          <w:color w:val="auto"/>
          <w:szCs w:val="28"/>
        </w:rPr>
        <w:fldChar w:fldCharType="end"/>
      </w:r>
    </w:p>
    <w:p w14:paraId="39963867">
      <w:pPr>
        <w:pStyle w:val="47"/>
        <w:tabs>
          <w:tab w:val="right" w:leader="dot" w:pos="9412"/>
        </w:tabs>
      </w:pPr>
      <w:r>
        <w:rPr>
          <w:rFonts w:hint="eastAsia" w:ascii="宋体" w:hAnsi="宋体" w:cs="宋体"/>
          <w:color w:val="auto"/>
          <w:szCs w:val="28"/>
        </w:rPr>
        <w:fldChar w:fldCharType="begin"/>
      </w:r>
      <w:r>
        <w:rPr>
          <w:rFonts w:hint="eastAsia" w:ascii="宋体" w:hAnsi="宋体" w:cs="宋体"/>
          <w:szCs w:val="28"/>
        </w:rPr>
        <w:instrText xml:space="preserve"> HYPERLINK \l _Toc2148 </w:instrText>
      </w:r>
      <w:r>
        <w:rPr>
          <w:rFonts w:hint="eastAsia" w:ascii="宋体" w:hAnsi="宋体" w:cs="宋体"/>
          <w:szCs w:val="28"/>
        </w:rPr>
        <w:fldChar w:fldCharType="separate"/>
      </w:r>
      <w:r>
        <w:rPr>
          <w:rFonts w:hint="eastAsia" w:ascii="宋体" w:hAnsi="宋体" w:eastAsia="宋体" w:cs="宋体"/>
          <w:kern w:val="2"/>
          <w:highlight w:val="none"/>
          <w:lang w:val="en-US" w:eastAsia="zh-CN" w:bidi="ar-SA"/>
        </w:rPr>
        <w:t>※四、项目成果要求</w:t>
      </w:r>
      <w:r>
        <w:tab/>
      </w:r>
      <w:r>
        <w:fldChar w:fldCharType="begin"/>
      </w:r>
      <w:r>
        <w:instrText xml:space="preserve"> PAGEREF _Toc2148 \h </w:instrText>
      </w:r>
      <w:r>
        <w:fldChar w:fldCharType="separate"/>
      </w:r>
      <w:r>
        <w:t>- 8 -</w:t>
      </w:r>
      <w:r>
        <w:fldChar w:fldCharType="end"/>
      </w:r>
      <w:r>
        <w:rPr>
          <w:rFonts w:hint="eastAsia" w:ascii="宋体" w:hAnsi="宋体" w:cs="宋体"/>
          <w:color w:val="auto"/>
          <w:szCs w:val="28"/>
        </w:rPr>
        <w:fldChar w:fldCharType="end"/>
      </w:r>
    </w:p>
    <w:p w14:paraId="35BF0BAC">
      <w:pPr>
        <w:pStyle w:val="47"/>
        <w:tabs>
          <w:tab w:val="right" w:leader="dot" w:pos="9412"/>
        </w:tabs>
      </w:pPr>
      <w:r>
        <w:rPr>
          <w:rFonts w:hint="eastAsia" w:ascii="宋体" w:hAnsi="宋体" w:cs="宋体"/>
          <w:color w:val="auto"/>
          <w:szCs w:val="28"/>
        </w:rPr>
        <w:fldChar w:fldCharType="begin"/>
      </w:r>
      <w:r>
        <w:rPr>
          <w:rFonts w:hint="eastAsia" w:ascii="宋体" w:hAnsi="宋体" w:cs="宋体"/>
          <w:szCs w:val="28"/>
        </w:rPr>
        <w:instrText xml:space="preserve"> HYPERLINK \l _Toc14491 </w:instrText>
      </w:r>
      <w:r>
        <w:rPr>
          <w:rFonts w:hint="eastAsia" w:ascii="宋体" w:hAnsi="宋体" w:cs="宋体"/>
          <w:szCs w:val="28"/>
        </w:rPr>
        <w:fldChar w:fldCharType="separate"/>
      </w:r>
      <w:r>
        <w:rPr>
          <w:rFonts w:hint="eastAsia" w:ascii="宋体" w:hAnsi="宋体" w:eastAsia="宋体" w:cs="宋体"/>
          <w:highlight w:val="none"/>
        </w:rPr>
        <w:t>五、项目管理要求</w:t>
      </w:r>
      <w:r>
        <w:tab/>
      </w:r>
      <w:r>
        <w:fldChar w:fldCharType="begin"/>
      </w:r>
      <w:r>
        <w:instrText xml:space="preserve"> PAGEREF _Toc14491 \h </w:instrText>
      </w:r>
      <w:r>
        <w:fldChar w:fldCharType="separate"/>
      </w:r>
      <w:r>
        <w:t>- 8 -</w:t>
      </w:r>
      <w:r>
        <w:fldChar w:fldCharType="end"/>
      </w:r>
      <w:r>
        <w:rPr>
          <w:rFonts w:hint="eastAsia" w:ascii="宋体" w:hAnsi="宋体" w:cs="宋体"/>
          <w:color w:val="auto"/>
          <w:szCs w:val="28"/>
        </w:rPr>
        <w:fldChar w:fldCharType="end"/>
      </w:r>
    </w:p>
    <w:p w14:paraId="19B96C08">
      <w:pPr>
        <w:pStyle w:val="39"/>
        <w:tabs>
          <w:tab w:val="right" w:leader="dot" w:pos="9412"/>
        </w:tabs>
      </w:pPr>
      <w:r>
        <w:rPr>
          <w:rFonts w:hint="eastAsia" w:ascii="宋体" w:hAnsi="宋体" w:cs="宋体"/>
          <w:color w:val="auto"/>
          <w:szCs w:val="28"/>
        </w:rPr>
        <w:fldChar w:fldCharType="begin"/>
      </w:r>
      <w:r>
        <w:rPr>
          <w:rFonts w:hint="eastAsia" w:ascii="宋体" w:hAnsi="宋体" w:cs="宋体"/>
          <w:szCs w:val="28"/>
        </w:rPr>
        <w:instrText xml:space="preserve"> HYPERLINK \l _Toc31455 </w:instrText>
      </w:r>
      <w:r>
        <w:rPr>
          <w:rFonts w:hint="eastAsia" w:ascii="宋体" w:hAnsi="宋体" w:cs="宋体"/>
          <w:szCs w:val="28"/>
        </w:rPr>
        <w:fldChar w:fldCharType="separate"/>
      </w:r>
      <w:r>
        <w:rPr>
          <w:rFonts w:hint="eastAsia" w:cs="宋体"/>
          <w:bCs/>
          <w:szCs w:val="36"/>
        </w:rPr>
        <w:t>第三篇  项目商务需求</w:t>
      </w:r>
      <w:r>
        <w:tab/>
      </w:r>
      <w:r>
        <w:fldChar w:fldCharType="begin"/>
      </w:r>
      <w:r>
        <w:instrText xml:space="preserve"> PAGEREF _Toc31455 \h </w:instrText>
      </w:r>
      <w:r>
        <w:fldChar w:fldCharType="separate"/>
      </w:r>
      <w:r>
        <w:t>- 9 -</w:t>
      </w:r>
      <w:r>
        <w:fldChar w:fldCharType="end"/>
      </w:r>
      <w:r>
        <w:rPr>
          <w:rFonts w:hint="eastAsia" w:ascii="宋体" w:hAnsi="宋体" w:cs="宋体"/>
          <w:color w:val="auto"/>
          <w:szCs w:val="28"/>
        </w:rPr>
        <w:fldChar w:fldCharType="end"/>
      </w:r>
    </w:p>
    <w:p w14:paraId="730F8C0B">
      <w:pPr>
        <w:pStyle w:val="47"/>
        <w:tabs>
          <w:tab w:val="right" w:leader="dot" w:pos="9412"/>
        </w:tabs>
      </w:pPr>
      <w:r>
        <w:rPr>
          <w:rFonts w:hint="eastAsia" w:ascii="宋体" w:hAnsi="宋体" w:cs="宋体"/>
          <w:color w:val="auto"/>
          <w:szCs w:val="28"/>
        </w:rPr>
        <w:fldChar w:fldCharType="begin"/>
      </w:r>
      <w:r>
        <w:rPr>
          <w:rFonts w:hint="eastAsia" w:ascii="宋体" w:hAnsi="宋体" w:cs="宋体"/>
          <w:szCs w:val="28"/>
        </w:rPr>
        <w:instrText xml:space="preserve"> HYPERLINK \l _Toc14726 </w:instrText>
      </w:r>
      <w:r>
        <w:rPr>
          <w:rFonts w:hint="eastAsia" w:ascii="宋体" w:hAnsi="宋体" w:cs="宋体"/>
          <w:szCs w:val="28"/>
        </w:rPr>
        <w:fldChar w:fldCharType="separate"/>
      </w:r>
      <w:r>
        <w:rPr>
          <w:rFonts w:hint="eastAsia" w:ascii="宋体" w:hAnsi="宋体" w:cs="宋体"/>
          <w:highlight w:val="none"/>
        </w:rPr>
        <w:t>一、服务期、地点及验收方式</w:t>
      </w:r>
      <w:r>
        <w:tab/>
      </w:r>
      <w:r>
        <w:fldChar w:fldCharType="begin"/>
      </w:r>
      <w:r>
        <w:instrText xml:space="preserve"> PAGEREF _Toc14726 \h </w:instrText>
      </w:r>
      <w:r>
        <w:fldChar w:fldCharType="separate"/>
      </w:r>
      <w:r>
        <w:t>- 9 -</w:t>
      </w:r>
      <w:r>
        <w:fldChar w:fldCharType="end"/>
      </w:r>
      <w:r>
        <w:rPr>
          <w:rFonts w:hint="eastAsia" w:ascii="宋体" w:hAnsi="宋体" w:cs="宋体"/>
          <w:color w:val="auto"/>
          <w:szCs w:val="28"/>
        </w:rPr>
        <w:fldChar w:fldCharType="end"/>
      </w:r>
    </w:p>
    <w:p w14:paraId="4582E31A">
      <w:pPr>
        <w:pStyle w:val="47"/>
        <w:tabs>
          <w:tab w:val="right" w:leader="dot" w:pos="9412"/>
        </w:tabs>
      </w:pPr>
      <w:r>
        <w:rPr>
          <w:rFonts w:hint="eastAsia" w:ascii="宋体" w:hAnsi="宋体" w:cs="宋体"/>
          <w:color w:val="auto"/>
          <w:szCs w:val="28"/>
        </w:rPr>
        <w:fldChar w:fldCharType="begin"/>
      </w:r>
      <w:r>
        <w:rPr>
          <w:rFonts w:hint="eastAsia" w:ascii="宋体" w:hAnsi="宋体" w:cs="宋体"/>
          <w:szCs w:val="28"/>
        </w:rPr>
        <w:instrText xml:space="preserve"> HYPERLINK \l _Toc12971 </w:instrText>
      </w:r>
      <w:r>
        <w:rPr>
          <w:rFonts w:hint="eastAsia" w:ascii="宋体" w:hAnsi="宋体" w:cs="宋体"/>
          <w:szCs w:val="28"/>
        </w:rPr>
        <w:fldChar w:fldCharType="separate"/>
      </w:r>
      <w:r>
        <w:rPr>
          <w:rFonts w:hint="eastAsia" w:ascii="宋体" w:hAnsi="宋体" w:cs="宋体"/>
          <w:highlight w:val="none"/>
        </w:rPr>
        <w:t>二、报价要求</w:t>
      </w:r>
      <w:r>
        <w:tab/>
      </w:r>
      <w:r>
        <w:fldChar w:fldCharType="begin"/>
      </w:r>
      <w:r>
        <w:instrText xml:space="preserve"> PAGEREF _Toc12971 \h </w:instrText>
      </w:r>
      <w:r>
        <w:fldChar w:fldCharType="separate"/>
      </w:r>
      <w:r>
        <w:t>- 9 -</w:t>
      </w:r>
      <w:r>
        <w:fldChar w:fldCharType="end"/>
      </w:r>
      <w:r>
        <w:rPr>
          <w:rFonts w:hint="eastAsia" w:ascii="宋体" w:hAnsi="宋体" w:cs="宋体"/>
          <w:color w:val="auto"/>
          <w:szCs w:val="28"/>
        </w:rPr>
        <w:fldChar w:fldCharType="end"/>
      </w:r>
    </w:p>
    <w:p w14:paraId="56EE1431">
      <w:pPr>
        <w:pStyle w:val="47"/>
        <w:tabs>
          <w:tab w:val="right" w:leader="dot" w:pos="9412"/>
        </w:tabs>
      </w:pPr>
      <w:r>
        <w:rPr>
          <w:rFonts w:hint="eastAsia" w:ascii="宋体" w:hAnsi="宋体" w:cs="宋体"/>
          <w:color w:val="auto"/>
          <w:szCs w:val="28"/>
        </w:rPr>
        <w:fldChar w:fldCharType="begin"/>
      </w:r>
      <w:r>
        <w:rPr>
          <w:rFonts w:hint="eastAsia" w:ascii="宋体" w:hAnsi="宋体" w:cs="宋体"/>
          <w:szCs w:val="28"/>
        </w:rPr>
        <w:instrText xml:space="preserve"> HYPERLINK \l _Toc6050 </w:instrText>
      </w:r>
      <w:r>
        <w:rPr>
          <w:rFonts w:hint="eastAsia" w:ascii="宋体" w:hAnsi="宋体" w:cs="宋体"/>
          <w:szCs w:val="28"/>
        </w:rPr>
        <w:fldChar w:fldCharType="separate"/>
      </w:r>
      <w:r>
        <w:rPr>
          <w:rFonts w:hint="eastAsia" w:ascii="宋体" w:hAnsi="宋体" w:cs="宋体"/>
          <w:highlight w:val="none"/>
        </w:rPr>
        <w:t>三、付款方式</w:t>
      </w:r>
      <w:r>
        <w:tab/>
      </w:r>
      <w:r>
        <w:fldChar w:fldCharType="begin"/>
      </w:r>
      <w:r>
        <w:instrText xml:space="preserve"> PAGEREF _Toc6050 \h </w:instrText>
      </w:r>
      <w:r>
        <w:fldChar w:fldCharType="separate"/>
      </w:r>
      <w:r>
        <w:t>- 9 -</w:t>
      </w:r>
      <w:r>
        <w:fldChar w:fldCharType="end"/>
      </w:r>
      <w:r>
        <w:rPr>
          <w:rFonts w:hint="eastAsia" w:ascii="宋体" w:hAnsi="宋体" w:cs="宋体"/>
          <w:color w:val="auto"/>
          <w:szCs w:val="28"/>
        </w:rPr>
        <w:fldChar w:fldCharType="end"/>
      </w:r>
    </w:p>
    <w:p w14:paraId="0A0551DB">
      <w:pPr>
        <w:pStyle w:val="47"/>
        <w:tabs>
          <w:tab w:val="right" w:leader="dot" w:pos="9412"/>
        </w:tabs>
      </w:pPr>
      <w:r>
        <w:rPr>
          <w:rFonts w:hint="eastAsia" w:ascii="宋体" w:hAnsi="宋体" w:cs="宋体"/>
          <w:color w:val="auto"/>
          <w:szCs w:val="28"/>
        </w:rPr>
        <w:fldChar w:fldCharType="begin"/>
      </w:r>
      <w:r>
        <w:rPr>
          <w:rFonts w:hint="eastAsia" w:ascii="宋体" w:hAnsi="宋体" w:cs="宋体"/>
          <w:szCs w:val="28"/>
        </w:rPr>
        <w:instrText xml:space="preserve"> HYPERLINK \l _Toc26743 </w:instrText>
      </w:r>
      <w:r>
        <w:rPr>
          <w:rFonts w:hint="eastAsia" w:ascii="宋体" w:hAnsi="宋体" w:cs="宋体"/>
          <w:szCs w:val="28"/>
        </w:rPr>
        <w:fldChar w:fldCharType="separate"/>
      </w:r>
      <w:r>
        <w:rPr>
          <w:rFonts w:hint="eastAsia" w:ascii="宋体" w:hAnsi="宋体" w:cs="宋体"/>
          <w:highlight w:val="none"/>
        </w:rPr>
        <w:t>四、知识产权</w:t>
      </w:r>
      <w:r>
        <w:tab/>
      </w:r>
      <w:r>
        <w:fldChar w:fldCharType="begin"/>
      </w:r>
      <w:r>
        <w:instrText xml:space="preserve"> PAGEREF _Toc26743 \h </w:instrText>
      </w:r>
      <w:r>
        <w:fldChar w:fldCharType="separate"/>
      </w:r>
      <w:r>
        <w:t>- 9 -</w:t>
      </w:r>
      <w:r>
        <w:fldChar w:fldCharType="end"/>
      </w:r>
      <w:r>
        <w:rPr>
          <w:rFonts w:hint="eastAsia" w:ascii="宋体" w:hAnsi="宋体" w:cs="宋体"/>
          <w:color w:val="auto"/>
          <w:szCs w:val="28"/>
        </w:rPr>
        <w:fldChar w:fldCharType="end"/>
      </w:r>
    </w:p>
    <w:p w14:paraId="3D6E7101">
      <w:pPr>
        <w:pStyle w:val="47"/>
        <w:tabs>
          <w:tab w:val="right" w:leader="dot" w:pos="9412"/>
        </w:tabs>
      </w:pPr>
      <w:r>
        <w:rPr>
          <w:rFonts w:hint="eastAsia" w:ascii="宋体" w:hAnsi="宋体" w:cs="宋体"/>
          <w:color w:val="auto"/>
          <w:szCs w:val="28"/>
        </w:rPr>
        <w:fldChar w:fldCharType="begin"/>
      </w:r>
      <w:r>
        <w:rPr>
          <w:rFonts w:hint="eastAsia" w:ascii="宋体" w:hAnsi="宋体" w:cs="宋体"/>
          <w:szCs w:val="28"/>
        </w:rPr>
        <w:instrText xml:space="preserve"> HYPERLINK \l _Toc25594 </w:instrText>
      </w:r>
      <w:r>
        <w:rPr>
          <w:rFonts w:hint="eastAsia" w:ascii="宋体" w:hAnsi="宋体" w:cs="宋体"/>
          <w:szCs w:val="28"/>
        </w:rPr>
        <w:fldChar w:fldCharType="separate"/>
      </w:r>
      <w:r>
        <w:rPr>
          <w:rFonts w:hint="eastAsia" w:ascii="宋体" w:hAnsi="宋体" w:cs="宋体"/>
          <w:highlight w:val="none"/>
        </w:rPr>
        <w:t>五、保密</w:t>
      </w:r>
      <w:r>
        <w:tab/>
      </w:r>
      <w:r>
        <w:fldChar w:fldCharType="begin"/>
      </w:r>
      <w:r>
        <w:instrText xml:space="preserve"> PAGEREF _Toc25594 \h </w:instrText>
      </w:r>
      <w:r>
        <w:fldChar w:fldCharType="separate"/>
      </w:r>
      <w:r>
        <w:t>- 9 -</w:t>
      </w:r>
      <w:r>
        <w:fldChar w:fldCharType="end"/>
      </w:r>
      <w:r>
        <w:rPr>
          <w:rFonts w:hint="eastAsia" w:ascii="宋体" w:hAnsi="宋体" w:cs="宋体"/>
          <w:color w:val="auto"/>
          <w:szCs w:val="28"/>
        </w:rPr>
        <w:fldChar w:fldCharType="end"/>
      </w:r>
    </w:p>
    <w:p w14:paraId="06CC283A">
      <w:pPr>
        <w:pStyle w:val="47"/>
        <w:tabs>
          <w:tab w:val="right" w:leader="dot" w:pos="9412"/>
        </w:tabs>
      </w:pPr>
      <w:r>
        <w:rPr>
          <w:rFonts w:hint="eastAsia" w:ascii="宋体" w:hAnsi="宋体" w:cs="宋体"/>
          <w:color w:val="auto"/>
          <w:szCs w:val="28"/>
        </w:rPr>
        <w:fldChar w:fldCharType="begin"/>
      </w:r>
      <w:r>
        <w:rPr>
          <w:rFonts w:hint="eastAsia" w:ascii="宋体" w:hAnsi="宋体" w:cs="宋体"/>
          <w:szCs w:val="28"/>
        </w:rPr>
        <w:instrText xml:space="preserve"> HYPERLINK \l _Toc14268 </w:instrText>
      </w:r>
      <w:r>
        <w:rPr>
          <w:rFonts w:hint="eastAsia" w:ascii="宋体" w:hAnsi="宋体" w:cs="宋体"/>
          <w:szCs w:val="28"/>
        </w:rPr>
        <w:fldChar w:fldCharType="separate"/>
      </w:r>
      <w:r>
        <w:rPr>
          <w:rFonts w:hint="eastAsia" w:ascii="宋体" w:hAnsi="宋体" w:eastAsia="宋体" w:cs="宋体"/>
          <w:highlight w:val="none"/>
        </w:rPr>
        <w:t>六、其他</w:t>
      </w:r>
      <w:r>
        <w:tab/>
      </w:r>
      <w:r>
        <w:fldChar w:fldCharType="begin"/>
      </w:r>
      <w:r>
        <w:instrText xml:space="preserve"> PAGEREF _Toc14268 \h </w:instrText>
      </w:r>
      <w:r>
        <w:fldChar w:fldCharType="separate"/>
      </w:r>
      <w:r>
        <w:t>- 10 -</w:t>
      </w:r>
      <w:r>
        <w:fldChar w:fldCharType="end"/>
      </w:r>
      <w:r>
        <w:rPr>
          <w:rFonts w:hint="eastAsia" w:ascii="宋体" w:hAnsi="宋体" w:cs="宋体"/>
          <w:color w:val="auto"/>
          <w:szCs w:val="28"/>
        </w:rPr>
        <w:fldChar w:fldCharType="end"/>
      </w:r>
    </w:p>
    <w:p w14:paraId="5ECCD998">
      <w:pPr>
        <w:pStyle w:val="39"/>
        <w:tabs>
          <w:tab w:val="right" w:leader="dot" w:pos="9412"/>
        </w:tabs>
      </w:pPr>
      <w:r>
        <w:rPr>
          <w:rFonts w:hint="eastAsia" w:ascii="宋体" w:hAnsi="宋体" w:cs="宋体"/>
          <w:color w:val="auto"/>
          <w:szCs w:val="28"/>
        </w:rPr>
        <w:fldChar w:fldCharType="begin"/>
      </w:r>
      <w:r>
        <w:rPr>
          <w:rFonts w:hint="eastAsia" w:ascii="宋体" w:hAnsi="宋体" w:cs="宋体"/>
          <w:szCs w:val="28"/>
        </w:rPr>
        <w:instrText xml:space="preserve"> HYPERLINK \l _Toc18821 </w:instrText>
      </w:r>
      <w:r>
        <w:rPr>
          <w:rFonts w:hint="eastAsia" w:ascii="宋体" w:hAnsi="宋体" w:cs="宋体"/>
          <w:szCs w:val="28"/>
        </w:rPr>
        <w:fldChar w:fldCharType="separate"/>
      </w:r>
      <w:r>
        <w:rPr>
          <w:rFonts w:hint="eastAsia" w:cs="宋体"/>
          <w:bCs/>
          <w:szCs w:val="36"/>
        </w:rPr>
        <w:t>第四篇  磋商程序及方法、评审标准、无效响应和采购终止</w:t>
      </w:r>
      <w:r>
        <w:tab/>
      </w:r>
      <w:r>
        <w:fldChar w:fldCharType="begin"/>
      </w:r>
      <w:r>
        <w:instrText xml:space="preserve"> PAGEREF _Toc18821 \h </w:instrText>
      </w:r>
      <w:r>
        <w:fldChar w:fldCharType="separate"/>
      </w:r>
      <w:r>
        <w:t>- 11 -</w:t>
      </w:r>
      <w:r>
        <w:fldChar w:fldCharType="end"/>
      </w:r>
      <w:r>
        <w:rPr>
          <w:rFonts w:hint="eastAsia" w:ascii="宋体" w:hAnsi="宋体" w:cs="宋体"/>
          <w:color w:val="auto"/>
          <w:szCs w:val="28"/>
        </w:rPr>
        <w:fldChar w:fldCharType="end"/>
      </w:r>
    </w:p>
    <w:p w14:paraId="11BA7AC9">
      <w:pPr>
        <w:pStyle w:val="47"/>
        <w:tabs>
          <w:tab w:val="right" w:leader="dot" w:pos="9412"/>
        </w:tabs>
      </w:pPr>
      <w:r>
        <w:rPr>
          <w:rFonts w:hint="eastAsia" w:ascii="宋体" w:hAnsi="宋体" w:cs="宋体"/>
          <w:color w:val="auto"/>
          <w:szCs w:val="28"/>
        </w:rPr>
        <w:fldChar w:fldCharType="begin"/>
      </w:r>
      <w:r>
        <w:rPr>
          <w:rFonts w:hint="eastAsia" w:ascii="宋体" w:hAnsi="宋体" w:cs="宋体"/>
          <w:szCs w:val="28"/>
        </w:rPr>
        <w:instrText xml:space="preserve"> HYPERLINK \l _Toc5116 </w:instrText>
      </w:r>
      <w:r>
        <w:rPr>
          <w:rFonts w:hint="eastAsia" w:ascii="宋体" w:hAnsi="宋体" w:cs="宋体"/>
          <w:szCs w:val="28"/>
        </w:rPr>
        <w:fldChar w:fldCharType="separate"/>
      </w:r>
      <w:r>
        <w:rPr>
          <w:rFonts w:hint="eastAsia" w:ascii="宋体" w:hAnsi="宋体" w:cs="宋体"/>
        </w:rPr>
        <w:t>一、磋商程序及方法</w:t>
      </w:r>
      <w:r>
        <w:tab/>
      </w:r>
      <w:r>
        <w:fldChar w:fldCharType="begin"/>
      </w:r>
      <w:r>
        <w:instrText xml:space="preserve"> PAGEREF _Toc5116 \h </w:instrText>
      </w:r>
      <w:r>
        <w:fldChar w:fldCharType="separate"/>
      </w:r>
      <w:r>
        <w:t>- 11 -</w:t>
      </w:r>
      <w:r>
        <w:fldChar w:fldCharType="end"/>
      </w:r>
      <w:r>
        <w:rPr>
          <w:rFonts w:hint="eastAsia" w:ascii="宋体" w:hAnsi="宋体" w:cs="宋体"/>
          <w:color w:val="auto"/>
          <w:szCs w:val="28"/>
        </w:rPr>
        <w:fldChar w:fldCharType="end"/>
      </w:r>
    </w:p>
    <w:p w14:paraId="61B5CAEB">
      <w:pPr>
        <w:pStyle w:val="47"/>
        <w:tabs>
          <w:tab w:val="right" w:leader="dot" w:pos="9412"/>
        </w:tabs>
      </w:pPr>
      <w:r>
        <w:rPr>
          <w:rFonts w:hint="eastAsia" w:ascii="宋体" w:hAnsi="宋体" w:cs="宋体"/>
          <w:color w:val="auto"/>
          <w:szCs w:val="28"/>
        </w:rPr>
        <w:fldChar w:fldCharType="begin"/>
      </w:r>
      <w:r>
        <w:rPr>
          <w:rFonts w:hint="eastAsia" w:ascii="宋体" w:hAnsi="宋体" w:cs="宋体"/>
          <w:szCs w:val="28"/>
        </w:rPr>
        <w:instrText xml:space="preserve"> HYPERLINK \l _Toc20629 </w:instrText>
      </w:r>
      <w:r>
        <w:rPr>
          <w:rFonts w:hint="eastAsia" w:ascii="宋体" w:hAnsi="宋体" w:cs="宋体"/>
          <w:szCs w:val="28"/>
        </w:rPr>
        <w:fldChar w:fldCharType="separate"/>
      </w:r>
      <w:r>
        <w:rPr>
          <w:rFonts w:hint="eastAsia" w:ascii="宋体" w:hAnsi="宋体" w:cs="宋体"/>
        </w:rPr>
        <w:t>二、评审标准</w:t>
      </w:r>
      <w:r>
        <w:tab/>
      </w:r>
      <w:r>
        <w:fldChar w:fldCharType="begin"/>
      </w:r>
      <w:r>
        <w:instrText xml:space="preserve"> PAGEREF _Toc20629 \h </w:instrText>
      </w:r>
      <w:r>
        <w:fldChar w:fldCharType="separate"/>
      </w:r>
      <w:r>
        <w:t>- 13 -</w:t>
      </w:r>
      <w:r>
        <w:fldChar w:fldCharType="end"/>
      </w:r>
      <w:r>
        <w:rPr>
          <w:rFonts w:hint="eastAsia" w:ascii="宋体" w:hAnsi="宋体" w:cs="宋体"/>
          <w:color w:val="auto"/>
          <w:szCs w:val="28"/>
        </w:rPr>
        <w:fldChar w:fldCharType="end"/>
      </w:r>
    </w:p>
    <w:p w14:paraId="6A4689E4">
      <w:pPr>
        <w:pStyle w:val="47"/>
        <w:tabs>
          <w:tab w:val="right" w:leader="dot" w:pos="9412"/>
        </w:tabs>
      </w:pPr>
      <w:r>
        <w:rPr>
          <w:rFonts w:hint="eastAsia" w:ascii="宋体" w:hAnsi="宋体" w:cs="宋体"/>
          <w:color w:val="auto"/>
          <w:szCs w:val="28"/>
        </w:rPr>
        <w:fldChar w:fldCharType="begin"/>
      </w:r>
      <w:r>
        <w:rPr>
          <w:rFonts w:hint="eastAsia" w:ascii="宋体" w:hAnsi="宋体" w:cs="宋体"/>
          <w:szCs w:val="28"/>
        </w:rPr>
        <w:instrText xml:space="preserve"> HYPERLINK \l _Toc13437 </w:instrText>
      </w:r>
      <w:r>
        <w:rPr>
          <w:rFonts w:hint="eastAsia" w:ascii="宋体" w:hAnsi="宋体" w:cs="宋体"/>
          <w:szCs w:val="28"/>
        </w:rPr>
        <w:fldChar w:fldCharType="separate"/>
      </w:r>
      <w:r>
        <w:rPr>
          <w:rFonts w:hint="eastAsia" w:ascii="宋体" w:hAnsi="宋体" w:cs="宋体"/>
        </w:rPr>
        <w:t>三、无效响应</w:t>
      </w:r>
      <w:r>
        <w:tab/>
      </w:r>
      <w:r>
        <w:fldChar w:fldCharType="begin"/>
      </w:r>
      <w:r>
        <w:instrText xml:space="preserve"> PAGEREF _Toc13437 \h </w:instrText>
      </w:r>
      <w:r>
        <w:fldChar w:fldCharType="separate"/>
      </w:r>
      <w:r>
        <w:t>- 14 -</w:t>
      </w:r>
      <w:r>
        <w:fldChar w:fldCharType="end"/>
      </w:r>
      <w:r>
        <w:rPr>
          <w:rFonts w:hint="eastAsia" w:ascii="宋体" w:hAnsi="宋体" w:cs="宋体"/>
          <w:color w:val="auto"/>
          <w:szCs w:val="28"/>
        </w:rPr>
        <w:fldChar w:fldCharType="end"/>
      </w:r>
    </w:p>
    <w:p w14:paraId="33F6739E">
      <w:pPr>
        <w:pStyle w:val="47"/>
        <w:tabs>
          <w:tab w:val="right" w:leader="dot" w:pos="9412"/>
        </w:tabs>
      </w:pPr>
      <w:r>
        <w:rPr>
          <w:rFonts w:hint="eastAsia" w:ascii="宋体" w:hAnsi="宋体" w:cs="宋体"/>
          <w:color w:val="auto"/>
          <w:szCs w:val="28"/>
        </w:rPr>
        <w:fldChar w:fldCharType="begin"/>
      </w:r>
      <w:r>
        <w:rPr>
          <w:rFonts w:hint="eastAsia" w:ascii="宋体" w:hAnsi="宋体" w:cs="宋体"/>
          <w:szCs w:val="28"/>
        </w:rPr>
        <w:instrText xml:space="preserve"> HYPERLINK \l _Toc12962 </w:instrText>
      </w:r>
      <w:r>
        <w:rPr>
          <w:rFonts w:hint="eastAsia" w:ascii="宋体" w:hAnsi="宋体" w:cs="宋体"/>
          <w:szCs w:val="28"/>
        </w:rPr>
        <w:fldChar w:fldCharType="separate"/>
      </w:r>
      <w:r>
        <w:rPr>
          <w:rFonts w:hint="eastAsia" w:ascii="宋体" w:hAnsi="宋体" w:cs="宋体"/>
        </w:rPr>
        <w:t>四、采购终止</w:t>
      </w:r>
      <w:r>
        <w:tab/>
      </w:r>
      <w:r>
        <w:fldChar w:fldCharType="begin"/>
      </w:r>
      <w:r>
        <w:instrText xml:space="preserve"> PAGEREF _Toc12962 \h </w:instrText>
      </w:r>
      <w:r>
        <w:fldChar w:fldCharType="separate"/>
      </w:r>
      <w:r>
        <w:t>- 15 -</w:t>
      </w:r>
      <w:r>
        <w:fldChar w:fldCharType="end"/>
      </w:r>
      <w:r>
        <w:rPr>
          <w:rFonts w:hint="eastAsia" w:ascii="宋体" w:hAnsi="宋体" w:cs="宋体"/>
          <w:color w:val="auto"/>
          <w:szCs w:val="28"/>
        </w:rPr>
        <w:fldChar w:fldCharType="end"/>
      </w:r>
    </w:p>
    <w:p w14:paraId="495135F9">
      <w:pPr>
        <w:pStyle w:val="39"/>
        <w:tabs>
          <w:tab w:val="right" w:leader="dot" w:pos="9412"/>
        </w:tabs>
      </w:pPr>
      <w:r>
        <w:rPr>
          <w:rFonts w:hint="eastAsia" w:ascii="宋体" w:hAnsi="宋体" w:cs="宋体"/>
          <w:color w:val="auto"/>
          <w:szCs w:val="28"/>
        </w:rPr>
        <w:fldChar w:fldCharType="begin"/>
      </w:r>
      <w:r>
        <w:rPr>
          <w:rFonts w:hint="eastAsia" w:ascii="宋体" w:hAnsi="宋体" w:cs="宋体"/>
          <w:szCs w:val="28"/>
        </w:rPr>
        <w:instrText xml:space="preserve"> HYPERLINK \l _Toc5578 </w:instrText>
      </w:r>
      <w:r>
        <w:rPr>
          <w:rFonts w:hint="eastAsia" w:ascii="宋体" w:hAnsi="宋体" w:cs="宋体"/>
          <w:szCs w:val="28"/>
        </w:rPr>
        <w:fldChar w:fldCharType="separate"/>
      </w:r>
      <w:r>
        <w:rPr>
          <w:rFonts w:hint="eastAsia" w:cs="宋体"/>
          <w:bCs/>
        </w:rPr>
        <w:t>第五篇  供应商须知</w:t>
      </w:r>
      <w:r>
        <w:tab/>
      </w:r>
      <w:r>
        <w:fldChar w:fldCharType="begin"/>
      </w:r>
      <w:r>
        <w:instrText xml:space="preserve"> PAGEREF _Toc5578 \h </w:instrText>
      </w:r>
      <w:r>
        <w:fldChar w:fldCharType="separate"/>
      </w:r>
      <w:r>
        <w:t>- 16 -</w:t>
      </w:r>
      <w:r>
        <w:fldChar w:fldCharType="end"/>
      </w:r>
      <w:r>
        <w:rPr>
          <w:rFonts w:hint="eastAsia" w:ascii="宋体" w:hAnsi="宋体" w:cs="宋体"/>
          <w:color w:val="auto"/>
          <w:szCs w:val="28"/>
        </w:rPr>
        <w:fldChar w:fldCharType="end"/>
      </w:r>
    </w:p>
    <w:p w14:paraId="474F5138">
      <w:pPr>
        <w:pStyle w:val="47"/>
        <w:tabs>
          <w:tab w:val="right" w:leader="dot" w:pos="9412"/>
        </w:tabs>
      </w:pPr>
      <w:r>
        <w:rPr>
          <w:rFonts w:hint="eastAsia" w:ascii="宋体" w:hAnsi="宋体" w:cs="宋体"/>
          <w:color w:val="auto"/>
          <w:szCs w:val="28"/>
        </w:rPr>
        <w:fldChar w:fldCharType="begin"/>
      </w:r>
      <w:r>
        <w:rPr>
          <w:rFonts w:hint="eastAsia" w:ascii="宋体" w:hAnsi="宋体" w:cs="宋体"/>
          <w:szCs w:val="28"/>
        </w:rPr>
        <w:instrText xml:space="preserve"> HYPERLINK \l _Toc503 </w:instrText>
      </w:r>
      <w:r>
        <w:rPr>
          <w:rFonts w:hint="eastAsia" w:ascii="宋体" w:hAnsi="宋体" w:cs="宋体"/>
          <w:szCs w:val="28"/>
        </w:rPr>
        <w:fldChar w:fldCharType="separate"/>
      </w:r>
      <w:r>
        <w:rPr>
          <w:rFonts w:hint="eastAsia" w:ascii="宋体" w:hAnsi="宋体" w:cs="宋体"/>
        </w:rPr>
        <w:t>一、磋商费用</w:t>
      </w:r>
      <w:r>
        <w:tab/>
      </w:r>
      <w:r>
        <w:fldChar w:fldCharType="begin"/>
      </w:r>
      <w:r>
        <w:instrText xml:space="preserve"> PAGEREF _Toc503 \h </w:instrText>
      </w:r>
      <w:r>
        <w:fldChar w:fldCharType="separate"/>
      </w:r>
      <w:r>
        <w:t>- 16 -</w:t>
      </w:r>
      <w:r>
        <w:fldChar w:fldCharType="end"/>
      </w:r>
      <w:r>
        <w:rPr>
          <w:rFonts w:hint="eastAsia" w:ascii="宋体" w:hAnsi="宋体" w:cs="宋体"/>
          <w:color w:val="auto"/>
          <w:szCs w:val="28"/>
        </w:rPr>
        <w:fldChar w:fldCharType="end"/>
      </w:r>
    </w:p>
    <w:p w14:paraId="53FE4AE9">
      <w:pPr>
        <w:pStyle w:val="47"/>
        <w:tabs>
          <w:tab w:val="right" w:leader="dot" w:pos="9412"/>
        </w:tabs>
      </w:pPr>
      <w:r>
        <w:rPr>
          <w:rFonts w:hint="eastAsia" w:ascii="宋体" w:hAnsi="宋体" w:cs="宋体"/>
          <w:color w:val="auto"/>
          <w:szCs w:val="28"/>
        </w:rPr>
        <w:fldChar w:fldCharType="begin"/>
      </w:r>
      <w:r>
        <w:rPr>
          <w:rFonts w:hint="eastAsia" w:ascii="宋体" w:hAnsi="宋体" w:cs="宋体"/>
          <w:szCs w:val="28"/>
        </w:rPr>
        <w:instrText xml:space="preserve"> HYPERLINK \l _Toc12594 </w:instrText>
      </w:r>
      <w:r>
        <w:rPr>
          <w:rFonts w:hint="eastAsia" w:ascii="宋体" w:hAnsi="宋体" w:cs="宋体"/>
          <w:szCs w:val="28"/>
        </w:rPr>
        <w:fldChar w:fldCharType="separate"/>
      </w:r>
      <w:r>
        <w:rPr>
          <w:rFonts w:hint="eastAsia" w:ascii="宋体" w:hAnsi="宋体" w:cs="宋体"/>
        </w:rPr>
        <w:t>二、竞争性磋商文件</w:t>
      </w:r>
      <w:r>
        <w:tab/>
      </w:r>
      <w:r>
        <w:fldChar w:fldCharType="begin"/>
      </w:r>
      <w:r>
        <w:instrText xml:space="preserve"> PAGEREF _Toc12594 \h </w:instrText>
      </w:r>
      <w:r>
        <w:fldChar w:fldCharType="separate"/>
      </w:r>
      <w:r>
        <w:t>- 16 -</w:t>
      </w:r>
      <w:r>
        <w:fldChar w:fldCharType="end"/>
      </w:r>
      <w:r>
        <w:rPr>
          <w:rFonts w:hint="eastAsia" w:ascii="宋体" w:hAnsi="宋体" w:cs="宋体"/>
          <w:color w:val="auto"/>
          <w:szCs w:val="28"/>
        </w:rPr>
        <w:fldChar w:fldCharType="end"/>
      </w:r>
    </w:p>
    <w:p w14:paraId="14A7CA1F">
      <w:pPr>
        <w:pStyle w:val="47"/>
        <w:tabs>
          <w:tab w:val="right" w:leader="dot" w:pos="9412"/>
        </w:tabs>
      </w:pPr>
      <w:r>
        <w:rPr>
          <w:rFonts w:hint="eastAsia" w:ascii="宋体" w:hAnsi="宋体" w:cs="宋体"/>
          <w:color w:val="auto"/>
          <w:szCs w:val="28"/>
        </w:rPr>
        <w:fldChar w:fldCharType="begin"/>
      </w:r>
      <w:r>
        <w:rPr>
          <w:rFonts w:hint="eastAsia" w:ascii="宋体" w:hAnsi="宋体" w:cs="宋体"/>
          <w:szCs w:val="28"/>
        </w:rPr>
        <w:instrText xml:space="preserve"> HYPERLINK \l _Toc27184 </w:instrText>
      </w:r>
      <w:r>
        <w:rPr>
          <w:rFonts w:hint="eastAsia" w:ascii="宋体" w:hAnsi="宋体" w:cs="宋体"/>
          <w:szCs w:val="28"/>
        </w:rPr>
        <w:fldChar w:fldCharType="separate"/>
      </w:r>
      <w:r>
        <w:rPr>
          <w:rFonts w:hint="eastAsia" w:ascii="宋体" w:hAnsi="宋体" w:cs="宋体"/>
        </w:rPr>
        <w:t>三、磋商要求</w:t>
      </w:r>
      <w:r>
        <w:tab/>
      </w:r>
      <w:r>
        <w:fldChar w:fldCharType="begin"/>
      </w:r>
      <w:r>
        <w:instrText xml:space="preserve"> PAGEREF _Toc27184 \h </w:instrText>
      </w:r>
      <w:r>
        <w:fldChar w:fldCharType="separate"/>
      </w:r>
      <w:r>
        <w:t>- 16 -</w:t>
      </w:r>
      <w:r>
        <w:fldChar w:fldCharType="end"/>
      </w:r>
      <w:r>
        <w:rPr>
          <w:rFonts w:hint="eastAsia" w:ascii="宋体" w:hAnsi="宋体" w:cs="宋体"/>
          <w:color w:val="auto"/>
          <w:szCs w:val="28"/>
        </w:rPr>
        <w:fldChar w:fldCharType="end"/>
      </w:r>
    </w:p>
    <w:p w14:paraId="3C7EA4F1">
      <w:pPr>
        <w:pStyle w:val="47"/>
        <w:tabs>
          <w:tab w:val="right" w:leader="dot" w:pos="9412"/>
        </w:tabs>
      </w:pPr>
      <w:r>
        <w:rPr>
          <w:rFonts w:hint="eastAsia" w:ascii="宋体" w:hAnsi="宋体" w:cs="宋体"/>
          <w:color w:val="auto"/>
          <w:szCs w:val="28"/>
        </w:rPr>
        <w:fldChar w:fldCharType="begin"/>
      </w:r>
      <w:r>
        <w:rPr>
          <w:rFonts w:hint="eastAsia" w:ascii="宋体" w:hAnsi="宋体" w:cs="宋体"/>
          <w:szCs w:val="28"/>
        </w:rPr>
        <w:instrText xml:space="preserve"> HYPERLINK \l _Toc17747 </w:instrText>
      </w:r>
      <w:r>
        <w:rPr>
          <w:rFonts w:hint="eastAsia" w:ascii="宋体" w:hAnsi="宋体" w:cs="宋体"/>
          <w:szCs w:val="28"/>
        </w:rPr>
        <w:fldChar w:fldCharType="separate"/>
      </w:r>
      <w:r>
        <w:rPr>
          <w:rFonts w:hint="eastAsia" w:ascii="宋体" w:hAnsi="宋体" w:cs="宋体"/>
        </w:rPr>
        <w:t>四、成交供应商的确认和变更</w:t>
      </w:r>
      <w:r>
        <w:tab/>
      </w:r>
      <w:r>
        <w:fldChar w:fldCharType="begin"/>
      </w:r>
      <w:r>
        <w:instrText xml:space="preserve"> PAGEREF _Toc17747 \h </w:instrText>
      </w:r>
      <w:r>
        <w:fldChar w:fldCharType="separate"/>
      </w:r>
      <w:r>
        <w:t>- 17 -</w:t>
      </w:r>
      <w:r>
        <w:fldChar w:fldCharType="end"/>
      </w:r>
      <w:r>
        <w:rPr>
          <w:rFonts w:hint="eastAsia" w:ascii="宋体" w:hAnsi="宋体" w:cs="宋体"/>
          <w:color w:val="auto"/>
          <w:szCs w:val="28"/>
        </w:rPr>
        <w:fldChar w:fldCharType="end"/>
      </w:r>
    </w:p>
    <w:p w14:paraId="21FAE668">
      <w:pPr>
        <w:pStyle w:val="47"/>
        <w:tabs>
          <w:tab w:val="right" w:leader="dot" w:pos="9412"/>
        </w:tabs>
      </w:pPr>
      <w:r>
        <w:rPr>
          <w:rFonts w:hint="eastAsia" w:ascii="宋体" w:hAnsi="宋体" w:cs="宋体"/>
          <w:color w:val="auto"/>
          <w:szCs w:val="28"/>
        </w:rPr>
        <w:fldChar w:fldCharType="begin"/>
      </w:r>
      <w:r>
        <w:rPr>
          <w:rFonts w:hint="eastAsia" w:ascii="宋体" w:hAnsi="宋体" w:cs="宋体"/>
          <w:szCs w:val="28"/>
        </w:rPr>
        <w:instrText xml:space="preserve"> HYPERLINK \l _Toc21250 </w:instrText>
      </w:r>
      <w:r>
        <w:rPr>
          <w:rFonts w:hint="eastAsia" w:ascii="宋体" w:hAnsi="宋体" w:cs="宋体"/>
          <w:szCs w:val="28"/>
        </w:rPr>
        <w:fldChar w:fldCharType="separate"/>
      </w:r>
      <w:r>
        <w:rPr>
          <w:rFonts w:hint="eastAsia" w:ascii="宋体" w:hAnsi="宋体" w:cs="宋体"/>
        </w:rPr>
        <w:t>五、成交通知</w:t>
      </w:r>
      <w:r>
        <w:tab/>
      </w:r>
      <w:r>
        <w:fldChar w:fldCharType="begin"/>
      </w:r>
      <w:r>
        <w:instrText xml:space="preserve"> PAGEREF _Toc21250 \h </w:instrText>
      </w:r>
      <w:r>
        <w:fldChar w:fldCharType="separate"/>
      </w:r>
      <w:r>
        <w:t>- 17 -</w:t>
      </w:r>
      <w:r>
        <w:fldChar w:fldCharType="end"/>
      </w:r>
      <w:r>
        <w:rPr>
          <w:rFonts w:hint="eastAsia" w:ascii="宋体" w:hAnsi="宋体" w:cs="宋体"/>
          <w:color w:val="auto"/>
          <w:szCs w:val="28"/>
        </w:rPr>
        <w:fldChar w:fldCharType="end"/>
      </w:r>
    </w:p>
    <w:p w14:paraId="339E1842">
      <w:pPr>
        <w:pStyle w:val="47"/>
        <w:tabs>
          <w:tab w:val="right" w:leader="dot" w:pos="9412"/>
        </w:tabs>
      </w:pPr>
      <w:r>
        <w:rPr>
          <w:rFonts w:hint="eastAsia" w:ascii="宋体" w:hAnsi="宋体" w:cs="宋体"/>
          <w:color w:val="auto"/>
          <w:szCs w:val="28"/>
        </w:rPr>
        <w:fldChar w:fldCharType="begin"/>
      </w:r>
      <w:r>
        <w:rPr>
          <w:rFonts w:hint="eastAsia" w:ascii="宋体" w:hAnsi="宋体" w:cs="宋体"/>
          <w:szCs w:val="28"/>
        </w:rPr>
        <w:instrText xml:space="preserve"> HYPERLINK \l _Toc30815 </w:instrText>
      </w:r>
      <w:r>
        <w:rPr>
          <w:rFonts w:hint="eastAsia" w:ascii="宋体" w:hAnsi="宋体" w:cs="宋体"/>
          <w:szCs w:val="28"/>
        </w:rPr>
        <w:fldChar w:fldCharType="separate"/>
      </w:r>
      <w:r>
        <w:rPr>
          <w:rFonts w:hint="eastAsia" w:ascii="宋体" w:hAnsi="宋体" w:cs="宋体"/>
        </w:rPr>
        <w:t>六、关于质疑和投诉</w:t>
      </w:r>
      <w:r>
        <w:tab/>
      </w:r>
      <w:r>
        <w:fldChar w:fldCharType="begin"/>
      </w:r>
      <w:r>
        <w:instrText xml:space="preserve"> PAGEREF _Toc30815 \h </w:instrText>
      </w:r>
      <w:r>
        <w:fldChar w:fldCharType="separate"/>
      </w:r>
      <w:r>
        <w:t>- 17 -</w:t>
      </w:r>
      <w:r>
        <w:fldChar w:fldCharType="end"/>
      </w:r>
      <w:r>
        <w:rPr>
          <w:rFonts w:hint="eastAsia" w:ascii="宋体" w:hAnsi="宋体" w:cs="宋体"/>
          <w:color w:val="auto"/>
          <w:szCs w:val="28"/>
        </w:rPr>
        <w:fldChar w:fldCharType="end"/>
      </w:r>
    </w:p>
    <w:p w14:paraId="197E28D3">
      <w:pPr>
        <w:pStyle w:val="47"/>
        <w:tabs>
          <w:tab w:val="right" w:leader="dot" w:pos="9412"/>
        </w:tabs>
      </w:pPr>
      <w:r>
        <w:rPr>
          <w:rFonts w:hint="eastAsia" w:ascii="宋体" w:hAnsi="宋体" w:cs="宋体"/>
          <w:color w:val="auto"/>
          <w:szCs w:val="28"/>
        </w:rPr>
        <w:fldChar w:fldCharType="begin"/>
      </w:r>
      <w:r>
        <w:rPr>
          <w:rFonts w:hint="eastAsia" w:ascii="宋体" w:hAnsi="宋体" w:cs="宋体"/>
          <w:szCs w:val="28"/>
        </w:rPr>
        <w:instrText xml:space="preserve"> HYPERLINK \l _Toc23033 </w:instrText>
      </w:r>
      <w:r>
        <w:rPr>
          <w:rFonts w:hint="eastAsia" w:ascii="宋体" w:hAnsi="宋体" w:cs="宋体"/>
          <w:szCs w:val="28"/>
        </w:rPr>
        <w:fldChar w:fldCharType="separate"/>
      </w:r>
      <w:r>
        <w:rPr>
          <w:rFonts w:hint="eastAsia" w:ascii="宋体" w:hAnsi="宋体" w:cs="宋体"/>
        </w:rPr>
        <w:t>七、采购代理服务费</w:t>
      </w:r>
      <w:r>
        <w:tab/>
      </w:r>
      <w:r>
        <w:fldChar w:fldCharType="begin"/>
      </w:r>
      <w:r>
        <w:instrText xml:space="preserve"> PAGEREF _Toc23033 \h </w:instrText>
      </w:r>
      <w:r>
        <w:fldChar w:fldCharType="separate"/>
      </w:r>
      <w:r>
        <w:t>- 19 -</w:t>
      </w:r>
      <w:r>
        <w:fldChar w:fldCharType="end"/>
      </w:r>
      <w:r>
        <w:rPr>
          <w:rFonts w:hint="eastAsia" w:ascii="宋体" w:hAnsi="宋体" w:cs="宋体"/>
          <w:color w:val="auto"/>
          <w:szCs w:val="28"/>
        </w:rPr>
        <w:fldChar w:fldCharType="end"/>
      </w:r>
    </w:p>
    <w:p w14:paraId="127F2CAA">
      <w:pPr>
        <w:pStyle w:val="47"/>
        <w:tabs>
          <w:tab w:val="right" w:leader="dot" w:pos="9412"/>
        </w:tabs>
      </w:pPr>
      <w:r>
        <w:rPr>
          <w:rFonts w:hint="eastAsia" w:ascii="宋体" w:hAnsi="宋体" w:cs="宋体"/>
          <w:color w:val="auto"/>
          <w:szCs w:val="28"/>
        </w:rPr>
        <w:fldChar w:fldCharType="begin"/>
      </w:r>
      <w:r>
        <w:rPr>
          <w:rFonts w:hint="eastAsia" w:ascii="宋体" w:hAnsi="宋体" w:cs="宋体"/>
          <w:szCs w:val="28"/>
        </w:rPr>
        <w:instrText xml:space="preserve"> HYPERLINK \l _Toc18761 </w:instrText>
      </w:r>
      <w:r>
        <w:rPr>
          <w:rFonts w:hint="eastAsia" w:ascii="宋体" w:hAnsi="宋体" w:cs="宋体"/>
          <w:szCs w:val="28"/>
        </w:rPr>
        <w:fldChar w:fldCharType="separate"/>
      </w:r>
      <w:r>
        <w:rPr>
          <w:rFonts w:hint="eastAsia" w:ascii="宋体" w:hAnsi="宋体" w:cs="宋体"/>
        </w:rPr>
        <w:t>八、交易服务费</w:t>
      </w:r>
      <w:r>
        <w:tab/>
      </w:r>
      <w:r>
        <w:fldChar w:fldCharType="begin"/>
      </w:r>
      <w:r>
        <w:instrText xml:space="preserve"> PAGEREF _Toc18761 \h </w:instrText>
      </w:r>
      <w:r>
        <w:fldChar w:fldCharType="separate"/>
      </w:r>
      <w:r>
        <w:t>- 19 -</w:t>
      </w:r>
      <w:r>
        <w:fldChar w:fldCharType="end"/>
      </w:r>
      <w:r>
        <w:rPr>
          <w:rFonts w:hint="eastAsia" w:ascii="宋体" w:hAnsi="宋体" w:cs="宋体"/>
          <w:color w:val="auto"/>
          <w:szCs w:val="28"/>
        </w:rPr>
        <w:fldChar w:fldCharType="end"/>
      </w:r>
    </w:p>
    <w:p w14:paraId="2019D8CF">
      <w:pPr>
        <w:pStyle w:val="47"/>
        <w:tabs>
          <w:tab w:val="right" w:leader="dot" w:pos="9412"/>
        </w:tabs>
      </w:pPr>
      <w:r>
        <w:rPr>
          <w:rFonts w:hint="eastAsia" w:ascii="宋体" w:hAnsi="宋体" w:cs="宋体"/>
          <w:color w:val="auto"/>
          <w:szCs w:val="28"/>
        </w:rPr>
        <w:fldChar w:fldCharType="begin"/>
      </w:r>
      <w:r>
        <w:rPr>
          <w:rFonts w:hint="eastAsia" w:ascii="宋体" w:hAnsi="宋体" w:cs="宋体"/>
          <w:szCs w:val="28"/>
        </w:rPr>
        <w:instrText xml:space="preserve"> HYPERLINK \l _Toc25456 </w:instrText>
      </w:r>
      <w:r>
        <w:rPr>
          <w:rFonts w:hint="eastAsia" w:ascii="宋体" w:hAnsi="宋体" w:cs="宋体"/>
          <w:szCs w:val="28"/>
        </w:rPr>
        <w:fldChar w:fldCharType="separate"/>
      </w:r>
      <w:r>
        <w:rPr>
          <w:rFonts w:hint="eastAsia" w:ascii="宋体" w:hAnsi="宋体" w:cs="宋体"/>
        </w:rPr>
        <w:t>九、签订合同</w:t>
      </w:r>
      <w:r>
        <w:tab/>
      </w:r>
      <w:r>
        <w:fldChar w:fldCharType="begin"/>
      </w:r>
      <w:r>
        <w:instrText xml:space="preserve"> PAGEREF _Toc25456 \h </w:instrText>
      </w:r>
      <w:r>
        <w:fldChar w:fldCharType="separate"/>
      </w:r>
      <w:r>
        <w:t>- 19 -</w:t>
      </w:r>
      <w:r>
        <w:fldChar w:fldCharType="end"/>
      </w:r>
      <w:r>
        <w:rPr>
          <w:rFonts w:hint="eastAsia" w:ascii="宋体" w:hAnsi="宋体" w:cs="宋体"/>
          <w:color w:val="auto"/>
          <w:szCs w:val="28"/>
        </w:rPr>
        <w:fldChar w:fldCharType="end"/>
      </w:r>
    </w:p>
    <w:p w14:paraId="3EB77C12">
      <w:pPr>
        <w:pStyle w:val="47"/>
        <w:tabs>
          <w:tab w:val="right" w:leader="dot" w:pos="9412"/>
        </w:tabs>
      </w:pPr>
      <w:r>
        <w:rPr>
          <w:rFonts w:hint="eastAsia" w:ascii="宋体" w:hAnsi="宋体" w:cs="宋体"/>
          <w:color w:val="auto"/>
          <w:szCs w:val="28"/>
        </w:rPr>
        <w:fldChar w:fldCharType="begin"/>
      </w:r>
      <w:r>
        <w:rPr>
          <w:rFonts w:hint="eastAsia" w:ascii="宋体" w:hAnsi="宋体" w:cs="宋体"/>
          <w:szCs w:val="28"/>
        </w:rPr>
        <w:instrText xml:space="preserve"> HYPERLINK \l _Toc12140 </w:instrText>
      </w:r>
      <w:r>
        <w:rPr>
          <w:rFonts w:hint="eastAsia" w:ascii="宋体" w:hAnsi="宋体" w:cs="宋体"/>
          <w:szCs w:val="28"/>
        </w:rPr>
        <w:fldChar w:fldCharType="separate"/>
      </w:r>
      <w:r>
        <w:rPr>
          <w:rFonts w:hint="eastAsia" w:ascii="宋体" w:hAnsi="宋体" w:cs="宋体"/>
        </w:rPr>
        <w:t>十、项目验收</w:t>
      </w:r>
      <w:r>
        <w:tab/>
      </w:r>
      <w:r>
        <w:fldChar w:fldCharType="begin"/>
      </w:r>
      <w:r>
        <w:instrText xml:space="preserve"> PAGEREF _Toc12140 \h </w:instrText>
      </w:r>
      <w:r>
        <w:fldChar w:fldCharType="separate"/>
      </w:r>
      <w:r>
        <w:t>- 20 -</w:t>
      </w:r>
      <w:r>
        <w:fldChar w:fldCharType="end"/>
      </w:r>
      <w:r>
        <w:rPr>
          <w:rFonts w:hint="eastAsia" w:ascii="宋体" w:hAnsi="宋体" w:cs="宋体"/>
          <w:color w:val="auto"/>
          <w:szCs w:val="28"/>
        </w:rPr>
        <w:fldChar w:fldCharType="end"/>
      </w:r>
    </w:p>
    <w:p w14:paraId="6DD64377">
      <w:pPr>
        <w:pStyle w:val="47"/>
        <w:tabs>
          <w:tab w:val="right" w:leader="dot" w:pos="9412"/>
        </w:tabs>
      </w:pPr>
      <w:r>
        <w:rPr>
          <w:rFonts w:hint="eastAsia" w:ascii="宋体" w:hAnsi="宋体" w:cs="宋体"/>
          <w:color w:val="auto"/>
          <w:szCs w:val="28"/>
        </w:rPr>
        <w:fldChar w:fldCharType="begin"/>
      </w:r>
      <w:r>
        <w:rPr>
          <w:rFonts w:hint="eastAsia" w:ascii="宋体" w:hAnsi="宋体" w:cs="宋体"/>
          <w:szCs w:val="28"/>
        </w:rPr>
        <w:instrText xml:space="preserve"> HYPERLINK \l _Toc17428 </w:instrText>
      </w:r>
      <w:r>
        <w:rPr>
          <w:rFonts w:hint="eastAsia" w:ascii="宋体" w:hAnsi="宋体" w:cs="宋体"/>
          <w:szCs w:val="28"/>
        </w:rPr>
        <w:fldChar w:fldCharType="separate"/>
      </w:r>
      <w:r>
        <w:rPr>
          <w:rFonts w:hint="eastAsia" w:ascii="宋体" w:hAnsi="宋体" w:cs="宋体"/>
        </w:rPr>
        <w:t>十一、政府采购信用融资</w:t>
      </w:r>
      <w:r>
        <w:tab/>
      </w:r>
      <w:r>
        <w:fldChar w:fldCharType="begin"/>
      </w:r>
      <w:r>
        <w:instrText xml:space="preserve"> PAGEREF _Toc17428 \h </w:instrText>
      </w:r>
      <w:r>
        <w:fldChar w:fldCharType="separate"/>
      </w:r>
      <w:r>
        <w:t>- 20 -</w:t>
      </w:r>
      <w:r>
        <w:fldChar w:fldCharType="end"/>
      </w:r>
      <w:r>
        <w:rPr>
          <w:rFonts w:hint="eastAsia" w:ascii="宋体" w:hAnsi="宋体" w:cs="宋体"/>
          <w:color w:val="auto"/>
          <w:szCs w:val="28"/>
        </w:rPr>
        <w:fldChar w:fldCharType="end"/>
      </w:r>
    </w:p>
    <w:p w14:paraId="0911499C">
      <w:pPr>
        <w:pStyle w:val="39"/>
        <w:tabs>
          <w:tab w:val="right" w:leader="dot" w:pos="9412"/>
        </w:tabs>
      </w:pPr>
      <w:r>
        <w:rPr>
          <w:rFonts w:hint="eastAsia" w:ascii="宋体" w:hAnsi="宋体" w:cs="宋体"/>
          <w:color w:val="auto"/>
          <w:szCs w:val="28"/>
        </w:rPr>
        <w:fldChar w:fldCharType="begin"/>
      </w:r>
      <w:r>
        <w:rPr>
          <w:rFonts w:hint="eastAsia" w:ascii="宋体" w:hAnsi="宋体" w:cs="宋体"/>
          <w:szCs w:val="28"/>
        </w:rPr>
        <w:instrText xml:space="preserve"> HYPERLINK \l _Toc1142 </w:instrText>
      </w:r>
      <w:r>
        <w:rPr>
          <w:rFonts w:hint="eastAsia" w:ascii="宋体" w:hAnsi="宋体" w:cs="宋体"/>
          <w:szCs w:val="28"/>
        </w:rPr>
        <w:fldChar w:fldCharType="separate"/>
      </w:r>
      <w:r>
        <w:rPr>
          <w:rFonts w:hint="eastAsia" w:cs="宋体"/>
          <w:bCs/>
        </w:rPr>
        <w:t>第六篇  政府采购合同</w:t>
      </w:r>
      <w:r>
        <w:tab/>
      </w:r>
      <w:r>
        <w:fldChar w:fldCharType="begin"/>
      </w:r>
      <w:r>
        <w:instrText xml:space="preserve"> PAGEREF _Toc1142 \h </w:instrText>
      </w:r>
      <w:r>
        <w:fldChar w:fldCharType="separate"/>
      </w:r>
      <w:r>
        <w:t>- 21 -</w:t>
      </w:r>
      <w:r>
        <w:fldChar w:fldCharType="end"/>
      </w:r>
      <w:r>
        <w:rPr>
          <w:rFonts w:hint="eastAsia" w:ascii="宋体" w:hAnsi="宋体" w:cs="宋体"/>
          <w:color w:val="auto"/>
          <w:szCs w:val="28"/>
        </w:rPr>
        <w:fldChar w:fldCharType="end"/>
      </w:r>
    </w:p>
    <w:p w14:paraId="6730AB55">
      <w:pPr>
        <w:pStyle w:val="39"/>
        <w:tabs>
          <w:tab w:val="right" w:leader="dot" w:pos="9412"/>
        </w:tabs>
      </w:pPr>
      <w:r>
        <w:rPr>
          <w:rFonts w:hint="eastAsia" w:ascii="宋体" w:hAnsi="宋体" w:cs="宋体"/>
          <w:color w:val="auto"/>
          <w:szCs w:val="28"/>
        </w:rPr>
        <w:fldChar w:fldCharType="begin"/>
      </w:r>
      <w:r>
        <w:rPr>
          <w:rFonts w:hint="eastAsia" w:ascii="宋体" w:hAnsi="宋体" w:cs="宋体"/>
          <w:szCs w:val="28"/>
        </w:rPr>
        <w:instrText xml:space="preserve"> HYPERLINK \l _Toc20398 </w:instrText>
      </w:r>
      <w:r>
        <w:rPr>
          <w:rFonts w:hint="eastAsia" w:ascii="宋体" w:hAnsi="宋体" w:cs="宋体"/>
          <w:szCs w:val="28"/>
        </w:rPr>
        <w:fldChar w:fldCharType="separate"/>
      </w:r>
      <w:r>
        <w:rPr>
          <w:rFonts w:hint="eastAsia" w:cs="宋体"/>
        </w:rPr>
        <w:t>第七篇  响应文件编制要求</w:t>
      </w:r>
      <w:r>
        <w:tab/>
      </w:r>
      <w:r>
        <w:fldChar w:fldCharType="begin"/>
      </w:r>
      <w:r>
        <w:instrText xml:space="preserve"> PAGEREF _Toc20398 \h </w:instrText>
      </w:r>
      <w:r>
        <w:fldChar w:fldCharType="separate"/>
      </w:r>
      <w:r>
        <w:t>- 22 -</w:t>
      </w:r>
      <w:r>
        <w:fldChar w:fldCharType="end"/>
      </w:r>
      <w:r>
        <w:rPr>
          <w:rFonts w:hint="eastAsia" w:ascii="宋体" w:hAnsi="宋体" w:cs="宋体"/>
          <w:color w:val="auto"/>
          <w:szCs w:val="28"/>
        </w:rPr>
        <w:fldChar w:fldCharType="end"/>
      </w:r>
    </w:p>
    <w:p w14:paraId="79903E43">
      <w:pPr>
        <w:pStyle w:val="47"/>
        <w:tabs>
          <w:tab w:val="right" w:leader="dot" w:pos="9412"/>
        </w:tabs>
      </w:pPr>
      <w:r>
        <w:rPr>
          <w:rFonts w:hint="eastAsia" w:ascii="宋体" w:hAnsi="宋体" w:cs="宋体"/>
          <w:color w:val="auto"/>
          <w:szCs w:val="28"/>
        </w:rPr>
        <w:fldChar w:fldCharType="begin"/>
      </w:r>
      <w:r>
        <w:rPr>
          <w:rFonts w:hint="eastAsia" w:ascii="宋体" w:hAnsi="宋体" w:cs="宋体"/>
          <w:szCs w:val="28"/>
        </w:rPr>
        <w:instrText xml:space="preserve"> HYPERLINK \l _Toc29339 </w:instrText>
      </w:r>
      <w:r>
        <w:rPr>
          <w:rFonts w:hint="eastAsia" w:ascii="宋体" w:hAnsi="宋体" w:cs="宋体"/>
          <w:szCs w:val="28"/>
        </w:rPr>
        <w:fldChar w:fldCharType="separate"/>
      </w:r>
      <w:r>
        <w:rPr>
          <w:rFonts w:hint="eastAsia" w:ascii="宋体" w:hAnsi="宋体" w:cs="宋体"/>
        </w:rPr>
        <w:t>一、经济部分</w:t>
      </w:r>
      <w:r>
        <w:tab/>
      </w:r>
      <w:r>
        <w:fldChar w:fldCharType="begin"/>
      </w:r>
      <w:r>
        <w:instrText xml:space="preserve"> PAGEREF _Toc29339 \h </w:instrText>
      </w:r>
      <w:r>
        <w:fldChar w:fldCharType="separate"/>
      </w:r>
      <w:r>
        <w:t>- 23 -</w:t>
      </w:r>
      <w:r>
        <w:fldChar w:fldCharType="end"/>
      </w:r>
      <w:r>
        <w:rPr>
          <w:rFonts w:hint="eastAsia" w:ascii="宋体" w:hAnsi="宋体" w:cs="宋体"/>
          <w:color w:val="auto"/>
          <w:szCs w:val="28"/>
        </w:rPr>
        <w:fldChar w:fldCharType="end"/>
      </w:r>
    </w:p>
    <w:p w14:paraId="10D499E0">
      <w:pPr>
        <w:pStyle w:val="47"/>
        <w:tabs>
          <w:tab w:val="right" w:leader="dot" w:pos="9412"/>
        </w:tabs>
      </w:pPr>
      <w:r>
        <w:rPr>
          <w:rFonts w:hint="eastAsia" w:ascii="宋体" w:hAnsi="宋体" w:cs="宋体"/>
          <w:color w:val="auto"/>
          <w:szCs w:val="28"/>
        </w:rPr>
        <w:fldChar w:fldCharType="begin"/>
      </w:r>
      <w:r>
        <w:rPr>
          <w:rFonts w:hint="eastAsia" w:ascii="宋体" w:hAnsi="宋体" w:cs="宋体"/>
          <w:szCs w:val="28"/>
        </w:rPr>
        <w:instrText xml:space="preserve"> HYPERLINK \l _Toc16137 </w:instrText>
      </w:r>
      <w:r>
        <w:rPr>
          <w:rFonts w:hint="eastAsia" w:ascii="宋体" w:hAnsi="宋体" w:cs="宋体"/>
          <w:szCs w:val="28"/>
        </w:rPr>
        <w:fldChar w:fldCharType="separate"/>
      </w:r>
      <w:r>
        <w:rPr>
          <w:rFonts w:hint="eastAsia" w:ascii="宋体" w:hAnsi="宋体" w:cs="宋体"/>
        </w:rPr>
        <w:t>二、技术部分</w:t>
      </w:r>
      <w:r>
        <w:tab/>
      </w:r>
      <w:r>
        <w:fldChar w:fldCharType="begin"/>
      </w:r>
      <w:r>
        <w:instrText xml:space="preserve"> PAGEREF _Toc16137 \h </w:instrText>
      </w:r>
      <w:r>
        <w:fldChar w:fldCharType="separate"/>
      </w:r>
      <w:r>
        <w:t>- 25 -</w:t>
      </w:r>
      <w:r>
        <w:fldChar w:fldCharType="end"/>
      </w:r>
      <w:r>
        <w:rPr>
          <w:rFonts w:hint="eastAsia" w:ascii="宋体" w:hAnsi="宋体" w:cs="宋体"/>
          <w:color w:val="auto"/>
          <w:szCs w:val="28"/>
        </w:rPr>
        <w:fldChar w:fldCharType="end"/>
      </w:r>
    </w:p>
    <w:p w14:paraId="352956B4">
      <w:pPr>
        <w:pStyle w:val="47"/>
        <w:tabs>
          <w:tab w:val="right" w:leader="dot" w:pos="9412"/>
        </w:tabs>
      </w:pPr>
      <w:r>
        <w:rPr>
          <w:rFonts w:hint="eastAsia" w:ascii="宋体" w:hAnsi="宋体" w:cs="宋体"/>
          <w:color w:val="auto"/>
          <w:szCs w:val="28"/>
        </w:rPr>
        <w:fldChar w:fldCharType="begin"/>
      </w:r>
      <w:r>
        <w:rPr>
          <w:rFonts w:hint="eastAsia" w:ascii="宋体" w:hAnsi="宋体" w:cs="宋体"/>
          <w:szCs w:val="28"/>
        </w:rPr>
        <w:instrText xml:space="preserve"> HYPERLINK \l _Toc12627 </w:instrText>
      </w:r>
      <w:r>
        <w:rPr>
          <w:rFonts w:hint="eastAsia" w:ascii="宋体" w:hAnsi="宋体" w:cs="宋体"/>
          <w:szCs w:val="28"/>
        </w:rPr>
        <w:fldChar w:fldCharType="separate"/>
      </w:r>
      <w:r>
        <w:rPr>
          <w:rFonts w:hint="eastAsia" w:ascii="宋体" w:hAnsi="宋体" w:cs="宋体"/>
        </w:rPr>
        <w:t>三、商务部分</w:t>
      </w:r>
      <w:r>
        <w:tab/>
      </w:r>
      <w:r>
        <w:fldChar w:fldCharType="begin"/>
      </w:r>
      <w:r>
        <w:instrText xml:space="preserve"> PAGEREF _Toc12627 \h </w:instrText>
      </w:r>
      <w:r>
        <w:fldChar w:fldCharType="separate"/>
      </w:r>
      <w:r>
        <w:t>- 27 -</w:t>
      </w:r>
      <w:r>
        <w:fldChar w:fldCharType="end"/>
      </w:r>
      <w:r>
        <w:rPr>
          <w:rFonts w:hint="eastAsia" w:ascii="宋体" w:hAnsi="宋体" w:cs="宋体"/>
          <w:color w:val="auto"/>
          <w:szCs w:val="28"/>
        </w:rPr>
        <w:fldChar w:fldCharType="end"/>
      </w:r>
    </w:p>
    <w:p w14:paraId="07809B49">
      <w:pPr>
        <w:pStyle w:val="47"/>
        <w:tabs>
          <w:tab w:val="right" w:leader="dot" w:pos="9412"/>
        </w:tabs>
      </w:pPr>
      <w:r>
        <w:rPr>
          <w:rFonts w:hint="eastAsia" w:ascii="宋体" w:hAnsi="宋体" w:cs="宋体"/>
          <w:color w:val="auto"/>
          <w:szCs w:val="28"/>
        </w:rPr>
        <w:fldChar w:fldCharType="begin"/>
      </w:r>
      <w:r>
        <w:rPr>
          <w:rFonts w:hint="eastAsia" w:ascii="宋体" w:hAnsi="宋体" w:cs="宋体"/>
          <w:szCs w:val="28"/>
        </w:rPr>
        <w:instrText xml:space="preserve"> HYPERLINK \l _Toc11816 </w:instrText>
      </w:r>
      <w:r>
        <w:rPr>
          <w:rFonts w:hint="eastAsia" w:ascii="宋体" w:hAnsi="宋体" w:cs="宋体"/>
          <w:szCs w:val="28"/>
        </w:rPr>
        <w:fldChar w:fldCharType="separate"/>
      </w:r>
      <w:r>
        <w:rPr>
          <w:rFonts w:hint="eastAsia" w:ascii="宋体" w:hAnsi="宋体" w:cs="宋体"/>
        </w:rPr>
        <w:t>四、资格条件</w:t>
      </w:r>
      <w:r>
        <w:tab/>
      </w:r>
      <w:r>
        <w:fldChar w:fldCharType="begin"/>
      </w:r>
      <w:r>
        <w:instrText xml:space="preserve"> PAGEREF _Toc11816 \h </w:instrText>
      </w:r>
      <w:r>
        <w:fldChar w:fldCharType="separate"/>
      </w:r>
      <w:r>
        <w:t>- 29 -</w:t>
      </w:r>
      <w:r>
        <w:fldChar w:fldCharType="end"/>
      </w:r>
      <w:r>
        <w:rPr>
          <w:rFonts w:hint="eastAsia" w:ascii="宋体" w:hAnsi="宋体" w:cs="宋体"/>
          <w:color w:val="auto"/>
          <w:szCs w:val="28"/>
        </w:rPr>
        <w:fldChar w:fldCharType="end"/>
      </w:r>
    </w:p>
    <w:p w14:paraId="6910F79F">
      <w:pPr>
        <w:pStyle w:val="47"/>
        <w:tabs>
          <w:tab w:val="right" w:leader="dot" w:pos="9412"/>
        </w:tabs>
      </w:pPr>
      <w:r>
        <w:rPr>
          <w:rFonts w:hint="eastAsia" w:ascii="宋体" w:hAnsi="宋体" w:cs="宋体"/>
          <w:color w:val="auto"/>
          <w:szCs w:val="28"/>
        </w:rPr>
        <w:fldChar w:fldCharType="begin"/>
      </w:r>
      <w:r>
        <w:rPr>
          <w:rFonts w:hint="eastAsia" w:ascii="宋体" w:hAnsi="宋体" w:cs="宋体"/>
          <w:szCs w:val="28"/>
        </w:rPr>
        <w:instrText xml:space="preserve"> HYPERLINK \l _Toc27965 </w:instrText>
      </w:r>
      <w:r>
        <w:rPr>
          <w:rFonts w:hint="eastAsia" w:ascii="宋体" w:hAnsi="宋体" w:cs="宋体"/>
          <w:szCs w:val="28"/>
        </w:rPr>
        <w:fldChar w:fldCharType="separate"/>
      </w:r>
      <w:r>
        <w:rPr>
          <w:rFonts w:hint="eastAsia" w:ascii="宋体" w:hAnsi="宋体" w:cs="宋体"/>
        </w:rPr>
        <w:t>五、其他资料</w:t>
      </w:r>
      <w:r>
        <w:tab/>
      </w:r>
      <w:r>
        <w:fldChar w:fldCharType="begin"/>
      </w:r>
      <w:r>
        <w:instrText xml:space="preserve"> PAGEREF _Toc27965 \h </w:instrText>
      </w:r>
      <w:r>
        <w:fldChar w:fldCharType="separate"/>
      </w:r>
      <w:r>
        <w:t>- 33 -</w:t>
      </w:r>
      <w:r>
        <w:fldChar w:fldCharType="end"/>
      </w:r>
      <w:r>
        <w:rPr>
          <w:rFonts w:hint="eastAsia" w:ascii="宋体" w:hAnsi="宋体" w:cs="宋体"/>
          <w:color w:val="auto"/>
          <w:szCs w:val="28"/>
        </w:rPr>
        <w:fldChar w:fldCharType="end"/>
      </w:r>
    </w:p>
    <w:p w14:paraId="2C8000F0">
      <w:pPr>
        <w:spacing w:line="480" w:lineRule="exact"/>
        <w:jc w:val="center"/>
        <w:outlineLvl w:val="0"/>
        <w:rPr>
          <w:rFonts w:hint="eastAsia" w:ascii="宋体" w:hAnsi="宋体" w:cs="宋体"/>
          <w:color w:val="auto"/>
          <w:sz w:val="44"/>
          <w:szCs w:val="28"/>
        </w:rPr>
      </w:pPr>
      <w:r>
        <w:rPr>
          <w:rFonts w:hint="eastAsia" w:ascii="宋体" w:hAnsi="宋体" w:cs="宋体"/>
          <w:color w:val="auto"/>
          <w:szCs w:val="28"/>
        </w:rPr>
        <w:fldChar w:fldCharType="end"/>
      </w:r>
    </w:p>
    <w:p w14:paraId="0F7D297A">
      <w:pPr>
        <w:pStyle w:val="47"/>
        <w:tabs>
          <w:tab w:val="right" w:leader="dot" w:pos="9402"/>
        </w:tabs>
        <w:spacing w:line="480" w:lineRule="exact"/>
        <w:ind w:left="560" w:firstLine="360"/>
        <w:jc w:val="center"/>
        <w:rPr>
          <w:rFonts w:hint="eastAsia" w:ascii="宋体" w:hAnsi="宋体" w:cs="宋体"/>
          <w:color w:val="auto"/>
          <w:sz w:val="18"/>
          <w:szCs w:val="22"/>
        </w:rPr>
        <w:sectPr>
          <w:pgSz w:w="11907" w:h="16840"/>
          <w:pgMar w:top="1134" w:right="1191" w:bottom="1134" w:left="1304" w:header="851" w:footer="992" w:gutter="0"/>
          <w:pgNumType w:fmt="numberInDash" w:start="1"/>
          <w:cols w:space="720" w:num="1"/>
          <w:docGrid w:linePitch="381" w:charSpace="-5735"/>
        </w:sectPr>
      </w:pPr>
    </w:p>
    <w:p w14:paraId="610A77CA">
      <w:pPr>
        <w:pStyle w:val="4"/>
        <w:tabs>
          <w:tab w:val="left" w:pos="3360"/>
        </w:tabs>
        <w:rPr>
          <w:rFonts w:hint="eastAsia" w:cs="宋体"/>
          <w:bCs/>
          <w:color w:val="auto"/>
          <w:szCs w:val="36"/>
        </w:rPr>
      </w:pPr>
      <w:bookmarkStart w:id="0" w:name="_Toc1410"/>
      <w:bookmarkStart w:id="1" w:name="_Toc16869"/>
      <w:bookmarkStart w:id="2" w:name="_Toc17725"/>
      <w:bookmarkStart w:id="3" w:name="_Toc8209"/>
      <w:bookmarkStart w:id="4" w:name="_Toc8743"/>
      <w:bookmarkStart w:id="5" w:name="_Toc26710"/>
      <w:bookmarkStart w:id="6" w:name="_Toc16782"/>
      <w:bookmarkStart w:id="7" w:name="_Toc4692"/>
      <w:bookmarkStart w:id="8" w:name="_Toc18848"/>
      <w:bookmarkStart w:id="9" w:name="_Toc12789052"/>
      <w:bookmarkStart w:id="10" w:name="_Toc11434"/>
      <w:bookmarkStart w:id="11" w:name="_Toc65662720"/>
      <w:bookmarkStart w:id="12" w:name="_Toc11198"/>
      <w:bookmarkStart w:id="13" w:name="_Toc32574"/>
      <w:bookmarkStart w:id="14" w:name="_Toc18822"/>
      <w:bookmarkStart w:id="15" w:name="_Toc28930"/>
      <w:bookmarkStart w:id="16" w:name="_Toc32352"/>
      <w:bookmarkStart w:id="17" w:name="_Toc11641050"/>
      <w:bookmarkStart w:id="18" w:name="_Toc10712"/>
      <w:bookmarkStart w:id="19" w:name="_Toc7857"/>
      <w:bookmarkStart w:id="20" w:name="_Toc32192"/>
      <w:r>
        <w:rPr>
          <w:rFonts w:hint="eastAsia" w:cs="宋体"/>
          <w:bCs/>
          <w:color w:val="auto"/>
          <w:szCs w:val="36"/>
        </w:rPr>
        <w:t>第一篇  采购邀请书</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18ADE852">
      <w:pPr>
        <w:snapToGrid w:val="0"/>
        <w:spacing w:line="400" w:lineRule="exact"/>
        <w:ind w:firstLine="480" w:firstLineChars="200"/>
        <w:rPr>
          <w:rFonts w:hint="eastAsia" w:ascii="宋体" w:hAnsi="宋体" w:cs="宋体"/>
          <w:color w:val="auto"/>
          <w:sz w:val="24"/>
          <w:szCs w:val="24"/>
        </w:rPr>
      </w:pPr>
      <w:r>
        <w:rPr>
          <w:rFonts w:hint="eastAsia" w:ascii="宋体" w:hAnsi="宋体" w:eastAsia="宋体" w:cs="宋体"/>
          <w:sz w:val="24"/>
          <w:szCs w:val="24"/>
        </w:rPr>
        <w:t>重庆希维招标代理有限公司</w:t>
      </w:r>
      <w:r>
        <w:rPr>
          <w:rFonts w:hint="eastAsia" w:ascii="宋体" w:hAnsi="宋体" w:cs="宋体"/>
          <w:color w:val="auto"/>
          <w:sz w:val="24"/>
          <w:szCs w:val="24"/>
        </w:rPr>
        <w:t>（以下简称：采购代理机构）接受重庆市医疗保障局（以下简称：采购人）的委托，对</w:t>
      </w:r>
      <w:r>
        <w:rPr>
          <w:rFonts w:hint="eastAsia" w:ascii="宋体" w:hAnsi="宋体" w:cs="宋体"/>
          <w:color w:val="auto"/>
          <w:sz w:val="24"/>
          <w:szCs w:val="24"/>
          <w:lang w:eastAsia="zh-CN"/>
        </w:rPr>
        <w:t>重庆市医疗保障信息平台网络安全等级保护测评服务</w:t>
      </w:r>
      <w:r>
        <w:rPr>
          <w:rFonts w:hint="eastAsia" w:ascii="宋体" w:hAnsi="宋体" w:cs="宋体"/>
          <w:color w:val="auto"/>
          <w:sz w:val="24"/>
          <w:szCs w:val="24"/>
        </w:rPr>
        <w:t>项目进行竞争性磋商采购。欢迎有资格的供应商前来参与磋商。</w:t>
      </w:r>
    </w:p>
    <w:p w14:paraId="6190ED73">
      <w:pPr>
        <w:pStyle w:val="5"/>
        <w:adjustRightInd w:val="0"/>
        <w:snapToGrid w:val="0"/>
        <w:spacing w:before="0" w:after="0" w:line="240" w:lineRule="auto"/>
        <w:rPr>
          <w:rFonts w:hint="eastAsia" w:ascii="宋体" w:hAnsi="宋体" w:cs="宋体"/>
          <w:color w:val="auto"/>
        </w:rPr>
      </w:pPr>
      <w:bookmarkStart w:id="21" w:name="_Toc19758"/>
      <w:bookmarkStart w:id="22" w:name="_Toc5862"/>
      <w:bookmarkStart w:id="23" w:name="_Toc65662721"/>
      <w:bookmarkStart w:id="24" w:name="_Toc28062"/>
      <w:bookmarkStart w:id="25" w:name="_Toc20137"/>
      <w:bookmarkStart w:id="26" w:name="_Toc317775175"/>
      <w:bookmarkStart w:id="27" w:name="_Toc18621"/>
      <w:bookmarkStart w:id="28" w:name="_Toc19977"/>
      <w:bookmarkStart w:id="29" w:name="_Toc6508"/>
      <w:bookmarkStart w:id="30" w:name="_Toc15765"/>
      <w:bookmarkStart w:id="31" w:name="_Toc750"/>
      <w:bookmarkStart w:id="32" w:name="_Toc20928"/>
      <w:bookmarkStart w:id="33" w:name="_Toc19232"/>
      <w:bookmarkStart w:id="34" w:name="_Toc25439"/>
      <w:bookmarkStart w:id="35" w:name="_Toc21112"/>
      <w:bookmarkStart w:id="36" w:name="_Toc32167"/>
      <w:bookmarkStart w:id="37" w:name="_Toc1800"/>
      <w:bookmarkStart w:id="38" w:name="_Toc313893526"/>
      <w:bookmarkStart w:id="39" w:name="_Toc16353"/>
      <w:bookmarkStart w:id="40" w:name="_Toc7204"/>
      <w:bookmarkStart w:id="41" w:name="_Toc5361"/>
      <w:r>
        <w:rPr>
          <w:rFonts w:hint="eastAsia" w:ascii="宋体" w:hAnsi="宋体" w:cs="宋体"/>
          <w:color w:val="auto"/>
        </w:rPr>
        <w:t>一、竞争性磋商内容</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6"/>
        <w:gridCol w:w="1308"/>
        <w:gridCol w:w="1830"/>
        <w:gridCol w:w="2463"/>
      </w:tblGrid>
      <w:tr w14:paraId="05411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3686" w:type="dxa"/>
            <w:tcBorders>
              <w:top w:val="single" w:color="auto" w:sz="4" w:space="0"/>
              <w:left w:val="single" w:color="auto" w:sz="4" w:space="0"/>
              <w:right w:val="single" w:color="auto" w:sz="4" w:space="0"/>
            </w:tcBorders>
            <w:noWrap w:val="0"/>
            <w:vAlign w:val="center"/>
          </w:tcPr>
          <w:p w14:paraId="7AC7D5C6">
            <w:pPr>
              <w:widowControl/>
              <w:jc w:val="center"/>
              <w:rPr>
                <w:rFonts w:hint="eastAsia" w:ascii="宋体" w:hAnsi="宋体" w:cs="宋体"/>
                <w:b/>
                <w:bCs/>
                <w:color w:val="auto"/>
                <w:kern w:val="0"/>
                <w:sz w:val="21"/>
                <w:szCs w:val="24"/>
              </w:rPr>
            </w:pPr>
            <w:r>
              <w:rPr>
                <w:rFonts w:hint="eastAsia" w:ascii="宋体" w:hAnsi="宋体" w:cs="宋体"/>
                <w:b/>
                <w:bCs/>
                <w:color w:val="auto"/>
                <w:kern w:val="0"/>
                <w:sz w:val="21"/>
                <w:szCs w:val="24"/>
              </w:rPr>
              <w:t>项目名称</w:t>
            </w:r>
          </w:p>
        </w:tc>
        <w:tc>
          <w:tcPr>
            <w:tcW w:w="1308" w:type="dxa"/>
            <w:tcBorders>
              <w:top w:val="single" w:color="auto" w:sz="4" w:space="0"/>
              <w:left w:val="single" w:color="auto" w:sz="4" w:space="0"/>
              <w:right w:val="single" w:color="auto" w:sz="4" w:space="0"/>
            </w:tcBorders>
            <w:noWrap w:val="0"/>
            <w:vAlign w:val="center"/>
          </w:tcPr>
          <w:p w14:paraId="4655B9B7">
            <w:pPr>
              <w:jc w:val="center"/>
              <w:rPr>
                <w:rFonts w:hint="eastAsia" w:ascii="宋体" w:hAnsi="宋体" w:cs="宋体"/>
                <w:b/>
                <w:bCs/>
                <w:color w:val="auto"/>
                <w:kern w:val="0"/>
                <w:sz w:val="21"/>
                <w:szCs w:val="24"/>
              </w:rPr>
            </w:pPr>
            <w:r>
              <w:rPr>
                <w:rFonts w:hint="eastAsia" w:ascii="宋体" w:hAnsi="宋体" w:cs="宋体"/>
                <w:b/>
                <w:bCs/>
                <w:color w:val="auto"/>
                <w:kern w:val="0"/>
                <w:sz w:val="21"/>
                <w:szCs w:val="24"/>
              </w:rPr>
              <w:t>最高限价</w:t>
            </w:r>
          </w:p>
          <w:p w14:paraId="0597DF27">
            <w:pPr>
              <w:jc w:val="center"/>
              <w:rPr>
                <w:rFonts w:hint="eastAsia" w:ascii="宋体" w:hAnsi="宋体" w:cs="宋体"/>
                <w:b/>
                <w:bCs/>
                <w:color w:val="auto"/>
                <w:kern w:val="0"/>
                <w:sz w:val="21"/>
                <w:szCs w:val="24"/>
              </w:rPr>
            </w:pPr>
            <w:r>
              <w:rPr>
                <w:rFonts w:hint="eastAsia" w:ascii="宋体" w:hAnsi="宋体" w:cs="宋体"/>
                <w:b/>
                <w:bCs/>
                <w:color w:val="auto"/>
                <w:kern w:val="0"/>
                <w:sz w:val="21"/>
                <w:szCs w:val="24"/>
              </w:rPr>
              <w:t>（万元）</w:t>
            </w:r>
          </w:p>
        </w:tc>
        <w:tc>
          <w:tcPr>
            <w:tcW w:w="1830" w:type="dxa"/>
            <w:tcBorders>
              <w:top w:val="single" w:color="auto" w:sz="4" w:space="0"/>
              <w:left w:val="single" w:color="auto" w:sz="4" w:space="0"/>
              <w:right w:val="single" w:color="auto" w:sz="4" w:space="0"/>
            </w:tcBorders>
            <w:noWrap w:val="0"/>
            <w:vAlign w:val="center"/>
          </w:tcPr>
          <w:p w14:paraId="3798C4B8">
            <w:pPr>
              <w:jc w:val="center"/>
              <w:rPr>
                <w:rFonts w:hint="eastAsia" w:ascii="宋体" w:hAnsi="宋体" w:cs="宋体"/>
                <w:b/>
                <w:bCs/>
                <w:color w:val="auto"/>
                <w:kern w:val="0"/>
                <w:sz w:val="21"/>
                <w:szCs w:val="24"/>
              </w:rPr>
            </w:pPr>
            <w:r>
              <w:rPr>
                <w:rFonts w:hint="eastAsia" w:ascii="宋体" w:hAnsi="宋体" w:cs="宋体"/>
                <w:b/>
                <w:bCs/>
                <w:color w:val="auto"/>
                <w:kern w:val="0"/>
                <w:sz w:val="21"/>
                <w:szCs w:val="24"/>
              </w:rPr>
              <w:t>成交供应商数量</w:t>
            </w:r>
          </w:p>
          <w:p w14:paraId="5B627343">
            <w:pPr>
              <w:jc w:val="center"/>
              <w:rPr>
                <w:rFonts w:hint="eastAsia" w:ascii="宋体" w:hAnsi="宋体" w:cs="宋体"/>
                <w:b/>
                <w:bCs/>
                <w:color w:val="auto"/>
                <w:kern w:val="0"/>
                <w:sz w:val="21"/>
                <w:szCs w:val="24"/>
              </w:rPr>
            </w:pPr>
            <w:r>
              <w:rPr>
                <w:rFonts w:hint="eastAsia" w:ascii="宋体" w:hAnsi="宋体" w:cs="宋体"/>
                <w:b/>
                <w:bCs/>
                <w:color w:val="auto"/>
                <w:kern w:val="0"/>
                <w:sz w:val="21"/>
                <w:szCs w:val="24"/>
              </w:rPr>
              <w:t>（名）</w:t>
            </w:r>
          </w:p>
        </w:tc>
        <w:tc>
          <w:tcPr>
            <w:tcW w:w="2463" w:type="dxa"/>
            <w:tcBorders>
              <w:top w:val="single" w:color="auto" w:sz="4" w:space="0"/>
              <w:left w:val="single" w:color="auto" w:sz="4" w:space="0"/>
              <w:right w:val="single" w:color="auto" w:sz="4" w:space="0"/>
            </w:tcBorders>
            <w:noWrap w:val="0"/>
            <w:vAlign w:val="center"/>
          </w:tcPr>
          <w:p w14:paraId="7C2214B3">
            <w:pPr>
              <w:jc w:val="center"/>
              <w:rPr>
                <w:rFonts w:hint="eastAsia" w:ascii="宋体" w:hAnsi="宋体" w:cs="宋体"/>
                <w:b/>
                <w:bCs/>
                <w:color w:val="auto"/>
                <w:kern w:val="0"/>
                <w:sz w:val="21"/>
                <w:szCs w:val="24"/>
              </w:rPr>
            </w:pPr>
            <w:r>
              <w:rPr>
                <w:rFonts w:hint="eastAsia" w:ascii="宋体" w:hAnsi="宋体" w:cs="宋体"/>
                <w:b/>
                <w:bCs/>
                <w:color w:val="auto"/>
                <w:kern w:val="0"/>
                <w:sz w:val="21"/>
                <w:szCs w:val="24"/>
              </w:rPr>
              <w:t>采购标的对应的中小企业划分标准所属行业</w:t>
            </w:r>
          </w:p>
        </w:tc>
      </w:tr>
      <w:tr w14:paraId="1DB07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3686" w:type="dxa"/>
            <w:tcBorders>
              <w:top w:val="single" w:color="auto" w:sz="4" w:space="0"/>
              <w:left w:val="single" w:color="auto" w:sz="4" w:space="0"/>
              <w:right w:val="single" w:color="auto" w:sz="4" w:space="0"/>
            </w:tcBorders>
            <w:noWrap w:val="0"/>
            <w:vAlign w:val="center"/>
          </w:tcPr>
          <w:p w14:paraId="33773A44">
            <w:pPr>
              <w:widowControl/>
              <w:jc w:val="center"/>
              <w:rPr>
                <w:rFonts w:hint="eastAsia" w:ascii="宋体" w:hAnsi="宋体" w:eastAsia="宋体" w:cs="宋体"/>
                <w:color w:val="auto"/>
                <w:kern w:val="0"/>
                <w:sz w:val="21"/>
                <w:szCs w:val="24"/>
                <w:lang w:eastAsia="zh-CN"/>
              </w:rPr>
            </w:pPr>
            <w:bookmarkStart w:id="42" w:name="_Hlk344477914"/>
            <w:r>
              <w:rPr>
                <w:rFonts w:hint="eastAsia" w:ascii="宋体" w:hAnsi="宋体" w:cs="宋体"/>
                <w:color w:val="auto"/>
                <w:kern w:val="0"/>
                <w:sz w:val="21"/>
                <w:szCs w:val="24"/>
                <w:lang w:eastAsia="zh-CN"/>
              </w:rPr>
              <w:t>重庆市医疗保障信息平台网络安全等级保护测评服务</w:t>
            </w:r>
          </w:p>
        </w:tc>
        <w:tc>
          <w:tcPr>
            <w:tcW w:w="1308" w:type="dxa"/>
            <w:tcBorders>
              <w:top w:val="single" w:color="auto" w:sz="4" w:space="0"/>
              <w:left w:val="single" w:color="auto" w:sz="4" w:space="0"/>
              <w:right w:val="single" w:color="auto" w:sz="4" w:space="0"/>
            </w:tcBorders>
            <w:noWrap w:val="0"/>
            <w:vAlign w:val="center"/>
          </w:tcPr>
          <w:p w14:paraId="11F601DB">
            <w:pPr>
              <w:widowControl/>
              <w:jc w:val="center"/>
              <w:rPr>
                <w:rFonts w:hint="default" w:ascii="宋体" w:hAnsi="宋体" w:eastAsia="宋体" w:cs="宋体"/>
                <w:color w:val="auto"/>
                <w:kern w:val="0"/>
                <w:sz w:val="21"/>
                <w:szCs w:val="24"/>
                <w:lang w:val="en-US" w:eastAsia="zh-CN"/>
              </w:rPr>
            </w:pPr>
            <w:r>
              <w:rPr>
                <w:rFonts w:hint="eastAsia" w:ascii="宋体" w:hAnsi="宋体" w:cs="宋体"/>
                <w:color w:val="auto"/>
                <w:kern w:val="0"/>
                <w:sz w:val="21"/>
                <w:szCs w:val="24"/>
                <w:lang w:val="en-US" w:eastAsia="zh-CN"/>
              </w:rPr>
              <w:t>72</w:t>
            </w:r>
          </w:p>
        </w:tc>
        <w:tc>
          <w:tcPr>
            <w:tcW w:w="1830" w:type="dxa"/>
            <w:tcBorders>
              <w:top w:val="single" w:color="auto" w:sz="4" w:space="0"/>
              <w:left w:val="single" w:color="auto" w:sz="4" w:space="0"/>
              <w:right w:val="single" w:color="auto" w:sz="4" w:space="0"/>
            </w:tcBorders>
            <w:noWrap w:val="0"/>
            <w:vAlign w:val="center"/>
          </w:tcPr>
          <w:p w14:paraId="00B2D6CC">
            <w:pPr>
              <w:widowControl/>
              <w:jc w:val="center"/>
              <w:rPr>
                <w:rFonts w:hint="eastAsia" w:ascii="宋体" w:hAnsi="宋体" w:cs="宋体"/>
                <w:color w:val="auto"/>
                <w:kern w:val="0"/>
                <w:sz w:val="21"/>
                <w:szCs w:val="24"/>
              </w:rPr>
            </w:pPr>
            <w:r>
              <w:rPr>
                <w:rFonts w:hint="eastAsia" w:ascii="宋体" w:hAnsi="宋体" w:cs="宋体"/>
                <w:color w:val="auto"/>
                <w:kern w:val="0"/>
                <w:sz w:val="21"/>
                <w:szCs w:val="24"/>
              </w:rPr>
              <w:t>1</w:t>
            </w:r>
          </w:p>
        </w:tc>
        <w:tc>
          <w:tcPr>
            <w:tcW w:w="2463" w:type="dxa"/>
            <w:tcBorders>
              <w:top w:val="single" w:color="auto" w:sz="4" w:space="0"/>
              <w:left w:val="single" w:color="auto" w:sz="4" w:space="0"/>
              <w:right w:val="single" w:color="auto" w:sz="4" w:space="0"/>
            </w:tcBorders>
            <w:noWrap w:val="0"/>
            <w:vAlign w:val="center"/>
          </w:tcPr>
          <w:p w14:paraId="15B4F8D3">
            <w:pPr>
              <w:jc w:val="center"/>
              <w:rPr>
                <w:rFonts w:hint="eastAsia" w:ascii="宋体" w:hAnsi="宋体" w:cs="宋体"/>
                <w:color w:val="auto"/>
                <w:kern w:val="0"/>
                <w:sz w:val="21"/>
                <w:szCs w:val="24"/>
              </w:rPr>
            </w:pPr>
            <w:r>
              <w:rPr>
                <w:rFonts w:hint="eastAsia" w:ascii="宋体" w:hAnsi="宋体" w:cs="宋体"/>
                <w:color w:val="auto"/>
                <w:kern w:val="0"/>
                <w:sz w:val="21"/>
                <w:szCs w:val="24"/>
              </w:rPr>
              <w:t>软件和信息技术服务业</w:t>
            </w:r>
          </w:p>
        </w:tc>
      </w:tr>
      <w:bookmarkEnd w:id="42"/>
    </w:tbl>
    <w:p w14:paraId="1D617D30">
      <w:pPr>
        <w:pStyle w:val="5"/>
        <w:adjustRightInd w:val="0"/>
        <w:snapToGrid w:val="0"/>
        <w:spacing w:before="0" w:after="0" w:line="240" w:lineRule="auto"/>
        <w:rPr>
          <w:rFonts w:hint="eastAsia" w:ascii="宋体" w:hAnsi="宋体" w:cs="宋体"/>
          <w:color w:val="auto"/>
        </w:rPr>
      </w:pPr>
      <w:bookmarkStart w:id="43" w:name="_Toc22512"/>
      <w:bookmarkStart w:id="44" w:name="_Toc9486"/>
      <w:bookmarkStart w:id="45" w:name="_Toc20477"/>
      <w:bookmarkStart w:id="46" w:name="_Toc5464"/>
      <w:bookmarkStart w:id="47" w:name="_Toc65662722"/>
      <w:bookmarkStart w:id="48" w:name="_Toc24354"/>
      <w:bookmarkStart w:id="49" w:name="_Toc12151"/>
      <w:bookmarkStart w:id="50" w:name="_Toc19668"/>
      <w:bookmarkStart w:id="51" w:name="_Toc1305"/>
      <w:bookmarkStart w:id="52" w:name="_Toc17712"/>
      <w:bookmarkStart w:id="53" w:name="_Toc8369"/>
      <w:bookmarkStart w:id="54" w:name="_Toc15737"/>
      <w:bookmarkStart w:id="55" w:name="_Toc10853"/>
      <w:bookmarkStart w:id="56" w:name="_Toc23057"/>
      <w:bookmarkStart w:id="57" w:name="_Toc7380"/>
      <w:bookmarkStart w:id="58" w:name="_Toc5944"/>
      <w:bookmarkStart w:id="59" w:name="_Toc12577"/>
      <w:bookmarkStart w:id="60" w:name="_Toc1744"/>
      <w:bookmarkStart w:id="61" w:name="_Toc15328"/>
      <w:bookmarkStart w:id="62" w:name="_Toc373860293"/>
      <w:bookmarkStart w:id="63" w:name="_Toc317775178"/>
      <w:r>
        <w:rPr>
          <w:rFonts w:hint="eastAsia" w:ascii="宋体" w:hAnsi="宋体" w:cs="宋体"/>
          <w:color w:val="auto"/>
        </w:rPr>
        <w:t>二、资金来源</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14:paraId="6DF2FCFD">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财政预算资金，预算金额为</w:t>
      </w:r>
      <w:r>
        <w:rPr>
          <w:rFonts w:hint="eastAsia" w:ascii="宋体" w:hAnsi="宋体" w:cs="宋体"/>
          <w:color w:val="auto"/>
          <w:sz w:val="24"/>
          <w:szCs w:val="24"/>
          <w:lang w:val="en-US" w:eastAsia="zh-CN"/>
        </w:rPr>
        <w:t>72</w:t>
      </w:r>
      <w:r>
        <w:rPr>
          <w:rFonts w:hint="eastAsia" w:ascii="宋体" w:hAnsi="宋体" w:cs="宋体"/>
          <w:color w:val="auto"/>
          <w:sz w:val="24"/>
          <w:szCs w:val="24"/>
        </w:rPr>
        <w:t>万元。</w:t>
      </w:r>
    </w:p>
    <w:p w14:paraId="4178D7C3">
      <w:pPr>
        <w:pStyle w:val="5"/>
        <w:adjustRightInd w:val="0"/>
        <w:snapToGrid w:val="0"/>
        <w:spacing w:before="0" w:after="0" w:line="240" w:lineRule="auto"/>
        <w:rPr>
          <w:rFonts w:hint="eastAsia" w:ascii="宋体" w:hAnsi="宋体" w:cs="宋体"/>
          <w:color w:val="auto"/>
        </w:rPr>
      </w:pPr>
      <w:bookmarkStart w:id="64" w:name="_Toc3889"/>
      <w:bookmarkStart w:id="65" w:name="_Toc21823"/>
      <w:bookmarkStart w:id="66" w:name="_Toc23246"/>
      <w:bookmarkStart w:id="67" w:name="_Toc14211"/>
      <w:bookmarkStart w:id="68" w:name="_Toc1352"/>
      <w:bookmarkStart w:id="69" w:name="_Toc7627"/>
      <w:bookmarkStart w:id="70" w:name="_Toc65662723"/>
      <w:bookmarkStart w:id="71" w:name="_Toc13632"/>
      <w:bookmarkStart w:id="72" w:name="_Toc18450"/>
      <w:bookmarkStart w:id="73" w:name="_Toc612"/>
      <w:bookmarkStart w:id="74" w:name="_Toc31"/>
      <w:bookmarkStart w:id="75" w:name="_Toc32456"/>
      <w:bookmarkStart w:id="76" w:name="_Toc26874"/>
      <w:bookmarkStart w:id="77" w:name="_Toc16118"/>
      <w:bookmarkStart w:id="78" w:name="_Toc27936"/>
      <w:bookmarkStart w:id="79" w:name="_Toc11140"/>
      <w:bookmarkStart w:id="80" w:name="_Toc20977"/>
      <w:bookmarkStart w:id="81" w:name="_Toc1823"/>
      <w:bookmarkStart w:id="82" w:name="_Toc21180"/>
      <w:r>
        <w:rPr>
          <w:rFonts w:hint="eastAsia" w:ascii="宋体" w:hAnsi="宋体" w:cs="宋体"/>
          <w:color w:val="auto"/>
        </w:rPr>
        <w:t>三、供应商资格条件</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0272CF5E">
      <w:pPr>
        <w:spacing w:line="400" w:lineRule="exact"/>
        <w:ind w:firstLine="480" w:firstLineChars="200"/>
        <w:outlineLvl w:val="9"/>
        <w:rPr>
          <w:rFonts w:hint="eastAsia" w:ascii="宋体" w:hAnsi="宋体" w:cs="宋体"/>
          <w:color w:val="auto"/>
          <w:sz w:val="24"/>
          <w:szCs w:val="24"/>
        </w:rPr>
      </w:pPr>
      <w:r>
        <w:rPr>
          <w:rFonts w:hint="eastAsia" w:ascii="宋体" w:hAnsi="宋体" w:cs="宋体"/>
          <w:color w:val="auto"/>
          <w:sz w:val="24"/>
          <w:szCs w:val="24"/>
        </w:rPr>
        <w:t>（一）满足《中华人民共和国政府采购法》第二十二条规定；</w:t>
      </w:r>
    </w:p>
    <w:p w14:paraId="1A426BA5">
      <w:pPr>
        <w:spacing w:line="400" w:lineRule="exact"/>
        <w:ind w:firstLine="480" w:firstLineChars="200"/>
        <w:outlineLvl w:val="9"/>
        <w:rPr>
          <w:rFonts w:hint="eastAsia" w:ascii="宋体" w:hAnsi="宋体" w:cs="宋体"/>
          <w:color w:val="auto"/>
          <w:sz w:val="24"/>
          <w:szCs w:val="24"/>
        </w:rPr>
      </w:pPr>
      <w:r>
        <w:rPr>
          <w:rFonts w:hint="eastAsia" w:ascii="宋体" w:hAnsi="宋体" w:cs="宋体"/>
          <w:color w:val="auto"/>
          <w:sz w:val="24"/>
          <w:szCs w:val="24"/>
        </w:rPr>
        <w:t>（二）</w:t>
      </w:r>
      <w:r>
        <w:rPr>
          <w:rFonts w:hint="eastAsia" w:ascii="宋体" w:hAnsi="宋体" w:cs="宋体"/>
          <w:color w:val="auto"/>
          <w:sz w:val="24"/>
          <w:szCs w:val="24"/>
          <w:highlight w:val="none"/>
        </w:rPr>
        <w:t>落实政府采购政策需满足的资格要求：本项目专门面向中小企业采购，供应商（服务承接商）应为中小微企业（提供中小企业声明函）或监狱企业（提供监狱企业证明文件）或残疾人福利性单位（提供残疾人福利性单位声明函）</w:t>
      </w:r>
      <w:r>
        <w:rPr>
          <w:rFonts w:hint="eastAsia" w:ascii="宋体" w:hAnsi="宋体" w:cs="宋体"/>
          <w:color w:val="auto"/>
          <w:sz w:val="24"/>
          <w:szCs w:val="24"/>
        </w:rPr>
        <w:t>。</w:t>
      </w:r>
    </w:p>
    <w:p w14:paraId="00CAB0C7">
      <w:pPr>
        <w:spacing w:line="400" w:lineRule="exact"/>
        <w:ind w:firstLine="480" w:firstLineChars="200"/>
        <w:outlineLvl w:val="9"/>
        <w:rPr>
          <w:rFonts w:hint="eastAsia" w:ascii="宋体" w:hAnsi="宋体" w:eastAsia="宋体" w:cs="宋体"/>
          <w:color w:val="auto"/>
          <w:sz w:val="24"/>
          <w:szCs w:val="24"/>
          <w:highlight w:val="none"/>
        </w:rPr>
      </w:pPr>
      <w:bookmarkStart w:id="83" w:name="_Toc3844"/>
      <w:r>
        <w:rPr>
          <w:rFonts w:hint="eastAsia" w:ascii="宋体" w:hAnsi="宋体" w:eastAsia="宋体" w:cs="宋体"/>
          <w:color w:val="auto"/>
          <w:sz w:val="24"/>
          <w:szCs w:val="24"/>
          <w:highlight w:val="none"/>
        </w:rPr>
        <w:t>（三）本项目的特定资格要求：</w:t>
      </w:r>
      <w:r>
        <w:rPr>
          <w:rFonts w:hint="eastAsia" w:ascii="宋体" w:hAnsi="宋体" w:eastAsia="宋体" w:cs="宋体"/>
          <w:sz w:val="24"/>
          <w:szCs w:val="24"/>
          <w:highlight w:val="none"/>
        </w:rPr>
        <w:t>供应商必须是国家网络安全等级保护测评机构（提供网络安全等级保护测评机构推荐证书复印件并</w:t>
      </w:r>
      <w:bookmarkStart w:id="747" w:name="_GoBack"/>
      <w:bookmarkEnd w:id="747"/>
      <w:r>
        <w:rPr>
          <w:rFonts w:hint="eastAsia" w:ascii="宋体" w:hAnsi="宋体" w:eastAsia="宋体" w:cs="宋体"/>
          <w:sz w:val="24"/>
          <w:szCs w:val="24"/>
          <w:highlight w:val="none"/>
        </w:rPr>
        <w:t>加盖供应商公章）</w:t>
      </w:r>
      <w:r>
        <w:rPr>
          <w:rFonts w:hint="eastAsia" w:ascii="宋体" w:hAnsi="宋体" w:eastAsia="宋体" w:cs="宋体"/>
          <w:color w:val="auto"/>
          <w:sz w:val="24"/>
          <w:szCs w:val="24"/>
          <w:highlight w:val="none"/>
        </w:rPr>
        <w:t>。</w:t>
      </w:r>
      <w:bookmarkEnd w:id="83"/>
    </w:p>
    <w:p w14:paraId="55D9B15A">
      <w:pPr>
        <w:pStyle w:val="5"/>
        <w:adjustRightInd w:val="0"/>
        <w:snapToGrid w:val="0"/>
        <w:spacing w:before="0" w:after="0" w:line="240" w:lineRule="auto"/>
        <w:rPr>
          <w:rFonts w:hint="eastAsia" w:ascii="宋体" w:hAnsi="宋体" w:cs="宋体"/>
          <w:color w:val="auto"/>
        </w:rPr>
      </w:pPr>
      <w:bookmarkStart w:id="84" w:name="_Toc19043"/>
      <w:bookmarkStart w:id="85" w:name="_Toc18966"/>
      <w:bookmarkStart w:id="86" w:name="_Toc1231"/>
      <w:bookmarkStart w:id="87" w:name="_Toc24274"/>
      <w:bookmarkStart w:id="88" w:name="_Toc19760"/>
      <w:bookmarkStart w:id="89" w:name="_Toc22034"/>
      <w:bookmarkStart w:id="90" w:name="_Toc2363"/>
      <w:bookmarkStart w:id="91" w:name="_Toc20211"/>
      <w:bookmarkStart w:id="92" w:name="_Toc21987"/>
      <w:bookmarkStart w:id="93" w:name="_Toc1826"/>
      <w:bookmarkStart w:id="94" w:name="_Toc5913"/>
      <w:bookmarkStart w:id="95" w:name="_Toc4280"/>
      <w:bookmarkStart w:id="96" w:name="_Toc65662724"/>
      <w:bookmarkStart w:id="97" w:name="_Toc1974"/>
      <w:bookmarkStart w:id="98" w:name="_Toc13476"/>
      <w:bookmarkStart w:id="99" w:name="_Toc16973"/>
      <w:bookmarkStart w:id="100" w:name="_Toc8334"/>
      <w:bookmarkStart w:id="101" w:name="_Toc21570"/>
      <w:bookmarkStart w:id="102" w:name="_Toc14238"/>
      <w:r>
        <w:rPr>
          <w:rFonts w:hint="eastAsia" w:ascii="宋体" w:hAnsi="宋体" w:cs="宋体"/>
          <w:color w:val="auto"/>
        </w:rPr>
        <w:t>四、磋商有关说明</w:t>
      </w:r>
      <w:bookmarkEnd w:id="62"/>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14:paraId="16411F51">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（一）供应商应通过重庆市政府采购网（www.ccgp-chongqing.gov.cn）登记加入“重庆市政府采购供应商库”。</w:t>
      </w:r>
    </w:p>
    <w:p w14:paraId="51BE8A31">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（二）凡有意参加磋商的供应商，请在重庆市政府采购网上下载或到</w:t>
      </w:r>
      <w:r>
        <w:rPr>
          <w:rFonts w:hint="eastAsia" w:ascii="宋体" w:hAnsi="宋体" w:cs="宋体"/>
          <w:color w:val="auto"/>
          <w:sz w:val="24"/>
          <w:szCs w:val="24"/>
          <w:lang w:val="en-US" w:eastAsia="zh-CN"/>
        </w:rPr>
        <w:t>重庆希维招标代理有限公司</w:t>
      </w:r>
      <w:r>
        <w:rPr>
          <w:rFonts w:hint="eastAsia" w:ascii="宋体" w:hAnsi="宋体" w:cs="宋体"/>
          <w:color w:val="auto"/>
          <w:sz w:val="24"/>
          <w:szCs w:val="24"/>
        </w:rPr>
        <w:t>领取本项目竞争性磋商文件以及图纸、澄清等磋商前公布的所有项目资料，无论供应商下载或领取与否，均视为已知晓所有磋商实质性要求内容。</w:t>
      </w:r>
    </w:p>
    <w:p w14:paraId="22CFEE54">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（三）竞争性磋商公告期限：自采购公告发布之日起三个工作日。</w:t>
      </w:r>
    </w:p>
    <w:p w14:paraId="69599BEE">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（四）竞争性磋商文件发售期限：</w:t>
      </w:r>
    </w:p>
    <w:p w14:paraId="2A189347">
      <w:pPr>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1.竞争性磋商文件发售期：</w:t>
      </w:r>
      <w:r>
        <w:rPr>
          <w:rFonts w:hint="eastAsia" w:ascii="宋体" w:hAnsi="宋体" w:eastAsia="宋体" w:cs="宋体"/>
          <w:sz w:val="24"/>
          <w:szCs w:val="24"/>
          <w:u w:val="single"/>
        </w:rPr>
        <w:t>_</w:t>
      </w:r>
      <w:r>
        <w:rPr>
          <w:rFonts w:hint="eastAsia" w:ascii="宋体" w:hAnsi="宋体" w:eastAsia="宋体" w:cs="宋体"/>
          <w:sz w:val="24"/>
          <w:szCs w:val="24"/>
          <w:u w:val="single"/>
          <w:lang w:val="en-US" w:eastAsia="zh-CN"/>
        </w:rPr>
        <w:t>202</w:t>
      </w:r>
      <w:r>
        <w:rPr>
          <w:rFonts w:hint="eastAsia" w:ascii="宋体" w:hAnsi="宋体" w:cs="宋体"/>
          <w:sz w:val="24"/>
          <w:szCs w:val="24"/>
          <w:u w:val="single"/>
          <w:lang w:val="en-US" w:eastAsia="zh-CN"/>
        </w:rPr>
        <w:t>5</w:t>
      </w:r>
      <w:r>
        <w:rPr>
          <w:rFonts w:hint="eastAsia" w:ascii="宋体" w:hAnsi="宋体" w:eastAsia="宋体" w:cs="宋体"/>
          <w:sz w:val="24"/>
          <w:szCs w:val="24"/>
          <w:u w:val="single"/>
        </w:rPr>
        <w:t>_年_</w:t>
      </w:r>
      <w:r>
        <w:rPr>
          <w:rFonts w:hint="eastAsia" w:ascii="宋体" w:hAnsi="宋体" w:cs="宋体"/>
          <w:sz w:val="24"/>
          <w:szCs w:val="24"/>
          <w:u w:val="single"/>
          <w:lang w:val="en-US" w:eastAsia="zh-CN"/>
        </w:rPr>
        <w:t>1</w:t>
      </w:r>
      <w:r>
        <w:rPr>
          <w:rFonts w:hint="eastAsia" w:ascii="宋体" w:hAnsi="宋体" w:eastAsia="宋体" w:cs="宋体"/>
          <w:sz w:val="24"/>
          <w:szCs w:val="24"/>
          <w:u w:val="single"/>
        </w:rPr>
        <w:t>月_</w:t>
      </w:r>
      <w:r>
        <w:rPr>
          <w:rFonts w:hint="eastAsia" w:ascii="宋体" w:hAnsi="宋体" w:cs="宋体"/>
          <w:sz w:val="24"/>
          <w:szCs w:val="24"/>
          <w:u w:val="single"/>
          <w:lang w:val="en-US" w:eastAsia="zh-CN"/>
        </w:rPr>
        <w:t>2</w:t>
      </w:r>
      <w:r>
        <w:rPr>
          <w:rFonts w:hint="eastAsia" w:ascii="宋体" w:hAnsi="宋体" w:eastAsia="宋体" w:cs="宋体"/>
          <w:sz w:val="24"/>
          <w:szCs w:val="24"/>
          <w:u w:val="single"/>
        </w:rPr>
        <w:t>_日</w:t>
      </w:r>
      <w:r>
        <w:rPr>
          <w:rFonts w:hint="eastAsia" w:ascii="宋体" w:hAnsi="宋体" w:eastAsia="宋体" w:cs="宋体"/>
          <w:sz w:val="24"/>
          <w:szCs w:val="24"/>
          <w:u w:val="none"/>
        </w:rPr>
        <w:t>至</w:t>
      </w:r>
      <w:r>
        <w:rPr>
          <w:rFonts w:hint="eastAsia" w:ascii="宋体" w:hAnsi="宋体" w:eastAsia="宋体" w:cs="宋体"/>
          <w:sz w:val="24"/>
          <w:szCs w:val="24"/>
          <w:u w:val="single"/>
        </w:rPr>
        <w:t>_</w:t>
      </w:r>
      <w:r>
        <w:rPr>
          <w:rFonts w:hint="eastAsia" w:ascii="宋体" w:hAnsi="宋体" w:eastAsia="宋体" w:cs="宋体"/>
          <w:sz w:val="24"/>
          <w:szCs w:val="24"/>
          <w:u w:val="single"/>
          <w:lang w:val="en-US" w:eastAsia="zh-CN"/>
        </w:rPr>
        <w:t>202</w:t>
      </w:r>
      <w:r>
        <w:rPr>
          <w:rFonts w:hint="eastAsia" w:ascii="宋体" w:hAnsi="宋体" w:cs="宋体"/>
          <w:sz w:val="24"/>
          <w:szCs w:val="24"/>
          <w:u w:val="single"/>
          <w:lang w:val="en-US" w:eastAsia="zh-CN"/>
        </w:rPr>
        <w:t>5</w:t>
      </w:r>
      <w:r>
        <w:rPr>
          <w:rFonts w:hint="eastAsia" w:ascii="宋体" w:hAnsi="宋体" w:eastAsia="宋体" w:cs="宋体"/>
          <w:sz w:val="24"/>
          <w:szCs w:val="24"/>
          <w:u w:val="single"/>
        </w:rPr>
        <w:t>_年</w:t>
      </w:r>
      <w:r>
        <w:rPr>
          <w:rFonts w:hint="eastAsia" w:ascii="宋体" w:hAnsi="宋体" w:cs="宋体"/>
          <w:sz w:val="24"/>
          <w:szCs w:val="24"/>
          <w:u w:val="single"/>
          <w:lang w:val="en-US" w:eastAsia="zh-CN"/>
        </w:rPr>
        <w:t>1</w:t>
      </w:r>
      <w:r>
        <w:rPr>
          <w:rFonts w:hint="eastAsia" w:ascii="宋体" w:hAnsi="宋体" w:eastAsia="宋体" w:cs="宋体"/>
          <w:sz w:val="24"/>
          <w:szCs w:val="24"/>
          <w:u w:val="single"/>
        </w:rPr>
        <w:t>_月</w:t>
      </w:r>
      <w:r>
        <w:rPr>
          <w:rFonts w:hint="eastAsia" w:ascii="宋体" w:hAnsi="宋体" w:cs="宋体"/>
          <w:sz w:val="24"/>
          <w:szCs w:val="24"/>
          <w:u w:val="single"/>
          <w:lang w:val="en-US" w:eastAsia="zh-CN"/>
        </w:rPr>
        <w:t>9</w:t>
      </w:r>
      <w:r>
        <w:rPr>
          <w:rFonts w:hint="eastAsia" w:ascii="宋体" w:hAnsi="宋体" w:eastAsia="宋体" w:cs="宋体"/>
          <w:sz w:val="24"/>
          <w:szCs w:val="24"/>
          <w:u w:val="single"/>
        </w:rPr>
        <w:t>日</w:t>
      </w:r>
      <w:r>
        <w:rPr>
          <w:rFonts w:hint="eastAsia" w:ascii="宋体" w:hAnsi="宋体" w:eastAsia="宋体" w:cs="宋体"/>
          <w:sz w:val="24"/>
          <w:szCs w:val="24"/>
        </w:rPr>
        <w:t>北京时间</w:t>
      </w:r>
      <w:r>
        <w:rPr>
          <w:rFonts w:hint="eastAsia" w:ascii="宋体" w:hAnsi="宋体" w:eastAsia="宋体" w:cs="宋体"/>
          <w:sz w:val="24"/>
          <w:szCs w:val="24"/>
          <w:u w:val="single"/>
        </w:rPr>
        <w:t>_</w:t>
      </w:r>
      <w:r>
        <w:rPr>
          <w:rFonts w:hint="eastAsia" w:ascii="宋体" w:hAnsi="宋体" w:eastAsia="宋体" w:cs="宋体"/>
          <w:sz w:val="24"/>
          <w:szCs w:val="24"/>
          <w:u w:val="single"/>
          <w:lang w:val="en-US" w:eastAsia="zh-CN"/>
        </w:rPr>
        <w:t>17：00</w:t>
      </w:r>
      <w:r>
        <w:rPr>
          <w:rFonts w:hint="eastAsia" w:ascii="宋体" w:hAnsi="宋体" w:eastAsia="宋体" w:cs="宋体"/>
          <w:sz w:val="24"/>
          <w:szCs w:val="24"/>
          <w:u w:val="single"/>
        </w:rPr>
        <w:t>_</w:t>
      </w:r>
      <w:r>
        <w:rPr>
          <w:rFonts w:hint="eastAsia" w:ascii="宋体" w:hAnsi="宋体" w:eastAsia="宋体" w:cs="宋体"/>
          <w:sz w:val="24"/>
          <w:szCs w:val="24"/>
        </w:rPr>
        <w:t>。</w:t>
      </w:r>
    </w:p>
    <w:p w14:paraId="4101E4C9">
      <w:pPr>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2.报名方式：</w:t>
      </w:r>
    </w:p>
    <w:p w14:paraId="19278263">
      <w:pPr>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在竞争性磋商文件发售期内，供应商将竞争性磋商文件汇款凭证(汇款时须注明项目号：CQS24C0158</w:t>
      </w:r>
      <w:r>
        <w:rPr>
          <w:rFonts w:hint="eastAsia" w:ascii="宋体" w:hAnsi="宋体" w:cs="宋体"/>
          <w:sz w:val="24"/>
          <w:szCs w:val="24"/>
          <w:lang w:val="en-US" w:eastAsia="zh-CN"/>
        </w:rPr>
        <w:t>9</w:t>
      </w:r>
      <w:r>
        <w:rPr>
          <w:rFonts w:hint="eastAsia" w:ascii="宋体" w:hAnsi="宋体" w:eastAsia="宋体" w:cs="宋体"/>
          <w:sz w:val="24"/>
          <w:szCs w:val="24"/>
        </w:rPr>
        <w:t>)、《竞争性磋商文件发售登记表》（加盖供应商公章）扫描后发送至</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"mailto:3281641200@qq.com。" </w:instrText>
      </w:r>
      <w:r>
        <w:rPr>
          <w:rFonts w:hint="eastAsia" w:ascii="宋体" w:hAnsi="宋体" w:eastAsia="宋体" w:cs="宋体"/>
          <w:sz w:val="24"/>
          <w:szCs w:val="24"/>
        </w:rPr>
        <w:fldChar w:fldCharType="separate"/>
      </w:r>
      <w:r>
        <w:rPr>
          <w:rStyle w:val="66"/>
          <w:rFonts w:hint="eastAsia" w:ascii="宋体" w:hAnsi="宋体" w:eastAsia="宋体" w:cs="宋体"/>
          <w:sz w:val="24"/>
          <w:szCs w:val="24"/>
        </w:rPr>
        <w:t>3281641200@qq.com。</w:t>
      </w:r>
      <w:r>
        <w:rPr>
          <w:rFonts w:hint="eastAsia" w:ascii="宋体" w:hAnsi="宋体" w:eastAsia="宋体" w:cs="宋体"/>
          <w:sz w:val="24"/>
          <w:szCs w:val="24"/>
        </w:rPr>
        <w:fldChar w:fldCharType="end"/>
      </w:r>
    </w:p>
    <w:p w14:paraId="67D9CBBC">
      <w:pPr>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户  名：重庆希维招标代理有限公司</w:t>
      </w:r>
    </w:p>
    <w:p w14:paraId="3F3FD5F9">
      <w:pPr>
        <w:spacing w:line="40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开户行：华夏银行重庆中山支行</w:t>
      </w:r>
    </w:p>
    <w:p w14:paraId="626301CB">
      <w:pPr>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账  号：11261000000383428</w:t>
      </w:r>
    </w:p>
    <w:p w14:paraId="40D69A21">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3.竞争性磋商文件售价：人民币300元/包。</w:t>
      </w:r>
    </w:p>
    <w:p w14:paraId="417EB266">
      <w:pPr>
        <w:spacing w:line="400" w:lineRule="exact"/>
        <w:ind w:firstLine="480" w:firstLineChars="200"/>
        <w:rPr>
          <w:rFonts w:hint="eastAsia"/>
        </w:rPr>
      </w:pPr>
      <w:r>
        <w:rPr>
          <w:rFonts w:hint="eastAsia" w:ascii="宋体" w:hAnsi="宋体" w:cs="宋体"/>
          <w:color w:val="auto"/>
          <w:sz w:val="24"/>
          <w:szCs w:val="24"/>
          <w:lang w:val="en-US" w:eastAsia="zh-CN"/>
        </w:rPr>
        <w:t>4.</w:t>
      </w:r>
      <w:r>
        <w:rPr>
          <w:rFonts w:hint="eastAsia" w:ascii="宋体" w:hAnsi="宋体" w:cs="宋体"/>
          <w:color w:val="auto"/>
          <w:sz w:val="24"/>
          <w:szCs w:val="24"/>
        </w:rPr>
        <w:t>在竞争性磋商文件发售期内按时报名的供应商，其响应文件才被接收。</w:t>
      </w:r>
    </w:p>
    <w:p w14:paraId="4680EF4F">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（五）递交响应文件地点：重庆市公共资源交易中心（地址：重庆市渝北区青枫北路6号渝兴广场B9栋6楼）</w:t>
      </w:r>
    </w:p>
    <w:p w14:paraId="0D3A84B3">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（六）响应文件递交时间：202</w:t>
      </w:r>
      <w:r>
        <w:rPr>
          <w:rFonts w:hint="eastAsia" w:ascii="宋体" w:hAnsi="宋体" w:cs="宋体"/>
          <w:color w:val="auto"/>
          <w:sz w:val="24"/>
          <w:szCs w:val="24"/>
          <w:lang w:val="en-US" w:eastAsia="zh-CN"/>
        </w:rPr>
        <w:t>5</w:t>
      </w:r>
      <w:r>
        <w:rPr>
          <w:rFonts w:hint="eastAsia" w:ascii="宋体" w:hAnsi="宋体" w:cs="宋体"/>
          <w:color w:val="auto"/>
          <w:sz w:val="24"/>
          <w:szCs w:val="24"/>
        </w:rPr>
        <w:t>年</w:t>
      </w:r>
      <w:r>
        <w:rPr>
          <w:rFonts w:hint="eastAsia" w:ascii="宋体" w:hAnsi="宋体" w:cs="宋体"/>
          <w:color w:val="auto"/>
          <w:sz w:val="24"/>
          <w:szCs w:val="24"/>
          <w:lang w:val="en-US" w:eastAsia="zh-CN"/>
        </w:rPr>
        <w:t>1</w:t>
      </w:r>
      <w:r>
        <w:rPr>
          <w:rFonts w:hint="eastAsia" w:ascii="宋体" w:hAnsi="宋体" w:cs="宋体"/>
          <w:color w:val="auto"/>
          <w:sz w:val="24"/>
          <w:szCs w:val="24"/>
        </w:rPr>
        <w:t>月</w:t>
      </w:r>
      <w:r>
        <w:rPr>
          <w:rFonts w:hint="eastAsia" w:ascii="宋体" w:hAnsi="宋体" w:cs="宋体"/>
          <w:color w:val="auto"/>
          <w:sz w:val="24"/>
          <w:szCs w:val="24"/>
          <w:lang w:val="en-US" w:eastAsia="zh-CN"/>
        </w:rPr>
        <w:t>13</w:t>
      </w:r>
      <w:r>
        <w:rPr>
          <w:rFonts w:hint="eastAsia" w:ascii="宋体" w:hAnsi="宋体" w:cs="宋体"/>
          <w:color w:val="auto"/>
          <w:sz w:val="24"/>
          <w:szCs w:val="24"/>
        </w:rPr>
        <w:t>日北京时间14：00-14：30</w:t>
      </w:r>
    </w:p>
    <w:p w14:paraId="6A94DEBD">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（七）磋商开始时间：202</w:t>
      </w:r>
      <w:r>
        <w:rPr>
          <w:rFonts w:hint="eastAsia" w:ascii="宋体" w:hAnsi="宋体" w:cs="宋体"/>
          <w:color w:val="auto"/>
          <w:sz w:val="24"/>
          <w:szCs w:val="24"/>
          <w:lang w:val="en-US" w:eastAsia="zh-CN"/>
        </w:rPr>
        <w:t>5</w:t>
      </w:r>
      <w:r>
        <w:rPr>
          <w:rFonts w:hint="eastAsia" w:ascii="宋体" w:hAnsi="宋体" w:cs="宋体"/>
          <w:color w:val="auto"/>
          <w:sz w:val="24"/>
          <w:szCs w:val="24"/>
        </w:rPr>
        <w:t>年</w:t>
      </w:r>
      <w:r>
        <w:rPr>
          <w:rFonts w:hint="eastAsia" w:ascii="宋体" w:hAnsi="宋体" w:cs="宋体"/>
          <w:color w:val="auto"/>
          <w:sz w:val="24"/>
          <w:szCs w:val="24"/>
          <w:lang w:val="en-US" w:eastAsia="zh-CN"/>
        </w:rPr>
        <w:t>1</w:t>
      </w:r>
      <w:r>
        <w:rPr>
          <w:rFonts w:hint="eastAsia" w:ascii="宋体" w:hAnsi="宋体" w:cs="宋体"/>
          <w:color w:val="auto"/>
          <w:sz w:val="24"/>
          <w:szCs w:val="24"/>
        </w:rPr>
        <w:t>月</w:t>
      </w:r>
      <w:r>
        <w:rPr>
          <w:rFonts w:hint="eastAsia" w:ascii="宋体" w:hAnsi="宋体" w:cs="宋体"/>
          <w:color w:val="auto"/>
          <w:sz w:val="24"/>
          <w:szCs w:val="24"/>
          <w:lang w:val="en-US" w:eastAsia="zh-CN"/>
        </w:rPr>
        <w:t>13</w:t>
      </w:r>
      <w:r>
        <w:rPr>
          <w:rFonts w:hint="eastAsia" w:ascii="宋体" w:hAnsi="宋体" w:cs="宋体"/>
          <w:color w:val="auto"/>
          <w:sz w:val="24"/>
          <w:szCs w:val="24"/>
        </w:rPr>
        <w:t>日北京时间北京时间14:30</w:t>
      </w:r>
    </w:p>
    <w:p w14:paraId="5AA19480">
      <w:pPr>
        <w:pStyle w:val="5"/>
        <w:adjustRightInd w:val="0"/>
        <w:snapToGrid w:val="0"/>
        <w:spacing w:before="0" w:after="0" w:line="240" w:lineRule="auto"/>
        <w:rPr>
          <w:rFonts w:hint="eastAsia" w:ascii="宋体" w:hAnsi="宋体" w:cs="宋体"/>
          <w:color w:val="auto"/>
        </w:rPr>
      </w:pPr>
      <w:bookmarkStart w:id="103" w:name="_Toc373860294"/>
      <w:bookmarkStart w:id="104" w:name="_Toc31801"/>
      <w:bookmarkStart w:id="105" w:name="_Toc21994"/>
      <w:bookmarkStart w:id="106" w:name="_Toc13205"/>
      <w:bookmarkStart w:id="107" w:name="_Toc6540"/>
      <w:bookmarkStart w:id="108" w:name="_Toc24653"/>
      <w:bookmarkStart w:id="109" w:name="_Toc65662725"/>
      <w:bookmarkStart w:id="110" w:name="_Toc23204"/>
      <w:bookmarkStart w:id="111" w:name="_Toc31211"/>
      <w:bookmarkStart w:id="112" w:name="_Toc15456"/>
      <w:bookmarkStart w:id="113" w:name="_Toc17796"/>
      <w:bookmarkStart w:id="114" w:name="_Toc22884"/>
      <w:bookmarkStart w:id="115" w:name="_Toc12422"/>
      <w:bookmarkStart w:id="116" w:name="_Toc26441"/>
      <w:bookmarkStart w:id="117" w:name="_Toc13859"/>
      <w:bookmarkStart w:id="118" w:name="_Toc23215"/>
      <w:bookmarkStart w:id="119" w:name="_Toc29808"/>
      <w:bookmarkStart w:id="120" w:name="_Toc14416"/>
      <w:bookmarkStart w:id="121" w:name="_Toc9237"/>
      <w:bookmarkStart w:id="122" w:name="_Toc26435"/>
      <w:r>
        <w:rPr>
          <w:rFonts w:hint="eastAsia" w:ascii="宋体" w:hAnsi="宋体" w:cs="宋体"/>
          <w:color w:val="auto"/>
        </w:rPr>
        <w:t>五、</w:t>
      </w:r>
      <w:bookmarkEnd w:id="63"/>
      <w:bookmarkEnd w:id="103"/>
      <w:bookmarkStart w:id="123" w:name="_Toc479668114"/>
      <w:bookmarkStart w:id="124" w:name="_Toc480466698"/>
      <w:r>
        <w:rPr>
          <w:rFonts w:hint="eastAsia" w:ascii="宋体" w:hAnsi="宋体" w:cs="宋体"/>
          <w:color w:val="auto"/>
        </w:rPr>
        <w:t>采购项目需落实的政府采购政策</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14:paraId="5151460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（一）按照《财政部 生态环境部关于印发环境标志产品政府采购品目清单的通知》（财库〔2019〕18号）和《财政部 发展改革委关于印发节能产品政府采购品目清单的通知》（财库〔2019〕19号）的规定，落实国家节能环保政策。</w:t>
      </w:r>
    </w:p>
    <w:p w14:paraId="0DBF245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（二）按照财政部、工业和信息化部关于印发《政府采购促进中小企业发展管理办法》的通知（财库〔2020〕46号）的规定，落实促进中小企业发展政策。</w:t>
      </w:r>
    </w:p>
    <w:p w14:paraId="319E89E2">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（三）按照《财政部、司法部关于政府采购支持监狱企业发展有关问题的通知》（财库〔2014〕68号）的规定，落实支持监狱企业发展政策。监狱企业视同小型、微型企业。</w:t>
      </w:r>
    </w:p>
    <w:p w14:paraId="5BB47EEB">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（四）按照《三部门联合发布关于促进残疾人就业政府采购政策的通知》（财库〔2017〕 141号）的规定，落实支持残疾人福利性单位发展政策。残疾人福利性单位视同小型、微型企业。</w:t>
      </w:r>
    </w:p>
    <w:p w14:paraId="520C5ECA">
      <w:pPr>
        <w:pStyle w:val="5"/>
        <w:adjustRightInd w:val="0"/>
        <w:snapToGrid w:val="0"/>
        <w:spacing w:before="0" w:after="0" w:line="240" w:lineRule="auto"/>
        <w:rPr>
          <w:rFonts w:hint="eastAsia" w:ascii="宋体" w:hAnsi="宋体" w:cs="宋体"/>
          <w:color w:val="auto"/>
        </w:rPr>
      </w:pPr>
      <w:bookmarkStart w:id="125" w:name="_Toc3129"/>
      <w:bookmarkStart w:id="126" w:name="_Toc14520"/>
      <w:bookmarkStart w:id="127" w:name="_Toc32635"/>
      <w:bookmarkStart w:id="128" w:name="_Toc20472"/>
      <w:bookmarkStart w:id="129" w:name="_Toc4164"/>
      <w:bookmarkStart w:id="130" w:name="_Toc480466699"/>
      <w:bookmarkStart w:id="131" w:name="_Toc8715"/>
      <w:bookmarkStart w:id="132" w:name="_Toc24646"/>
      <w:bookmarkStart w:id="133" w:name="_Toc1832"/>
      <w:bookmarkStart w:id="134" w:name="_Toc7105"/>
      <w:bookmarkStart w:id="135" w:name="_Toc65662726"/>
      <w:bookmarkStart w:id="136" w:name="_Toc26097"/>
      <w:bookmarkStart w:id="137" w:name="_Toc1811"/>
      <w:bookmarkStart w:id="138" w:name="_Toc31238"/>
      <w:bookmarkStart w:id="139" w:name="_Toc2703"/>
      <w:bookmarkStart w:id="140" w:name="_Toc25276"/>
      <w:bookmarkStart w:id="141" w:name="_Toc876"/>
      <w:bookmarkStart w:id="142" w:name="_Toc32116"/>
      <w:bookmarkStart w:id="143" w:name="_Toc23380"/>
      <w:bookmarkStart w:id="144" w:name="_Toc28004"/>
      <w:r>
        <w:rPr>
          <w:rFonts w:hint="eastAsia" w:ascii="宋体" w:hAnsi="宋体" w:cs="宋体"/>
          <w:color w:val="auto"/>
        </w:rPr>
        <w:t>六、其它有关规定</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175FC5A3">
      <w:pPr>
        <w:snapToGrid w:val="0"/>
        <w:spacing w:line="400" w:lineRule="exact"/>
        <w:ind w:firstLine="360" w:firstLineChars="150"/>
        <w:rPr>
          <w:rFonts w:hint="eastAsia" w:ascii="宋体" w:hAnsi="宋体" w:cs="宋体"/>
          <w:color w:val="auto"/>
          <w:sz w:val="24"/>
          <w:szCs w:val="24"/>
        </w:rPr>
      </w:pPr>
      <w:bookmarkStart w:id="145" w:name="_Toc480466700"/>
      <w:r>
        <w:rPr>
          <w:rFonts w:hint="eastAsia" w:ascii="宋体" w:hAnsi="宋体" w:cs="宋体"/>
          <w:color w:val="auto"/>
          <w:sz w:val="24"/>
          <w:szCs w:val="24"/>
        </w:rPr>
        <w:t>（一）单位负责人为同一人或者存在直接控股、管理关系的不同供应商，不得参加同一合同项（包）下的政府采购活动，否则均为无效响应。</w:t>
      </w:r>
    </w:p>
    <w:p w14:paraId="02BBF7BD">
      <w:pPr>
        <w:snapToGrid w:val="0"/>
        <w:spacing w:line="400" w:lineRule="exact"/>
        <w:ind w:firstLine="360" w:firstLineChars="150"/>
        <w:rPr>
          <w:rFonts w:hint="eastAsia" w:ascii="宋体" w:hAnsi="宋体" w:cs="宋体"/>
          <w:color w:val="auto"/>
          <w:sz w:val="24"/>
          <w:szCs w:val="24"/>
        </w:rPr>
      </w:pPr>
      <w:r>
        <w:rPr>
          <w:rFonts w:hint="eastAsia" w:ascii="宋体" w:hAnsi="宋体" w:cs="宋体"/>
          <w:color w:val="auto"/>
          <w:sz w:val="24"/>
          <w:szCs w:val="24"/>
        </w:rPr>
        <w:t>（二）为采购项目提供整体设计、规范编制或者项目管理、监理、检测等服务的供应商，不得再参加该采购项目的其他采购活动。</w:t>
      </w:r>
    </w:p>
    <w:p w14:paraId="1EB871E5">
      <w:pPr>
        <w:snapToGrid w:val="0"/>
        <w:spacing w:line="400" w:lineRule="exact"/>
        <w:ind w:firstLine="360" w:firstLineChars="150"/>
        <w:rPr>
          <w:rFonts w:hint="eastAsia" w:ascii="宋体" w:hAnsi="宋体" w:cs="宋体"/>
          <w:color w:val="auto"/>
          <w:sz w:val="24"/>
          <w:szCs w:val="24"/>
        </w:rPr>
      </w:pPr>
      <w:r>
        <w:rPr>
          <w:rFonts w:hint="eastAsia" w:ascii="宋体" w:hAnsi="宋体" w:cs="宋体"/>
          <w:color w:val="auto"/>
          <w:sz w:val="24"/>
          <w:szCs w:val="24"/>
        </w:rPr>
        <w:t>（三）同一合同项（包）下为单一品目的货物采购中，同一品牌同一型号产品有多家供应商参加磋商，只能按照一家供应商计算。</w:t>
      </w:r>
    </w:p>
    <w:p w14:paraId="608E7FC3">
      <w:pPr>
        <w:snapToGrid w:val="0"/>
        <w:spacing w:line="400" w:lineRule="exact"/>
        <w:ind w:firstLine="360" w:firstLineChars="150"/>
        <w:rPr>
          <w:rFonts w:hint="eastAsia" w:ascii="宋体" w:hAnsi="宋体" w:cs="宋体"/>
          <w:color w:val="auto"/>
          <w:sz w:val="24"/>
          <w:szCs w:val="24"/>
        </w:rPr>
      </w:pPr>
      <w:r>
        <w:rPr>
          <w:rFonts w:hint="eastAsia" w:ascii="宋体" w:hAnsi="宋体" w:cs="宋体"/>
          <w:color w:val="auto"/>
          <w:sz w:val="24"/>
          <w:szCs w:val="24"/>
        </w:rPr>
        <w:t>（四）同一合同项（包）下的货物，制造商参与磋商的，不得再委托代理商参与磋商。</w:t>
      </w:r>
    </w:p>
    <w:p w14:paraId="1FE77DC8">
      <w:pPr>
        <w:snapToGrid w:val="0"/>
        <w:spacing w:line="400" w:lineRule="exact"/>
        <w:ind w:firstLine="360" w:firstLineChars="150"/>
        <w:rPr>
          <w:rFonts w:hint="eastAsia" w:ascii="宋体" w:hAnsi="宋体" w:cs="宋体"/>
          <w:color w:val="auto"/>
          <w:sz w:val="24"/>
          <w:szCs w:val="24"/>
        </w:rPr>
      </w:pPr>
      <w:r>
        <w:rPr>
          <w:rFonts w:hint="eastAsia" w:ascii="宋体" w:hAnsi="宋体" w:cs="宋体"/>
          <w:color w:val="auto"/>
          <w:sz w:val="24"/>
          <w:szCs w:val="24"/>
        </w:rPr>
        <w:t>（五）本项目的澄清文件（如果有）一律在重庆市政府采购网（www.ccgp-chongqing.gov.cn）上发布，请各供应商注意下载或到 ---领取；无论供应商下载或领取与否，均视同供应商已知晓本项目澄清文件（如果有）的内容。</w:t>
      </w:r>
    </w:p>
    <w:p w14:paraId="0590EE5A">
      <w:pPr>
        <w:snapToGrid w:val="0"/>
        <w:spacing w:line="400" w:lineRule="exact"/>
        <w:ind w:firstLine="360" w:firstLineChars="150"/>
        <w:rPr>
          <w:rFonts w:hint="eastAsia" w:ascii="宋体" w:hAnsi="宋体" w:cs="宋体"/>
          <w:color w:val="auto"/>
          <w:sz w:val="24"/>
          <w:szCs w:val="24"/>
        </w:rPr>
      </w:pPr>
      <w:r>
        <w:rPr>
          <w:rFonts w:hint="eastAsia" w:ascii="宋体" w:hAnsi="宋体" w:cs="宋体"/>
          <w:color w:val="auto"/>
          <w:sz w:val="24"/>
          <w:szCs w:val="24"/>
        </w:rPr>
        <w:t>（六）超过响应文件截止时间递交的响应文件，恕不接收。</w:t>
      </w:r>
    </w:p>
    <w:p w14:paraId="1E3CD7E2">
      <w:pPr>
        <w:snapToGrid w:val="0"/>
        <w:spacing w:line="400" w:lineRule="exact"/>
        <w:ind w:firstLine="360" w:firstLineChars="150"/>
        <w:rPr>
          <w:rFonts w:hint="eastAsia" w:ascii="宋体" w:hAnsi="宋体" w:cs="宋体"/>
          <w:color w:val="auto"/>
          <w:sz w:val="24"/>
          <w:szCs w:val="24"/>
        </w:rPr>
      </w:pPr>
      <w:r>
        <w:rPr>
          <w:rFonts w:hint="eastAsia" w:ascii="宋体" w:hAnsi="宋体" w:cs="宋体"/>
          <w:color w:val="auto"/>
          <w:sz w:val="24"/>
          <w:szCs w:val="24"/>
        </w:rPr>
        <w:t>（七）磋商费用：无论磋商结果如何，供应商参与本项目磋商的所有费用均应由供应商自行承担。</w:t>
      </w:r>
    </w:p>
    <w:p w14:paraId="567D41C0">
      <w:pPr>
        <w:snapToGrid w:val="0"/>
        <w:spacing w:line="400" w:lineRule="exact"/>
        <w:ind w:firstLine="361" w:firstLineChars="150"/>
        <w:rPr>
          <w:rFonts w:hint="eastAsia" w:ascii="宋体" w:hAnsi="宋体" w:cs="宋体"/>
          <w:b/>
          <w:bCs/>
          <w:color w:val="auto"/>
          <w:sz w:val="24"/>
          <w:szCs w:val="24"/>
        </w:rPr>
      </w:pPr>
      <w:r>
        <w:rPr>
          <w:rFonts w:hint="eastAsia" w:ascii="宋体" w:hAnsi="宋体" w:cs="宋体"/>
          <w:b/>
          <w:bCs/>
          <w:color w:val="auto"/>
          <w:sz w:val="24"/>
          <w:szCs w:val="24"/>
        </w:rPr>
        <w:t>（八）本项目不接受联合体参与磋商，否则按无效处理。</w:t>
      </w:r>
    </w:p>
    <w:p w14:paraId="6DE34B80">
      <w:pPr>
        <w:snapToGrid w:val="0"/>
        <w:spacing w:line="400" w:lineRule="exact"/>
        <w:ind w:firstLine="361" w:firstLineChars="150"/>
        <w:rPr>
          <w:rFonts w:hint="eastAsia" w:ascii="宋体" w:hAnsi="宋体" w:cs="宋体"/>
          <w:b/>
          <w:color w:val="auto"/>
          <w:sz w:val="24"/>
          <w:szCs w:val="24"/>
        </w:rPr>
      </w:pPr>
      <w:r>
        <w:rPr>
          <w:rFonts w:hint="eastAsia" w:ascii="宋体" w:hAnsi="宋体" w:cs="宋体"/>
          <w:b/>
          <w:bCs/>
          <w:color w:val="auto"/>
          <w:sz w:val="24"/>
          <w:szCs w:val="24"/>
        </w:rPr>
        <w:t>（九）本项目不接受合同分包，否则按无效处理。</w:t>
      </w:r>
    </w:p>
    <w:p w14:paraId="427CBBD7">
      <w:pPr>
        <w:snapToGrid w:val="0"/>
        <w:spacing w:line="400" w:lineRule="exact"/>
        <w:ind w:firstLine="360" w:firstLineChars="150"/>
        <w:rPr>
          <w:rFonts w:hint="eastAsia" w:ascii="宋体" w:hAnsi="宋体" w:cs="宋体"/>
          <w:color w:val="auto"/>
          <w:sz w:val="24"/>
          <w:szCs w:val="24"/>
        </w:rPr>
      </w:pPr>
      <w:r>
        <w:rPr>
          <w:rFonts w:hint="eastAsia" w:ascii="宋体" w:hAnsi="宋体" w:cs="宋体"/>
          <w:color w:val="auto"/>
          <w:sz w:val="24"/>
          <w:szCs w:val="24"/>
        </w:rPr>
        <w:t>（十）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61DB4AA5">
      <w:pPr>
        <w:pStyle w:val="5"/>
        <w:adjustRightInd w:val="0"/>
        <w:snapToGrid w:val="0"/>
        <w:spacing w:before="0" w:after="0" w:line="240" w:lineRule="auto"/>
        <w:rPr>
          <w:rFonts w:hint="eastAsia" w:ascii="宋体" w:hAnsi="宋体" w:cs="宋体"/>
          <w:color w:val="auto"/>
        </w:rPr>
      </w:pPr>
      <w:bookmarkStart w:id="146" w:name="_Toc24202"/>
      <w:bookmarkStart w:id="147" w:name="_Toc6128"/>
      <w:bookmarkStart w:id="148" w:name="_Toc65662727"/>
      <w:bookmarkStart w:id="149" w:name="_Toc21866"/>
      <w:bookmarkStart w:id="150" w:name="_Toc23627"/>
      <w:bookmarkStart w:id="151" w:name="_Toc8580"/>
      <w:bookmarkStart w:id="152" w:name="_Toc30603"/>
      <w:bookmarkStart w:id="153" w:name="_Toc6226"/>
      <w:bookmarkStart w:id="154" w:name="_Toc22519"/>
      <w:bookmarkStart w:id="155" w:name="_Toc29703"/>
      <w:bookmarkStart w:id="156" w:name="_Toc6166"/>
      <w:bookmarkStart w:id="157" w:name="_Toc5283"/>
      <w:bookmarkStart w:id="158" w:name="_Toc20673"/>
      <w:bookmarkStart w:id="159" w:name="_Toc21545"/>
      <w:bookmarkStart w:id="160" w:name="_Toc28519"/>
      <w:bookmarkStart w:id="161" w:name="_Toc7129"/>
      <w:bookmarkStart w:id="162" w:name="_Toc22202"/>
      <w:bookmarkStart w:id="163" w:name="_Toc17729"/>
      <w:bookmarkStart w:id="164" w:name="_Toc19462"/>
      <w:r>
        <w:rPr>
          <w:rFonts w:hint="eastAsia" w:ascii="宋体" w:hAnsi="宋体" w:cs="宋体"/>
          <w:color w:val="auto"/>
        </w:rPr>
        <w:t>七、联系方式</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14:paraId="4E28F12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（一）采购人：重庆市医疗保障局</w:t>
      </w:r>
    </w:p>
    <w:p w14:paraId="4D0EAB67">
      <w:pPr>
        <w:snapToGrid w:val="0"/>
        <w:spacing w:line="400" w:lineRule="exact"/>
        <w:ind w:firstLine="480" w:firstLineChars="200"/>
        <w:outlineLvl w:val="9"/>
        <w:rPr>
          <w:rFonts w:hint="eastAsia" w:ascii="宋体" w:hAnsi="宋体" w:cs="宋体"/>
          <w:color w:val="auto"/>
          <w:sz w:val="24"/>
          <w:szCs w:val="24"/>
        </w:rPr>
      </w:pPr>
      <w:bookmarkStart w:id="165" w:name="_Toc19862"/>
      <w:r>
        <w:rPr>
          <w:rFonts w:hint="eastAsia" w:ascii="宋体" w:hAnsi="宋体" w:cs="宋体"/>
          <w:color w:val="auto"/>
          <w:sz w:val="24"/>
          <w:szCs w:val="24"/>
        </w:rPr>
        <w:t>联系人：</w:t>
      </w:r>
      <w:r>
        <w:rPr>
          <w:rFonts w:hint="eastAsia" w:ascii="宋体" w:hAnsi="宋体" w:cs="宋体"/>
          <w:color w:val="auto"/>
          <w:sz w:val="24"/>
          <w:szCs w:val="24"/>
          <w:lang w:val="en-US" w:eastAsia="zh-CN"/>
        </w:rPr>
        <w:t>马</w:t>
      </w:r>
      <w:r>
        <w:rPr>
          <w:rFonts w:hint="eastAsia" w:ascii="宋体" w:hAnsi="宋体" w:cs="宋体"/>
          <w:color w:val="auto"/>
          <w:sz w:val="24"/>
          <w:szCs w:val="24"/>
        </w:rPr>
        <w:t>老师</w:t>
      </w:r>
      <w:bookmarkEnd w:id="165"/>
      <w:r>
        <w:rPr>
          <w:rFonts w:hint="eastAsia" w:ascii="宋体" w:hAnsi="宋体" w:cs="宋体"/>
          <w:color w:val="auto"/>
          <w:sz w:val="24"/>
          <w:szCs w:val="24"/>
        </w:rPr>
        <w:t xml:space="preserve"> </w:t>
      </w:r>
    </w:p>
    <w:p w14:paraId="3B16949B">
      <w:pPr>
        <w:snapToGrid w:val="0"/>
        <w:spacing w:line="400" w:lineRule="exact"/>
        <w:ind w:firstLine="480" w:firstLineChars="200"/>
        <w:outlineLvl w:val="9"/>
        <w:rPr>
          <w:rFonts w:hint="default" w:ascii="宋体" w:hAnsi="宋体" w:eastAsia="宋体" w:cs="宋体"/>
          <w:color w:val="auto"/>
          <w:sz w:val="24"/>
          <w:szCs w:val="24"/>
          <w:lang w:val="en-US" w:eastAsia="zh-CN"/>
        </w:rPr>
      </w:pPr>
      <w:bookmarkStart w:id="166" w:name="_Toc15985"/>
      <w:r>
        <w:rPr>
          <w:rFonts w:hint="eastAsia" w:ascii="宋体" w:hAnsi="宋体" w:cs="宋体"/>
          <w:color w:val="auto"/>
          <w:sz w:val="24"/>
          <w:szCs w:val="24"/>
        </w:rPr>
        <w:t>电  话：</w:t>
      </w:r>
      <w:r>
        <w:rPr>
          <w:rFonts w:hint="eastAsia" w:ascii="宋体" w:hAnsi="宋体" w:cs="宋体"/>
          <w:color w:val="auto"/>
          <w:sz w:val="24"/>
          <w:szCs w:val="24"/>
          <w:lang w:val="en-US" w:eastAsia="zh-CN"/>
        </w:rPr>
        <w:t>023-</w:t>
      </w:r>
      <w:r>
        <w:rPr>
          <w:rFonts w:hint="eastAsia" w:ascii="宋体" w:hAnsi="宋体" w:cs="宋体"/>
          <w:color w:val="auto"/>
          <w:sz w:val="24"/>
          <w:szCs w:val="24"/>
        </w:rPr>
        <w:t>8897</w:t>
      </w:r>
      <w:bookmarkEnd w:id="166"/>
      <w:r>
        <w:rPr>
          <w:rFonts w:hint="eastAsia" w:ascii="宋体" w:hAnsi="宋体" w:cs="宋体"/>
          <w:color w:val="auto"/>
          <w:sz w:val="24"/>
          <w:szCs w:val="24"/>
          <w:lang w:val="en-US" w:eastAsia="zh-CN"/>
        </w:rPr>
        <w:t>5907</w:t>
      </w:r>
    </w:p>
    <w:p w14:paraId="274EBB7B">
      <w:pPr>
        <w:snapToGrid w:val="0"/>
        <w:spacing w:line="44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地  址：重庆市渝北区黄山大道中段5号水星科技大厦B4区</w:t>
      </w:r>
    </w:p>
    <w:p w14:paraId="355D35A5">
      <w:pPr>
        <w:snapToGrid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（二）采购代理机构：重庆希维招标代理有限公司</w:t>
      </w:r>
    </w:p>
    <w:p w14:paraId="18FC19AD">
      <w:pPr>
        <w:snapToGrid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联系人：牟老师</w:t>
      </w:r>
    </w:p>
    <w:p w14:paraId="20B3935B">
      <w:pPr>
        <w:snapToGrid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电  话：023-67185051</w:t>
      </w:r>
    </w:p>
    <w:p w14:paraId="6EE6E682">
      <w:pPr>
        <w:snapToGrid w:val="0"/>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地  址：重庆市渝北区两江春城春玺苑写字楼2幢16-3</w:t>
      </w:r>
    </w:p>
    <w:p w14:paraId="528A8576">
      <w:pPr>
        <w:snapToGrid w:val="0"/>
        <w:spacing w:line="400" w:lineRule="exact"/>
        <w:ind w:firstLine="482" w:firstLineChars="200"/>
        <w:rPr>
          <w:rFonts w:hint="eastAsia" w:ascii="宋体" w:hAnsi="宋体" w:cs="宋体"/>
          <w:b/>
          <w:color w:val="auto"/>
          <w:sz w:val="24"/>
          <w:szCs w:val="24"/>
        </w:rPr>
        <w:sectPr>
          <w:pgSz w:w="11907" w:h="16840"/>
          <w:pgMar w:top="1134" w:right="1418" w:bottom="1134" w:left="1418" w:header="964" w:footer="992" w:gutter="0"/>
          <w:pgNumType w:fmt="numberInDash"/>
          <w:cols w:space="720" w:num="1"/>
          <w:docGrid w:linePitch="312" w:charSpace="0"/>
        </w:sectPr>
      </w:pPr>
    </w:p>
    <w:p w14:paraId="04326830">
      <w:pPr>
        <w:pStyle w:val="4"/>
        <w:tabs>
          <w:tab w:val="left" w:pos="3360"/>
        </w:tabs>
        <w:rPr>
          <w:rFonts w:hint="eastAsia" w:cs="宋体"/>
          <w:bCs/>
          <w:color w:val="auto"/>
          <w:szCs w:val="36"/>
        </w:rPr>
      </w:pPr>
      <w:bookmarkStart w:id="167" w:name="_Toc25235"/>
      <w:bookmarkStart w:id="168" w:name="_Toc5105"/>
      <w:bookmarkStart w:id="169" w:name="_Toc19817"/>
      <w:bookmarkStart w:id="170" w:name="_Toc11445"/>
      <w:bookmarkStart w:id="171" w:name="_Toc14289"/>
      <w:bookmarkStart w:id="172" w:name="_Toc16744"/>
      <w:bookmarkStart w:id="173" w:name="_Toc4073"/>
      <w:bookmarkStart w:id="174" w:name="_Toc25065"/>
      <w:bookmarkStart w:id="175" w:name="_Toc29303"/>
      <w:bookmarkStart w:id="176" w:name="_Toc31932"/>
      <w:bookmarkStart w:id="177" w:name="_Toc10926"/>
      <w:bookmarkStart w:id="178" w:name="_Toc8997"/>
      <w:bookmarkStart w:id="179" w:name="_Toc65662728"/>
      <w:bookmarkStart w:id="180" w:name="_Toc19876"/>
      <w:bookmarkStart w:id="181" w:name="_Toc9080"/>
      <w:bookmarkStart w:id="182" w:name="_Toc26936"/>
      <w:bookmarkStart w:id="183" w:name="_Toc23834"/>
      <w:bookmarkStart w:id="184" w:name="_Toc914"/>
      <w:bookmarkStart w:id="185" w:name="_Toc3200"/>
      <w:r>
        <w:rPr>
          <w:rFonts w:hint="eastAsia" w:cs="宋体"/>
          <w:bCs/>
          <w:color w:val="auto"/>
          <w:szCs w:val="36"/>
        </w:rPr>
        <w:t>第二篇  项目技术需求</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0D6AEBB4">
      <w:pPr>
        <w:spacing w:line="400" w:lineRule="exact"/>
        <w:ind w:firstLine="480" w:firstLineChars="200"/>
        <w:rPr>
          <w:rFonts w:hint="eastAsia" w:ascii="宋体" w:hAnsi="宋体" w:cs="宋体"/>
          <w:color w:val="auto"/>
          <w:sz w:val="24"/>
          <w:szCs w:val="24"/>
        </w:rPr>
      </w:pPr>
      <w:bookmarkStart w:id="186" w:name="_Toc76462325"/>
    </w:p>
    <w:bookmarkEnd w:id="186"/>
    <w:p w14:paraId="22EDD0E0">
      <w:pPr>
        <w:spacing w:line="4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“※”标注的服务需求为符合性审查中的实质性要求，响应文件若不满足按无效响应处理。</w:t>
      </w:r>
    </w:p>
    <w:p w14:paraId="1C5A35C9">
      <w:pPr>
        <w:spacing w:line="4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“★”标注的</w:t>
      </w:r>
      <w:r>
        <w:rPr>
          <w:rFonts w:hint="eastAsia" w:ascii="宋体" w:hAnsi="宋体" w:cs="宋体"/>
          <w:sz w:val="24"/>
          <w:szCs w:val="24"/>
          <w:highlight w:val="none"/>
          <w:lang w:val="en-US" w:eastAsia="zh-CN"/>
        </w:rPr>
        <w:t>服务</w:t>
      </w:r>
      <w:r>
        <w:rPr>
          <w:rFonts w:hint="eastAsia" w:ascii="宋体" w:hAnsi="宋体" w:cs="宋体"/>
          <w:sz w:val="24"/>
          <w:szCs w:val="24"/>
          <w:highlight w:val="none"/>
        </w:rPr>
        <w:t>需求为重要</w:t>
      </w:r>
      <w:r>
        <w:rPr>
          <w:rFonts w:hint="eastAsia" w:ascii="宋体" w:hAnsi="宋体" w:cs="宋体"/>
          <w:sz w:val="24"/>
          <w:szCs w:val="24"/>
          <w:highlight w:val="none"/>
          <w:lang w:val="en-US" w:eastAsia="zh-CN"/>
        </w:rPr>
        <w:t>服务</w:t>
      </w:r>
      <w:r>
        <w:rPr>
          <w:rFonts w:hint="eastAsia" w:ascii="宋体" w:hAnsi="宋体" w:cs="宋体"/>
          <w:sz w:val="24"/>
          <w:szCs w:val="24"/>
          <w:highlight w:val="none"/>
        </w:rPr>
        <w:t>需求，若不满足将按照评标因素中相关规定处理。</w:t>
      </w:r>
    </w:p>
    <w:p w14:paraId="37785CA7">
      <w:pPr>
        <w:pStyle w:val="5"/>
        <w:adjustRightInd w:val="0"/>
        <w:snapToGrid w:val="0"/>
        <w:spacing w:before="0" w:after="0" w:line="400" w:lineRule="exact"/>
        <w:rPr>
          <w:rFonts w:hint="eastAsia" w:ascii="宋体" w:hAnsi="宋体" w:cs="宋体"/>
          <w:highlight w:val="none"/>
        </w:rPr>
      </w:pPr>
      <w:bookmarkStart w:id="187" w:name="_Toc144754722"/>
      <w:bookmarkStart w:id="188" w:name="_Toc5480"/>
      <w:bookmarkStart w:id="189" w:name="_Toc26529"/>
      <w:r>
        <w:rPr>
          <w:rFonts w:hint="eastAsia" w:ascii="宋体" w:hAnsi="宋体" w:cs="宋体"/>
          <w:highlight w:val="none"/>
        </w:rPr>
        <w:t>一、服务范围、要求及标准</w:t>
      </w:r>
      <w:bookmarkEnd w:id="187"/>
      <w:bookmarkEnd w:id="188"/>
      <w:bookmarkEnd w:id="189"/>
    </w:p>
    <w:p w14:paraId="2E32D7B4">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（一）服务范围</w:t>
      </w:r>
    </w:p>
    <w:p w14:paraId="3772D1E3">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lang w:eastAsia="zh-CN"/>
        </w:rPr>
        <w:t>重庆市医疗保障信息平台网络安全等级保护测评服务</w:t>
      </w:r>
      <w:r>
        <w:rPr>
          <w:rFonts w:hint="eastAsia" w:ascii="宋体" w:hAnsi="宋体" w:cs="宋体"/>
          <w:sz w:val="24"/>
          <w:szCs w:val="24"/>
          <w:highlight w:val="none"/>
        </w:rPr>
        <w:t>。</w:t>
      </w:r>
    </w:p>
    <w:p w14:paraId="13CA9700">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（二）服务要求及标准</w:t>
      </w:r>
    </w:p>
    <w:p w14:paraId="7D02F86A">
      <w:pPr>
        <w:spacing w:line="400" w:lineRule="exact"/>
        <w:ind w:firstLine="480" w:firstLineChars="200"/>
        <w:outlineLvl w:val="9"/>
        <w:rPr>
          <w:rFonts w:hint="eastAsia" w:ascii="宋体" w:hAnsi="宋体" w:cs="宋体"/>
          <w:sz w:val="24"/>
          <w:szCs w:val="24"/>
          <w:highlight w:val="none"/>
        </w:rPr>
      </w:pPr>
      <w:bookmarkStart w:id="190" w:name="_Toc144754723"/>
      <w:bookmarkStart w:id="191" w:name="_Toc344475116"/>
      <w:bookmarkStart w:id="192" w:name="_Toc76462326"/>
      <w:bookmarkStart w:id="193" w:name="_Toc313536013"/>
      <w:r>
        <w:rPr>
          <w:rFonts w:hint="eastAsia" w:ascii="宋体" w:hAnsi="宋体" w:cs="宋体"/>
          <w:sz w:val="24"/>
          <w:szCs w:val="24"/>
          <w:highlight w:val="none"/>
        </w:rPr>
        <w:t>服务要求：确保重庆市医疗保障信息平台满足国家法律法规、标准规范的要求，信息系统达到相应安全等级的防护水平。</w:t>
      </w:r>
    </w:p>
    <w:p w14:paraId="594C0191">
      <w:pPr>
        <w:spacing w:line="400" w:lineRule="exact"/>
        <w:ind w:firstLine="480" w:firstLineChars="200"/>
        <w:outlineLvl w:val="9"/>
        <w:rPr>
          <w:rFonts w:hint="eastAsia" w:ascii="宋体" w:hAnsi="宋体" w:cs="宋体"/>
          <w:sz w:val="24"/>
          <w:szCs w:val="24"/>
          <w:highlight w:val="none"/>
        </w:rPr>
      </w:pPr>
      <w:r>
        <w:rPr>
          <w:rFonts w:hint="eastAsia" w:ascii="宋体" w:hAnsi="宋体" w:cs="宋体"/>
          <w:sz w:val="24"/>
          <w:szCs w:val="24"/>
          <w:highlight w:val="none"/>
        </w:rPr>
        <w:t>服务标准：按照《中华人民共和国网络安全法》、《信息安全等级保护管理办法》、《GB/T 22239-2019信息安全技术信息系统安全等级保护基本要求》等法规和标准。</w:t>
      </w:r>
    </w:p>
    <w:p w14:paraId="6A84CEAD">
      <w:pPr>
        <w:pStyle w:val="5"/>
        <w:adjustRightInd w:val="0"/>
        <w:snapToGrid w:val="0"/>
        <w:spacing w:before="0" w:after="0" w:line="400" w:lineRule="exact"/>
        <w:rPr>
          <w:rFonts w:hint="eastAsia" w:ascii="宋体" w:hAnsi="宋体" w:cs="宋体"/>
          <w:highlight w:val="none"/>
        </w:rPr>
      </w:pPr>
      <w:bookmarkStart w:id="194" w:name="_Toc21914"/>
      <w:bookmarkStart w:id="195" w:name="_Toc11138"/>
      <w:r>
        <w:rPr>
          <w:rFonts w:hint="eastAsia" w:ascii="宋体" w:hAnsi="宋体" w:cs="宋体"/>
          <w:highlight w:val="none"/>
        </w:rPr>
        <w:t>二、</w:t>
      </w:r>
      <w:bookmarkEnd w:id="190"/>
      <w:bookmarkEnd w:id="191"/>
      <w:bookmarkEnd w:id="192"/>
      <w:bookmarkEnd w:id="193"/>
      <w:r>
        <w:rPr>
          <w:rFonts w:hint="eastAsia" w:ascii="宋体" w:hAnsi="宋体" w:cs="宋体"/>
          <w:highlight w:val="none"/>
        </w:rPr>
        <w:t>项目服务内容</w:t>
      </w:r>
      <w:bookmarkEnd w:id="194"/>
      <w:bookmarkEnd w:id="195"/>
    </w:p>
    <w:p w14:paraId="5AD1E49E">
      <w:pPr>
        <w:snapToGrid w:val="0"/>
        <w:spacing w:line="400" w:lineRule="exact"/>
        <w:ind w:firstLine="480" w:firstLineChars="200"/>
        <w:rPr>
          <w:rFonts w:hint="eastAsia" w:ascii="宋体" w:hAnsi="宋体" w:cs="宋体"/>
          <w:sz w:val="24"/>
          <w:szCs w:val="21"/>
          <w:highlight w:val="none"/>
        </w:rPr>
      </w:pPr>
      <w:bookmarkStart w:id="196" w:name="_Toc536445799"/>
      <w:bookmarkStart w:id="197" w:name="_Toc20332853"/>
      <w:bookmarkStart w:id="198" w:name="_Toc531095843"/>
      <w:bookmarkStart w:id="199" w:name="_Toc69870018"/>
      <w:bookmarkStart w:id="200" w:name="_Toc531701813"/>
      <w:bookmarkStart w:id="201" w:name="_Toc532008703"/>
      <w:bookmarkStart w:id="202" w:name="_Toc288038881"/>
      <w:bookmarkStart w:id="203" w:name="_Toc531687450"/>
      <w:bookmarkStart w:id="204" w:name="_Toc531095243"/>
      <w:bookmarkStart w:id="205" w:name="_Toc536432307"/>
      <w:bookmarkStart w:id="206" w:name="_Toc536432216"/>
      <w:bookmarkStart w:id="207" w:name="_Toc531482940"/>
      <w:bookmarkStart w:id="208" w:name="_Toc531152908"/>
      <w:bookmarkStart w:id="209" w:name="_Toc316850129"/>
      <w:bookmarkStart w:id="210" w:name="_Toc597539"/>
      <w:bookmarkStart w:id="211" w:name="_Toc2185836"/>
      <w:bookmarkStart w:id="212" w:name="_Toc531095615"/>
      <w:bookmarkStart w:id="213" w:name="_Toc456084040"/>
      <w:bookmarkStart w:id="214" w:name="_Toc532810062"/>
      <w:bookmarkStart w:id="215" w:name="_Toc531398170"/>
      <w:bookmarkStart w:id="216" w:name="_Toc499537918"/>
      <w:bookmarkStart w:id="217" w:name="_Toc531601978"/>
      <w:bookmarkStart w:id="218" w:name="_Toc531077883"/>
      <w:bookmarkStart w:id="219" w:name="_Toc535039093"/>
      <w:bookmarkStart w:id="220" w:name="_Toc531420071"/>
      <w:bookmarkStart w:id="221" w:name="_Toc531744456"/>
      <w:bookmarkStart w:id="222" w:name="_Toc68614593"/>
      <w:r>
        <w:rPr>
          <w:rFonts w:hint="eastAsia" w:ascii="宋体" w:hAnsi="宋体" w:cs="宋体"/>
          <w:sz w:val="24"/>
          <w:szCs w:val="21"/>
          <w:highlight w:val="none"/>
        </w:rPr>
        <w:t>（一）测评依据</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p w14:paraId="4CAE023A">
      <w:pPr>
        <w:snapToGrid w:val="0"/>
        <w:spacing w:line="400" w:lineRule="exact"/>
        <w:ind w:firstLine="480" w:firstLineChars="200"/>
        <w:rPr>
          <w:rFonts w:hint="eastAsia" w:ascii="宋体" w:hAnsi="宋体" w:cs="宋体"/>
          <w:sz w:val="24"/>
          <w:szCs w:val="21"/>
          <w:highlight w:val="none"/>
        </w:rPr>
      </w:pPr>
      <w:r>
        <w:rPr>
          <w:rFonts w:hint="eastAsia" w:ascii="宋体" w:hAnsi="宋体" w:cs="宋体"/>
          <w:sz w:val="24"/>
          <w:szCs w:val="21"/>
          <w:highlight w:val="none"/>
        </w:rPr>
        <w:t>包含但不局限于以下内容：</w:t>
      </w:r>
    </w:p>
    <w:p w14:paraId="0CDE1F0B">
      <w:pPr>
        <w:snapToGrid w:val="0"/>
        <w:spacing w:line="400" w:lineRule="exact"/>
        <w:ind w:firstLine="480" w:firstLineChars="200"/>
        <w:rPr>
          <w:rFonts w:hint="eastAsia" w:ascii="宋体" w:hAnsi="宋体" w:cs="宋体"/>
          <w:sz w:val="24"/>
          <w:szCs w:val="21"/>
          <w:highlight w:val="none"/>
        </w:rPr>
      </w:pPr>
      <w:r>
        <w:rPr>
          <w:rFonts w:hint="eastAsia" w:ascii="宋体" w:hAnsi="宋体" w:cs="宋体"/>
          <w:sz w:val="24"/>
          <w:szCs w:val="21"/>
          <w:highlight w:val="none"/>
        </w:rPr>
        <w:t>《中华人民共和国网络安全法》；</w:t>
      </w:r>
    </w:p>
    <w:p w14:paraId="1DE1F9C6">
      <w:pPr>
        <w:snapToGrid w:val="0"/>
        <w:spacing w:line="400" w:lineRule="exact"/>
        <w:ind w:firstLine="480" w:firstLineChars="200"/>
        <w:rPr>
          <w:rFonts w:hint="eastAsia" w:ascii="宋体" w:hAnsi="宋体" w:cs="宋体"/>
          <w:sz w:val="24"/>
          <w:szCs w:val="21"/>
          <w:highlight w:val="none"/>
        </w:rPr>
      </w:pPr>
      <w:r>
        <w:rPr>
          <w:rFonts w:hint="eastAsia" w:ascii="宋体" w:hAnsi="宋体" w:cs="宋体"/>
          <w:sz w:val="24"/>
          <w:szCs w:val="21"/>
          <w:highlight w:val="none"/>
        </w:rPr>
        <w:t>《</w:t>
      </w:r>
      <w:r>
        <w:rPr>
          <w:rFonts w:hint="eastAsia" w:ascii="宋体" w:hAnsi="宋体" w:cs="宋体"/>
          <w:sz w:val="24"/>
          <w:szCs w:val="21"/>
          <w:highlight w:val="none"/>
        </w:rPr>
        <w:fldChar w:fldCharType="begin"/>
      </w:r>
      <w:r>
        <w:rPr>
          <w:rFonts w:hint="eastAsia" w:ascii="宋体" w:hAnsi="宋体" w:cs="宋体"/>
          <w:sz w:val="24"/>
          <w:szCs w:val="21"/>
          <w:highlight w:val="none"/>
        </w:rPr>
        <w:instrText xml:space="preserve"> HYPERLINK "https://baike.baidu.com/item/%E4%BF%A1%E6%81%AF%E5%AE%89%E5%85%A8%E7%AD%89%E7%BA%A7%E4%BF%9D%E6%8A%A4/2149325" \t "_blank" </w:instrText>
      </w:r>
      <w:r>
        <w:rPr>
          <w:rFonts w:hint="eastAsia" w:ascii="宋体" w:hAnsi="宋体" w:cs="宋体"/>
          <w:sz w:val="24"/>
          <w:szCs w:val="21"/>
          <w:highlight w:val="none"/>
        </w:rPr>
        <w:fldChar w:fldCharType="separate"/>
      </w:r>
      <w:r>
        <w:rPr>
          <w:rFonts w:hint="eastAsia" w:ascii="宋体" w:hAnsi="宋体" w:cs="宋体"/>
          <w:sz w:val="24"/>
          <w:szCs w:val="21"/>
          <w:highlight w:val="none"/>
        </w:rPr>
        <w:t>信息安全等级保护</w:t>
      </w:r>
      <w:r>
        <w:rPr>
          <w:rFonts w:hint="eastAsia" w:ascii="宋体" w:hAnsi="宋体" w:cs="宋体"/>
          <w:sz w:val="24"/>
          <w:szCs w:val="21"/>
          <w:highlight w:val="none"/>
        </w:rPr>
        <w:fldChar w:fldCharType="end"/>
      </w:r>
      <w:r>
        <w:rPr>
          <w:rFonts w:hint="eastAsia" w:ascii="宋体" w:hAnsi="宋体" w:cs="宋体"/>
          <w:sz w:val="24"/>
          <w:szCs w:val="21"/>
          <w:highlight w:val="none"/>
        </w:rPr>
        <w:t>管理办法》（公通字〔2007〕43号）；</w:t>
      </w:r>
    </w:p>
    <w:p w14:paraId="190436FC">
      <w:pPr>
        <w:snapToGrid w:val="0"/>
        <w:spacing w:line="400" w:lineRule="exact"/>
        <w:ind w:firstLine="480" w:firstLineChars="200"/>
        <w:rPr>
          <w:rFonts w:hint="eastAsia" w:ascii="宋体" w:hAnsi="宋体" w:cs="宋体"/>
          <w:sz w:val="24"/>
          <w:szCs w:val="21"/>
          <w:highlight w:val="none"/>
        </w:rPr>
      </w:pPr>
      <w:r>
        <w:rPr>
          <w:rFonts w:hint="eastAsia" w:ascii="宋体" w:hAnsi="宋体" w:cs="宋体"/>
          <w:sz w:val="24"/>
          <w:szCs w:val="21"/>
          <w:highlight w:val="none"/>
        </w:rPr>
        <w:t>《GB/T 22239-2019 信息安全技术 网络安全安全等级保护基本要求》；</w:t>
      </w:r>
    </w:p>
    <w:p w14:paraId="2B344C00">
      <w:pPr>
        <w:snapToGrid w:val="0"/>
        <w:spacing w:line="400" w:lineRule="exact"/>
        <w:ind w:firstLine="480" w:firstLineChars="200"/>
        <w:rPr>
          <w:rFonts w:hint="eastAsia" w:ascii="宋体" w:hAnsi="宋体" w:cs="宋体"/>
          <w:sz w:val="24"/>
          <w:szCs w:val="21"/>
          <w:highlight w:val="none"/>
        </w:rPr>
      </w:pPr>
      <w:r>
        <w:rPr>
          <w:rFonts w:hint="eastAsia" w:ascii="宋体" w:hAnsi="宋体" w:cs="宋体"/>
          <w:sz w:val="24"/>
          <w:szCs w:val="21"/>
          <w:highlight w:val="none"/>
        </w:rPr>
        <w:t>《GB/T 25070-2019 信息安全技术 网络安全等级保护安全设计技术要求》；</w:t>
      </w:r>
    </w:p>
    <w:p w14:paraId="412C2CC9">
      <w:pPr>
        <w:snapToGrid w:val="0"/>
        <w:spacing w:line="400" w:lineRule="exact"/>
        <w:ind w:firstLine="480" w:firstLineChars="200"/>
        <w:rPr>
          <w:rFonts w:hint="eastAsia" w:ascii="宋体" w:hAnsi="宋体" w:cs="宋体"/>
          <w:sz w:val="24"/>
          <w:szCs w:val="21"/>
          <w:highlight w:val="none"/>
        </w:rPr>
      </w:pPr>
      <w:r>
        <w:rPr>
          <w:rFonts w:hint="eastAsia" w:ascii="宋体" w:hAnsi="宋体" w:cs="宋体"/>
          <w:sz w:val="24"/>
          <w:szCs w:val="21"/>
          <w:highlight w:val="none"/>
        </w:rPr>
        <w:t>《GB/T 28448-2019 信息安全技术 网络安全安全等级保护测评要求》；</w:t>
      </w:r>
    </w:p>
    <w:p w14:paraId="4E0276A1">
      <w:pPr>
        <w:snapToGrid w:val="0"/>
        <w:spacing w:line="400" w:lineRule="exact"/>
        <w:ind w:firstLine="480" w:firstLineChars="200"/>
        <w:rPr>
          <w:rFonts w:hint="eastAsia" w:ascii="宋体" w:hAnsi="宋体" w:cs="宋体"/>
          <w:sz w:val="24"/>
          <w:szCs w:val="21"/>
          <w:highlight w:val="none"/>
        </w:rPr>
      </w:pPr>
      <w:r>
        <w:rPr>
          <w:rFonts w:hint="eastAsia" w:ascii="宋体" w:hAnsi="宋体" w:cs="宋体"/>
          <w:sz w:val="24"/>
          <w:szCs w:val="21"/>
          <w:highlight w:val="none"/>
        </w:rPr>
        <w:t>《GB/T 22240-2008 信息安全技术 信息系统安全等级保护定级指南》；</w:t>
      </w:r>
    </w:p>
    <w:p w14:paraId="7F3A474F">
      <w:pPr>
        <w:snapToGrid w:val="0"/>
        <w:spacing w:line="400" w:lineRule="exact"/>
        <w:ind w:firstLine="480" w:firstLineChars="200"/>
        <w:rPr>
          <w:rFonts w:hint="eastAsia" w:ascii="宋体" w:hAnsi="宋体" w:cs="宋体"/>
          <w:sz w:val="24"/>
          <w:szCs w:val="21"/>
          <w:highlight w:val="none"/>
        </w:rPr>
      </w:pPr>
      <w:r>
        <w:rPr>
          <w:rFonts w:hint="eastAsia" w:ascii="宋体" w:hAnsi="宋体" w:cs="宋体"/>
          <w:sz w:val="24"/>
          <w:szCs w:val="21"/>
          <w:highlight w:val="none"/>
        </w:rPr>
        <w:t>《GB/T 25058-2010 信息安全技术 信息系统安全等级保护实施指南》；</w:t>
      </w:r>
    </w:p>
    <w:p w14:paraId="770580C9">
      <w:pPr>
        <w:snapToGrid w:val="0"/>
        <w:spacing w:line="400" w:lineRule="exact"/>
        <w:ind w:firstLine="480" w:firstLineChars="200"/>
        <w:rPr>
          <w:rFonts w:hint="eastAsia" w:ascii="宋体" w:hAnsi="宋体" w:cs="宋体"/>
          <w:sz w:val="24"/>
          <w:szCs w:val="21"/>
          <w:highlight w:val="none"/>
        </w:rPr>
      </w:pPr>
      <w:r>
        <w:rPr>
          <w:rFonts w:hint="eastAsia" w:ascii="宋体" w:hAnsi="宋体" w:cs="宋体"/>
          <w:sz w:val="24"/>
          <w:szCs w:val="21"/>
          <w:highlight w:val="none"/>
        </w:rPr>
        <w:t>《GB/T 28449-2018 信息安全技术 网络安全安全等级保护测评过程指南》；</w:t>
      </w:r>
    </w:p>
    <w:p w14:paraId="6BD36B84">
      <w:pPr>
        <w:snapToGrid w:val="0"/>
        <w:spacing w:line="400" w:lineRule="exact"/>
        <w:ind w:firstLine="480" w:firstLineChars="200"/>
        <w:rPr>
          <w:rFonts w:hint="eastAsia" w:ascii="宋体" w:hAnsi="宋体" w:cs="宋体"/>
          <w:sz w:val="24"/>
          <w:szCs w:val="21"/>
          <w:highlight w:val="none"/>
        </w:rPr>
      </w:pPr>
      <w:r>
        <w:rPr>
          <w:rFonts w:hint="eastAsia" w:ascii="宋体" w:hAnsi="宋体" w:cs="宋体"/>
          <w:sz w:val="24"/>
          <w:szCs w:val="21"/>
          <w:highlight w:val="none"/>
        </w:rPr>
        <w:t>《GB/T 36958-2018 信息安全技术 网络安全等级保护安全管理中心技术要求》；</w:t>
      </w:r>
    </w:p>
    <w:p w14:paraId="78B34E7A">
      <w:pPr>
        <w:snapToGrid w:val="0"/>
        <w:spacing w:line="400" w:lineRule="exact"/>
        <w:ind w:firstLine="480" w:firstLineChars="200"/>
        <w:rPr>
          <w:rFonts w:hint="eastAsia" w:ascii="宋体" w:hAnsi="宋体" w:cs="宋体"/>
          <w:sz w:val="24"/>
          <w:szCs w:val="21"/>
          <w:highlight w:val="none"/>
        </w:rPr>
      </w:pPr>
      <w:r>
        <w:rPr>
          <w:rFonts w:hint="eastAsia" w:ascii="宋体" w:hAnsi="宋体" w:cs="宋体"/>
          <w:sz w:val="24"/>
          <w:szCs w:val="21"/>
          <w:highlight w:val="none"/>
        </w:rPr>
        <w:t>《GB/T 28453-2012 信息安全技术 信息系统安全管理评估要求》；</w:t>
      </w:r>
    </w:p>
    <w:p w14:paraId="54FD5B45">
      <w:pPr>
        <w:snapToGrid w:val="0"/>
        <w:spacing w:line="400" w:lineRule="exact"/>
        <w:ind w:firstLine="480" w:firstLineChars="200"/>
        <w:rPr>
          <w:rFonts w:hint="eastAsia" w:ascii="宋体" w:hAnsi="宋体" w:cs="宋体"/>
          <w:sz w:val="24"/>
          <w:szCs w:val="21"/>
          <w:highlight w:val="none"/>
        </w:rPr>
      </w:pPr>
      <w:r>
        <w:rPr>
          <w:rFonts w:hint="eastAsia" w:ascii="宋体" w:hAnsi="宋体" w:cs="宋体"/>
          <w:sz w:val="24"/>
          <w:szCs w:val="21"/>
          <w:highlight w:val="none"/>
        </w:rPr>
        <w:t>《GB/T 20984-2007 信息安全技术 信息安全风险评估规范》；</w:t>
      </w:r>
    </w:p>
    <w:p w14:paraId="2C90C4C0">
      <w:pPr>
        <w:snapToGrid w:val="0"/>
        <w:spacing w:line="400" w:lineRule="exact"/>
        <w:ind w:firstLine="480" w:firstLineChars="200"/>
        <w:rPr>
          <w:rFonts w:hint="eastAsia" w:ascii="宋体" w:hAnsi="宋体" w:cs="宋体"/>
          <w:sz w:val="24"/>
          <w:szCs w:val="21"/>
          <w:highlight w:val="none"/>
        </w:rPr>
      </w:pPr>
      <w:r>
        <w:rPr>
          <w:rFonts w:hint="eastAsia" w:ascii="宋体" w:hAnsi="宋体" w:cs="宋体"/>
          <w:sz w:val="24"/>
          <w:szCs w:val="21"/>
          <w:highlight w:val="none"/>
        </w:rPr>
        <w:t>《GB/Z 24364-2009 信息安全技术 信息安全风险管理指南》。</w:t>
      </w:r>
    </w:p>
    <w:p w14:paraId="5DC6677E">
      <w:pPr>
        <w:widowControl/>
        <w:spacing w:line="400" w:lineRule="exact"/>
        <w:ind w:firstLine="480" w:firstLineChars="200"/>
        <w:rPr>
          <w:rFonts w:hint="eastAsia" w:ascii="宋体" w:hAnsi="宋体" w:cs="宋体"/>
          <w:sz w:val="24"/>
          <w:szCs w:val="21"/>
          <w:highlight w:val="none"/>
        </w:rPr>
      </w:pPr>
      <w:r>
        <w:rPr>
          <w:rFonts w:hint="eastAsia" w:ascii="宋体" w:hAnsi="宋体" w:cs="宋体"/>
          <w:sz w:val="24"/>
          <w:szCs w:val="21"/>
          <w:highlight w:val="none"/>
        </w:rPr>
        <w:t>（二）服务内容</w:t>
      </w:r>
    </w:p>
    <w:p w14:paraId="3D85F259">
      <w:pPr>
        <w:widowControl/>
        <w:spacing w:line="400" w:lineRule="exact"/>
        <w:ind w:firstLine="480" w:firstLineChars="200"/>
        <w:rPr>
          <w:rFonts w:hint="eastAsia" w:ascii="宋体" w:hAnsi="宋体" w:cs="宋体"/>
          <w:sz w:val="24"/>
          <w:szCs w:val="21"/>
          <w:highlight w:val="none"/>
        </w:rPr>
      </w:pPr>
      <w:bookmarkStart w:id="223" w:name="_Hlk37168643"/>
      <w:r>
        <w:rPr>
          <w:rFonts w:hint="eastAsia" w:ascii="宋体" w:hAnsi="宋体" w:cs="宋体"/>
          <w:sz w:val="24"/>
          <w:szCs w:val="21"/>
          <w:highlight w:val="none"/>
        </w:rPr>
        <w:t>等级保护测评包括如下几个方面的内容：</w:t>
      </w:r>
    </w:p>
    <w:p w14:paraId="170A4D55">
      <w:pPr>
        <w:widowControl/>
        <w:spacing w:line="400" w:lineRule="exact"/>
        <w:ind w:firstLine="480" w:firstLineChars="200"/>
        <w:rPr>
          <w:rFonts w:hint="eastAsia" w:ascii="宋体" w:hAnsi="宋体" w:cs="宋体"/>
          <w:sz w:val="24"/>
          <w:szCs w:val="21"/>
          <w:highlight w:val="none"/>
        </w:rPr>
      </w:pPr>
      <w:r>
        <w:rPr>
          <w:rFonts w:hint="eastAsia" w:ascii="宋体" w:hAnsi="宋体" w:cs="宋体"/>
          <w:sz w:val="24"/>
          <w:szCs w:val="21"/>
          <w:highlight w:val="none"/>
        </w:rPr>
        <w:t>1、安全物理环境（物理位置选择、物理访问控制、防盗窃和防破坏、防雷击、防火、防水和防潮、防静电、温湿度控制、电力供应、电磁防护）；</w:t>
      </w:r>
    </w:p>
    <w:p w14:paraId="54EC5140">
      <w:pPr>
        <w:widowControl/>
        <w:spacing w:line="400" w:lineRule="exact"/>
        <w:ind w:firstLine="480" w:firstLineChars="200"/>
        <w:rPr>
          <w:rFonts w:hint="eastAsia" w:ascii="宋体" w:hAnsi="宋体" w:cs="宋体"/>
          <w:sz w:val="24"/>
          <w:szCs w:val="21"/>
          <w:highlight w:val="none"/>
        </w:rPr>
      </w:pPr>
      <w:r>
        <w:rPr>
          <w:rFonts w:hint="eastAsia" w:ascii="宋体" w:hAnsi="宋体" w:cs="宋体"/>
          <w:sz w:val="24"/>
          <w:szCs w:val="21"/>
          <w:highlight w:val="none"/>
        </w:rPr>
        <w:t>2、安全通信网络（网络架构、通信传输、可信验证）；</w:t>
      </w:r>
    </w:p>
    <w:p w14:paraId="23AF2ACF">
      <w:pPr>
        <w:widowControl/>
        <w:spacing w:line="400" w:lineRule="exact"/>
        <w:ind w:firstLine="480" w:firstLineChars="200"/>
        <w:rPr>
          <w:rFonts w:hint="eastAsia" w:ascii="宋体" w:hAnsi="宋体" w:cs="宋体"/>
          <w:sz w:val="24"/>
          <w:szCs w:val="21"/>
          <w:highlight w:val="none"/>
        </w:rPr>
      </w:pPr>
      <w:r>
        <w:rPr>
          <w:rFonts w:hint="eastAsia" w:ascii="宋体" w:hAnsi="宋体" w:cs="宋体"/>
          <w:sz w:val="24"/>
          <w:szCs w:val="21"/>
          <w:highlight w:val="none"/>
        </w:rPr>
        <w:t>3、安全区域边界（边界防护、访问控制、入侵防范、恶意代码和垃圾邮件防范、安全审计、可信验证）；</w:t>
      </w:r>
    </w:p>
    <w:p w14:paraId="261F0132">
      <w:pPr>
        <w:widowControl/>
        <w:spacing w:line="400" w:lineRule="exact"/>
        <w:ind w:firstLine="480" w:firstLineChars="200"/>
        <w:rPr>
          <w:rFonts w:hint="eastAsia" w:ascii="宋体" w:hAnsi="宋体" w:cs="宋体"/>
          <w:sz w:val="24"/>
          <w:szCs w:val="21"/>
          <w:highlight w:val="none"/>
        </w:rPr>
      </w:pPr>
      <w:r>
        <w:rPr>
          <w:rFonts w:hint="eastAsia" w:ascii="宋体" w:hAnsi="宋体" w:cs="宋体"/>
          <w:sz w:val="24"/>
          <w:szCs w:val="21"/>
          <w:highlight w:val="none"/>
        </w:rPr>
        <w:t>4、安全计算环境（身份鉴别、访问控制、安全审计、入侵防范、恶意代码防范、可信验证、数据完整性、数据保密性、数据备份恢复、剩余信息保护、个人信息保护）；</w:t>
      </w:r>
    </w:p>
    <w:p w14:paraId="623D0AC8">
      <w:pPr>
        <w:widowControl/>
        <w:spacing w:line="400" w:lineRule="exact"/>
        <w:ind w:firstLine="480" w:firstLineChars="200"/>
        <w:rPr>
          <w:rFonts w:hint="eastAsia" w:ascii="宋体" w:hAnsi="宋体" w:cs="宋体"/>
          <w:sz w:val="24"/>
          <w:szCs w:val="21"/>
          <w:highlight w:val="none"/>
        </w:rPr>
      </w:pPr>
      <w:r>
        <w:rPr>
          <w:rFonts w:hint="eastAsia" w:ascii="宋体" w:hAnsi="宋体" w:cs="宋体"/>
          <w:sz w:val="24"/>
          <w:szCs w:val="21"/>
          <w:highlight w:val="none"/>
        </w:rPr>
        <w:t>5、安全管理中心（系统管理、审计管理、安全管理、集中管理）</w:t>
      </w:r>
    </w:p>
    <w:p w14:paraId="134DEFC9">
      <w:pPr>
        <w:widowControl/>
        <w:spacing w:line="400" w:lineRule="exact"/>
        <w:ind w:firstLine="480" w:firstLineChars="200"/>
        <w:rPr>
          <w:rFonts w:hint="eastAsia" w:ascii="宋体" w:hAnsi="宋体" w:cs="宋体"/>
          <w:sz w:val="24"/>
          <w:szCs w:val="21"/>
          <w:highlight w:val="none"/>
        </w:rPr>
      </w:pPr>
      <w:r>
        <w:rPr>
          <w:rFonts w:hint="eastAsia" w:ascii="宋体" w:hAnsi="宋体" w:cs="宋体"/>
          <w:sz w:val="24"/>
          <w:szCs w:val="21"/>
          <w:highlight w:val="none"/>
        </w:rPr>
        <w:t>6、安全管理制度（安全策略、管理制度、制定和发布、评审和修订）</w:t>
      </w:r>
    </w:p>
    <w:p w14:paraId="2242F77A">
      <w:pPr>
        <w:widowControl/>
        <w:spacing w:line="400" w:lineRule="exact"/>
        <w:ind w:firstLine="480" w:firstLineChars="200"/>
        <w:rPr>
          <w:rFonts w:hint="eastAsia" w:ascii="宋体" w:hAnsi="宋体" w:cs="宋体"/>
          <w:sz w:val="24"/>
          <w:szCs w:val="21"/>
          <w:highlight w:val="none"/>
        </w:rPr>
      </w:pPr>
      <w:r>
        <w:rPr>
          <w:rFonts w:hint="eastAsia" w:ascii="宋体" w:hAnsi="宋体" w:cs="宋体"/>
          <w:sz w:val="24"/>
          <w:szCs w:val="21"/>
          <w:highlight w:val="none"/>
        </w:rPr>
        <w:t>7、安全管理机构（岗位设置、人员配置、授权和审批、沟通和合作、审核和检查）</w:t>
      </w:r>
    </w:p>
    <w:p w14:paraId="26E4F355">
      <w:pPr>
        <w:widowControl/>
        <w:spacing w:line="400" w:lineRule="exact"/>
        <w:ind w:firstLine="480" w:firstLineChars="200"/>
        <w:rPr>
          <w:rFonts w:hint="eastAsia" w:ascii="宋体" w:hAnsi="宋体" w:cs="宋体"/>
          <w:sz w:val="24"/>
          <w:szCs w:val="21"/>
          <w:highlight w:val="none"/>
        </w:rPr>
      </w:pPr>
      <w:r>
        <w:rPr>
          <w:rFonts w:hint="eastAsia" w:ascii="宋体" w:hAnsi="宋体" w:cs="宋体"/>
          <w:sz w:val="24"/>
          <w:szCs w:val="21"/>
          <w:highlight w:val="none"/>
        </w:rPr>
        <w:t>8、安全管理人员（人员录用、人员离岗、安全意识教育和培训、外部人员访问管理）；</w:t>
      </w:r>
    </w:p>
    <w:p w14:paraId="3135C491">
      <w:pPr>
        <w:widowControl/>
        <w:spacing w:line="400" w:lineRule="exact"/>
        <w:ind w:firstLine="480" w:firstLineChars="200"/>
        <w:rPr>
          <w:rFonts w:hint="eastAsia" w:ascii="宋体" w:hAnsi="宋体" w:cs="宋体"/>
          <w:sz w:val="24"/>
          <w:szCs w:val="21"/>
          <w:highlight w:val="none"/>
        </w:rPr>
      </w:pPr>
      <w:r>
        <w:rPr>
          <w:rFonts w:hint="eastAsia" w:ascii="宋体" w:hAnsi="宋体" w:cs="宋体"/>
          <w:sz w:val="24"/>
          <w:szCs w:val="21"/>
          <w:highlight w:val="none"/>
        </w:rPr>
        <w:t>9、安全建设管理（定级和备案、安全方案设计、产品采购和使用、自行软件开发、外包软件开发、工程实施、测试验收、系统交付、等级测评、服务供应商选择）；</w:t>
      </w:r>
    </w:p>
    <w:p w14:paraId="31AB13F6">
      <w:pPr>
        <w:widowControl/>
        <w:spacing w:line="400" w:lineRule="exact"/>
        <w:ind w:firstLine="480" w:firstLineChars="200"/>
        <w:rPr>
          <w:rFonts w:hint="eastAsia" w:ascii="宋体" w:hAnsi="宋体" w:cs="宋体"/>
          <w:sz w:val="24"/>
          <w:szCs w:val="21"/>
          <w:highlight w:val="none"/>
        </w:rPr>
      </w:pPr>
      <w:r>
        <w:rPr>
          <w:rFonts w:hint="eastAsia" w:ascii="宋体" w:hAnsi="宋体" w:cs="宋体"/>
          <w:sz w:val="24"/>
          <w:szCs w:val="21"/>
          <w:highlight w:val="none"/>
        </w:rPr>
        <w:t>10、安全运维管理（环境管理、资产管理、介质管理、设备维护管理、漏洞和风险管理、网络和系统安全管理、恶意代码防范管理、配置管理、密码管理、变更管理、备份与恢复管理、安全事件处置、应急预案管理、外包运维管理）。</w:t>
      </w:r>
    </w:p>
    <w:p w14:paraId="118B45B2">
      <w:pPr>
        <w:widowControl/>
        <w:spacing w:line="400" w:lineRule="exact"/>
        <w:ind w:firstLine="480" w:firstLineChars="200"/>
        <w:rPr>
          <w:rFonts w:hint="eastAsia" w:ascii="宋体" w:hAnsi="宋体" w:cs="宋体"/>
          <w:sz w:val="24"/>
          <w:szCs w:val="21"/>
          <w:highlight w:val="none"/>
        </w:rPr>
      </w:pPr>
      <w:r>
        <w:rPr>
          <w:rFonts w:hint="eastAsia" w:ascii="宋体" w:hAnsi="宋体" w:cs="宋体"/>
          <w:sz w:val="24"/>
          <w:szCs w:val="21"/>
          <w:highlight w:val="none"/>
        </w:rPr>
        <w:t>11、云平台扩展（基础设施位置、网络架构、访问控制、入侵防范、安全审计、身份鉴别、访问控制、镜像和快照保护、数据完整性和保密性、数据备份恢复、剩余信息保护、集中管控、云服务商选择、供应链管理、云计算环境管理）。</w:t>
      </w:r>
    </w:p>
    <w:p w14:paraId="1AA14651">
      <w:pPr>
        <w:snapToGrid w:val="0"/>
        <w:spacing w:line="400" w:lineRule="exact"/>
        <w:ind w:firstLine="480" w:firstLineChars="200"/>
        <w:rPr>
          <w:rFonts w:hint="eastAsia" w:ascii="宋体" w:hAnsi="宋体" w:cs="Arial"/>
          <w:sz w:val="24"/>
          <w:highlight w:val="none"/>
        </w:rPr>
      </w:pPr>
      <w:r>
        <w:rPr>
          <w:rFonts w:hint="eastAsia" w:ascii="宋体" w:hAnsi="宋体" w:cs="Arial"/>
          <w:sz w:val="24"/>
          <w:highlight w:val="none"/>
        </w:rPr>
        <w:t>（三）工具扫描及渗透测试</w:t>
      </w:r>
    </w:p>
    <w:p w14:paraId="3D478333">
      <w:pPr>
        <w:snapToGrid w:val="0"/>
        <w:spacing w:line="400" w:lineRule="exact"/>
        <w:ind w:firstLine="480" w:firstLineChars="200"/>
        <w:rPr>
          <w:rFonts w:hint="eastAsia" w:ascii="宋体" w:hAnsi="宋体" w:cs="宋体"/>
          <w:sz w:val="24"/>
          <w:szCs w:val="21"/>
          <w:highlight w:val="none"/>
        </w:rPr>
      </w:pPr>
      <w:r>
        <w:rPr>
          <w:rFonts w:hint="eastAsia" w:ascii="宋体" w:hAnsi="宋体" w:cs="Arial"/>
          <w:sz w:val="24"/>
          <w:highlight w:val="none"/>
        </w:rPr>
        <w:t>使用专业的安全分析工具（至少包含专业的主机网络安全分析、应用系统安全分析工具）对待测系统进行渗透，发现系统缺陷，对过程进行记录并最终形成工具扫描、渗透报告。</w:t>
      </w:r>
    </w:p>
    <w:bookmarkEnd w:id="223"/>
    <w:p w14:paraId="017525B4">
      <w:pPr>
        <w:pStyle w:val="5"/>
        <w:adjustRightInd w:val="0"/>
        <w:snapToGrid w:val="0"/>
        <w:spacing w:before="0" w:after="0" w:line="400" w:lineRule="exact"/>
        <w:rPr>
          <w:rFonts w:hint="eastAsia" w:ascii="宋体" w:hAnsi="宋体" w:eastAsia="宋体" w:cs="宋体"/>
          <w:highlight w:val="none"/>
        </w:rPr>
      </w:pPr>
      <w:bookmarkStart w:id="224" w:name="_Toc7997"/>
      <w:r>
        <w:rPr>
          <w:rFonts w:hint="eastAsia" w:ascii="宋体" w:hAnsi="宋体" w:eastAsia="宋体" w:cs="宋体"/>
          <w:highlight w:val="none"/>
        </w:rPr>
        <w:t>三、项目服务要求</w:t>
      </w:r>
      <w:bookmarkEnd w:id="224"/>
    </w:p>
    <w:p w14:paraId="7EBDDF61">
      <w:pPr>
        <w:spacing w:line="4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（一）在服务实施过程中,对项目进行规范化管理，确保项目服务质量可控和过程文档完整，项目结束后，双方必须互相确认测评过程中提供的相关资料。</w:t>
      </w:r>
    </w:p>
    <w:p w14:paraId="66B75B4A">
      <w:pPr>
        <w:spacing w:line="400" w:lineRule="exact"/>
        <w:ind w:firstLine="480" w:firstLineChars="200"/>
        <w:rPr>
          <w:rFonts w:hint="eastAsia"/>
          <w:highlight w:val="none"/>
        </w:rPr>
      </w:pPr>
      <w:r>
        <w:rPr>
          <w:rFonts w:hint="eastAsia" w:ascii="宋体" w:hAnsi="宋体" w:cs="宋体"/>
          <w:sz w:val="24"/>
          <w:szCs w:val="24"/>
          <w:highlight w:val="none"/>
        </w:rPr>
        <w:t>（二）针对服务中发现的的安全问题，</w:t>
      </w:r>
      <w:r>
        <w:rPr>
          <w:rFonts w:hint="eastAsia" w:ascii="宋体" w:hAnsi="宋体" w:cs="宋体"/>
          <w:sz w:val="24"/>
          <w:szCs w:val="24"/>
          <w:highlight w:val="none"/>
          <w:lang w:val="en-US" w:eastAsia="zh-CN"/>
        </w:rPr>
        <w:t>供应商</w:t>
      </w:r>
      <w:r>
        <w:rPr>
          <w:rFonts w:hint="eastAsia" w:ascii="宋体" w:hAnsi="宋体" w:cs="宋体"/>
          <w:sz w:val="24"/>
          <w:szCs w:val="24"/>
          <w:highlight w:val="none"/>
        </w:rPr>
        <w:t>需通过专业的技术手段进行合理分析，正确评估风险，协助</w:t>
      </w:r>
      <w:r>
        <w:rPr>
          <w:rFonts w:hint="eastAsia" w:ascii="宋体" w:hAnsi="宋体" w:cs="宋体"/>
          <w:sz w:val="24"/>
          <w:szCs w:val="24"/>
          <w:highlight w:val="none"/>
          <w:lang w:val="en-US" w:eastAsia="zh-CN"/>
        </w:rPr>
        <w:t>采购人</w:t>
      </w:r>
      <w:r>
        <w:rPr>
          <w:rFonts w:hint="eastAsia" w:ascii="宋体" w:hAnsi="宋体" w:cs="宋体"/>
          <w:sz w:val="24"/>
          <w:szCs w:val="24"/>
          <w:highlight w:val="none"/>
        </w:rPr>
        <w:t>完成整改工作</w:t>
      </w:r>
    </w:p>
    <w:p w14:paraId="69CEBAC6">
      <w:pPr>
        <w:spacing w:line="4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（三）供应商</w:t>
      </w:r>
      <w:r>
        <w:rPr>
          <w:rFonts w:hint="eastAsia" w:ascii="宋体" w:hAnsi="宋体" w:cs="宋体"/>
          <w:sz w:val="24"/>
          <w:szCs w:val="24"/>
          <w:highlight w:val="none"/>
          <w:lang w:val="en-US" w:eastAsia="zh-CN"/>
        </w:rPr>
        <w:t>应</w:t>
      </w:r>
      <w:r>
        <w:rPr>
          <w:rFonts w:hint="eastAsia" w:ascii="宋体" w:hAnsi="宋体" w:cs="宋体"/>
          <w:sz w:val="24"/>
          <w:szCs w:val="24"/>
          <w:highlight w:val="none"/>
        </w:rPr>
        <w:t>为采购人提供信息安全规划、方针、策略和管理制度体系咨询服务,配合对被</w:t>
      </w:r>
      <w:r>
        <w:rPr>
          <w:rFonts w:hint="eastAsia" w:ascii="宋体" w:hAnsi="宋体" w:cs="宋体"/>
          <w:sz w:val="24"/>
          <w:szCs w:val="24"/>
          <w:highlight w:val="none"/>
          <w:lang w:val="en-US" w:eastAsia="zh-CN"/>
        </w:rPr>
        <w:t>测评</w:t>
      </w:r>
      <w:r>
        <w:rPr>
          <w:rFonts w:hint="eastAsia" w:ascii="宋体" w:hAnsi="宋体" w:cs="宋体"/>
          <w:sz w:val="24"/>
          <w:szCs w:val="24"/>
          <w:highlight w:val="none"/>
        </w:rPr>
        <w:t>系统安全加固提供技术指导。</w:t>
      </w:r>
    </w:p>
    <w:p w14:paraId="02737EE6">
      <w:pPr>
        <w:spacing w:line="4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四</w:t>
      </w:r>
      <w:r>
        <w:rPr>
          <w:rFonts w:hint="eastAsia" w:ascii="宋体" w:hAnsi="宋体" w:cs="宋体"/>
          <w:sz w:val="24"/>
          <w:szCs w:val="24"/>
          <w:highlight w:val="none"/>
          <w:lang w:eastAsia="zh-CN"/>
        </w:rPr>
        <w:t>）</w:t>
      </w:r>
      <w:r>
        <w:rPr>
          <w:rFonts w:hint="eastAsia" w:ascii="宋体" w:hAnsi="宋体" w:cs="宋体"/>
          <w:sz w:val="24"/>
          <w:szCs w:val="24"/>
          <w:highlight w:val="none"/>
        </w:rPr>
        <w:t>供应商应加强本项目资料的保密管控，必须针对本项目建立项目纸质、声音、影像、图像、电子等各种形态资料及其载体的保密管控措施，记录资料由生成到销毁整个生命周期内的使用日志，并根据实际工作情况及时对制度进行调整。成交供应商应加强本项目在用户工作场所使用设备，特别是笔记本电脑、移动存储介质等便携设备使用的保密管理。接入系统网络内使用的设备，必须遵守该系统关于终端安全管理、移动存储介质管理等要求。</w:t>
      </w:r>
    </w:p>
    <w:p w14:paraId="7DE0B0EB">
      <w:pPr>
        <w:numPr>
          <w:ilvl w:val="0"/>
          <w:numId w:val="0"/>
        </w:numPr>
        <w:spacing w:line="400" w:lineRule="exact"/>
        <w:ind w:firstLine="420" w:firstLineChars="0"/>
        <w:rPr>
          <w:rFonts w:hint="eastAsia" w:ascii="宋体" w:hAnsi="宋体" w:cs="宋体"/>
          <w:sz w:val="24"/>
          <w:szCs w:val="24"/>
          <w:highlight w:val="none"/>
        </w:rPr>
      </w:pPr>
      <w:r>
        <w:rPr>
          <w:rFonts w:hint="eastAsia" w:ascii="宋体" w:hAnsi="宋体" w:cs="宋体"/>
          <w:sz w:val="24"/>
          <w:szCs w:val="24"/>
          <w:highlight w:val="none"/>
        </w:rPr>
        <w:t>（</w:t>
      </w:r>
      <w:r>
        <w:rPr>
          <w:rFonts w:hint="eastAsia" w:ascii="宋体" w:hAnsi="宋体" w:cs="宋体"/>
          <w:sz w:val="24"/>
          <w:szCs w:val="24"/>
          <w:highlight w:val="none"/>
          <w:lang w:val="en-US" w:eastAsia="zh-CN"/>
        </w:rPr>
        <w:t>五</w:t>
      </w:r>
      <w:r>
        <w:rPr>
          <w:rFonts w:hint="eastAsia" w:ascii="宋体" w:hAnsi="宋体" w:cs="宋体"/>
          <w:sz w:val="24"/>
          <w:szCs w:val="24"/>
          <w:highlight w:val="none"/>
        </w:rPr>
        <w:t>）供应商在服务期内，供应商应成立网络安全应急响应服务团队（团队成员必须为供应商单位正式员工并具备信息安全相关专业资质），供应商应严格按照团队人员名单实施应急响应服务工作。发生紧急网络安全事件时，服务团队应在一个小时内到达用户现场，协助用户解决相关问题。</w:t>
      </w:r>
    </w:p>
    <w:p w14:paraId="347B6FC6">
      <w:pPr>
        <w:numPr>
          <w:ilvl w:val="0"/>
          <w:numId w:val="0"/>
        </w:numPr>
        <w:spacing w:line="400" w:lineRule="exact"/>
        <w:outlineLvl w:val="1"/>
        <w:rPr>
          <w:rFonts w:hint="eastAsia" w:ascii="宋体" w:hAnsi="宋体" w:cs="宋体"/>
          <w:b/>
          <w:bCs/>
          <w:sz w:val="24"/>
          <w:szCs w:val="21"/>
          <w:highlight w:val="none"/>
        </w:rPr>
      </w:pPr>
      <w:r>
        <w:rPr>
          <w:rFonts w:hint="eastAsia" w:ascii="宋体" w:hAnsi="宋体" w:cs="宋体"/>
          <w:sz w:val="24"/>
          <w:szCs w:val="24"/>
          <w:highlight w:val="none"/>
        </w:rPr>
        <w:br w:type="page"/>
      </w:r>
      <w:bookmarkStart w:id="225" w:name="_Toc2148"/>
      <w:r>
        <w:rPr>
          <w:rFonts w:hint="eastAsia" w:ascii="宋体" w:hAnsi="宋体" w:eastAsia="宋体" w:cs="宋体"/>
          <w:b/>
          <w:kern w:val="2"/>
          <w:sz w:val="24"/>
          <w:highlight w:val="none"/>
          <w:lang w:val="en-US" w:eastAsia="zh-CN" w:bidi="ar-SA"/>
        </w:rPr>
        <w:t>※四、项目成果要求</w:t>
      </w:r>
      <w:bookmarkEnd w:id="225"/>
    </w:p>
    <w:p w14:paraId="7DBB5D8C">
      <w:pPr>
        <w:snapToGrid w:val="0"/>
        <w:spacing w:line="400" w:lineRule="exact"/>
        <w:ind w:firstLine="480" w:firstLineChars="200"/>
        <w:rPr>
          <w:rFonts w:hint="eastAsia" w:ascii="宋体" w:hAnsi="宋体" w:cs="宋体"/>
          <w:sz w:val="24"/>
          <w:szCs w:val="21"/>
          <w:highlight w:val="none"/>
        </w:rPr>
      </w:pPr>
      <w:r>
        <w:rPr>
          <w:rFonts w:hint="eastAsia" w:ascii="宋体" w:hAnsi="宋体" w:cs="宋体"/>
          <w:sz w:val="24"/>
          <w:szCs w:val="21"/>
          <w:highlight w:val="none"/>
        </w:rPr>
        <w:t>本项目需要形成针对待测评系统的网络安全等级保护测评报告。主要包括系统测评记录、安全扫描及渗透测试报告、系统风险分析、系统等级测评报告等。</w:t>
      </w:r>
    </w:p>
    <w:p w14:paraId="1F34A4E7">
      <w:pPr>
        <w:pStyle w:val="5"/>
        <w:adjustRightInd w:val="0"/>
        <w:snapToGrid w:val="0"/>
        <w:spacing w:before="0" w:after="0" w:line="400" w:lineRule="exact"/>
        <w:rPr>
          <w:rFonts w:hint="eastAsia" w:ascii="宋体" w:hAnsi="宋体" w:eastAsia="宋体" w:cs="宋体"/>
          <w:highlight w:val="none"/>
        </w:rPr>
      </w:pPr>
      <w:bookmarkStart w:id="226" w:name="_Toc68614595"/>
      <w:bookmarkStart w:id="227" w:name="_Toc14491"/>
      <w:r>
        <w:rPr>
          <w:rFonts w:hint="eastAsia" w:ascii="宋体" w:hAnsi="宋体" w:eastAsia="宋体" w:cs="宋体"/>
          <w:highlight w:val="none"/>
        </w:rPr>
        <w:t>五、项目管理要求</w:t>
      </w:r>
      <w:bookmarkEnd w:id="226"/>
      <w:bookmarkEnd w:id="227"/>
    </w:p>
    <w:p w14:paraId="5BC87070">
      <w:pPr>
        <w:snapToGrid w:val="0"/>
        <w:spacing w:line="400" w:lineRule="exact"/>
        <w:ind w:firstLine="480" w:firstLineChars="200"/>
        <w:rPr>
          <w:rFonts w:hint="eastAsia" w:ascii="宋体" w:hAnsi="宋体" w:cs="宋体"/>
          <w:color w:val="auto"/>
          <w:kern w:val="0"/>
          <w:sz w:val="24"/>
          <w:szCs w:val="24"/>
          <w:highlight w:val="none"/>
        </w:rPr>
      </w:pPr>
      <w:r>
        <w:rPr>
          <w:rFonts w:hint="eastAsia" w:ascii="宋体" w:hAnsi="宋体" w:cs="宋体"/>
          <w:sz w:val="24"/>
          <w:szCs w:val="21"/>
          <w:highlight w:val="none"/>
        </w:rPr>
        <w:t>供应商需提供详细的项目实施方案，应配备1个独立的项目管理小组，提供项目团队人员安排、项目进度安排、项目关键点控制计划与方案、项目安全控制计划与方案等，同</w:t>
      </w:r>
      <w:r>
        <w:rPr>
          <w:rFonts w:hint="eastAsia" w:ascii="宋体" w:hAnsi="宋体" w:cs="宋体"/>
          <w:color w:val="auto"/>
          <w:sz w:val="24"/>
          <w:szCs w:val="21"/>
          <w:highlight w:val="none"/>
        </w:rPr>
        <w:t>时</w:t>
      </w:r>
      <w:r>
        <w:rPr>
          <w:rFonts w:hint="eastAsia" w:ascii="宋体" w:hAnsi="宋体" w:cs="宋体"/>
          <w:color w:val="auto"/>
          <w:kern w:val="0"/>
          <w:sz w:val="24"/>
          <w:szCs w:val="24"/>
          <w:highlight w:val="none"/>
        </w:rPr>
        <w:t>，严格按照项目方案和计划开展工作，确保项目顺利实施。</w:t>
      </w:r>
    </w:p>
    <w:p w14:paraId="5D80F780">
      <w:pPr>
        <w:snapToGrid w:val="0"/>
        <w:spacing w:line="40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供应商应承诺提供现场实施服务，办公场地原则上由供应商自行解决</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提供承诺函，格式自拟）</w:t>
      </w:r>
      <w:r>
        <w:rPr>
          <w:rFonts w:hint="eastAsia" w:ascii="宋体" w:hAnsi="宋体" w:cs="宋体"/>
          <w:color w:val="auto"/>
          <w:kern w:val="0"/>
          <w:sz w:val="24"/>
          <w:szCs w:val="24"/>
          <w:highlight w:val="none"/>
        </w:rPr>
        <w:t>。</w:t>
      </w:r>
    </w:p>
    <w:p w14:paraId="11E82D95">
      <w:pPr>
        <w:snapToGrid w:val="0"/>
        <w:spacing w:line="40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★（一）项目团队要求</w:t>
      </w:r>
    </w:p>
    <w:p w14:paraId="048C6196">
      <w:pPr>
        <w:snapToGrid w:val="0"/>
        <w:spacing w:line="40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供应商应成立不少于</w:t>
      </w:r>
      <w:r>
        <w:rPr>
          <w:rFonts w:ascii="宋体" w:hAnsi="宋体" w:cs="宋体"/>
          <w:color w:val="auto"/>
          <w:kern w:val="0"/>
          <w:sz w:val="24"/>
          <w:szCs w:val="24"/>
          <w:highlight w:val="none"/>
        </w:rPr>
        <w:t>5</w:t>
      </w:r>
      <w:r>
        <w:rPr>
          <w:rFonts w:hint="eastAsia" w:ascii="宋体" w:hAnsi="宋体" w:cs="宋体"/>
          <w:color w:val="auto"/>
          <w:kern w:val="0"/>
          <w:sz w:val="24"/>
          <w:szCs w:val="24"/>
          <w:highlight w:val="none"/>
        </w:rPr>
        <w:t>人的项目服务团队</w:t>
      </w:r>
      <w:r>
        <w:rPr>
          <w:rFonts w:hint="eastAsia" w:ascii="宋体" w:hAnsi="宋体" w:cs="宋体"/>
          <w:color w:val="auto"/>
          <w:kern w:val="0"/>
          <w:sz w:val="24"/>
          <w:szCs w:val="24"/>
          <w:highlight w:val="none"/>
          <w:lang w:val="en-US" w:eastAsia="zh-CN"/>
        </w:rPr>
        <w:t>在</w:t>
      </w:r>
      <w:r>
        <w:rPr>
          <w:rFonts w:hint="eastAsia" w:ascii="宋体" w:hAnsi="宋体" w:cs="宋体"/>
          <w:color w:val="auto"/>
          <w:kern w:val="0"/>
          <w:sz w:val="24"/>
          <w:szCs w:val="24"/>
          <w:highlight w:val="none"/>
        </w:rPr>
        <w:t>实施期间提供现场</w:t>
      </w:r>
      <w:r>
        <w:rPr>
          <w:rFonts w:hint="eastAsia" w:ascii="宋体" w:hAnsi="宋体" w:cs="宋体"/>
          <w:color w:val="auto"/>
          <w:kern w:val="0"/>
          <w:sz w:val="24"/>
          <w:szCs w:val="24"/>
          <w:highlight w:val="none"/>
          <w:lang w:val="en-US" w:eastAsia="zh-CN"/>
        </w:rPr>
        <w:t>服务</w:t>
      </w:r>
      <w:r>
        <w:rPr>
          <w:rFonts w:hint="eastAsia" w:ascii="宋体" w:hAnsi="宋体" w:cs="宋体"/>
          <w:color w:val="auto"/>
          <w:kern w:val="0"/>
          <w:sz w:val="24"/>
          <w:szCs w:val="24"/>
          <w:highlight w:val="none"/>
        </w:rPr>
        <w:t>。项目服务团队由项目经理、技术人员（不少于</w:t>
      </w:r>
      <w:r>
        <w:rPr>
          <w:rFonts w:ascii="宋体" w:hAnsi="宋体" w:cs="宋体"/>
          <w:color w:val="auto"/>
          <w:kern w:val="0"/>
          <w:sz w:val="24"/>
          <w:szCs w:val="24"/>
          <w:highlight w:val="none"/>
        </w:rPr>
        <w:t>4</w:t>
      </w:r>
      <w:r>
        <w:rPr>
          <w:rFonts w:hint="eastAsia" w:ascii="宋体" w:hAnsi="宋体" w:cs="宋体"/>
          <w:color w:val="auto"/>
          <w:kern w:val="0"/>
          <w:sz w:val="24"/>
          <w:szCs w:val="24"/>
          <w:highlight w:val="none"/>
        </w:rPr>
        <w:t>人）组成</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rPr>
        <w:t>该团队的技术人员</w:t>
      </w:r>
      <w:r>
        <w:rPr>
          <w:rFonts w:hint="eastAsia" w:ascii="宋体" w:hAnsi="宋体" w:cs="宋体"/>
          <w:color w:val="auto"/>
          <w:kern w:val="0"/>
          <w:sz w:val="24"/>
          <w:szCs w:val="24"/>
          <w:highlight w:val="none"/>
          <w:lang w:val="en-US" w:eastAsia="zh-CN"/>
        </w:rPr>
        <w:t>应</w:t>
      </w:r>
      <w:r>
        <w:rPr>
          <w:rFonts w:hint="eastAsia" w:ascii="宋体" w:hAnsi="宋体" w:cs="宋体"/>
          <w:color w:val="auto"/>
          <w:kern w:val="0"/>
          <w:sz w:val="24"/>
          <w:szCs w:val="24"/>
          <w:highlight w:val="none"/>
        </w:rPr>
        <w:t>具备安全等级保护测评经验。</w:t>
      </w:r>
    </w:p>
    <w:p w14:paraId="263A4926">
      <w:pPr>
        <w:snapToGrid w:val="0"/>
        <w:spacing w:line="400" w:lineRule="exact"/>
        <w:ind w:firstLine="480" w:firstLineChars="200"/>
        <w:rPr>
          <w:rFonts w:hint="eastAsia" w:ascii="宋体" w:hAnsi="宋体" w:cs="宋体"/>
          <w:kern w:val="0"/>
          <w:sz w:val="24"/>
          <w:szCs w:val="24"/>
          <w:highlight w:val="none"/>
        </w:rPr>
      </w:pPr>
      <w:r>
        <w:rPr>
          <w:rFonts w:hint="eastAsia" w:ascii="宋体" w:hAnsi="宋体" w:cs="宋体"/>
          <w:kern w:val="0"/>
          <w:sz w:val="24"/>
          <w:szCs w:val="24"/>
          <w:highlight w:val="none"/>
        </w:rPr>
        <w:t>★（二）人员稳定性保证</w:t>
      </w:r>
    </w:p>
    <w:p w14:paraId="13E223F5">
      <w:pPr>
        <w:snapToGrid w:val="0"/>
        <w:spacing w:line="400" w:lineRule="exact"/>
        <w:ind w:firstLine="480" w:firstLineChars="200"/>
        <w:rPr>
          <w:rFonts w:hint="eastAsia" w:ascii="宋体" w:hAnsi="宋体" w:cs="宋体"/>
          <w:sz w:val="24"/>
          <w:szCs w:val="21"/>
          <w:highlight w:val="none"/>
        </w:rPr>
      </w:pPr>
      <w:r>
        <w:rPr>
          <w:rFonts w:hint="eastAsia" w:ascii="宋体" w:hAnsi="宋体" w:cs="宋体"/>
          <w:kern w:val="0"/>
          <w:sz w:val="24"/>
          <w:szCs w:val="24"/>
          <w:highlight w:val="none"/>
        </w:rPr>
        <w:t>供应商在项目实施中应保障项目管理小组人员稳定，若有替换，必须与采购人协商，未经采购人同意，人员变动扣除项目1%/人，采购人有权终止项目。项目组人员可根据工程建设不同阶段的工作需要进行</w:t>
      </w:r>
      <w:r>
        <w:rPr>
          <w:rFonts w:hint="eastAsia" w:ascii="宋体" w:hAnsi="宋体" w:cs="宋体"/>
          <w:sz w:val="24"/>
          <w:szCs w:val="21"/>
          <w:highlight w:val="none"/>
        </w:rPr>
        <w:t>调配。项目管理小组人员必须是供应商本单位正式员工。</w:t>
      </w:r>
    </w:p>
    <w:p w14:paraId="3F213972">
      <w:pPr>
        <w:snapToGrid w:val="0"/>
        <w:spacing w:line="400" w:lineRule="exact"/>
        <w:ind w:firstLine="480" w:firstLineChars="200"/>
        <w:rPr>
          <w:rFonts w:hint="eastAsia" w:ascii="宋体" w:hAnsi="宋体" w:cs="宋体"/>
          <w:sz w:val="24"/>
          <w:szCs w:val="21"/>
          <w:highlight w:val="none"/>
        </w:rPr>
      </w:pPr>
      <w:r>
        <w:rPr>
          <w:rFonts w:hint="eastAsia" w:ascii="宋体" w:hAnsi="宋体" w:cs="宋体"/>
          <w:kern w:val="0"/>
          <w:sz w:val="24"/>
          <w:szCs w:val="24"/>
          <w:highlight w:val="none"/>
        </w:rPr>
        <w:t>★</w:t>
      </w:r>
      <w:r>
        <w:rPr>
          <w:rFonts w:hint="eastAsia" w:ascii="宋体" w:hAnsi="宋体" w:cs="宋体"/>
          <w:sz w:val="24"/>
          <w:szCs w:val="21"/>
          <w:highlight w:val="none"/>
        </w:rPr>
        <w:t>（三）人员工作经验保证</w:t>
      </w:r>
    </w:p>
    <w:p w14:paraId="40EFA653">
      <w:pPr>
        <w:snapToGrid w:val="0"/>
        <w:spacing w:line="400" w:lineRule="exact"/>
        <w:ind w:firstLine="480" w:firstLineChars="200"/>
        <w:rPr>
          <w:rFonts w:hint="eastAsia" w:ascii="宋体" w:hAnsi="宋体" w:cs="宋体"/>
          <w:sz w:val="24"/>
          <w:szCs w:val="21"/>
          <w:highlight w:val="none"/>
        </w:rPr>
      </w:pPr>
      <w:r>
        <w:rPr>
          <w:rFonts w:hint="eastAsia" w:ascii="宋体" w:hAnsi="宋体" w:cs="宋体"/>
          <w:sz w:val="24"/>
          <w:szCs w:val="21"/>
          <w:highlight w:val="none"/>
        </w:rPr>
        <w:t>供应商要建立实施该项目的组织架构，供应商确定的项目经理需具有3年以上的等级保护测评经验，项目经理不得在项目建设期间同时担任其他项目团队工作。</w:t>
      </w:r>
    </w:p>
    <w:p w14:paraId="34E2F489">
      <w:pPr>
        <w:snapToGrid w:val="0"/>
        <w:spacing w:line="400" w:lineRule="exact"/>
        <w:ind w:firstLine="480" w:firstLineChars="200"/>
        <w:rPr>
          <w:rFonts w:hint="eastAsia" w:ascii="宋体" w:hAnsi="宋体" w:cs="宋体"/>
          <w:sz w:val="24"/>
          <w:szCs w:val="21"/>
          <w:highlight w:val="none"/>
        </w:rPr>
      </w:pPr>
      <w:r>
        <w:rPr>
          <w:rFonts w:hint="eastAsia" w:ascii="宋体" w:hAnsi="宋体" w:cs="宋体"/>
          <w:sz w:val="24"/>
          <w:szCs w:val="21"/>
          <w:highlight w:val="none"/>
        </w:rPr>
        <w:t>供应商应能够提供经验丰富的项目实施队伍参与此项目的实施。</w:t>
      </w:r>
    </w:p>
    <w:p w14:paraId="5C92FD25">
      <w:pPr>
        <w:spacing w:line="400" w:lineRule="exact"/>
        <w:ind w:firstLine="480" w:firstLineChars="200"/>
        <w:rPr>
          <w:rFonts w:hint="eastAsia" w:ascii="宋体" w:hAnsi="宋体" w:cs="宋体"/>
          <w:sz w:val="24"/>
          <w:szCs w:val="21"/>
          <w:highlight w:val="none"/>
        </w:rPr>
      </w:pPr>
      <w:r>
        <w:rPr>
          <w:rFonts w:hint="eastAsia" w:ascii="宋体" w:hAnsi="宋体" w:cs="宋体"/>
          <w:kern w:val="0"/>
          <w:sz w:val="24"/>
          <w:szCs w:val="24"/>
          <w:highlight w:val="none"/>
        </w:rPr>
        <w:t>★</w:t>
      </w:r>
      <w:r>
        <w:rPr>
          <w:rFonts w:hint="eastAsia" w:ascii="宋体" w:hAnsi="宋体" w:cs="宋体"/>
          <w:sz w:val="24"/>
          <w:szCs w:val="21"/>
          <w:highlight w:val="none"/>
        </w:rPr>
        <w:t>（四）应急响应要求</w:t>
      </w:r>
    </w:p>
    <w:p w14:paraId="6477C4B1">
      <w:pPr>
        <w:snapToGrid w:val="0"/>
        <w:spacing w:line="440" w:lineRule="exact"/>
        <w:ind w:firstLine="480" w:firstLineChars="200"/>
        <w:outlineLvl w:val="9"/>
        <w:rPr>
          <w:rFonts w:ascii="宋体" w:hAnsi="宋体" w:cs="宋体"/>
          <w:sz w:val="24"/>
          <w:szCs w:val="21"/>
          <w:highlight w:val="none"/>
        </w:rPr>
      </w:pPr>
      <w:r>
        <w:rPr>
          <w:rFonts w:hint="eastAsia" w:ascii="宋体" w:hAnsi="宋体" w:cs="宋体"/>
          <w:sz w:val="24"/>
          <w:szCs w:val="21"/>
          <w:highlight w:val="none"/>
        </w:rPr>
        <w:t>供应商在测评项目实施地应具备网络与信息安全信息通报中心支撑单位、信息通报机制成员单位或相关上级管理单位的对接能力，合同实施期间提供应急响应服务，当采购人遭受网络病毒、木马、黑客入侵、DOS攻击以及其他网络安全事件时，供应商接到采购人通知后进行现场排查处理安全事件，保障网络及系统的连续性，防止和减小安全事件带来的负面影响，并依照渝网通[2016]11号文《重庆市网络与信息安全信息通报工作</w:t>
      </w:r>
      <w:r>
        <w:rPr>
          <w:rFonts w:hint="eastAsia" w:ascii="宋体" w:hAnsi="宋体" w:cs="宋体"/>
          <w:sz w:val="24"/>
          <w:szCs w:val="21"/>
          <w:highlight w:val="none"/>
          <w:lang w:val="en-US" w:eastAsia="zh-CN"/>
        </w:rPr>
        <w:t>规范》要求，协助网络安全事件应急处置机制建设工作，落实网络安全应急处置通报工作。</w:t>
      </w:r>
      <w:r>
        <w:rPr>
          <w:rFonts w:hint="eastAsia" w:ascii="宋体" w:hAnsi="宋体" w:cs="宋体"/>
          <w:sz w:val="24"/>
          <w:szCs w:val="21"/>
          <w:highlight w:val="none"/>
          <w:lang w:eastAsia="zh-CN"/>
        </w:rPr>
        <w:t>（</w:t>
      </w:r>
      <w:r>
        <w:rPr>
          <w:rFonts w:hint="eastAsia" w:ascii="宋体" w:hAnsi="宋体" w:eastAsia="宋体" w:cs="宋体"/>
          <w:color w:val="auto"/>
          <w:sz w:val="24"/>
          <w:szCs w:val="24"/>
          <w:highlight w:val="none"/>
          <w:u w:val="none"/>
          <w:lang w:val="en-US" w:eastAsia="zh-CN"/>
        </w:rPr>
        <w:t>供应商须提供能力证明材料，如授权书，支持合作协议等材料并加盖公章）。</w:t>
      </w:r>
    </w:p>
    <w:p w14:paraId="6916C560">
      <w:pPr>
        <w:snapToGrid w:val="0"/>
        <w:spacing w:line="400" w:lineRule="exact"/>
        <w:ind w:firstLine="480" w:firstLineChars="200"/>
        <w:rPr>
          <w:rFonts w:hint="eastAsia" w:ascii="宋体" w:hAnsi="宋体" w:cs="宋体"/>
          <w:color w:val="auto"/>
          <w:sz w:val="24"/>
          <w:szCs w:val="21"/>
        </w:rPr>
        <w:sectPr>
          <w:footerReference r:id="rId8" w:type="default"/>
          <w:pgSz w:w="11907" w:h="16840"/>
          <w:pgMar w:top="1134" w:right="1191" w:bottom="1134" w:left="1304" w:header="851" w:footer="992" w:gutter="0"/>
          <w:pgNumType w:fmt="numberInDash"/>
          <w:cols w:space="720" w:num="1"/>
          <w:docGrid w:linePitch="380" w:charSpace="-5735"/>
        </w:sectPr>
      </w:pPr>
    </w:p>
    <w:p w14:paraId="76D82D86">
      <w:pPr>
        <w:pStyle w:val="4"/>
        <w:tabs>
          <w:tab w:val="left" w:pos="3360"/>
        </w:tabs>
        <w:rPr>
          <w:rFonts w:hint="eastAsia" w:cs="宋体"/>
          <w:bCs/>
          <w:color w:val="auto"/>
          <w:szCs w:val="36"/>
        </w:rPr>
      </w:pPr>
      <w:bookmarkStart w:id="228" w:name="_Toc106030882"/>
      <w:bookmarkStart w:id="229" w:name="_Toc22911"/>
      <w:bookmarkStart w:id="230" w:name="_Toc76462327"/>
      <w:bookmarkStart w:id="231" w:name="_Toc31455"/>
      <w:r>
        <w:rPr>
          <w:rFonts w:hint="eastAsia" w:cs="宋体"/>
          <w:bCs/>
          <w:color w:val="auto"/>
          <w:szCs w:val="36"/>
        </w:rPr>
        <w:t>第三篇  项目商务需求</w:t>
      </w:r>
      <w:bookmarkEnd w:id="228"/>
      <w:bookmarkEnd w:id="229"/>
      <w:bookmarkEnd w:id="230"/>
      <w:bookmarkEnd w:id="231"/>
    </w:p>
    <w:p w14:paraId="6529EB58">
      <w:pPr>
        <w:pStyle w:val="35"/>
        <w:spacing w:line="400" w:lineRule="exact"/>
        <w:ind w:firstLine="480" w:firstLineChars="200"/>
        <w:rPr>
          <w:rFonts w:hint="eastAsia" w:ascii="宋体" w:hAnsi="宋体" w:cs="宋体"/>
          <w:sz w:val="24"/>
          <w:szCs w:val="24"/>
          <w:highlight w:val="none"/>
        </w:rPr>
      </w:pPr>
      <w:bookmarkStart w:id="232" w:name="_Toc344475120"/>
      <w:bookmarkStart w:id="233" w:name="_Toc76462328"/>
      <w:bookmarkStart w:id="234" w:name="_Toc2607201"/>
      <w:bookmarkStart w:id="235" w:name="_Toc433726029"/>
      <w:bookmarkStart w:id="236" w:name="_Toc416792608"/>
      <w:bookmarkStart w:id="237" w:name="_Toc464637625"/>
      <w:r>
        <w:rPr>
          <w:rFonts w:hint="eastAsia" w:ascii="宋体" w:hAnsi="宋体" w:cs="宋体"/>
          <w:sz w:val="24"/>
          <w:szCs w:val="24"/>
          <w:highlight w:val="none"/>
        </w:rPr>
        <w:t>“※”标注的商务需求为符合性审查中的实质性要求，响应文件若不满足按无效响应处理。</w:t>
      </w:r>
    </w:p>
    <w:p w14:paraId="3B9D367C">
      <w:pPr>
        <w:pStyle w:val="5"/>
        <w:adjustRightInd w:val="0"/>
        <w:snapToGrid w:val="0"/>
        <w:spacing w:before="0" w:after="0" w:line="400" w:lineRule="exact"/>
        <w:ind w:firstLine="482" w:firstLineChars="200"/>
        <w:rPr>
          <w:rFonts w:hint="eastAsia" w:ascii="宋体" w:hAnsi="宋体" w:cs="宋体"/>
          <w:highlight w:val="none"/>
        </w:rPr>
      </w:pPr>
      <w:bookmarkStart w:id="238" w:name="_Toc11004"/>
      <w:bookmarkStart w:id="239" w:name="_Toc144754725"/>
      <w:bookmarkStart w:id="240" w:name="_Toc14726"/>
      <w:r>
        <w:rPr>
          <w:rFonts w:hint="eastAsia" w:ascii="宋体" w:hAnsi="宋体" w:cs="宋体"/>
          <w:highlight w:val="none"/>
        </w:rPr>
        <w:t>一、服务期、地点及验收方式</w:t>
      </w:r>
      <w:bookmarkEnd w:id="232"/>
      <w:bookmarkEnd w:id="233"/>
      <w:bookmarkEnd w:id="238"/>
      <w:bookmarkEnd w:id="239"/>
      <w:bookmarkEnd w:id="240"/>
    </w:p>
    <w:p w14:paraId="02B4465E">
      <w:pPr>
        <w:pStyle w:val="35"/>
        <w:spacing w:line="4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※（一）服务期</w:t>
      </w:r>
    </w:p>
    <w:p w14:paraId="4E361EAB">
      <w:pPr>
        <w:pStyle w:val="35"/>
        <w:spacing w:line="400" w:lineRule="exac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自合同签订生效之日起至具备测评条件后30个工作日内需完成测评等工作</w:t>
      </w:r>
      <w:r>
        <w:rPr>
          <w:rFonts w:hint="eastAsia" w:ascii="宋体" w:hAnsi="宋体" w:cs="宋体"/>
          <w:color w:val="000000"/>
          <w:sz w:val="24"/>
          <w:szCs w:val="24"/>
          <w:highlight w:val="none"/>
          <w:lang w:eastAsia="zh-CN"/>
        </w:rPr>
        <w:t>，并立即备案</w:t>
      </w:r>
      <w:r>
        <w:rPr>
          <w:rFonts w:hint="eastAsia" w:ascii="宋体" w:hAnsi="宋体" w:cs="宋体"/>
          <w:color w:val="000000"/>
          <w:sz w:val="24"/>
          <w:szCs w:val="24"/>
          <w:highlight w:val="none"/>
        </w:rPr>
        <w:t>。</w:t>
      </w:r>
    </w:p>
    <w:p w14:paraId="582CDE64">
      <w:pPr>
        <w:pStyle w:val="35"/>
        <w:spacing w:line="4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（二）服务地点</w:t>
      </w:r>
    </w:p>
    <w:p w14:paraId="114434E5">
      <w:pPr>
        <w:pStyle w:val="35"/>
        <w:spacing w:line="4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采购人指定地点。</w:t>
      </w:r>
    </w:p>
    <w:p w14:paraId="7D033405">
      <w:pPr>
        <w:pStyle w:val="35"/>
        <w:spacing w:line="4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（三）验收方式</w:t>
      </w:r>
    </w:p>
    <w:p w14:paraId="0EED684F">
      <w:pPr>
        <w:pStyle w:val="35"/>
        <w:spacing w:line="4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成交供应商提交系统测评相关的交付内容包括但不局限于：《网络安全等级保护测评报告》，《网络安全测评整改建议》；按采购人项目验收相关规定对服务结果进行验收，验收结论确认通过后视为验收合格。如成交供应商提交项目相关的材料达不到相关规定要求，采购人不予确认，视为该项目验收不合格，采购人有权立即终止合同。由此对采购人造成一定的损失，成交供应商应承担一切责任，并赔偿所造成的损失。</w:t>
      </w:r>
    </w:p>
    <w:p w14:paraId="79DDCF56">
      <w:pPr>
        <w:pStyle w:val="5"/>
        <w:adjustRightInd w:val="0"/>
        <w:snapToGrid w:val="0"/>
        <w:spacing w:before="0" w:after="0" w:line="400" w:lineRule="exact"/>
        <w:ind w:firstLine="482" w:firstLineChars="200"/>
        <w:rPr>
          <w:rFonts w:hint="eastAsia" w:ascii="宋体" w:hAnsi="宋体" w:cs="宋体"/>
          <w:highlight w:val="none"/>
        </w:rPr>
      </w:pPr>
      <w:bookmarkStart w:id="241" w:name="_Toc344475121"/>
      <w:bookmarkStart w:id="242" w:name="_Toc17868"/>
      <w:bookmarkStart w:id="243" w:name="_Toc76462329"/>
      <w:bookmarkStart w:id="244" w:name="_Toc144754726"/>
      <w:bookmarkStart w:id="245" w:name="_Toc12971"/>
      <w:r>
        <w:rPr>
          <w:rFonts w:hint="eastAsia" w:ascii="宋体" w:hAnsi="宋体" w:cs="宋体"/>
          <w:highlight w:val="none"/>
        </w:rPr>
        <w:t>二、</w:t>
      </w:r>
      <w:bookmarkEnd w:id="241"/>
      <w:r>
        <w:rPr>
          <w:rFonts w:hint="eastAsia" w:ascii="宋体" w:hAnsi="宋体" w:cs="宋体"/>
          <w:highlight w:val="none"/>
        </w:rPr>
        <w:t>报价要求</w:t>
      </w:r>
      <w:bookmarkEnd w:id="242"/>
      <w:bookmarkEnd w:id="243"/>
      <w:bookmarkEnd w:id="244"/>
      <w:bookmarkEnd w:id="245"/>
    </w:p>
    <w:p w14:paraId="237BBA2D">
      <w:pPr>
        <w:snapToGrid w:val="0"/>
        <w:spacing w:line="4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本次报价须为人民币报价,报价包括完成本项目所需的服务费、人工费及提供服务所需的其他费用、代理服务费及各种应纳的税费。因成交供应商自身原因造成漏报、少报皆由其自行承担责任，采购人不再补偿。投标报价不得超过最高限价和采购预算。</w:t>
      </w:r>
    </w:p>
    <w:p w14:paraId="3E185F9A">
      <w:pPr>
        <w:pStyle w:val="5"/>
        <w:adjustRightInd w:val="0"/>
        <w:snapToGrid w:val="0"/>
        <w:spacing w:before="0" w:after="0" w:line="400" w:lineRule="exact"/>
        <w:ind w:firstLine="482" w:firstLineChars="200"/>
        <w:rPr>
          <w:rFonts w:hint="eastAsia" w:ascii="宋体" w:hAnsi="宋体" w:cs="宋体"/>
          <w:highlight w:val="none"/>
        </w:rPr>
      </w:pPr>
      <w:bookmarkStart w:id="246" w:name="_Toc76462330"/>
      <w:bookmarkStart w:id="247" w:name="_Toc144754727"/>
      <w:bookmarkStart w:id="248" w:name="_Toc344475122"/>
      <w:bookmarkStart w:id="249" w:name="_Toc4899"/>
      <w:bookmarkStart w:id="250" w:name="_Toc6050"/>
      <w:r>
        <w:rPr>
          <w:rFonts w:hint="eastAsia" w:ascii="宋体" w:hAnsi="宋体" w:cs="宋体"/>
          <w:highlight w:val="none"/>
        </w:rPr>
        <w:t>三、付款方式</w:t>
      </w:r>
      <w:bookmarkEnd w:id="246"/>
      <w:bookmarkEnd w:id="247"/>
      <w:bookmarkEnd w:id="248"/>
      <w:bookmarkEnd w:id="249"/>
      <w:bookmarkEnd w:id="250"/>
    </w:p>
    <w:p w14:paraId="06A1E02A">
      <w:pPr>
        <w:snapToGrid w:val="0"/>
        <w:spacing w:line="400" w:lineRule="exact"/>
        <w:ind w:firstLine="480" w:firstLineChars="200"/>
        <w:rPr>
          <w:rFonts w:hint="eastAsia" w:ascii="宋体" w:hAnsi="宋体" w:cs="宋体"/>
          <w:kern w:val="0"/>
          <w:sz w:val="24"/>
          <w:szCs w:val="24"/>
          <w:highlight w:val="none"/>
        </w:rPr>
      </w:pPr>
      <w:r>
        <w:rPr>
          <w:rFonts w:hint="eastAsia" w:ascii="宋体" w:hAnsi="宋体" w:cs="宋体"/>
          <w:kern w:val="0"/>
          <w:sz w:val="24"/>
          <w:szCs w:val="24"/>
          <w:highlight w:val="none"/>
        </w:rPr>
        <w:t>（一）合同签订后，采购人收到成交供应商支付申请及发票与预付款同等额度的担保函后，向成交供应商支付合同首款，即合同总额（含税）的50%；</w:t>
      </w:r>
    </w:p>
    <w:p w14:paraId="1BAA230E">
      <w:pPr>
        <w:snapToGrid w:val="0"/>
        <w:spacing w:line="400" w:lineRule="exact"/>
        <w:ind w:firstLine="480" w:firstLineChars="200"/>
        <w:rPr>
          <w:rFonts w:hint="eastAsia" w:ascii="宋体" w:hAnsi="宋体" w:cs="宋体"/>
          <w:kern w:val="0"/>
          <w:sz w:val="24"/>
          <w:szCs w:val="24"/>
          <w:highlight w:val="none"/>
        </w:rPr>
      </w:pPr>
      <w:r>
        <w:rPr>
          <w:rFonts w:hint="eastAsia" w:ascii="宋体" w:hAnsi="宋体" w:cs="宋体"/>
          <w:kern w:val="0"/>
          <w:sz w:val="24"/>
          <w:szCs w:val="24"/>
          <w:highlight w:val="none"/>
        </w:rPr>
        <w:t>（二）成交供应商按交付要求完成等保测评工作，并出具最终成果交付物后，采购人验收通过后。成交供应商开具合法合规发票，采购人向成交供应商支付合同尾款，即合同总额（含税）的50%</w:t>
      </w:r>
      <w:r>
        <w:rPr>
          <w:rFonts w:hint="eastAsia" w:ascii="宋体" w:hAnsi="宋体" w:cs="宋体"/>
          <w:sz w:val="24"/>
          <w:szCs w:val="24"/>
          <w:highlight w:val="none"/>
        </w:rPr>
        <w:t>并退还预付款保函。</w:t>
      </w:r>
    </w:p>
    <w:p w14:paraId="5187C91C">
      <w:pPr>
        <w:pStyle w:val="5"/>
        <w:adjustRightInd w:val="0"/>
        <w:snapToGrid w:val="0"/>
        <w:spacing w:before="0" w:after="0" w:line="400" w:lineRule="exact"/>
        <w:ind w:firstLine="482" w:firstLineChars="200"/>
        <w:rPr>
          <w:rFonts w:hint="eastAsia" w:ascii="宋体" w:hAnsi="宋体" w:cs="宋体"/>
          <w:highlight w:val="none"/>
        </w:rPr>
      </w:pPr>
      <w:bookmarkStart w:id="251" w:name="_Toc21751"/>
      <w:bookmarkStart w:id="252" w:name="_Toc144754728"/>
      <w:bookmarkStart w:id="253" w:name="_Toc26743"/>
      <w:r>
        <w:rPr>
          <w:rFonts w:hint="eastAsia" w:ascii="宋体" w:hAnsi="宋体" w:cs="宋体"/>
          <w:highlight w:val="none"/>
        </w:rPr>
        <w:t>四、知识产权</w:t>
      </w:r>
      <w:bookmarkEnd w:id="251"/>
      <w:bookmarkEnd w:id="252"/>
      <w:bookmarkEnd w:id="253"/>
    </w:p>
    <w:p w14:paraId="6E45E44F">
      <w:pPr>
        <w:snapToGrid w:val="0"/>
        <w:spacing w:line="400" w:lineRule="exact"/>
        <w:ind w:firstLine="540"/>
        <w:rPr>
          <w:rFonts w:hint="eastAsia" w:ascii="宋体" w:hAnsi="宋体" w:cs="宋体"/>
          <w:sz w:val="24"/>
          <w:szCs w:val="24"/>
          <w:highlight w:val="none"/>
        </w:rPr>
      </w:pPr>
      <w:r>
        <w:rPr>
          <w:rFonts w:hint="eastAsia" w:ascii="宋体" w:hAnsi="宋体" w:cs="宋体"/>
          <w:sz w:val="24"/>
          <w:szCs w:val="24"/>
          <w:highlight w:val="none"/>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6587C9DA">
      <w:pPr>
        <w:snapToGrid w:val="0"/>
        <w:spacing w:line="400" w:lineRule="exact"/>
        <w:ind w:firstLine="540"/>
        <w:rPr>
          <w:rFonts w:hint="eastAsia" w:ascii="宋体" w:hAnsi="宋体" w:cs="宋体"/>
          <w:sz w:val="24"/>
          <w:szCs w:val="24"/>
          <w:highlight w:val="none"/>
        </w:rPr>
      </w:pPr>
      <w:r>
        <w:rPr>
          <w:rFonts w:hint="eastAsia" w:ascii="宋体" w:hAnsi="宋体" w:cs="宋体"/>
          <w:sz w:val="24"/>
          <w:szCs w:val="24"/>
          <w:highlight w:val="none"/>
        </w:rPr>
        <w:t>注:（若涉及软件开发等服务类项目知识产权的，知识产权归采购人所有）。</w:t>
      </w:r>
    </w:p>
    <w:p w14:paraId="029B87C7">
      <w:pPr>
        <w:pStyle w:val="5"/>
        <w:adjustRightInd w:val="0"/>
        <w:snapToGrid w:val="0"/>
        <w:spacing w:before="0" w:after="0" w:line="400" w:lineRule="exact"/>
        <w:ind w:firstLine="482" w:firstLineChars="200"/>
        <w:rPr>
          <w:rFonts w:hint="eastAsia" w:ascii="宋体" w:hAnsi="宋体" w:cs="宋体"/>
          <w:highlight w:val="none"/>
        </w:rPr>
      </w:pPr>
      <w:bookmarkStart w:id="254" w:name="_Toc144754730"/>
      <w:bookmarkStart w:id="255" w:name="_Toc18523"/>
      <w:bookmarkStart w:id="256" w:name="_Toc25594"/>
      <w:r>
        <w:rPr>
          <w:rFonts w:hint="eastAsia" w:ascii="宋体" w:hAnsi="宋体" w:cs="宋体"/>
          <w:highlight w:val="none"/>
        </w:rPr>
        <w:t>五、保密</w:t>
      </w:r>
      <w:bookmarkEnd w:id="254"/>
      <w:bookmarkEnd w:id="255"/>
      <w:bookmarkEnd w:id="256"/>
    </w:p>
    <w:p w14:paraId="362F94B8">
      <w:pPr>
        <w:snapToGrid w:val="0"/>
        <w:spacing w:line="400" w:lineRule="exact"/>
        <w:ind w:firstLine="480" w:firstLineChars="200"/>
        <w:rPr>
          <w:rFonts w:hint="eastAsia" w:ascii="宋体" w:hAnsi="宋体" w:cs="宋体"/>
          <w:kern w:val="0"/>
          <w:sz w:val="24"/>
          <w:szCs w:val="24"/>
          <w:highlight w:val="none"/>
        </w:rPr>
      </w:pPr>
      <w:r>
        <w:rPr>
          <w:rFonts w:hint="eastAsia" w:ascii="宋体" w:hAnsi="宋体" w:cs="宋体"/>
          <w:kern w:val="0"/>
          <w:sz w:val="24"/>
          <w:szCs w:val="24"/>
          <w:highlight w:val="none"/>
        </w:rPr>
        <w:t>成交供应商</w:t>
      </w:r>
      <w:r>
        <w:rPr>
          <w:rFonts w:hint="eastAsia" w:ascii="宋体" w:hAnsi="宋体" w:cs="宋体"/>
          <w:bCs/>
          <w:kern w:val="0"/>
          <w:sz w:val="24"/>
          <w:szCs w:val="24"/>
          <w:highlight w:val="none"/>
        </w:rPr>
        <w:t>(含项目组所有成员)必须对项目技术文件以及由</w:t>
      </w:r>
      <w:r>
        <w:rPr>
          <w:rFonts w:hint="eastAsia" w:ascii="宋体" w:hAnsi="宋体" w:cs="宋体"/>
          <w:kern w:val="0"/>
          <w:sz w:val="24"/>
          <w:szCs w:val="24"/>
          <w:highlight w:val="none"/>
        </w:rPr>
        <w:t>采购人</w:t>
      </w:r>
      <w:r>
        <w:rPr>
          <w:rFonts w:hint="eastAsia" w:ascii="宋体" w:hAnsi="宋体" w:cs="宋体"/>
          <w:bCs/>
          <w:kern w:val="0"/>
          <w:sz w:val="24"/>
          <w:szCs w:val="24"/>
          <w:highlight w:val="none"/>
        </w:rPr>
        <w:t>提供的所有内部资料、技术文档、数据和信息予以保密。</w:t>
      </w:r>
      <w:r>
        <w:rPr>
          <w:rFonts w:hint="eastAsia" w:ascii="宋体" w:hAnsi="宋体" w:cs="宋体"/>
          <w:kern w:val="0"/>
          <w:sz w:val="24"/>
          <w:szCs w:val="24"/>
          <w:highlight w:val="none"/>
        </w:rPr>
        <w:t>成交供应商及</w:t>
      </w:r>
      <w:r>
        <w:rPr>
          <w:rFonts w:hint="eastAsia" w:ascii="宋体" w:hAnsi="宋体" w:cs="宋体"/>
          <w:bCs/>
          <w:kern w:val="0"/>
          <w:sz w:val="24"/>
          <w:szCs w:val="24"/>
          <w:highlight w:val="none"/>
        </w:rPr>
        <w:t>相关实施人员按照要求同</w:t>
      </w:r>
      <w:r>
        <w:rPr>
          <w:rFonts w:hint="eastAsia" w:ascii="宋体" w:hAnsi="宋体" w:cs="宋体"/>
          <w:kern w:val="0"/>
          <w:sz w:val="24"/>
          <w:szCs w:val="24"/>
          <w:highlight w:val="none"/>
        </w:rPr>
        <w:t>采购人</w:t>
      </w:r>
      <w:r>
        <w:rPr>
          <w:rFonts w:hint="eastAsia" w:ascii="宋体" w:hAnsi="宋体" w:cs="宋体"/>
          <w:bCs/>
          <w:kern w:val="0"/>
          <w:sz w:val="24"/>
          <w:szCs w:val="24"/>
          <w:highlight w:val="none"/>
        </w:rPr>
        <w:t>签订保密协议，未经书面许可，不得以任何形式向第三方透露本项目的任何内容。</w:t>
      </w:r>
      <w:r>
        <w:rPr>
          <w:rFonts w:hint="eastAsia" w:ascii="宋体" w:hAnsi="宋体" w:cs="宋体"/>
          <w:sz w:val="24"/>
          <w:szCs w:val="21"/>
          <w:highlight w:val="none"/>
        </w:rPr>
        <w:t>（供应商须提供承诺函并加盖公章）。</w:t>
      </w:r>
    </w:p>
    <w:bookmarkEnd w:id="234"/>
    <w:bookmarkEnd w:id="235"/>
    <w:bookmarkEnd w:id="236"/>
    <w:bookmarkEnd w:id="237"/>
    <w:p w14:paraId="7FE854A4">
      <w:pPr>
        <w:pStyle w:val="5"/>
        <w:adjustRightInd w:val="0"/>
        <w:snapToGrid w:val="0"/>
        <w:spacing w:before="0" w:after="0" w:line="400" w:lineRule="exact"/>
        <w:ind w:firstLine="482" w:firstLineChars="200"/>
        <w:rPr>
          <w:rFonts w:hint="eastAsia" w:ascii="宋体" w:hAnsi="宋体" w:eastAsia="宋体" w:cs="宋体"/>
          <w:highlight w:val="none"/>
        </w:rPr>
      </w:pPr>
      <w:bookmarkStart w:id="257" w:name="_Toc7378"/>
      <w:bookmarkStart w:id="258" w:name="_Toc5269"/>
      <w:bookmarkStart w:id="259" w:name="_Toc28495"/>
      <w:bookmarkStart w:id="260" w:name="_Toc37163769"/>
      <w:bookmarkStart w:id="261" w:name="_Toc16601"/>
      <w:bookmarkStart w:id="262" w:name="_Toc525915223"/>
      <w:bookmarkStart w:id="263" w:name="_Toc25279"/>
      <w:bookmarkStart w:id="264" w:name="_Toc14268"/>
      <w:bookmarkStart w:id="265" w:name="_Toc344475125"/>
      <w:r>
        <w:rPr>
          <w:rFonts w:hint="eastAsia" w:ascii="宋体" w:hAnsi="宋体" w:eastAsia="宋体" w:cs="宋体"/>
          <w:highlight w:val="none"/>
        </w:rPr>
        <w:t>六、其他</w:t>
      </w:r>
      <w:bookmarkEnd w:id="257"/>
      <w:bookmarkEnd w:id="258"/>
      <w:bookmarkEnd w:id="259"/>
      <w:bookmarkEnd w:id="260"/>
      <w:bookmarkEnd w:id="261"/>
      <w:bookmarkEnd w:id="262"/>
      <w:bookmarkEnd w:id="263"/>
      <w:bookmarkEnd w:id="264"/>
    </w:p>
    <w:bookmarkEnd w:id="265"/>
    <w:p w14:paraId="6400C92B">
      <w:pPr>
        <w:snapToGrid w:val="0"/>
        <w:spacing w:line="400" w:lineRule="exact"/>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（一）供应商必须在响应文件中对以上条款和服务承诺明确列出，承诺内容必须达到本篇及采购文件文件其他条款的要求。</w:t>
      </w:r>
    </w:p>
    <w:p w14:paraId="662C6B83">
      <w:pPr>
        <w:snapToGrid w:val="0"/>
        <w:spacing w:line="400" w:lineRule="exact"/>
        <w:ind w:firstLine="480" w:firstLineChars="200"/>
        <w:rPr>
          <w:rFonts w:hint="eastAsia" w:ascii="宋体" w:hAnsi="宋体" w:eastAsia="宋体" w:cs="宋体"/>
          <w:kern w:val="0"/>
          <w:sz w:val="24"/>
          <w:szCs w:val="24"/>
          <w:highlight w:val="none"/>
        </w:rPr>
        <w:sectPr>
          <w:pgSz w:w="11907" w:h="16840"/>
          <w:pgMar w:top="1134" w:right="1191" w:bottom="1134" w:left="1304" w:header="851" w:footer="992" w:gutter="0"/>
          <w:pgNumType w:fmt="numberInDash"/>
          <w:cols w:space="720" w:num="1"/>
          <w:docGrid w:linePitch="380" w:charSpace="-5735"/>
        </w:sectPr>
      </w:pPr>
      <w:r>
        <w:rPr>
          <w:rFonts w:hint="eastAsia" w:ascii="宋体" w:hAnsi="宋体" w:eastAsia="宋体" w:cs="宋体"/>
          <w:kern w:val="0"/>
          <w:sz w:val="24"/>
          <w:szCs w:val="24"/>
          <w:highlight w:val="none"/>
        </w:rPr>
        <w:t>（二）其他未尽事宜由供需双方在采购合同中详细约定。</w:t>
      </w:r>
    </w:p>
    <w:p w14:paraId="13D6F60B">
      <w:pPr>
        <w:pStyle w:val="4"/>
        <w:tabs>
          <w:tab w:val="left" w:pos="3360"/>
        </w:tabs>
        <w:jc w:val="both"/>
        <w:rPr>
          <w:rFonts w:hint="eastAsia" w:cs="宋体"/>
          <w:bCs/>
          <w:color w:val="auto"/>
          <w:szCs w:val="36"/>
        </w:rPr>
      </w:pPr>
      <w:bookmarkStart w:id="266" w:name="_Toc23755"/>
      <w:bookmarkStart w:id="267" w:name="_Toc3655"/>
      <w:bookmarkStart w:id="268" w:name="_Toc26444"/>
      <w:bookmarkStart w:id="269" w:name="_Toc2289"/>
      <w:bookmarkStart w:id="270" w:name="_Toc5292"/>
      <w:bookmarkStart w:id="271" w:name="_Toc10082"/>
      <w:bookmarkStart w:id="272" w:name="_Toc3021"/>
      <w:bookmarkStart w:id="273" w:name="_Toc65662738"/>
      <w:bookmarkStart w:id="274" w:name="_Toc6509"/>
      <w:bookmarkStart w:id="275" w:name="_Toc9063"/>
      <w:bookmarkStart w:id="276" w:name="_Toc31850"/>
      <w:bookmarkStart w:id="277" w:name="_Toc28733"/>
      <w:bookmarkStart w:id="278" w:name="_Toc28809"/>
      <w:bookmarkStart w:id="279" w:name="_Toc26783"/>
      <w:bookmarkStart w:id="280" w:name="_Toc30629"/>
      <w:bookmarkStart w:id="281" w:name="_Toc1002"/>
      <w:bookmarkStart w:id="282" w:name="_Toc2619"/>
      <w:bookmarkStart w:id="283" w:name="_Toc6665"/>
      <w:bookmarkStart w:id="284" w:name="_Toc18821"/>
      <w:r>
        <w:rPr>
          <w:rFonts w:hint="eastAsia" w:cs="宋体"/>
          <w:bCs/>
          <w:color w:val="auto"/>
          <w:szCs w:val="36"/>
        </w:rPr>
        <w:t>第四篇  磋商程序及方法、评审标准、无效响应和采购终止</w:t>
      </w:r>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14:paraId="53116F30">
      <w:pPr>
        <w:pStyle w:val="5"/>
        <w:adjustRightInd w:val="0"/>
        <w:snapToGrid w:val="0"/>
        <w:spacing w:before="0" w:after="0" w:line="240" w:lineRule="auto"/>
        <w:rPr>
          <w:rFonts w:hint="eastAsia" w:ascii="宋体" w:hAnsi="宋体" w:cs="宋体"/>
          <w:color w:val="auto"/>
        </w:rPr>
      </w:pPr>
      <w:bookmarkStart w:id="285" w:name="_Toc1300"/>
      <w:bookmarkStart w:id="286" w:name="_Toc13283"/>
      <w:bookmarkStart w:id="287" w:name="_Toc24886"/>
      <w:bookmarkStart w:id="288" w:name="_Toc16050"/>
      <w:bookmarkStart w:id="289" w:name="_Toc20733"/>
      <w:bookmarkStart w:id="290" w:name="_Toc1306"/>
      <w:bookmarkStart w:id="291" w:name="_Toc3102"/>
      <w:bookmarkStart w:id="292" w:name="_Toc9429"/>
      <w:bookmarkStart w:id="293" w:name="_Toc3298"/>
      <w:bookmarkStart w:id="294" w:name="_Toc24362"/>
      <w:bookmarkStart w:id="295" w:name="_Toc65662739"/>
      <w:bookmarkStart w:id="296" w:name="_Toc26396"/>
      <w:bookmarkStart w:id="297" w:name="_Toc27177"/>
      <w:bookmarkStart w:id="298" w:name="_Toc4087"/>
      <w:bookmarkStart w:id="299" w:name="_Toc13694"/>
      <w:bookmarkStart w:id="300" w:name="_Toc4885"/>
      <w:bookmarkStart w:id="301" w:name="_Toc29253"/>
      <w:bookmarkStart w:id="302" w:name="_Toc23896"/>
      <w:bookmarkStart w:id="303" w:name="_Toc5116"/>
      <w:r>
        <w:rPr>
          <w:rFonts w:hint="eastAsia" w:ascii="宋体" w:hAnsi="宋体" w:cs="宋体"/>
          <w:color w:val="auto"/>
        </w:rPr>
        <w:t>一、磋商程序及方法</w:t>
      </w:r>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14:paraId="0D1381C1">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一）磋商按竞争性磋商文件规定的时间和地点进行，供应商须有法定代表人（或其授权代表）或自然人参加并签到。竞争性磋商以抽签的形式确定磋商顺序，由本项目依法组建的竞争性磋商小组（以下简称磋商小组）分别与各供应商进行磋商。</w:t>
      </w:r>
    </w:p>
    <w:p w14:paraId="527762C3">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（二）磋商小组对各供应商的资格条件、响应文件的有效性、完整性和响应程度进行审查。各供应商只有在完全符合要求的前提下，才能参与正式磋商。</w:t>
      </w:r>
    </w:p>
    <w:p w14:paraId="255FC7FC">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sz w:val="24"/>
          <w:szCs w:val="24"/>
        </w:rPr>
        <w:t>1.</w:t>
      </w:r>
      <w:r>
        <w:rPr>
          <w:rFonts w:hint="eastAsia" w:ascii="宋体" w:hAnsi="宋体" w:cs="宋体"/>
          <w:color w:val="auto"/>
          <w:kern w:val="0"/>
          <w:sz w:val="24"/>
          <w:szCs w:val="24"/>
        </w:rPr>
        <w:t>资格性审查。依据法律法规和竞争性磋商文件的规定，对响应文件中的资格证明等进行审查，以确定供应商是否具备磋商资格。资格性审查资料表如下：</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3118"/>
        <w:gridCol w:w="4984"/>
      </w:tblGrid>
      <w:tr w14:paraId="709AE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817" w:type="dxa"/>
            <w:tcBorders>
              <w:top w:val="single" w:color="auto" w:sz="4" w:space="0"/>
              <w:left w:val="single" w:color="auto" w:sz="4" w:space="0"/>
              <w:bottom w:val="single" w:color="auto" w:sz="4" w:space="0"/>
              <w:right w:val="single" w:color="auto" w:sz="4" w:space="0"/>
            </w:tcBorders>
            <w:noWrap w:val="0"/>
            <w:vAlign w:val="center"/>
          </w:tcPr>
          <w:p w14:paraId="21F2E4E5">
            <w:pPr>
              <w:jc w:val="center"/>
              <w:rPr>
                <w:rFonts w:hint="eastAsia" w:ascii="宋体" w:hAnsi="宋体" w:cs="宋体"/>
                <w:b/>
                <w:color w:val="auto"/>
                <w:kern w:val="0"/>
                <w:sz w:val="21"/>
                <w:szCs w:val="21"/>
              </w:rPr>
            </w:pPr>
            <w:r>
              <w:rPr>
                <w:rFonts w:hint="eastAsia" w:ascii="宋体" w:hAnsi="宋体" w:cs="宋体"/>
                <w:b/>
                <w:color w:val="auto"/>
                <w:kern w:val="0"/>
                <w:sz w:val="21"/>
                <w:szCs w:val="21"/>
              </w:rPr>
              <w:t>序号</w:t>
            </w:r>
          </w:p>
        </w:tc>
        <w:tc>
          <w:tcPr>
            <w:tcW w:w="3827" w:type="dxa"/>
            <w:gridSpan w:val="2"/>
            <w:tcBorders>
              <w:top w:val="single" w:color="auto" w:sz="4" w:space="0"/>
              <w:left w:val="single" w:color="auto" w:sz="4" w:space="0"/>
              <w:bottom w:val="single" w:color="auto" w:sz="4" w:space="0"/>
              <w:right w:val="single" w:color="auto" w:sz="4" w:space="0"/>
            </w:tcBorders>
            <w:noWrap w:val="0"/>
            <w:vAlign w:val="center"/>
          </w:tcPr>
          <w:p w14:paraId="3CB9832E">
            <w:pPr>
              <w:jc w:val="center"/>
              <w:rPr>
                <w:rFonts w:hint="eastAsia" w:ascii="宋体" w:hAnsi="宋体" w:cs="宋体"/>
                <w:b/>
                <w:color w:val="auto"/>
                <w:kern w:val="0"/>
                <w:sz w:val="21"/>
                <w:szCs w:val="21"/>
              </w:rPr>
            </w:pPr>
            <w:r>
              <w:rPr>
                <w:rFonts w:hint="eastAsia" w:ascii="宋体" w:hAnsi="宋体" w:cs="宋体"/>
                <w:b/>
                <w:color w:val="auto"/>
                <w:kern w:val="0"/>
                <w:sz w:val="21"/>
                <w:szCs w:val="21"/>
              </w:rPr>
              <w:t>检查因素</w:t>
            </w:r>
          </w:p>
        </w:tc>
        <w:tc>
          <w:tcPr>
            <w:tcW w:w="4984" w:type="dxa"/>
            <w:tcBorders>
              <w:top w:val="single" w:color="auto" w:sz="4" w:space="0"/>
              <w:left w:val="single" w:color="auto" w:sz="4" w:space="0"/>
              <w:bottom w:val="single" w:color="auto" w:sz="4" w:space="0"/>
              <w:right w:val="single" w:color="auto" w:sz="4" w:space="0"/>
            </w:tcBorders>
            <w:noWrap w:val="0"/>
            <w:vAlign w:val="center"/>
          </w:tcPr>
          <w:p w14:paraId="19F2F98C">
            <w:pPr>
              <w:jc w:val="center"/>
              <w:rPr>
                <w:rFonts w:hint="eastAsia" w:ascii="宋体" w:hAnsi="宋体" w:cs="宋体"/>
                <w:b/>
                <w:color w:val="auto"/>
                <w:kern w:val="0"/>
                <w:sz w:val="21"/>
                <w:szCs w:val="21"/>
              </w:rPr>
            </w:pPr>
            <w:r>
              <w:rPr>
                <w:rFonts w:hint="eastAsia" w:ascii="宋体" w:hAnsi="宋体" w:cs="宋体"/>
                <w:b/>
                <w:color w:val="auto"/>
                <w:kern w:val="0"/>
                <w:sz w:val="21"/>
                <w:szCs w:val="21"/>
              </w:rPr>
              <w:t>检查内容</w:t>
            </w:r>
          </w:p>
        </w:tc>
      </w:tr>
      <w:tr w14:paraId="1FC67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restart"/>
            <w:noWrap w:val="0"/>
            <w:vAlign w:val="center"/>
          </w:tcPr>
          <w:p w14:paraId="465CC440">
            <w:pPr>
              <w:jc w:val="center"/>
              <w:rPr>
                <w:rFonts w:hint="eastAsia" w:ascii="宋体" w:hAnsi="宋体" w:cs="宋体"/>
                <w:color w:val="auto"/>
                <w:sz w:val="21"/>
                <w:szCs w:val="21"/>
              </w:rPr>
            </w:pPr>
            <w:r>
              <w:rPr>
                <w:rFonts w:hint="eastAsia" w:ascii="宋体" w:hAnsi="宋体" w:cs="宋体"/>
                <w:color w:val="auto"/>
                <w:sz w:val="21"/>
                <w:szCs w:val="21"/>
              </w:rPr>
              <w:t>（一）</w:t>
            </w:r>
          </w:p>
        </w:tc>
        <w:tc>
          <w:tcPr>
            <w:tcW w:w="709" w:type="dxa"/>
            <w:vMerge w:val="restart"/>
            <w:noWrap w:val="0"/>
            <w:vAlign w:val="center"/>
          </w:tcPr>
          <w:p w14:paraId="32F55A3A">
            <w:pPr>
              <w:rPr>
                <w:rFonts w:hint="eastAsia" w:ascii="宋体" w:hAnsi="宋体" w:cs="宋体"/>
                <w:color w:val="auto"/>
                <w:sz w:val="21"/>
                <w:szCs w:val="21"/>
                <w:lang w:val="zh-CN"/>
              </w:rPr>
            </w:pPr>
            <w:r>
              <w:rPr>
                <w:rFonts w:hint="eastAsia" w:ascii="宋体" w:hAnsi="宋体" w:cs="宋体"/>
                <w:color w:val="auto"/>
                <w:sz w:val="21"/>
                <w:szCs w:val="21"/>
                <w:lang w:val="zh-CN"/>
              </w:rPr>
              <w:t>《中华人民共和国政府采购法》第二十二条规定</w:t>
            </w:r>
          </w:p>
        </w:tc>
        <w:tc>
          <w:tcPr>
            <w:tcW w:w="3118" w:type="dxa"/>
            <w:noWrap w:val="0"/>
            <w:vAlign w:val="center"/>
          </w:tcPr>
          <w:p w14:paraId="14C4E70C">
            <w:pPr>
              <w:rPr>
                <w:rFonts w:hint="eastAsia" w:ascii="宋体" w:hAnsi="宋体" w:cs="宋体"/>
                <w:color w:val="auto"/>
                <w:sz w:val="21"/>
                <w:szCs w:val="21"/>
              </w:rPr>
            </w:pPr>
            <w:r>
              <w:rPr>
                <w:rFonts w:hint="eastAsia" w:ascii="宋体" w:hAnsi="宋体" w:cs="宋体"/>
                <w:color w:val="auto"/>
                <w:sz w:val="21"/>
                <w:szCs w:val="21"/>
              </w:rPr>
              <w:t>1.具有独立承担民事责任的能力</w:t>
            </w:r>
          </w:p>
        </w:tc>
        <w:tc>
          <w:tcPr>
            <w:tcW w:w="4984" w:type="dxa"/>
            <w:noWrap w:val="0"/>
            <w:vAlign w:val="center"/>
          </w:tcPr>
          <w:p w14:paraId="01603285">
            <w:pPr>
              <w:rPr>
                <w:rFonts w:hint="eastAsia" w:ascii="宋体" w:hAnsi="宋体" w:cs="宋体"/>
                <w:color w:val="auto"/>
                <w:sz w:val="21"/>
                <w:szCs w:val="21"/>
              </w:rPr>
            </w:pPr>
            <w:r>
              <w:rPr>
                <w:rFonts w:hint="eastAsia" w:ascii="宋体" w:hAnsi="宋体" w:cs="宋体"/>
                <w:color w:val="auto"/>
                <w:sz w:val="21"/>
                <w:szCs w:val="21"/>
              </w:rPr>
              <w:t xml:space="preserve">1.供应商法人营业执照（副本）或事业单位法人证书（副本）或个体工商户营业执照或有效的自然人身份证明或社会团体法人登记证书（提供复印件）。 </w:t>
            </w:r>
          </w:p>
          <w:p w14:paraId="55CE5089">
            <w:pPr>
              <w:rPr>
                <w:rFonts w:hint="eastAsia" w:ascii="宋体" w:hAnsi="宋体" w:cs="宋体"/>
                <w:color w:val="auto"/>
                <w:sz w:val="21"/>
                <w:szCs w:val="21"/>
              </w:rPr>
            </w:pPr>
            <w:r>
              <w:rPr>
                <w:rFonts w:hint="eastAsia" w:ascii="宋体" w:hAnsi="宋体" w:cs="宋体"/>
                <w:color w:val="auto"/>
                <w:sz w:val="21"/>
                <w:szCs w:val="21"/>
              </w:rPr>
              <w:t>2.供应商法定代表人身份证明和法定代表人授权代表委托书。</w:t>
            </w:r>
          </w:p>
        </w:tc>
      </w:tr>
      <w:tr w14:paraId="05D48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71F5025F">
            <w:pPr>
              <w:jc w:val="center"/>
              <w:rPr>
                <w:rFonts w:hint="eastAsia" w:ascii="宋体" w:hAnsi="宋体" w:cs="宋体"/>
                <w:color w:val="auto"/>
                <w:sz w:val="21"/>
                <w:szCs w:val="21"/>
              </w:rPr>
            </w:pPr>
          </w:p>
        </w:tc>
        <w:tc>
          <w:tcPr>
            <w:tcW w:w="709" w:type="dxa"/>
            <w:vMerge w:val="continue"/>
            <w:noWrap w:val="0"/>
            <w:vAlign w:val="center"/>
          </w:tcPr>
          <w:p w14:paraId="35CECDE4">
            <w:pPr>
              <w:rPr>
                <w:rFonts w:hint="eastAsia" w:ascii="宋体" w:hAnsi="宋体" w:cs="宋体"/>
                <w:color w:val="auto"/>
                <w:sz w:val="21"/>
                <w:szCs w:val="21"/>
                <w:lang w:val="zh-CN"/>
              </w:rPr>
            </w:pPr>
          </w:p>
        </w:tc>
        <w:tc>
          <w:tcPr>
            <w:tcW w:w="3118" w:type="dxa"/>
            <w:noWrap w:val="0"/>
            <w:vAlign w:val="center"/>
          </w:tcPr>
          <w:p w14:paraId="7839C3C3">
            <w:pPr>
              <w:rPr>
                <w:rFonts w:hint="eastAsia" w:ascii="宋体" w:hAnsi="宋体" w:cs="宋体"/>
                <w:color w:val="auto"/>
                <w:sz w:val="21"/>
                <w:szCs w:val="21"/>
              </w:rPr>
            </w:pPr>
            <w:r>
              <w:rPr>
                <w:rFonts w:hint="eastAsia" w:ascii="宋体" w:hAnsi="宋体" w:cs="宋体"/>
                <w:color w:val="auto"/>
                <w:sz w:val="21"/>
                <w:szCs w:val="21"/>
                <w:lang w:val="zh-CN"/>
              </w:rPr>
              <w:t>2.</w:t>
            </w:r>
            <w:r>
              <w:rPr>
                <w:rFonts w:hint="eastAsia" w:ascii="宋体" w:hAnsi="宋体" w:cs="宋体"/>
                <w:color w:val="auto"/>
                <w:sz w:val="21"/>
                <w:szCs w:val="21"/>
              </w:rPr>
              <w:t>具有良好的商业信誉和健全的财务会计制度</w:t>
            </w:r>
          </w:p>
        </w:tc>
        <w:tc>
          <w:tcPr>
            <w:tcW w:w="4984" w:type="dxa"/>
            <w:vMerge w:val="restart"/>
            <w:noWrap w:val="0"/>
            <w:vAlign w:val="center"/>
          </w:tcPr>
          <w:p w14:paraId="3845CD37">
            <w:pPr>
              <w:rPr>
                <w:rFonts w:hint="eastAsia" w:ascii="宋体" w:hAnsi="宋体" w:cs="宋体"/>
                <w:b/>
                <w:color w:val="auto"/>
                <w:sz w:val="21"/>
                <w:szCs w:val="21"/>
              </w:rPr>
            </w:pPr>
            <w:r>
              <w:rPr>
                <w:rFonts w:hint="eastAsia" w:ascii="宋体" w:hAnsi="宋体" w:cs="宋体"/>
                <w:color w:val="auto"/>
                <w:sz w:val="21"/>
                <w:szCs w:val="21"/>
              </w:rPr>
              <w:t>供应商提供“基本资格条件承诺函”（格式详见第七篇）</w:t>
            </w:r>
          </w:p>
        </w:tc>
      </w:tr>
      <w:tr w14:paraId="25224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2A6DDCCE">
            <w:pPr>
              <w:jc w:val="center"/>
              <w:rPr>
                <w:rFonts w:hint="eastAsia" w:ascii="宋体" w:hAnsi="宋体" w:cs="宋体"/>
                <w:color w:val="auto"/>
                <w:sz w:val="21"/>
                <w:szCs w:val="21"/>
              </w:rPr>
            </w:pPr>
          </w:p>
        </w:tc>
        <w:tc>
          <w:tcPr>
            <w:tcW w:w="709" w:type="dxa"/>
            <w:vMerge w:val="continue"/>
            <w:noWrap w:val="0"/>
            <w:vAlign w:val="center"/>
          </w:tcPr>
          <w:p w14:paraId="4AC6423C">
            <w:pPr>
              <w:rPr>
                <w:rFonts w:hint="eastAsia" w:ascii="宋体" w:hAnsi="宋体" w:cs="宋体"/>
                <w:color w:val="auto"/>
                <w:sz w:val="21"/>
                <w:szCs w:val="21"/>
                <w:lang w:val="zh-CN"/>
              </w:rPr>
            </w:pPr>
          </w:p>
        </w:tc>
        <w:tc>
          <w:tcPr>
            <w:tcW w:w="3118" w:type="dxa"/>
            <w:noWrap w:val="0"/>
            <w:vAlign w:val="center"/>
          </w:tcPr>
          <w:p w14:paraId="46DE9EB6">
            <w:pPr>
              <w:rPr>
                <w:rFonts w:hint="eastAsia" w:ascii="宋体" w:hAnsi="宋体" w:cs="宋体"/>
                <w:color w:val="auto"/>
                <w:sz w:val="21"/>
                <w:szCs w:val="21"/>
                <w:lang w:val="zh-CN"/>
              </w:rPr>
            </w:pPr>
            <w:r>
              <w:rPr>
                <w:rFonts w:hint="eastAsia" w:ascii="宋体" w:hAnsi="宋体" w:cs="宋体"/>
                <w:color w:val="auto"/>
                <w:sz w:val="21"/>
                <w:szCs w:val="21"/>
                <w:lang w:val="zh-CN"/>
              </w:rPr>
              <w:t>3.具有履行合同所必需的设备和专业技术能力</w:t>
            </w:r>
          </w:p>
        </w:tc>
        <w:tc>
          <w:tcPr>
            <w:tcW w:w="4984" w:type="dxa"/>
            <w:vMerge w:val="continue"/>
            <w:noWrap w:val="0"/>
            <w:vAlign w:val="center"/>
          </w:tcPr>
          <w:p w14:paraId="5041BF53">
            <w:pPr>
              <w:rPr>
                <w:rFonts w:hint="eastAsia" w:ascii="宋体" w:hAnsi="宋体" w:cs="宋体"/>
                <w:color w:val="auto"/>
                <w:sz w:val="21"/>
                <w:szCs w:val="21"/>
              </w:rPr>
            </w:pPr>
          </w:p>
        </w:tc>
      </w:tr>
      <w:tr w14:paraId="69A0D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5DF6E38D">
            <w:pPr>
              <w:jc w:val="center"/>
              <w:rPr>
                <w:rFonts w:hint="eastAsia" w:ascii="宋体" w:hAnsi="宋体" w:cs="宋体"/>
                <w:color w:val="auto"/>
                <w:sz w:val="21"/>
                <w:szCs w:val="21"/>
              </w:rPr>
            </w:pPr>
          </w:p>
        </w:tc>
        <w:tc>
          <w:tcPr>
            <w:tcW w:w="709" w:type="dxa"/>
            <w:vMerge w:val="continue"/>
            <w:noWrap w:val="0"/>
            <w:vAlign w:val="center"/>
          </w:tcPr>
          <w:p w14:paraId="77C2C420">
            <w:pPr>
              <w:rPr>
                <w:rFonts w:hint="eastAsia" w:ascii="宋体" w:hAnsi="宋体" w:cs="宋体"/>
                <w:color w:val="auto"/>
                <w:sz w:val="21"/>
                <w:szCs w:val="21"/>
                <w:lang w:val="zh-CN"/>
              </w:rPr>
            </w:pPr>
          </w:p>
        </w:tc>
        <w:tc>
          <w:tcPr>
            <w:tcW w:w="3118" w:type="dxa"/>
            <w:noWrap w:val="0"/>
            <w:vAlign w:val="center"/>
          </w:tcPr>
          <w:p w14:paraId="691676F2">
            <w:pPr>
              <w:rPr>
                <w:rFonts w:hint="eastAsia" w:ascii="宋体" w:hAnsi="宋体" w:cs="宋体"/>
                <w:color w:val="auto"/>
                <w:sz w:val="21"/>
                <w:szCs w:val="21"/>
                <w:lang w:val="zh-CN"/>
              </w:rPr>
            </w:pPr>
            <w:r>
              <w:rPr>
                <w:rFonts w:hint="eastAsia" w:ascii="宋体" w:hAnsi="宋体" w:cs="宋体"/>
                <w:color w:val="auto"/>
                <w:sz w:val="21"/>
                <w:szCs w:val="21"/>
                <w:lang w:val="zh-CN"/>
              </w:rPr>
              <w:t>4.有依法缴纳税收和社会保障金的良好记录</w:t>
            </w:r>
          </w:p>
        </w:tc>
        <w:tc>
          <w:tcPr>
            <w:tcW w:w="4984" w:type="dxa"/>
            <w:vMerge w:val="continue"/>
            <w:noWrap w:val="0"/>
            <w:vAlign w:val="center"/>
          </w:tcPr>
          <w:p w14:paraId="119CA7A4">
            <w:pPr>
              <w:rPr>
                <w:rFonts w:hint="eastAsia" w:ascii="宋体" w:hAnsi="宋体" w:cs="宋体"/>
                <w:color w:val="auto"/>
                <w:sz w:val="21"/>
                <w:szCs w:val="21"/>
              </w:rPr>
            </w:pPr>
          </w:p>
        </w:tc>
      </w:tr>
      <w:tr w14:paraId="24B03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Merge w:val="continue"/>
            <w:noWrap w:val="0"/>
            <w:vAlign w:val="center"/>
          </w:tcPr>
          <w:p w14:paraId="5031B42E">
            <w:pPr>
              <w:jc w:val="center"/>
              <w:rPr>
                <w:rFonts w:hint="eastAsia" w:ascii="宋体" w:hAnsi="宋体" w:cs="宋体"/>
                <w:color w:val="auto"/>
                <w:sz w:val="21"/>
                <w:szCs w:val="21"/>
              </w:rPr>
            </w:pPr>
          </w:p>
        </w:tc>
        <w:tc>
          <w:tcPr>
            <w:tcW w:w="709" w:type="dxa"/>
            <w:vMerge w:val="continue"/>
            <w:noWrap w:val="0"/>
            <w:vAlign w:val="center"/>
          </w:tcPr>
          <w:p w14:paraId="3C2A0ADE">
            <w:pPr>
              <w:rPr>
                <w:rFonts w:hint="eastAsia" w:ascii="宋体" w:hAnsi="宋体" w:cs="宋体"/>
                <w:color w:val="auto"/>
                <w:sz w:val="21"/>
                <w:szCs w:val="21"/>
                <w:lang w:val="zh-CN"/>
              </w:rPr>
            </w:pPr>
          </w:p>
        </w:tc>
        <w:tc>
          <w:tcPr>
            <w:tcW w:w="3118" w:type="dxa"/>
            <w:noWrap w:val="0"/>
            <w:vAlign w:val="center"/>
          </w:tcPr>
          <w:p w14:paraId="7F2FAFE0">
            <w:pPr>
              <w:rPr>
                <w:rFonts w:hint="eastAsia" w:ascii="宋体" w:hAnsi="宋体" w:cs="宋体"/>
                <w:color w:val="auto"/>
                <w:sz w:val="21"/>
                <w:szCs w:val="21"/>
                <w:lang w:val="zh-CN"/>
              </w:rPr>
            </w:pPr>
            <w:r>
              <w:rPr>
                <w:rFonts w:hint="eastAsia" w:ascii="宋体" w:hAnsi="宋体" w:cs="宋体"/>
                <w:color w:val="auto"/>
                <w:sz w:val="21"/>
                <w:szCs w:val="21"/>
              </w:rPr>
              <w:t>5.参加政府采购活动前三年内，在经营活动中没有重大违法记录</w:t>
            </w:r>
          </w:p>
        </w:tc>
        <w:tc>
          <w:tcPr>
            <w:tcW w:w="4984" w:type="dxa"/>
            <w:vMerge w:val="continue"/>
            <w:noWrap w:val="0"/>
            <w:vAlign w:val="center"/>
          </w:tcPr>
          <w:p w14:paraId="3D4A934D">
            <w:pPr>
              <w:rPr>
                <w:rFonts w:hint="eastAsia" w:ascii="宋体" w:hAnsi="宋体" w:cs="宋体"/>
                <w:b/>
                <w:color w:val="auto"/>
                <w:sz w:val="21"/>
                <w:szCs w:val="21"/>
              </w:rPr>
            </w:pPr>
          </w:p>
        </w:tc>
      </w:tr>
      <w:tr w14:paraId="67486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noWrap w:val="0"/>
            <w:vAlign w:val="center"/>
          </w:tcPr>
          <w:p w14:paraId="63515A60">
            <w:pPr>
              <w:jc w:val="center"/>
              <w:rPr>
                <w:rFonts w:hint="eastAsia" w:ascii="宋体" w:hAnsi="宋体" w:cs="宋体"/>
                <w:color w:val="auto"/>
                <w:sz w:val="21"/>
                <w:szCs w:val="21"/>
              </w:rPr>
            </w:pPr>
          </w:p>
        </w:tc>
        <w:tc>
          <w:tcPr>
            <w:tcW w:w="709" w:type="dxa"/>
            <w:vMerge w:val="continue"/>
            <w:noWrap w:val="0"/>
            <w:vAlign w:val="center"/>
          </w:tcPr>
          <w:p w14:paraId="684D0759">
            <w:pPr>
              <w:rPr>
                <w:rFonts w:hint="eastAsia" w:ascii="宋体" w:hAnsi="宋体" w:cs="宋体"/>
                <w:color w:val="auto"/>
                <w:sz w:val="21"/>
                <w:szCs w:val="21"/>
              </w:rPr>
            </w:pPr>
          </w:p>
        </w:tc>
        <w:tc>
          <w:tcPr>
            <w:tcW w:w="3118" w:type="dxa"/>
            <w:noWrap w:val="0"/>
            <w:vAlign w:val="center"/>
          </w:tcPr>
          <w:p w14:paraId="7DFE86EB">
            <w:pPr>
              <w:rPr>
                <w:rFonts w:hint="eastAsia" w:ascii="宋体" w:hAnsi="宋体" w:cs="宋体"/>
                <w:color w:val="auto"/>
                <w:sz w:val="21"/>
                <w:szCs w:val="21"/>
              </w:rPr>
            </w:pPr>
            <w:r>
              <w:rPr>
                <w:rFonts w:hint="eastAsia" w:ascii="宋体" w:hAnsi="宋体" w:cs="宋体"/>
                <w:color w:val="auto"/>
                <w:sz w:val="21"/>
                <w:szCs w:val="21"/>
              </w:rPr>
              <w:t>6.法律、行政法规规定的其他条件</w:t>
            </w:r>
          </w:p>
        </w:tc>
        <w:tc>
          <w:tcPr>
            <w:tcW w:w="4984" w:type="dxa"/>
            <w:noWrap w:val="0"/>
            <w:vAlign w:val="center"/>
          </w:tcPr>
          <w:p w14:paraId="592D49DA">
            <w:pPr>
              <w:rPr>
                <w:rFonts w:hint="eastAsia" w:ascii="宋体" w:hAnsi="宋体" w:cs="宋体"/>
                <w:color w:val="auto"/>
                <w:sz w:val="21"/>
                <w:szCs w:val="21"/>
              </w:rPr>
            </w:pPr>
          </w:p>
        </w:tc>
      </w:tr>
      <w:tr w14:paraId="57060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17" w:type="dxa"/>
            <w:vMerge w:val="continue"/>
            <w:noWrap w:val="0"/>
            <w:vAlign w:val="center"/>
          </w:tcPr>
          <w:p w14:paraId="61AFD344">
            <w:pPr>
              <w:jc w:val="center"/>
              <w:rPr>
                <w:rFonts w:hint="eastAsia" w:ascii="宋体" w:hAnsi="宋体" w:cs="宋体"/>
                <w:color w:val="auto"/>
                <w:sz w:val="21"/>
                <w:szCs w:val="21"/>
              </w:rPr>
            </w:pPr>
          </w:p>
        </w:tc>
        <w:tc>
          <w:tcPr>
            <w:tcW w:w="709" w:type="dxa"/>
            <w:vMerge w:val="continue"/>
            <w:noWrap w:val="0"/>
            <w:vAlign w:val="center"/>
          </w:tcPr>
          <w:p w14:paraId="1D6C8A8F">
            <w:pPr>
              <w:rPr>
                <w:rFonts w:hint="eastAsia" w:ascii="宋体" w:hAnsi="宋体" w:cs="宋体"/>
                <w:color w:val="auto"/>
                <w:sz w:val="21"/>
                <w:szCs w:val="21"/>
              </w:rPr>
            </w:pPr>
          </w:p>
        </w:tc>
        <w:tc>
          <w:tcPr>
            <w:tcW w:w="3118" w:type="dxa"/>
            <w:noWrap w:val="0"/>
            <w:vAlign w:val="center"/>
          </w:tcPr>
          <w:p w14:paraId="70E0D0DD">
            <w:pPr>
              <w:rPr>
                <w:rFonts w:hint="eastAsia" w:ascii="宋体" w:hAnsi="宋体" w:cs="宋体"/>
                <w:color w:val="auto"/>
                <w:sz w:val="21"/>
                <w:szCs w:val="21"/>
              </w:rPr>
            </w:pPr>
            <w:r>
              <w:rPr>
                <w:rFonts w:hint="eastAsia" w:ascii="宋体" w:hAnsi="宋体" w:cs="宋体"/>
                <w:color w:val="auto"/>
                <w:sz w:val="21"/>
                <w:szCs w:val="21"/>
              </w:rPr>
              <w:t>7.本项目的特定资格要求</w:t>
            </w:r>
          </w:p>
        </w:tc>
        <w:tc>
          <w:tcPr>
            <w:tcW w:w="4984" w:type="dxa"/>
            <w:noWrap w:val="0"/>
            <w:vAlign w:val="center"/>
          </w:tcPr>
          <w:p w14:paraId="1F79017D">
            <w:pPr>
              <w:rPr>
                <w:rFonts w:hint="eastAsia" w:ascii="宋体" w:hAnsi="宋体" w:cs="宋体"/>
                <w:color w:val="auto"/>
                <w:sz w:val="21"/>
                <w:szCs w:val="21"/>
              </w:rPr>
            </w:pPr>
            <w:r>
              <w:rPr>
                <w:rFonts w:hint="eastAsia" w:ascii="宋体" w:hAnsi="宋体" w:cs="宋体"/>
                <w:color w:val="auto"/>
                <w:sz w:val="21"/>
                <w:szCs w:val="21"/>
              </w:rPr>
              <w:t>按“第一篇三、供应商资格要求（三）本项目的特定资格要求”的要求提交（如果有）。</w:t>
            </w:r>
          </w:p>
        </w:tc>
      </w:tr>
      <w:tr w14:paraId="2E728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center"/>
          </w:tcPr>
          <w:p w14:paraId="78F6FC9A">
            <w:pPr>
              <w:jc w:val="center"/>
              <w:rPr>
                <w:rFonts w:hint="eastAsia" w:ascii="宋体" w:hAnsi="宋体" w:cs="宋体"/>
                <w:color w:val="auto"/>
                <w:sz w:val="21"/>
                <w:szCs w:val="21"/>
              </w:rPr>
            </w:pPr>
            <w:r>
              <w:rPr>
                <w:rFonts w:hint="eastAsia" w:ascii="宋体" w:hAnsi="宋体" w:cs="宋体"/>
                <w:color w:val="auto"/>
                <w:sz w:val="21"/>
                <w:szCs w:val="21"/>
              </w:rPr>
              <w:t>（二）</w:t>
            </w:r>
          </w:p>
        </w:tc>
        <w:tc>
          <w:tcPr>
            <w:tcW w:w="3827" w:type="dxa"/>
            <w:gridSpan w:val="2"/>
            <w:noWrap w:val="0"/>
            <w:vAlign w:val="center"/>
          </w:tcPr>
          <w:p w14:paraId="1438B36F">
            <w:pPr>
              <w:rPr>
                <w:rFonts w:hint="eastAsia" w:ascii="宋体" w:hAnsi="宋体" w:cs="宋体"/>
                <w:color w:val="auto"/>
                <w:sz w:val="21"/>
                <w:szCs w:val="21"/>
              </w:rPr>
            </w:pPr>
            <w:r>
              <w:rPr>
                <w:rFonts w:hint="eastAsia" w:ascii="宋体" w:hAnsi="宋体" w:cs="宋体"/>
                <w:color w:val="auto"/>
                <w:sz w:val="21"/>
                <w:szCs w:val="21"/>
              </w:rPr>
              <w:t>落实政府采购政策需满足的资格要求</w:t>
            </w:r>
          </w:p>
        </w:tc>
        <w:tc>
          <w:tcPr>
            <w:tcW w:w="4984" w:type="dxa"/>
            <w:noWrap w:val="0"/>
            <w:vAlign w:val="center"/>
          </w:tcPr>
          <w:p w14:paraId="1E87E010">
            <w:pPr>
              <w:rPr>
                <w:rFonts w:hint="eastAsia" w:ascii="宋体" w:hAnsi="宋体" w:cs="宋体"/>
                <w:color w:val="auto"/>
                <w:sz w:val="21"/>
                <w:szCs w:val="21"/>
              </w:rPr>
            </w:pPr>
            <w:r>
              <w:rPr>
                <w:rFonts w:hint="eastAsia" w:ascii="宋体" w:hAnsi="宋体" w:cs="宋体"/>
                <w:color w:val="auto"/>
                <w:sz w:val="21"/>
                <w:szCs w:val="21"/>
              </w:rPr>
              <w:t>按“第一篇三、供应商资格要求（二）落实政府采购政策需满足的资格要求”的要求提交（如果有）。</w:t>
            </w:r>
          </w:p>
        </w:tc>
      </w:tr>
    </w:tbl>
    <w:p w14:paraId="446ACC7E">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注：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按照“财政部关于《中华人民共和国政府采购法实施条例》第十九条第一款“较大数额罚款”具体适用问题的意见（财库〔2022〕3 号）”执行。供应商可于响应文件递交截止时间前通过 “信用中国”网站(www.creditchina.gov.cn)、"中国政府采购网"(www.ccgp.gov.cn)等渠道查询信用记录。</w:t>
      </w:r>
    </w:p>
    <w:p w14:paraId="1DBB29D7">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2.符合性审查。依据竞争性磋商文件的规定，从响应文件的有效性、完整性和对竞争性磋商文件的响应程度进行审查，以确定是否对竞争性磋商文件的实质性要求作出响应。符合性审查资料表如下：</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14:paraId="2D6AF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675" w:type="dxa"/>
            <w:tcBorders>
              <w:top w:val="single" w:color="auto" w:sz="4" w:space="0"/>
              <w:left w:val="single" w:color="auto" w:sz="4" w:space="0"/>
              <w:bottom w:val="single" w:color="auto" w:sz="4" w:space="0"/>
              <w:right w:val="single" w:color="auto" w:sz="4" w:space="0"/>
            </w:tcBorders>
            <w:noWrap w:val="0"/>
            <w:vAlign w:val="center"/>
          </w:tcPr>
          <w:p w14:paraId="68EEF755">
            <w:pPr>
              <w:jc w:val="center"/>
              <w:rPr>
                <w:rFonts w:hint="eastAsia" w:ascii="宋体" w:hAnsi="宋体" w:cs="宋体"/>
                <w:b/>
                <w:color w:val="auto"/>
                <w:kern w:val="0"/>
                <w:sz w:val="21"/>
                <w:szCs w:val="21"/>
              </w:rPr>
            </w:pPr>
            <w:r>
              <w:rPr>
                <w:rFonts w:hint="eastAsia" w:ascii="宋体" w:hAnsi="宋体" w:cs="宋体"/>
                <w:b/>
                <w:color w:val="auto"/>
                <w:kern w:val="0"/>
                <w:sz w:val="21"/>
                <w:szCs w:val="21"/>
              </w:rPr>
              <w:t>序号</w:t>
            </w:r>
          </w:p>
        </w:tc>
        <w:tc>
          <w:tcPr>
            <w:tcW w:w="3544" w:type="dxa"/>
            <w:gridSpan w:val="2"/>
            <w:tcBorders>
              <w:top w:val="single" w:color="auto" w:sz="4" w:space="0"/>
              <w:left w:val="single" w:color="auto" w:sz="4" w:space="0"/>
              <w:bottom w:val="single" w:color="auto" w:sz="4" w:space="0"/>
              <w:right w:val="single" w:color="auto" w:sz="4" w:space="0"/>
            </w:tcBorders>
            <w:noWrap w:val="0"/>
            <w:vAlign w:val="center"/>
          </w:tcPr>
          <w:p w14:paraId="5F0C69DB">
            <w:pPr>
              <w:jc w:val="center"/>
              <w:rPr>
                <w:rFonts w:hint="eastAsia" w:ascii="宋体" w:hAnsi="宋体" w:cs="宋体"/>
                <w:b/>
                <w:color w:val="auto"/>
                <w:kern w:val="0"/>
                <w:sz w:val="21"/>
                <w:szCs w:val="21"/>
              </w:rPr>
            </w:pPr>
            <w:r>
              <w:rPr>
                <w:rFonts w:hint="eastAsia" w:ascii="宋体" w:hAnsi="宋体" w:cs="宋体"/>
                <w:b/>
                <w:color w:val="auto"/>
                <w:kern w:val="0"/>
                <w:sz w:val="21"/>
                <w:szCs w:val="21"/>
              </w:rPr>
              <w:t>评审因素</w:t>
            </w:r>
          </w:p>
        </w:tc>
        <w:tc>
          <w:tcPr>
            <w:tcW w:w="5409" w:type="dxa"/>
            <w:tcBorders>
              <w:top w:val="single" w:color="auto" w:sz="4" w:space="0"/>
              <w:left w:val="single" w:color="auto" w:sz="4" w:space="0"/>
              <w:bottom w:val="single" w:color="auto" w:sz="4" w:space="0"/>
              <w:right w:val="single" w:color="auto" w:sz="4" w:space="0"/>
            </w:tcBorders>
            <w:noWrap w:val="0"/>
            <w:vAlign w:val="center"/>
          </w:tcPr>
          <w:p w14:paraId="6EDBF036">
            <w:pPr>
              <w:jc w:val="center"/>
              <w:rPr>
                <w:rFonts w:hint="eastAsia" w:ascii="宋体" w:hAnsi="宋体" w:cs="宋体"/>
                <w:b/>
                <w:color w:val="auto"/>
                <w:kern w:val="0"/>
                <w:sz w:val="21"/>
                <w:szCs w:val="21"/>
              </w:rPr>
            </w:pPr>
            <w:r>
              <w:rPr>
                <w:rFonts w:hint="eastAsia" w:ascii="宋体" w:hAnsi="宋体" w:cs="宋体"/>
                <w:b/>
                <w:color w:val="auto"/>
                <w:kern w:val="0"/>
                <w:sz w:val="21"/>
                <w:szCs w:val="21"/>
              </w:rPr>
              <w:t>评审标准</w:t>
            </w:r>
          </w:p>
        </w:tc>
      </w:tr>
      <w:tr w14:paraId="332DC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noWrap w:val="0"/>
            <w:vAlign w:val="center"/>
          </w:tcPr>
          <w:p w14:paraId="7890D84B">
            <w:pPr>
              <w:jc w:val="center"/>
              <w:rPr>
                <w:rFonts w:hint="eastAsia" w:ascii="宋体" w:hAnsi="宋体" w:cs="宋体"/>
                <w:color w:val="auto"/>
                <w:kern w:val="0"/>
                <w:sz w:val="21"/>
                <w:szCs w:val="21"/>
              </w:rPr>
            </w:pPr>
            <w:r>
              <w:rPr>
                <w:rFonts w:hint="eastAsia" w:ascii="宋体" w:hAnsi="宋体" w:cs="宋体"/>
                <w:color w:val="auto"/>
                <w:kern w:val="0"/>
                <w:sz w:val="21"/>
                <w:szCs w:val="21"/>
              </w:rPr>
              <w:t>1</w:t>
            </w:r>
          </w:p>
        </w:tc>
        <w:tc>
          <w:tcPr>
            <w:tcW w:w="1560" w:type="dxa"/>
            <w:vMerge w:val="restart"/>
            <w:noWrap w:val="0"/>
            <w:vAlign w:val="center"/>
          </w:tcPr>
          <w:p w14:paraId="0306DCF2">
            <w:pPr>
              <w:rPr>
                <w:rFonts w:hint="eastAsia" w:ascii="宋体" w:hAnsi="宋体" w:cs="宋体"/>
                <w:color w:val="auto"/>
                <w:kern w:val="0"/>
                <w:sz w:val="21"/>
                <w:szCs w:val="21"/>
              </w:rPr>
            </w:pPr>
            <w:r>
              <w:rPr>
                <w:rFonts w:hint="eastAsia" w:ascii="宋体" w:hAnsi="宋体" w:cs="宋体"/>
                <w:color w:val="auto"/>
                <w:kern w:val="0"/>
                <w:sz w:val="21"/>
                <w:szCs w:val="21"/>
              </w:rPr>
              <w:t>有效性审查</w:t>
            </w:r>
          </w:p>
        </w:tc>
        <w:tc>
          <w:tcPr>
            <w:tcW w:w="1984" w:type="dxa"/>
            <w:noWrap w:val="0"/>
            <w:vAlign w:val="center"/>
          </w:tcPr>
          <w:p w14:paraId="4E33A2E3">
            <w:pPr>
              <w:rPr>
                <w:rFonts w:hint="eastAsia" w:ascii="宋体" w:hAnsi="宋体" w:cs="宋体"/>
                <w:color w:val="auto"/>
                <w:kern w:val="0"/>
                <w:sz w:val="21"/>
                <w:szCs w:val="21"/>
              </w:rPr>
            </w:pPr>
            <w:r>
              <w:rPr>
                <w:rFonts w:hint="eastAsia" w:ascii="宋体" w:hAnsi="宋体" w:cs="宋体"/>
                <w:color w:val="auto"/>
                <w:sz w:val="21"/>
                <w:szCs w:val="21"/>
              </w:rPr>
              <w:t>响应文件签署或盖章</w:t>
            </w:r>
          </w:p>
        </w:tc>
        <w:tc>
          <w:tcPr>
            <w:tcW w:w="5409" w:type="dxa"/>
            <w:noWrap w:val="0"/>
            <w:vAlign w:val="center"/>
          </w:tcPr>
          <w:p w14:paraId="02E09FB3">
            <w:pPr>
              <w:rPr>
                <w:rFonts w:hint="eastAsia" w:ascii="宋体" w:hAnsi="宋体" w:cs="宋体"/>
                <w:color w:val="auto"/>
                <w:kern w:val="0"/>
                <w:sz w:val="21"/>
                <w:szCs w:val="21"/>
              </w:rPr>
            </w:pPr>
            <w:r>
              <w:rPr>
                <w:rFonts w:hint="eastAsia" w:ascii="宋体" w:hAnsi="宋体" w:cs="宋体"/>
                <w:color w:val="auto"/>
                <w:sz w:val="21"/>
                <w:szCs w:val="21"/>
              </w:rPr>
              <w:t>按竞争性磋商文件“第七篇响应文件编制要求”要求签署或盖章。</w:t>
            </w:r>
          </w:p>
        </w:tc>
      </w:tr>
      <w:tr w14:paraId="57844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noWrap w:val="0"/>
            <w:vAlign w:val="center"/>
          </w:tcPr>
          <w:p w14:paraId="59CDD322">
            <w:pPr>
              <w:jc w:val="center"/>
              <w:rPr>
                <w:rFonts w:hint="eastAsia" w:ascii="宋体" w:hAnsi="宋体" w:cs="宋体"/>
                <w:color w:val="auto"/>
                <w:kern w:val="0"/>
                <w:sz w:val="21"/>
                <w:szCs w:val="21"/>
              </w:rPr>
            </w:pPr>
          </w:p>
        </w:tc>
        <w:tc>
          <w:tcPr>
            <w:tcW w:w="1560" w:type="dxa"/>
            <w:vMerge w:val="continue"/>
            <w:noWrap w:val="0"/>
            <w:vAlign w:val="center"/>
          </w:tcPr>
          <w:p w14:paraId="6706782E">
            <w:pPr>
              <w:rPr>
                <w:rFonts w:hint="eastAsia" w:ascii="宋体" w:hAnsi="宋体" w:cs="宋体"/>
                <w:color w:val="auto"/>
                <w:kern w:val="0"/>
                <w:sz w:val="21"/>
                <w:szCs w:val="21"/>
              </w:rPr>
            </w:pPr>
          </w:p>
        </w:tc>
        <w:tc>
          <w:tcPr>
            <w:tcW w:w="1984" w:type="dxa"/>
            <w:noWrap w:val="0"/>
            <w:vAlign w:val="center"/>
          </w:tcPr>
          <w:p w14:paraId="7EBAD9F5">
            <w:pPr>
              <w:rPr>
                <w:rFonts w:hint="eastAsia" w:ascii="宋体" w:hAnsi="宋体" w:cs="宋体"/>
                <w:color w:val="auto"/>
                <w:sz w:val="21"/>
                <w:szCs w:val="21"/>
              </w:rPr>
            </w:pPr>
            <w:r>
              <w:rPr>
                <w:rFonts w:hint="eastAsia" w:ascii="宋体" w:hAnsi="宋体" w:cs="宋体"/>
                <w:color w:val="auto"/>
                <w:sz w:val="21"/>
                <w:szCs w:val="21"/>
              </w:rPr>
              <w:t>法定代表人身份证明及授权委托书</w:t>
            </w:r>
          </w:p>
        </w:tc>
        <w:tc>
          <w:tcPr>
            <w:tcW w:w="5409" w:type="dxa"/>
            <w:noWrap w:val="0"/>
            <w:vAlign w:val="center"/>
          </w:tcPr>
          <w:p w14:paraId="18360635">
            <w:pPr>
              <w:rPr>
                <w:rFonts w:hint="eastAsia" w:ascii="宋体" w:hAnsi="宋体" w:cs="宋体"/>
                <w:color w:val="auto"/>
                <w:sz w:val="21"/>
                <w:szCs w:val="21"/>
              </w:rPr>
            </w:pPr>
            <w:r>
              <w:rPr>
                <w:rFonts w:hint="eastAsia" w:ascii="宋体" w:hAnsi="宋体" w:cs="宋体"/>
                <w:color w:val="auto"/>
                <w:sz w:val="21"/>
                <w:szCs w:val="21"/>
              </w:rPr>
              <w:t>法定代表人身份证明及授权委托书有效，符合竞争性磋商文件规定的格式，签署或盖章齐全。</w:t>
            </w:r>
          </w:p>
        </w:tc>
      </w:tr>
      <w:tr w14:paraId="3230D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noWrap w:val="0"/>
            <w:vAlign w:val="center"/>
          </w:tcPr>
          <w:p w14:paraId="0E31F66C">
            <w:pPr>
              <w:jc w:val="center"/>
              <w:rPr>
                <w:rFonts w:hint="eastAsia" w:ascii="宋体" w:hAnsi="宋体" w:cs="宋体"/>
                <w:color w:val="auto"/>
                <w:kern w:val="0"/>
                <w:sz w:val="21"/>
                <w:szCs w:val="21"/>
              </w:rPr>
            </w:pPr>
          </w:p>
        </w:tc>
        <w:tc>
          <w:tcPr>
            <w:tcW w:w="1560" w:type="dxa"/>
            <w:vMerge w:val="continue"/>
            <w:noWrap w:val="0"/>
            <w:vAlign w:val="center"/>
          </w:tcPr>
          <w:p w14:paraId="241B1F77">
            <w:pPr>
              <w:rPr>
                <w:rFonts w:hint="eastAsia" w:ascii="宋体" w:hAnsi="宋体" w:cs="宋体"/>
                <w:color w:val="auto"/>
                <w:kern w:val="0"/>
                <w:sz w:val="21"/>
                <w:szCs w:val="21"/>
              </w:rPr>
            </w:pPr>
          </w:p>
        </w:tc>
        <w:tc>
          <w:tcPr>
            <w:tcW w:w="1984" w:type="dxa"/>
            <w:noWrap w:val="0"/>
            <w:vAlign w:val="center"/>
          </w:tcPr>
          <w:p w14:paraId="7361672D">
            <w:pPr>
              <w:rPr>
                <w:rFonts w:hint="eastAsia" w:ascii="宋体" w:hAnsi="宋体" w:cs="宋体"/>
                <w:color w:val="auto"/>
                <w:sz w:val="21"/>
                <w:szCs w:val="21"/>
                <w:lang w:val="zh-CN"/>
              </w:rPr>
            </w:pPr>
            <w:r>
              <w:rPr>
                <w:rFonts w:hint="eastAsia" w:ascii="宋体" w:hAnsi="宋体" w:cs="宋体"/>
                <w:color w:val="auto"/>
                <w:sz w:val="21"/>
                <w:szCs w:val="21"/>
              </w:rPr>
              <w:t>响应</w:t>
            </w:r>
            <w:r>
              <w:rPr>
                <w:rFonts w:hint="eastAsia" w:ascii="宋体" w:hAnsi="宋体" w:cs="宋体"/>
                <w:color w:val="auto"/>
                <w:sz w:val="21"/>
                <w:szCs w:val="21"/>
                <w:lang w:val="zh-CN"/>
              </w:rPr>
              <w:t>方案</w:t>
            </w:r>
          </w:p>
        </w:tc>
        <w:tc>
          <w:tcPr>
            <w:tcW w:w="5409" w:type="dxa"/>
            <w:noWrap w:val="0"/>
            <w:vAlign w:val="center"/>
          </w:tcPr>
          <w:p w14:paraId="2D6738D1">
            <w:pPr>
              <w:rPr>
                <w:rFonts w:hint="eastAsia" w:ascii="宋体" w:hAnsi="宋体" w:cs="宋体"/>
                <w:color w:val="auto"/>
                <w:kern w:val="0"/>
                <w:sz w:val="21"/>
                <w:szCs w:val="21"/>
              </w:rPr>
            </w:pPr>
            <w:r>
              <w:rPr>
                <w:rFonts w:hint="eastAsia" w:ascii="宋体" w:hAnsi="宋体" w:cs="宋体"/>
                <w:color w:val="auto"/>
                <w:sz w:val="21"/>
                <w:szCs w:val="21"/>
                <w:lang w:val="zh-CN"/>
              </w:rPr>
              <w:t>每个包只能有一个</w:t>
            </w:r>
            <w:r>
              <w:rPr>
                <w:rFonts w:hint="eastAsia" w:ascii="宋体" w:hAnsi="宋体" w:cs="宋体"/>
                <w:color w:val="auto"/>
                <w:sz w:val="21"/>
                <w:szCs w:val="21"/>
              </w:rPr>
              <w:t>响应</w:t>
            </w:r>
            <w:r>
              <w:rPr>
                <w:rFonts w:hint="eastAsia" w:ascii="宋体" w:hAnsi="宋体" w:cs="宋体"/>
                <w:color w:val="auto"/>
                <w:sz w:val="21"/>
                <w:szCs w:val="21"/>
                <w:lang w:val="zh-CN"/>
              </w:rPr>
              <w:t>方案。</w:t>
            </w:r>
          </w:p>
        </w:tc>
      </w:tr>
      <w:tr w14:paraId="0191A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noWrap w:val="0"/>
            <w:vAlign w:val="center"/>
          </w:tcPr>
          <w:p w14:paraId="1D8AEF6D">
            <w:pPr>
              <w:jc w:val="center"/>
              <w:rPr>
                <w:rFonts w:hint="eastAsia" w:ascii="宋体" w:hAnsi="宋体" w:cs="宋体"/>
                <w:color w:val="auto"/>
                <w:kern w:val="0"/>
                <w:sz w:val="21"/>
                <w:szCs w:val="21"/>
              </w:rPr>
            </w:pPr>
          </w:p>
        </w:tc>
        <w:tc>
          <w:tcPr>
            <w:tcW w:w="1560" w:type="dxa"/>
            <w:vMerge w:val="continue"/>
            <w:noWrap w:val="0"/>
            <w:vAlign w:val="center"/>
          </w:tcPr>
          <w:p w14:paraId="3F417FA8">
            <w:pPr>
              <w:rPr>
                <w:rFonts w:hint="eastAsia" w:ascii="宋体" w:hAnsi="宋体" w:cs="宋体"/>
                <w:color w:val="auto"/>
                <w:kern w:val="0"/>
                <w:sz w:val="21"/>
                <w:szCs w:val="21"/>
              </w:rPr>
            </w:pPr>
          </w:p>
        </w:tc>
        <w:tc>
          <w:tcPr>
            <w:tcW w:w="1984" w:type="dxa"/>
            <w:noWrap w:val="0"/>
            <w:vAlign w:val="center"/>
          </w:tcPr>
          <w:p w14:paraId="529CB6CC">
            <w:pPr>
              <w:rPr>
                <w:rFonts w:hint="eastAsia" w:ascii="宋体" w:hAnsi="宋体" w:cs="宋体"/>
                <w:color w:val="auto"/>
                <w:sz w:val="21"/>
                <w:szCs w:val="21"/>
                <w:lang w:val="zh-CN"/>
              </w:rPr>
            </w:pPr>
            <w:r>
              <w:rPr>
                <w:rFonts w:hint="eastAsia" w:ascii="宋体" w:hAnsi="宋体" w:cs="宋体"/>
                <w:color w:val="auto"/>
                <w:sz w:val="21"/>
                <w:szCs w:val="21"/>
              </w:rPr>
              <w:t>报价唯一</w:t>
            </w:r>
          </w:p>
        </w:tc>
        <w:tc>
          <w:tcPr>
            <w:tcW w:w="5409" w:type="dxa"/>
            <w:noWrap w:val="0"/>
            <w:vAlign w:val="center"/>
          </w:tcPr>
          <w:p w14:paraId="0C34C99A">
            <w:pPr>
              <w:rPr>
                <w:rFonts w:hint="eastAsia" w:ascii="宋体" w:hAnsi="宋体" w:cs="宋体"/>
                <w:color w:val="auto"/>
                <w:kern w:val="0"/>
                <w:sz w:val="21"/>
                <w:szCs w:val="21"/>
              </w:rPr>
            </w:pPr>
            <w:r>
              <w:rPr>
                <w:rFonts w:hint="eastAsia" w:ascii="宋体" w:hAnsi="宋体" w:cs="宋体"/>
                <w:color w:val="auto"/>
                <w:sz w:val="21"/>
                <w:szCs w:val="21"/>
              </w:rPr>
              <w:t>只能有一个有效报价，不得提交选择性报价。</w:t>
            </w:r>
          </w:p>
        </w:tc>
      </w:tr>
      <w:tr w14:paraId="5A167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675" w:type="dxa"/>
            <w:noWrap w:val="0"/>
            <w:vAlign w:val="center"/>
          </w:tcPr>
          <w:p w14:paraId="17EEB367">
            <w:pPr>
              <w:jc w:val="center"/>
              <w:rPr>
                <w:rFonts w:hint="eastAsia" w:ascii="宋体" w:hAnsi="宋体" w:cs="宋体"/>
                <w:color w:val="auto"/>
                <w:kern w:val="0"/>
                <w:sz w:val="21"/>
                <w:szCs w:val="21"/>
              </w:rPr>
            </w:pPr>
            <w:r>
              <w:rPr>
                <w:rFonts w:hint="eastAsia" w:ascii="宋体" w:hAnsi="宋体" w:cs="宋体"/>
                <w:color w:val="auto"/>
                <w:kern w:val="0"/>
                <w:sz w:val="21"/>
                <w:szCs w:val="21"/>
              </w:rPr>
              <w:t>2</w:t>
            </w:r>
          </w:p>
        </w:tc>
        <w:tc>
          <w:tcPr>
            <w:tcW w:w="1560" w:type="dxa"/>
            <w:noWrap w:val="0"/>
            <w:vAlign w:val="center"/>
          </w:tcPr>
          <w:p w14:paraId="50B69919">
            <w:pPr>
              <w:rPr>
                <w:rFonts w:hint="eastAsia" w:ascii="宋体" w:hAnsi="宋体" w:cs="宋体"/>
                <w:color w:val="auto"/>
                <w:kern w:val="0"/>
                <w:sz w:val="21"/>
                <w:szCs w:val="21"/>
              </w:rPr>
            </w:pPr>
            <w:r>
              <w:rPr>
                <w:rFonts w:hint="eastAsia" w:ascii="宋体" w:hAnsi="宋体" w:cs="宋体"/>
                <w:color w:val="auto"/>
                <w:kern w:val="0"/>
                <w:sz w:val="21"/>
                <w:szCs w:val="21"/>
              </w:rPr>
              <w:t>完整性审查</w:t>
            </w:r>
          </w:p>
        </w:tc>
        <w:tc>
          <w:tcPr>
            <w:tcW w:w="1984" w:type="dxa"/>
            <w:noWrap w:val="0"/>
            <w:vAlign w:val="center"/>
          </w:tcPr>
          <w:p w14:paraId="397024B6">
            <w:pPr>
              <w:rPr>
                <w:rFonts w:hint="eastAsia" w:ascii="宋体" w:hAnsi="宋体" w:cs="宋体"/>
                <w:color w:val="auto"/>
                <w:kern w:val="0"/>
                <w:sz w:val="21"/>
                <w:szCs w:val="21"/>
              </w:rPr>
            </w:pPr>
            <w:r>
              <w:rPr>
                <w:rFonts w:hint="eastAsia" w:ascii="宋体" w:hAnsi="宋体" w:cs="宋体"/>
                <w:color w:val="auto"/>
                <w:sz w:val="21"/>
                <w:szCs w:val="21"/>
              </w:rPr>
              <w:t>响应</w:t>
            </w:r>
            <w:r>
              <w:rPr>
                <w:rFonts w:hint="eastAsia" w:ascii="宋体" w:hAnsi="宋体" w:cs="宋体"/>
                <w:color w:val="auto"/>
                <w:sz w:val="21"/>
                <w:szCs w:val="21"/>
                <w:lang w:val="zh-CN"/>
              </w:rPr>
              <w:t>文件份数</w:t>
            </w:r>
          </w:p>
        </w:tc>
        <w:tc>
          <w:tcPr>
            <w:tcW w:w="5409" w:type="dxa"/>
            <w:noWrap w:val="0"/>
            <w:vAlign w:val="center"/>
          </w:tcPr>
          <w:p w14:paraId="091820DA">
            <w:pPr>
              <w:rPr>
                <w:rFonts w:hint="eastAsia" w:ascii="宋体" w:hAnsi="宋体" w:cs="宋体"/>
                <w:color w:val="auto"/>
                <w:kern w:val="0"/>
                <w:sz w:val="21"/>
                <w:szCs w:val="21"/>
              </w:rPr>
            </w:pPr>
            <w:r>
              <w:rPr>
                <w:rFonts w:hint="eastAsia" w:ascii="宋体" w:hAnsi="宋体" w:cs="宋体"/>
                <w:color w:val="auto"/>
                <w:sz w:val="21"/>
                <w:szCs w:val="21"/>
              </w:rPr>
              <w:t>响应</w:t>
            </w:r>
            <w:r>
              <w:rPr>
                <w:rFonts w:hint="eastAsia" w:ascii="宋体" w:hAnsi="宋体" w:cs="宋体"/>
                <w:color w:val="auto"/>
                <w:sz w:val="21"/>
                <w:szCs w:val="21"/>
                <w:lang w:val="zh-CN"/>
              </w:rPr>
              <w:t>文件正、副本数量（含电子文档）符合</w:t>
            </w:r>
            <w:r>
              <w:rPr>
                <w:rFonts w:hint="eastAsia" w:ascii="宋体" w:hAnsi="宋体" w:cs="宋体"/>
                <w:color w:val="auto"/>
                <w:sz w:val="21"/>
                <w:szCs w:val="21"/>
              </w:rPr>
              <w:t>竞争性磋商</w:t>
            </w:r>
            <w:r>
              <w:rPr>
                <w:rFonts w:hint="eastAsia" w:ascii="宋体" w:hAnsi="宋体" w:cs="宋体"/>
                <w:color w:val="auto"/>
                <w:sz w:val="21"/>
                <w:szCs w:val="21"/>
                <w:lang w:val="zh-CN"/>
              </w:rPr>
              <w:t>文件要求。</w:t>
            </w:r>
          </w:p>
        </w:tc>
      </w:tr>
      <w:tr w14:paraId="507FB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75" w:type="dxa"/>
            <w:vMerge w:val="restart"/>
            <w:noWrap w:val="0"/>
            <w:vAlign w:val="center"/>
          </w:tcPr>
          <w:p w14:paraId="546BF257">
            <w:pPr>
              <w:jc w:val="center"/>
              <w:rPr>
                <w:rFonts w:hint="eastAsia" w:ascii="宋体" w:hAnsi="宋体" w:cs="宋体"/>
                <w:color w:val="auto"/>
                <w:kern w:val="0"/>
                <w:sz w:val="21"/>
                <w:szCs w:val="21"/>
              </w:rPr>
            </w:pPr>
            <w:r>
              <w:rPr>
                <w:rFonts w:hint="eastAsia" w:ascii="宋体" w:hAnsi="宋体" w:cs="宋体"/>
                <w:color w:val="auto"/>
                <w:kern w:val="0"/>
                <w:sz w:val="21"/>
                <w:szCs w:val="21"/>
              </w:rPr>
              <w:t>3</w:t>
            </w:r>
          </w:p>
        </w:tc>
        <w:tc>
          <w:tcPr>
            <w:tcW w:w="1560" w:type="dxa"/>
            <w:vMerge w:val="restart"/>
            <w:noWrap w:val="0"/>
            <w:vAlign w:val="center"/>
          </w:tcPr>
          <w:p w14:paraId="7B78274E">
            <w:pPr>
              <w:rPr>
                <w:rFonts w:hint="eastAsia" w:ascii="宋体" w:hAnsi="宋体" w:cs="宋体"/>
                <w:color w:val="auto"/>
                <w:sz w:val="21"/>
                <w:szCs w:val="21"/>
                <w:lang w:val="zh-CN"/>
              </w:rPr>
            </w:pPr>
            <w:r>
              <w:rPr>
                <w:rFonts w:hint="eastAsia" w:ascii="宋体" w:hAnsi="宋体" w:cs="宋体"/>
                <w:color w:val="auto"/>
                <w:kern w:val="0"/>
                <w:sz w:val="21"/>
                <w:szCs w:val="21"/>
              </w:rPr>
              <w:t>响应程度审查</w:t>
            </w:r>
          </w:p>
        </w:tc>
        <w:tc>
          <w:tcPr>
            <w:tcW w:w="1984" w:type="dxa"/>
            <w:noWrap w:val="0"/>
            <w:vAlign w:val="center"/>
          </w:tcPr>
          <w:p w14:paraId="68B43DC0">
            <w:pPr>
              <w:rPr>
                <w:rFonts w:hint="eastAsia" w:ascii="宋体" w:hAnsi="宋体" w:cs="宋体"/>
                <w:color w:val="auto"/>
                <w:kern w:val="0"/>
                <w:sz w:val="21"/>
                <w:szCs w:val="21"/>
              </w:rPr>
            </w:pPr>
            <w:r>
              <w:rPr>
                <w:rFonts w:hint="eastAsia" w:ascii="宋体" w:hAnsi="宋体" w:cs="宋体"/>
                <w:color w:val="auto"/>
                <w:kern w:val="0"/>
                <w:sz w:val="21"/>
                <w:szCs w:val="21"/>
              </w:rPr>
              <w:t>实质性响应</w:t>
            </w:r>
          </w:p>
        </w:tc>
        <w:tc>
          <w:tcPr>
            <w:tcW w:w="5409" w:type="dxa"/>
            <w:noWrap w:val="0"/>
            <w:vAlign w:val="center"/>
          </w:tcPr>
          <w:p w14:paraId="51A676B8">
            <w:pPr>
              <w:pStyle w:val="34"/>
              <w:rPr>
                <w:rFonts w:hint="eastAsia" w:ascii="宋体" w:hAnsi="宋体" w:cs="宋体"/>
                <w:color w:val="auto"/>
                <w:kern w:val="0"/>
                <w:sz w:val="21"/>
                <w:szCs w:val="21"/>
              </w:rPr>
            </w:pPr>
            <w:r>
              <w:rPr>
                <w:rFonts w:hint="eastAsia" w:ascii="宋体" w:hAnsi="宋体" w:cs="宋体"/>
                <w:color w:val="auto"/>
                <w:kern w:val="0"/>
                <w:sz w:val="21"/>
                <w:szCs w:val="21"/>
              </w:rPr>
              <w:t>竞争性磋商文件第二篇、第三篇“※”标注部分。</w:t>
            </w:r>
          </w:p>
        </w:tc>
      </w:tr>
      <w:tr w14:paraId="03F24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675" w:type="dxa"/>
            <w:vMerge w:val="continue"/>
            <w:noWrap w:val="0"/>
            <w:vAlign w:val="center"/>
          </w:tcPr>
          <w:p w14:paraId="55993380">
            <w:pPr>
              <w:jc w:val="center"/>
              <w:rPr>
                <w:rFonts w:hint="eastAsia" w:ascii="宋体" w:hAnsi="宋体" w:cs="宋体"/>
                <w:color w:val="auto"/>
                <w:kern w:val="0"/>
                <w:sz w:val="21"/>
                <w:szCs w:val="21"/>
              </w:rPr>
            </w:pPr>
          </w:p>
        </w:tc>
        <w:tc>
          <w:tcPr>
            <w:tcW w:w="1560" w:type="dxa"/>
            <w:vMerge w:val="continue"/>
            <w:noWrap w:val="0"/>
            <w:vAlign w:val="center"/>
          </w:tcPr>
          <w:p w14:paraId="085B8B6B">
            <w:pPr>
              <w:rPr>
                <w:rFonts w:hint="eastAsia" w:ascii="宋体" w:hAnsi="宋体" w:cs="宋体"/>
                <w:color w:val="auto"/>
                <w:sz w:val="21"/>
                <w:szCs w:val="21"/>
                <w:lang w:val="zh-CN"/>
              </w:rPr>
            </w:pPr>
          </w:p>
        </w:tc>
        <w:tc>
          <w:tcPr>
            <w:tcW w:w="1984" w:type="dxa"/>
            <w:noWrap w:val="0"/>
            <w:vAlign w:val="center"/>
          </w:tcPr>
          <w:p w14:paraId="73543F43">
            <w:pPr>
              <w:rPr>
                <w:rFonts w:hint="eastAsia" w:ascii="宋体" w:hAnsi="宋体" w:cs="宋体"/>
                <w:color w:val="auto"/>
                <w:kern w:val="0"/>
                <w:sz w:val="21"/>
                <w:szCs w:val="21"/>
              </w:rPr>
            </w:pPr>
            <w:r>
              <w:rPr>
                <w:rFonts w:hint="eastAsia" w:ascii="宋体" w:hAnsi="宋体" w:cs="宋体"/>
                <w:color w:val="auto"/>
                <w:kern w:val="0"/>
                <w:sz w:val="21"/>
                <w:szCs w:val="21"/>
              </w:rPr>
              <w:t>磋商有效期</w:t>
            </w:r>
          </w:p>
        </w:tc>
        <w:tc>
          <w:tcPr>
            <w:tcW w:w="5409" w:type="dxa"/>
            <w:noWrap w:val="0"/>
            <w:vAlign w:val="center"/>
          </w:tcPr>
          <w:p w14:paraId="68718EF1">
            <w:pPr>
              <w:rPr>
                <w:rFonts w:hint="eastAsia" w:ascii="宋体" w:hAnsi="宋体" w:cs="宋体"/>
                <w:color w:val="auto"/>
                <w:kern w:val="0"/>
                <w:sz w:val="21"/>
                <w:szCs w:val="21"/>
              </w:rPr>
            </w:pPr>
            <w:r>
              <w:rPr>
                <w:rFonts w:hint="eastAsia" w:ascii="宋体" w:hAnsi="宋体" w:cs="宋体"/>
                <w:color w:val="auto"/>
                <w:kern w:val="0"/>
                <w:sz w:val="21"/>
                <w:szCs w:val="21"/>
              </w:rPr>
              <w:t>响应文件及有关承诺文件有效期为提交响应文件截止时间起90天。</w:t>
            </w:r>
          </w:p>
        </w:tc>
      </w:tr>
    </w:tbl>
    <w:p w14:paraId="304AADDD">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三）澄清有关问题。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32B4BA7">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四）磋商小组要求供应商澄清、说明或者更正响应文件应当以书面形式作出。供应商的澄清、说明或者更正应当由法定代表人（或其授权代表）或自然人（供应商为自然人）签署或者加盖公章。由授权代表签署的，应当附法定代表人授权书。供应商为自然人的，应当由本人签署并附身份证明。</w:t>
      </w:r>
    </w:p>
    <w:p w14:paraId="7C1090F2">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（五）在磋商过程中磋商的任何一方不得向他人透露与磋商有关的技术资料、价格或其他信息。</w:t>
      </w:r>
    </w:p>
    <w:p w14:paraId="77A0F226">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六）在磋商过程中，磋商小组可以根据竞争性磋商文件和磋商情况实质性变动采购需求中的技术、商务要求以及合同草案条款，但不得变动竞争性磋商文件中的其他内容。实质性变动的内容，须经采购人代表确认。对竞争性磋商文件作出的实质性变动是竞争性磋商文件的有效组成部分，磋商小组应当及时以书面形式同时通知所有参加磋商的供应商。</w:t>
      </w:r>
    </w:p>
    <w:p w14:paraId="52A80280">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（七）供应商在磋商时作出的所有书面承诺须由法定代表人（或其授权代表）或自然人（供应商为自然人）签署。</w:t>
      </w:r>
    </w:p>
    <w:p w14:paraId="253F58D2">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八）经磋商确定最终采购需求且磋商结束后，供应商应当按照竞争性磋商文件的变动情况和磋商小组的要求重新提交响应文件或重新做出相关的书面承诺，最后书面提交最后报价及有关承诺（《最后报价表》在磋商现场向供应商提供）。已提交响应文件但未在规定时间内进行最后报价的供应商，视为放弃最后报价，以供应商响应文件中的报价为准。</w:t>
      </w:r>
    </w:p>
    <w:p w14:paraId="46CFE6EB">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（九）磋商小组采用综合评分法对提交最后报价的供应商的响应文件和最后报价（含有效书面承诺）进行综合评分。</w:t>
      </w:r>
      <w:r>
        <w:rPr>
          <w:rFonts w:hint="eastAsia" w:ascii="宋体" w:hAnsi="宋体" w:cs="宋体"/>
          <w:color w:val="auto"/>
          <w:kern w:val="0"/>
          <w:sz w:val="24"/>
          <w:szCs w:val="24"/>
        </w:rPr>
        <w:t>综合评分法，是指响应文件满足竞争性磋商文件全部实质性要求且按照评审因素的量化指标评审得分最高的供应商为成交候选供应商的评审方法。供应商总得分为价格、</w:t>
      </w:r>
      <w:r>
        <w:rPr>
          <w:rFonts w:hint="eastAsia" w:ascii="宋体" w:hAnsi="宋体" w:cs="宋体"/>
          <w:color w:val="auto"/>
          <w:kern w:val="0"/>
          <w:sz w:val="24"/>
          <w:szCs w:val="24"/>
          <w:lang w:val="en-US" w:eastAsia="zh-CN"/>
        </w:rPr>
        <w:t>技术</w:t>
      </w:r>
      <w:r>
        <w:rPr>
          <w:rFonts w:hint="eastAsia" w:ascii="宋体" w:hAnsi="宋体" w:cs="宋体"/>
          <w:color w:val="auto"/>
          <w:kern w:val="0"/>
          <w:sz w:val="24"/>
          <w:szCs w:val="24"/>
        </w:rPr>
        <w:t>、商务等评定因素分别按照相应权重值计算分项得分后相加，满分为100分</w:t>
      </w:r>
      <w:r>
        <w:rPr>
          <w:rFonts w:hint="eastAsia" w:ascii="宋体" w:hAnsi="宋体" w:cs="宋体"/>
          <w:color w:val="auto"/>
          <w:sz w:val="24"/>
          <w:szCs w:val="24"/>
        </w:rPr>
        <w:t>。</w:t>
      </w:r>
    </w:p>
    <w:p w14:paraId="67B3C8E3">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（十）磋商小组各成员独立对每个有效响应（通过资格性审查、</w:t>
      </w:r>
      <w:r>
        <w:rPr>
          <w:rFonts w:hint="eastAsia" w:ascii="宋体" w:hAnsi="宋体" w:cs="宋体"/>
          <w:color w:val="auto"/>
          <w:kern w:val="0"/>
          <w:sz w:val="24"/>
          <w:szCs w:val="24"/>
        </w:rPr>
        <w:t>符合性审查的供应商</w:t>
      </w:r>
      <w:r>
        <w:rPr>
          <w:rFonts w:hint="eastAsia" w:ascii="宋体" w:hAnsi="宋体" w:cs="宋体"/>
          <w:color w:val="auto"/>
          <w:sz w:val="24"/>
          <w:szCs w:val="24"/>
        </w:rPr>
        <w:t>）的文件进行评价、打分，然后汇总每个供应商每项评分因素的得分，并根据综合评分情况按照评审得分由高到低顺序推荐3名以上成交候选供应商，并编写评审报告。若供应商的评审得分相同的，按照最后报价由低到高的顺序排列推荐。评审得分且最后报价相同的，按照</w:t>
      </w:r>
      <w:r>
        <w:rPr>
          <w:rFonts w:hint="eastAsia" w:ascii="宋体" w:hAnsi="宋体" w:cs="宋体"/>
          <w:color w:val="auto"/>
          <w:kern w:val="0"/>
          <w:sz w:val="24"/>
          <w:szCs w:val="24"/>
        </w:rPr>
        <w:t>技术</w:t>
      </w:r>
      <w:r>
        <w:rPr>
          <w:rFonts w:hint="eastAsia" w:ascii="宋体" w:hAnsi="宋体" w:cs="宋体"/>
          <w:color w:val="auto"/>
          <w:sz w:val="24"/>
          <w:szCs w:val="24"/>
        </w:rPr>
        <w:t>指标优劣顺序排列推荐。以上都相同的，按商务条款的优劣顺序排列推荐。若供应商的</w:t>
      </w:r>
      <w:r>
        <w:rPr>
          <w:rFonts w:hint="eastAsia" w:ascii="宋体" w:hAnsi="宋体" w:cs="宋体"/>
          <w:color w:val="auto"/>
          <w:kern w:val="0"/>
          <w:sz w:val="24"/>
          <w:szCs w:val="24"/>
        </w:rPr>
        <w:t>技术</w:t>
      </w:r>
      <w:r>
        <w:rPr>
          <w:rFonts w:hint="eastAsia" w:ascii="宋体" w:hAnsi="宋体" w:cs="宋体"/>
          <w:color w:val="auto"/>
          <w:sz w:val="24"/>
          <w:szCs w:val="24"/>
        </w:rPr>
        <w:t>部分为0分，将失去成为成交候选供应商的资格。</w:t>
      </w:r>
    </w:p>
    <w:p w14:paraId="46C7984C">
      <w:pPr>
        <w:pStyle w:val="5"/>
        <w:adjustRightInd w:val="0"/>
        <w:snapToGrid w:val="0"/>
        <w:spacing w:before="0" w:after="0" w:line="240" w:lineRule="auto"/>
        <w:rPr>
          <w:rFonts w:hint="eastAsia" w:ascii="宋体" w:hAnsi="宋体" w:cs="宋体"/>
          <w:color w:val="auto"/>
        </w:rPr>
      </w:pPr>
      <w:bookmarkStart w:id="304" w:name="_Toc12754"/>
      <w:bookmarkStart w:id="305" w:name="_Toc27256"/>
      <w:bookmarkStart w:id="306" w:name="_Toc17444"/>
      <w:bookmarkStart w:id="307" w:name="_Toc8091"/>
      <w:bookmarkStart w:id="308" w:name="_Toc19361"/>
      <w:bookmarkStart w:id="309" w:name="_Toc24251"/>
      <w:bookmarkStart w:id="310" w:name="_Toc27162"/>
      <w:bookmarkStart w:id="311" w:name="_Toc3373"/>
      <w:bookmarkStart w:id="312" w:name="_Toc29842"/>
      <w:bookmarkStart w:id="313" w:name="_Toc14894"/>
      <w:bookmarkStart w:id="314" w:name="_Toc26780"/>
      <w:bookmarkStart w:id="315" w:name="_Toc30458"/>
      <w:bookmarkStart w:id="316" w:name="_Toc26928"/>
      <w:bookmarkStart w:id="317" w:name="_Toc26674"/>
      <w:bookmarkStart w:id="318" w:name="_Toc65662740"/>
      <w:bookmarkStart w:id="319" w:name="_Toc7342"/>
      <w:bookmarkStart w:id="320" w:name="_Toc9974"/>
      <w:bookmarkStart w:id="321" w:name="_Toc611"/>
      <w:bookmarkStart w:id="322" w:name="_Toc20629"/>
      <w:r>
        <w:rPr>
          <w:rFonts w:hint="eastAsia" w:ascii="宋体" w:hAnsi="宋体" w:cs="宋体"/>
          <w:color w:val="auto"/>
        </w:rPr>
        <w:t>二、</w:t>
      </w:r>
      <w:bookmarkStart w:id="323" w:name="_Toc102227320"/>
      <w:bookmarkStart w:id="324" w:name="_Toc342913394"/>
      <w:r>
        <w:rPr>
          <w:rFonts w:hint="eastAsia" w:ascii="宋体" w:hAnsi="宋体" w:cs="宋体"/>
          <w:color w:val="auto"/>
        </w:rPr>
        <w:t>评审标准</w:t>
      </w:r>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tbl>
      <w:tblPr>
        <w:tblStyle w:val="59"/>
        <w:tblW w:w="531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952"/>
        <w:gridCol w:w="1259"/>
        <w:gridCol w:w="4081"/>
        <w:gridCol w:w="2945"/>
      </w:tblGrid>
      <w:tr w14:paraId="4E00A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noWrap w:val="0"/>
            <w:tcMar>
              <w:left w:w="0" w:type="dxa"/>
              <w:right w:w="0" w:type="dxa"/>
            </w:tcMar>
            <w:vAlign w:val="center"/>
          </w:tcPr>
          <w:p w14:paraId="0FC52DC9">
            <w:pPr>
              <w:spacing w:line="276" w:lineRule="auto"/>
              <w:ind w:firstLine="28"/>
              <w:jc w:val="center"/>
              <w:rPr>
                <w:rFonts w:hint="eastAsia" w:ascii="宋体" w:hAnsi="宋体" w:cs="宋体"/>
                <w:b/>
                <w:bCs/>
                <w:sz w:val="21"/>
                <w:szCs w:val="21"/>
                <w:highlight w:val="none"/>
              </w:rPr>
            </w:pPr>
            <w:r>
              <w:rPr>
                <w:rFonts w:hint="eastAsia" w:ascii="宋体" w:hAnsi="宋体" w:cs="宋体"/>
                <w:b/>
                <w:bCs/>
                <w:sz w:val="21"/>
                <w:szCs w:val="21"/>
                <w:highlight w:val="none"/>
              </w:rPr>
              <w:t>序号</w:t>
            </w:r>
          </w:p>
        </w:tc>
        <w:tc>
          <w:tcPr>
            <w:tcW w:w="475" w:type="pct"/>
            <w:noWrap w:val="0"/>
            <w:tcMar>
              <w:left w:w="0" w:type="dxa"/>
              <w:right w:w="0" w:type="dxa"/>
            </w:tcMar>
            <w:vAlign w:val="center"/>
          </w:tcPr>
          <w:p w14:paraId="46073F48">
            <w:pPr>
              <w:spacing w:line="276" w:lineRule="auto"/>
              <w:ind w:firstLine="28"/>
              <w:jc w:val="center"/>
              <w:rPr>
                <w:rFonts w:hint="eastAsia" w:ascii="宋体" w:hAnsi="宋体" w:cs="宋体"/>
                <w:b/>
                <w:bCs/>
                <w:sz w:val="21"/>
                <w:szCs w:val="21"/>
                <w:highlight w:val="none"/>
              </w:rPr>
            </w:pPr>
            <w:r>
              <w:rPr>
                <w:rFonts w:hint="eastAsia" w:ascii="宋体" w:hAnsi="宋体" w:cs="宋体"/>
                <w:b/>
                <w:bCs/>
                <w:sz w:val="21"/>
                <w:szCs w:val="21"/>
                <w:highlight w:val="none"/>
              </w:rPr>
              <w:t>评分因素</w:t>
            </w:r>
          </w:p>
          <w:p w14:paraId="394A3376">
            <w:pPr>
              <w:spacing w:line="276" w:lineRule="auto"/>
              <w:ind w:firstLine="28"/>
              <w:jc w:val="center"/>
              <w:rPr>
                <w:rFonts w:hint="eastAsia" w:ascii="宋体" w:hAnsi="宋体" w:cs="宋体"/>
                <w:b/>
                <w:bCs/>
                <w:sz w:val="21"/>
                <w:szCs w:val="21"/>
                <w:highlight w:val="none"/>
              </w:rPr>
            </w:pPr>
            <w:r>
              <w:rPr>
                <w:rFonts w:hint="eastAsia" w:ascii="宋体" w:hAnsi="宋体" w:cs="宋体"/>
                <w:b/>
                <w:bCs/>
                <w:sz w:val="21"/>
                <w:szCs w:val="21"/>
                <w:highlight w:val="none"/>
              </w:rPr>
              <w:t>及权重</w:t>
            </w:r>
          </w:p>
        </w:tc>
        <w:tc>
          <w:tcPr>
            <w:tcW w:w="628" w:type="pct"/>
            <w:noWrap w:val="0"/>
            <w:tcMar>
              <w:left w:w="0" w:type="dxa"/>
              <w:right w:w="0" w:type="dxa"/>
            </w:tcMar>
            <w:vAlign w:val="center"/>
          </w:tcPr>
          <w:p w14:paraId="2997939D">
            <w:pPr>
              <w:spacing w:line="276" w:lineRule="auto"/>
              <w:ind w:firstLine="28"/>
              <w:jc w:val="center"/>
              <w:rPr>
                <w:rFonts w:hint="eastAsia" w:ascii="宋体" w:hAnsi="宋体" w:cs="宋体"/>
                <w:b/>
                <w:bCs/>
                <w:sz w:val="21"/>
                <w:szCs w:val="21"/>
                <w:highlight w:val="none"/>
              </w:rPr>
            </w:pPr>
            <w:r>
              <w:rPr>
                <w:rFonts w:hint="eastAsia" w:ascii="宋体" w:hAnsi="宋体" w:cs="宋体"/>
                <w:b/>
                <w:bCs/>
                <w:sz w:val="21"/>
                <w:szCs w:val="21"/>
                <w:highlight w:val="none"/>
              </w:rPr>
              <w:t>分值</w:t>
            </w:r>
          </w:p>
        </w:tc>
        <w:tc>
          <w:tcPr>
            <w:tcW w:w="2037" w:type="pct"/>
            <w:noWrap w:val="0"/>
            <w:tcMar>
              <w:left w:w="0" w:type="dxa"/>
              <w:right w:w="0" w:type="dxa"/>
            </w:tcMar>
            <w:vAlign w:val="center"/>
          </w:tcPr>
          <w:p w14:paraId="257F77C7">
            <w:pPr>
              <w:spacing w:line="276" w:lineRule="auto"/>
              <w:ind w:firstLine="28"/>
              <w:jc w:val="center"/>
              <w:rPr>
                <w:rFonts w:hint="eastAsia" w:ascii="宋体" w:hAnsi="宋体" w:cs="宋体"/>
                <w:b/>
                <w:bCs/>
                <w:sz w:val="21"/>
                <w:szCs w:val="21"/>
                <w:highlight w:val="none"/>
              </w:rPr>
            </w:pPr>
            <w:r>
              <w:rPr>
                <w:rFonts w:hint="eastAsia" w:ascii="宋体" w:hAnsi="宋体" w:cs="宋体"/>
                <w:b/>
                <w:bCs/>
                <w:sz w:val="21"/>
                <w:szCs w:val="21"/>
                <w:highlight w:val="none"/>
              </w:rPr>
              <w:t>评分标准</w:t>
            </w:r>
          </w:p>
        </w:tc>
        <w:tc>
          <w:tcPr>
            <w:tcW w:w="1469" w:type="pct"/>
            <w:noWrap w:val="0"/>
            <w:tcMar>
              <w:left w:w="0" w:type="dxa"/>
              <w:right w:w="0" w:type="dxa"/>
            </w:tcMar>
            <w:vAlign w:val="center"/>
          </w:tcPr>
          <w:p w14:paraId="48C091D1">
            <w:pPr>
              <w:spacing w:line="276" w:lineRule="auto"/>
              <w:jc w:val="center"/>
              <w:rPr>
                <w:rFonts w:hint="eastAsia" w:ascii="宋体" w:hAnsi="宋体" w:cs="宋体"/>
                <w:b/>
                <w:bCs/>
                <w:sz w:val="21"/>
                <w:szCs w:val="21"/>
                <w:highlight w:val="none"/>
              </w:rPr>
            </w:pPr>
            <w:r>
              <w:rPr>
                <w:rFonts w:hint="eastAsia" w:ascii="宋体" w:hAnsi="宋体" w:cs="宋体"/>
                <w:b/>
                <w:bCs/>
                <w:sz w:val="21"/>
                <w:szCs w:val="21"/>
                <w:highlight w:val="none"/>
              </w:rPr>
              <w:t>说明</w:t>
            </w:r>
          </w:p>
        </w:tc>
      </w:tr>
      <w:tr w14:paraId="4C415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9" w:type="pct"/>
            <w:noWrap w:val="0"/>
            <w:vAlign w:val="center"/>
          </w:tcPr>
          <w:p w14:paraId="791DFC7F">
            <w:pPr>
              <w:spacing w:line="276"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w:t>
            </w:r>
          </w:p>
        </w:tc>
        <w:tc>
          <w:tcPr>
            <w:tcW w:w="475" w:type="pct"/>
            <w:noWrap w:val="0"/>
            <w:vAlign w:val="center"/>
          </w:tcPr>
          <w:p w14:paraId="4471225E">
            <w:pPr>
              <w:spacing w:line="276"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磋商</w:t>
            </w:r>
          </w:p>
          <w:p w14:paraId="2702839D">
            <w:pPr>
              <w:spacing w:line="276"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报价</w:t>
            </w:r>
          </w:p>
          <w:p w14:paraId="0B96A8FB">
            <w:pPr>
              <w:spacing w:line="276"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（10%）</w:t>
            </w:r>
          </w:p>
        </w:tc>
        <w:tc>
          <w:tcPr>
            <w:tcW w:w="628" w:type="pct"/>
            <w:noWrap w:val="0"/>
            <w:vAlign w:val="center"/>
          </w:tcPr>
          <w:p w14:paraId="55ECDD34">
            <w:pPr>
              <w:spacing w:line="276"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10分</w:t>
            </w:r>
          </w:p>
        </w:tc>
        <w:tc>
          <w:tcPr>
            <w:tcW w:w="2037" w:type="pct"/>
            <w:noWrap w:val="0"/>
            <w:vAlign w:val="center"/>
          </w:tcPr>
          <w:p w14:paraId="0B039EED">
            <w:pPr>
              <w:spacing w:line="276"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满足资格性、符合性要求且最后报价最低的供应商的价格为磋商基准价，其价格分为满分。其他供应商的价格分统一按照下列公式计算：</w:t>
            </w:r>
          </w:p>
          <w:p w14:paraId="58D2D261">
            <w:pPr>
              <w:spacing w:line="276"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磋商报价得分=（磋商基准价/最后磋商报价）×价格权值×100</w:t>
            </w:r>
          </w:p>
        </w:tc>
        <w:tc>
          <w:tcPr>
            <w:tcW w:w="1469" w:type="pct"/>
            <w:noWrap w:val="0"/>
            <w:vAlign w:val="center"/>
          </w:tcPr>
          <w:p w14:paraId="03726BBD">
            <w:pPr>
              <w:spacing w:line="276" w:lineRule="auto"/>
              <w:jc w:val="left"/>
              <w:rPr>
                <w:rFonts w:hint="eastAsia" w:ascii="宋体" w:hAnsi="宋体" w:eastAsia="宋体" w:cs="宋体"/>
                <w:sz w:val="21"/>
                <w:szCs w:val="21"/>
                <w:highlight w:val="none"/>
              </w:rPr>
            </w:pPr>
          </w:p>
        </w:tc>
      </w:tr>
      <w:tr w14:paraId="4368B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atLeast"/>
          <w:jc w:val="center"/>
        </w:trPr>
        <w:tc>
          <w:tcPr>
            <w:tcW w:w="389" w:type="pct"/>
            <w:vMerge w:val="restart"/>
            <w:noWrap w:val="0"/>
            <w:vAlign w:val="center"/>
          </w:tcPr>
          <w:p w14:paraId="5248E5BF">
            <w:pPr>
              <w:spacing w:line="276"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2</w:t>
            </w:r>
          </w:p>
        </w:tc>
        <w:tc>
          <w:tcPr>
            <w:tcW w:w="475" w:type="pct"/>
            <w:vMerge w:val="restart"/>
            <w:noWrap w:val="0"/>
            <w:vAlign w:val="center"/>
          </w:tcPr>
          <w:p w14:paraId="5A9EE47A">
            <w:pPr>
              <w:spacing w:line="276"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技术</w:t>
            </w:r>
            <w:r>
              <w:rPr>
                <w:rFonts w:hint="eastAsia" w:ascii="宋体" w:hAnsi="宋体" w:eastAsia="宋体" w:cs="宋体"/>
                <w:color w:val="auto"/>
                <w:sz w:val="21"/>
                <w:szCs w:val="21"/>
                <w:highlight w:val="none"/>
              </w:rPr>
              <w:t>部分</w:t>
            </w:r>
          </w:p>
          <w:p w14:paraId="7D806FD9">
            <w:pPr>
              <w:spacing w:line="276" w:lineRule="auto"/>
              <w:jc w:val="center"/>
              <w:rPr>
                <w:rFonts w:hint="eastAsia" w:ascii="宋体" w:hAnsi="宋体" w:eastAsia="宋体" w:cs="宋体"/>
                <w:sz w:val="21"/>
                <w:szCs w:val="21"/>
                <w:highlight w:val="none"/>
              </w:rPr>
            </w:pPr>
            <w:r>
              <w:rPr>
                <w:rFonts w:hint="eastAsia" w:ascii="宋体" w:hAnsi="宋体" w:eastAsia="宋体" w:cs="宋体"/>
                <w:color w:val="auto"/>
                <w:sz w:val="21"/>
                <w:szCs w:val="21"/>
                <w:highlight w:val="none"/>
              </w:rPr>
              <w:t>（5</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w:t>
            </w:r>
          </w:p>
        </w:tc>
        <w:tc>
          <w:tcPr>
            <w:tcW w:w="628" w:type="pct"/>
            <w:noWrap w:val="0"/>
            <w:vAlign w:val="center"/>
          </w:tcPr>
          <w:p w14:paraId="25BB72AF">
            <w:pPr>
              <w:spacing w:line="276"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服务要求</w:t>
            </w:r>
          </w:p>
          <w:p w14:paraId="1F802834">
            <w:pPr>
              <w:spacing w:line="276"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响应</w:t>
            </w:r>
          </w:p>
          <w:p w14:paraId="730E6355">
            <w:pPr>
              <w:spacing w:line="276"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（30分）</w:t>
            </w:r>
          </w:p>
        </w:tc>
        <w:tc>
          <w:tcPr>
            <w:tcW w:w="2037" w:type="pct"/>
            <w:noWrap w:val="0"/>
            <w:vAlign w:val="center"/>
          </w:tcPr>
          <w:p w14:paraId="7822450E">
            <w:pPr>
              <w:spacing w:line="276"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有效供应商的起评分为30分。</w:t>
            </w:r>
          </w:p>
          <w:p w14:paraId="30CDA28A">
            <w:pPr>
              <w:spacing w:line="276"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1.重要</w:t>
            </w:r>
            <w:r>
              <w:rPr>
                <w:rFonts w:hint="eastAsia" w:ascii="宋体" w:hAnsi="宋体" w:eastAsia="宋体" w:cs="宋体"/>
                <w:sz w:val="21"/>
                <w:szCs w:val="21"/>
                <w:highlight w:val="none"/>
                <w:lang w:val="en-US" w:eastAsia="zh-CN"/>
              </w:rPr>
              <w:t>技术</w:t>
            </w:r>
            <w:r>
              <w:rPr>
                <w:rFonts w:hint="eastAsia" w:ascii="宋体" w:hAnsi="宋体" w:eastAsia="宋体" w:cs="宋体"/>
                <w:sz w:val="21"/>
                <w:szCs w:val="21"/>
                <w:highlight w:val="none"/>
              </w:rPr>
              <w:t>参数【本磋商文件第二篇中带（★）号标注的部分】每负偏离一条扣5分，超过5条及以上，起评分得0分。</w:t>
            </w:r>
          </w:p>
          <w:p w14:paraId="584383EF">
            <w:pPr>
              <w:spacing w:line="276"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2.一般性</w:t>
            </w:r>
            <w:r>
              <w:rPr>
                <w:rFonts w:hint="eastAsia" w:ascii="宋体" w:hAnsi="宋体" w:eastAsia="宋体" w:cs="宋体"/>
                <w:sz w:val="21"/>
                <w:szCs w:val="21"/>
                <w:highlight w:val="none"/>
                <w:lang w:val="en-US" w:eastAsia="zh-CN"/>
              </w:rPr>
              <w:t>技术</w:t>
            </w:r>
            <w:r>
              <w:rPr>
                <w:rFonts w:hint="eastAsia" w:ascii="宋体" w:hAnsi="宋体" w:eastAsia="宋体" w:cs="宋体"/>
                <w:sz w:val="21"/>
                <w:szCs w:val="21"/>
                <w:highlight w:val="none"/>
              </w:rPr>
              <w:t>参数【本磋商文件第二篇中（★）和（※）标注的部分除外】达不到磋商文件要求的，每负偏离一条从起评分中扣除3分，超过5条及以上，起评分得0分。</w:t>
            </w:r>
          </w:p>
        </w:tc>
        <w:tc>
          <w:tcPr>
            <w:tcW w:w="1469" w:type="pct"/>
            <w:noWrap w:val="0"/>
            <w:vAlign w:val="center"/>
          </w:tcPr>
          <w:p w14:paraId="234DBA57">
            <w:pPr>
              <w:spacing w:line="276" w:lineRule="auto"/>
              <w:jc w:val="left"/>
              <w:rPr>
                <w:rFonts w:hint="eastAsia" w:ascii="宋体" w:hAnsi="宋体" w:eastAsia="宋体" w:cs="宋体"/>
                <w:sz w:val="21"/>
                <w:szCs w:val="21"/>
                <w:highlight w:val="none"/>
              </w:rPr>
            </w:pPr>
          </w:p>
        </w:tc>
      </w:tr>
      <w:tr w14:paraId="22BD9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9" w:hRule="atLeast"/>
          <w:jc w:val="center"/>
        </w:trPr>
        <w:tc>
          <w:tcPr>
            <w:tcW w:w="389" w:type="pct"/>
            <w:vMerge w:val="continue"/>
            <w:noWrap w:val="0"/>
            <w:vAlign w:val="center"/>
          </w:tcPr>
          <w:p w14:paraId="022C95FA">
            <w:pPr>
              <w:spacing w:line="276" w:lineRule="auto"/>
              <w:jc w:val="left"/>
              <w:rPr>
                <w:rFonts w:hint="eastAsia" w:ascii="宋体" w:hAnsi="宋体" w:eastAsia="宋体" w:cs="宋体"/>
                <w:sz w:val="21"/>
                <w:szCs w:val="21"/>
                <w:highlight w:val="none"/>
              </w:rPr>
            </w:pPr>
          </w:p>
        </w:tc>
        <w:tc>
          <w:tcPr>
            <w:tcW w:w="475" w:type="pct"/>
            <w:vMerge w:val="continue"/>
            <w:noWrap w:val="0"/>
            <w:vAlign w:val="center"/>
          </w:tcPr>
          <w:p w14:paraId="26B5B8F0">
            <w:pPr>
              <w:spacing w:line="276" w:lineRule="auto"/>
              <w:jc w:val="left"/>
              <w:rPr>
                <w:rFonts w:hint="eastAsia" w:ascii="宋体" w:hAnsi="宋体" w:eastAsia="宋体" w:cs="宋体"/>
                <w:sz w:val="21"/>
                <w:szCs w:val="21"/>
                <w:highlight w:val="none"/>
              </w:rPr>
            </w:pPr>
          </w:p>
        </w:tc>
        <w:tc>
          <w:tcPr>
            <w:tcW w:w="628" w:type="pct"/>
            <w:noWrap w:val="0"/>
            <w:vAlign w:val="center"/>
          </w:tcPr>
          <w:p w14:paraId="14A28A7C">
            <w:pPr>
              <w:spacing w:line="276"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服务方案</w:t>
            </w:r>
          </w:p>
          <w:p w14:paraId="717DC3B6">
            <w:pPr>
              <w:spacing w:line="276"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分）</w:t>
            </w:r>
          </w:p>
        </w:tc>
        <w:tc>
          <w:tcPr>
            <w:tcW w:w="2037" w:type="pct"/>
            <w:noWrap w:val="0"/>
            <w:vAlign w:val="center"/>
          </w:tcPr>
          <w:p w14:paraId="7CD5C7ED">
            <w:pPr>
              <w:spacing w:line="276" w:lineRule="auto"/>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根据被测系统实际情况，提出项目详细计划和方案。包括但不限于工作内容、组织方案、实施方案、质量管控四个部分</w:t>
            </w:r>
            <w:r>
              <w:rPr>
                <w:rFonts w:hint="eastAsia" w:ascii="宋体" w:hAnsi="宋体" w:eastAsia="宋体" w:cs="宋体"/>
                <w:color w:val="auto"/>
                <w:sz w:val="21"/>
                <w:szCs w:val="21"/>
                <w:highlight w:val="none"/>
                <w:lang w:eastAsia="zh-CN"/>
              </w:rPr>
              <w:t>。</w:t>
            </w:r>
          </w:p>
          <w:p w14:paraId="1AF17121">
            <w:pPr>
              <w:spacing w:line="276"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内容不存在瑕疵，得</w:t>
            </w:r>
            <w:r>
              <w:rPr>
                <w:rFonts w:hint="eastAsia" w:ascii="宋体" w:hAnsi="宋体" w:cs="宋体"/>
                <w:color w:val="auto"/>
                <w:sz w:val="21"/>
                <w:szCs w:val="21"/>
                <w:highlight w:val="none"/>
                <w:lang w:val="en-US" w:eastAsia="zh-CN"/>
              </w:rPr>
              <w:t>15</w:t>
            </w:r>
            <w:r>
              <w:rPr>
                <w:rFonts w:hint="eastAsia" w:ascii="宋体" w:hAnsi="宋体" w:eastAsia="宋体" w:cs="宋体"/>
                <w:color w:val="auto"/>
                <w:sz w:val="21"/>
                <w:szCs w:val="21"/>
                <w:highlight w:val="none"/>
              </w:rPr>
              <w:t>分；</w:t>
            </w:r>
          </w:p>
          <w:p w14:paraId="47B60F2D">
            <w:pPr>
              <w:spacing w:line="276"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内容存在1处瑕疵，得</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p w14:paraId="03A35553">
            <w:pPr>
              <w:spacing w:line="276"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内容存在2处瑕疵，得</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分；</w:t>
            </w:r>
          </w:p>
          <w:p w14:paraId="237F3029">
            <w:pPr>
              <w:spacing w:line="276"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内容存在3处及以上瑕疵或未提供方案得0分。</w:t>
            </w:r>
          </w:p>
        </w:tc>
        <w:tc>
          <w:tcPr>
            <w:tcW w:w="1469" w:type="pct"/>
            <w:vMerge w:val="restart"/>
            <w:noWrap w:val="0"/>
            <w:vAlign w:val="center"/>
          </w:tcPr>
          <w:p w14:paraId="4B6D0D76">
            <w:pPr>
              <w:spacing w:line="276"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提供方案，格式自拟。</w:t>
            </w:r>
          </w:p>
          <w:p w14:paraId="2307532B">
            <w:pPr>
              <w:spacing w:line="276"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3263F9A2">
            <w:pPr>
              <w:spacing w:line="276"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内容中所称的“瑕疵”指方案内容缺项、内容表述不完整或缺少关键点，方案内容表述前后矛盾、无连贯性，内容存在逻辑漏洞、常识错误、措施、保障、安排、配备不合理、不科学，没有实际操作性并不适用本项目特性或非专门针对本项目制定、现有技术条件下不可能出现的情形等任意一种情形。</w:t>
            </w:r>
          </w:p>
        </w:tc>
      </w:tr>
      <w:tr w14:paraId="7D6B0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389" w:type="pct"/>
            <w:vMerge w:val="continue"/>
            <w:noWrap w:val="0"/>
            <w:vAlign w:val="center"/>
          </w:tcPr>
          <w:p w14:paraId="7777CBA8">
            <w:pPr>
              <w:spacing w:line="276" w:lineRule="auto"/>
              <w:jc w:val="left"/>
              <w:rPr>
                <w:rFonts w:hint="eastAsia" w:ascii="宋体" w:hAnsi="宋体" w:eastAsia="宋体" w:cs="宋体"/>
                <w:sz w:val="21"/>
                <w:szCs w:val="21"/>
                <w:highlight w:val="none"/>
              </w:rPr>
            </w:pPr>
          </w:p>
        </w:tc>
        <w:tc>
          <w:tcPr>
            <w:tcW w:w="475" w:type="pct"/>
            <w:vMerge w:val="continue"/>
            <w:noWrap w:val="0"/>
            <w:vAlign w:val="center"/>
          </w:tcPr>
          <w:p w14:paraId="03DD0051">
            <w:pPr>
              <w:spacing w:line="276" w:lineRule="auto"/>
              <w:jc w:val="left"/>
              <w:rPr>
                <w:rFonts w:hint="eastAsia" w:ascii="宋体" w:hAnsi="宋体" w:eastAsia="宋体" w:cs="宋体"/>
                <w:sz w:val="21"/>
                <w:szCs w:val="21"/>
                <w:highlight w:val="none"/>
              </w:rPr>
            </w:pPr>
          </w:p>
        </w:tc>
        <w:tc>
          <w:tcPr>
            <w:tcW w:w="628" w:type="pct"/>
            <w:noWrap w:val="0"/>
            <w:vAlign w:val="center"/>
          </w:tcPr>
          <w:p w14:paraId="4C3F07E1">
            <w:pPr>
              <w:spacing w:line="276"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应急方案</w:t>
            </w:r>
          </w:p>
          <w:p w14:paraId="080B819F">
            <w:pPr>
              <w:spacing w:line="276"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分）</w:t>
            </w:r>
          </w:p>
        </w:tc>
        <w:tc>
          <w:tcPr>
            <w:tcW w:w="2037" w:type="pct"/>
            <w:noWrap w:val="0"/>
            <w:vAlign w:val="center"/>
          </w:tcPr>
          <w:p w14:paraId="22EB4290">
            <w:pPr>
              <w:spacing w:line="276" w:lineRule="auto"/>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供应商应制定应急方案，保障合同实施期间提供应急响应服务。当采购人遭受网络病毒、木马、黑客入侵、DOS攻击以及其他网络安全事件时，供应商应进行现场排查处理安全事件，保障网络及系统的连续性，防止和减小安全事件带来的负面影响</w:t>
            </w:r>
            <w:r>
              <w:rPr>
                <w:rFonts w:hint="eastAsia" w:ascii="宋体" w:hAnsi="宋体" w:eastAsia="宋体" w:cs="宋体"/>
                <w:sz w:val="21"/>
                <w:szCs w:val="21"/>
                <w:highlight w:val="none"/>
                <w:lang w:eastAsia="zh-CN"/>
              </w:rPr>
              <w:t>。</w:t>
            </w:r>
          </w:p>
          <w:p w14:paraId="6491F856">
            <w:pPr>
              <w:spacing w:line="276"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内容不存在瑕疵，得</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分；</w:t>
            </w:r>
          </w:p>
          <w:p w14:paraId="00222A10">
            <w:pPr>
              <w:spacing w:line="276"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内容存在1处瑕疵，得</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分；</w:t>
            </w:r>
          </w:p>
          <w:p w14:paraId="1E25CCC2">
            <w:pPr>
              <w:spacing w:line="276"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内容存在2处瑕疵，得</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分；</w:t>
            </w:r>
          </w:p>
          <w:p w14:paraId="79AA7E08">
            <w:pPr>
              <w:spacing w:line="276"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内容存在3处及以上瑕疵或未提供方案得0分。</w:t>
            </w:r>
          </w:p>
        </w:tc>
        <w:tc>
          <w:tcPr>
            <w:tcW w:w="1469" w:type="pct"/>
            <w:vMerge w:val="continue"/>
            <w:noWrap w:val="0"/>
            <w:vAlign w:val="center"/>
          </w:tcPr>
          <w:p w14:paraId="359B49D6">
            <w:pPr>
              <w:spacing w:line="276" w:lineRule="auto"/>
              <w:jc w:val="left"/>
              <w:rPr>
                <w:rFonts w:hint="eastAsia" w:ascii="宋体" w:hAnsi="宋体" w:eastAsia="宋体" w:cs="宋体"/>
                <w:sz w:val="21"/>
                <w:szCs w:val="21"/>
                <w:highlight w:val="none"/>
              </w:rPr>
            </w:pPr>
          </w:p>
        </w:tc>
      </w:tr>
      <w:tr w14:paraId="3F870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389" w:type="pct"/>
            <w:vMerge w:val="continue"/>
            <w:noWrap w:val="0"/>
            <w:vAlign w:val="center"/>
          </w:tcPr>
          <w:p w14:paraId="237B0BC6">
            <w:pPr>
              <w:spacing w:line="276" w:lineRule="auto"/>
              <w:jc w:val="left"/>
              <w:rPr>
                <w:rFonts w:hint="eastAsia" w:ascii="宋体" w:hAnsi="宋体" w:eastAsia="宋体" w:cs="宋体"/>
                <w:sz w:val="21"/>
                <w:szCs w:val="21"/>
                <w:highlight w:val="none"/>
              </w:rPr>
            </w:pPr>
          </w:p>
        </w:tc>
        <w:tc>
          <w:tcPr>
            <w:tcW w:w="475" w:type="pct"/>
            <w:vMerge w:val="continue"/>
            <w:noWrap w:val="0"/>
            <w:vAlign w:val="center"/>
          </w:tcPr>
          <w:p w14:paraId="1410A007">
            <w:pPr>
              <w:spacing w:line="276" w:lineRule="auto"/>
              <w:jc w:val="left"/>
              <w:rPr>
                <w:rFonts w:hint="eastAsia" w:ascii="宋体" w:hAnsi="宋体" w:eastAsia="宋体" w:cs="宋体"/>
                <w:sz w:val="21"/>
                <w:szCs w:val="21"/>
                <w:highlight w:val="none"/>
              </w:rPr>
            </w:pPr>
          </w:p>
        </w:tc>
        <w:tc>
          <w:tcPr>
            <w:tcW w:w="628" w:type="pct"/>
            <w:noWrap w:val="0"/>
            <w:vAlign w:val="center"/>
          </w:tcPr>
          <w:p w14:paraId="439DD88B">
            <w:pPr>
              <w:spacing w:line="276" w:lineRule="auto"/>
              <w:jc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保密措施</w:t>
            </w:r>
          </w:p>
          <w:p w14:paraId="3F2E16E5">
            <w:pPr>
              <w:spacing w:line="276"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分）</w:t>
            </w:r>
          </w:p>
        </w:tc>
        <w:tc>
          <w:tcPr>
            <w:tcW w:w="2037" w:type="pct"/>
            <w:noWrap w:val="0"/>
            <w:vAlign w:val="center"/>
          </w:tcPr>
          <w:p w14:paraId="4D3711F8">
            <w:pPr>
              <w:spacing w:line="276"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供应商</w:t>
            </w:r>
            <w:r>
              <w:rPr>
                <w:rFonts w:hint="eastAsia" w:ascii="宋体" w:hAnsi="宋体" w:eastAsia="宋体" w:cs="宋体"/>
                <w:sz w:val="21"/>
                <w:szCs w:val="21"/>
                <w:highlight w:val="none"/>
                <w:lang w:val="en-US" w:eastAsia="zh-CN"/>
              </w:rPr>
              <w:t>根据项目服务需求制定保密措施，包含但不限于保密制度、人员分工、服务流程等内容。</w:t>
            </w:r>
          </w:p>
          <w:p w14:paraId="1CF91282">
            <w:pPr>
              <w:spacing w:line="276"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内容不存在瑕疵，得</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分；</w:t>
            </w:r>
          </w:p>
          <w:p w14:paraId="3CE96D6F">
            <w:pPr>
              <w:spacing w:line="276"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内容存在1处瑕疵，得</w:t>
            </w: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rPr>
              <w:t>分；</w:t>
            </w:r>
          </w:p>
          <w:p w14:paraId="1F0C2863">
            <w:pPr>
              <w:spacing w:line="276"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内容存在2处瑕疵，得</w:t>
            </w: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分；</w:t>
            </w:r>
          </w:p>
          <w:p w14:paraId="2D4C2A81">
            <w:pPr>
              <w:spacing w:line="276"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内容存在3处及以上瑕疵或未提供方案得0分。</w:t>
            </w:r>
          </w:p>
        </w:tc>
        <w:tc>
          <w:tcPr>
            <w:tcW w:w="1469" w:type="pct"/>
            <w:vMerge w:val="continue"/>
            <w:noWrap w:val="0"/>
            <w:vAlign w:val="center"/>
          </w:tcPr>
          <w:p w14:paraId="47D3BD34">
            <w:pPr>
              <w:spacing w:line="276" w:lineRule="auto"/>
              <w:jc w:val="left"/>
              <w:rPr>
                <w:rFonts w:hint="eastAsia" w:ascii="宋体" w:hAnsi="宋体" w:eastAsia="宋体" w:cs="宋体"/>
                <w:sz w:val="21"/>
                <w:szCs w:val="21"/>
                <w:highlight w:val="none"/>
              </w:rPr>
            </w:pPr>
          </w:p>
        </w:tc>
      </w:tr>
      <w:tr w14:paraId="629CA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noWrap w:val="0"/>
            <w:vAlign w:val="center"/>
          </w:tcPr>
          <w:p w14:paraId="5FBF8C55">
            <w:pPr>
              <w:spacing w:line="276"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供应商的应答应满足竞争性磋商文件“第三篇 项目商务需求”，有一条不满足的（第三篇中“※”号标注的部分除外），商务部分得分为0分，不再进入商务部分的评审。</w:t>
            </w:r>
          </w:p>
        </w:tc>
      </w:tr>
      <w:tr w14:paraId="571C8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389" w:type="pct"/>
            <w:vMerge w:val="restart"/>
            <w:noWrap w:val="0"/>
            <w:vAlign w:val="center"/>
          </w:tcPr>
          <w:p w14:paraId="59AE0797">
            <w:pPr>
              <w:spacing w:line="276" w:lineRule="auto"/>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3</w:t>
            </w:r>
          </w:p>
        </w:tc>
        <w:tc>
          <w:tcPr>
            <w:tcW w:w="475" w:type="pct"/>
            <w:vMerge w:val="restart"/>
            <w:noWrap w:val="0"/>
            <w:vAlign w:val="center"/>
          </w:tcPr>
          <w:p w14:paraId="23E8D9D8">
            <w:pPr>
              <w:spacing w:line="276"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商务</w:t>
            </w:r>
          </w:p>
          <w:p w14:paraId="4E81A996">
            <w:pPr>
              <w:spacing w:line="276"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部分</w:t>
            </w:r>
          </w:p>
          <w:p w14:paraId="6AE75C6A">
            <w:pPr>
              <w:spacing w:line="276" w:lineRule="auto"/>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cs="宋体"/>
                <w:sz w:val="21"/>
                <w:szCs w:val="21"/>
                <w:highlight w:val="none"/>
                <w:lang w:val="en-US" w:eastAsia="zh-CN"/>
              </w:rPr>
              <w:t>35</w:t>
            </w:r>
            <w:r>
              <w:rPr>
                <w:rFonts w:hint="eastAsia" w:ascii="宋体" w:hAnsi="宋体" w:eastAsia="宋体" w:cs="宋体"/>
                <w:sz w:val="21"/>
                <w:szCs w:val="21"/>
                <w:highlight w:val="none"/>
              </w:rPr>
              <w:t>%）</w:t>
            </w:r>
          </w:p>
        </w:tc>
        <w:tc>
          <w:tcPr>
            <w:tcW w:w="628" w:type="pct"/>
            <w:noWrap w:val="0"/>
            <w:vAlign w:val="center"/>
          </w:tcPr>
          <w:p w14:paraId="65556BE1">
            <w:pPr>
              <w:spacing w:line="276"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团队人员（</w:t>
            </w:r>
            <w:r>
              <w:rPr>
                <w:rFonts w:hint="eastAsia" w:ascii="宋体" w:hAnsi="宋体" w:cs="宋体"/>
                <w:color w:val="auto"/>
                <w:sz w:val="21"/>
                <w:szCs w:val="21"/>
                <w:highlight w:val="none"/>
                <w:lang w:val="en-US" w:eastAsia="zh-CN"/>
              </w:rPr>
              <w:t>24</w:t>
            </w:r>
            <w:r>
              <w:rPr>
                <w:rFonts w:hint="eastAsia" w:ascii="宋体" w:hAnsi="宋体" w:eastAsia="宋体" w:cs="宋体"/>
                <w:color w:val="auto"/>
                <w:sz w:val="21"/>
                <w:szCs w:val="21"/>
                <w:highlight w:val="none"/>
              </w:rPr>
              <w:t>分）</w:t>
            </w:r>
          </w:p>
        </w:tc>
        <w:tc>
          <w:tcPr>
            <w:tcW w:w="2037" w:type="pct"/>
            <w:noWrap w:val="0"/>
            <w:vAlign w:val="center"/>
          </w:tcPr>
          <w:p w14:paraId="296EB6F9">
            <w:pPr>
              <w:spacing w:line="276"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供应商为本项目配备的项目服务团队</w:t>
            </w:r>
            <w:r>
              <w:rPr>
                <w:rFonts w:hint="eastAsia" w:ascii="宋体" w:hAnsi="宋体" w:cs="宋体"/>
                <w:color w:val="auto"/>
                <w:sz w:val="21"/>
                <w:szCs w:val="21"/>
                <w:highlight w:val="none"/>
                <w:lang w:val="en-US" w:eastAsia="zh-CN"/>
              </w:rPr>
              <w:t>中每有一名</w:t>
            </w:r>
            <w:r>
              <w:rPr>
                <w:rFonts w:hint="eastAsia" w:ascii="宋体" w:hAnsi="宋体" w:eastAsia="宋体" w:cs="宋体"/>
                <w:color w:val="auto"/>
                <w:sz w:val="21"/>
                <w:szCs w:val="21"/>
                <w:highlight w:val="none"/>
              </w:rPr>
              <w:t>具有测评师资质</w:t>
            </w:r>
            <w:r>
              <w:rPr>
                <w:rFonts w:hint="eastAsia" w:ascii="宋体" w:hAnsi="宋体" w:cs="宋体"/>
                <w:color w:val="auto"/>
                <w:sz w:val="21"/>
                <w:szCs w:val="21"/>
                <w:highlight w:val="none"/>
                <w:lang w:val="en-US" w:eastAsia="zh-CN"/>
              </w:rPr>
              <w:t>的</w:t>
            </w:r>
            <w:r>
              <w:rPr>
                <w:rFonts w:hint="eastAsia" w:ascii="宋体" w:hAnsi="宋体" w:eastAsia="宋体" w:cs="宋体"/>
                <w:color w:val="auto"/>
                <w:sz w:val="21"/>
                <w:szCs w:val="21"/>
                <w:highlight w:val="none"/>
              </w:rPr>
              <w:t>得</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分</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最多得10</w:t>
            </w:r>
            <w:r>
              <w:rPr>
                <w:rFonts w:hint="eastAsia" w:ascii="宋体" w:hAnsi="宋体" w:eastAsia="宋体" w:cs="宋体"/>
                <w:color w:val="auto"/>
                <w:sz w:val="21"/>
                <w:szCs w:val="21"/>
                <w:highlight w:val="none"/>
              </w:rPr>
              <w:t>；</w:t>
            </w:r>
          </w:p>
          <w:p w14:paraId="4CDAB102">
            <w:pPr>
              <w:spacing w:line="276"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项目团队中测评师</w:t>
            </w:r>
            <w:r>
              <w:rPr>
                <w:rFonts w:hint="eastAsia" w:ascii="宋体" w:hAnsi="宋体" w:eastAsia="宋体" w:cs="宋体"/>
                <w:color w:val="auto"/>
                <w:sz w:val="21"/>
                <w:szCs w:val="21"/>
                <w:highlight w:val="none"/>
                <w:lang w:val="en-US" w:eastAsia="zh-CN"/>
              </w:rPr>
              <w:t>为</w:t>
            </w:r>
            <w:r>
              <w:rPr>
                <w:rFonts w:hint="eastAsia" w:ascii="宋体" w:hAnsi="宋体" w:eastAsia="宋体" w:cs="宋体"/>
                <w:color w:val="auto"/>
                <w:sz w:val="21"/>
                <w:szCs w:val="21"/>
                <w:highlight w:val="none"/>
              </w:rPr>
              <w:t>高级测评师</w:t>
            </w:r>
            <w:r>
              <w:rPr>
                <w:rFonts w:hint="eastAsia" w:ascii="宋体" w:hAnsi="宋体" w:eastAsia="宋体" w:cs="宋体"/>
                <w:color w:val="auto"/>
                <w:sz w:val="21"/>
                <w:szCs w:val="21"/>
                <w:highlight w:val="none"/>
                <w:lang w:val="en-US" w:eastAsia="zh-CN"/>
              </w:rPr>
              <w:t>的，每有一名</w:t>
            </w:r>
            <w:r>
              <w:rPr>
                <w:rFonts w:hint="eastAsia" w:ascii="宋体" w:hAnsi="宋体" w:eastAsia="宋体" w:cs="宋体"/>
                <w:color w:val="auto"/>
                <w:sz w:val="21"/>
                <w:szCs w:val="21"/>
                <w:highlight w:val="none"/>
              </w:rPr>
              <w:t>得2分，最</w:t>
            </w:r>
            <w:r>
              <w:rPr>
                <w:rFonts w:hint="eastAsia" w:ascii="宋体" w:hAnsi="宋体" w:eastAsia="宋体" w:cs="宋体"/>
                <w:color w:val="auto"/>
                <w:sz w:val="21"/>
                <w:szCs w:val="21"/>
                <w:highlight w:val="none"/>
                <w:lang w:val="en-US" w:eastAsia="zh-CN"/>
              </w:rPr>
              <w:t>多得</w:t>
            </w:r>
            <w:r>
              <w:rPr>
                <w:rFonts w:hint="eastAsia" w:ascii="宋体" w:hAnsi="宋体" w:eastAsia="宋体" w:cs="宋体"/>
                <w:color w:val="auto"/>
                <w:sz w:val="21"/>
                <w:szCs w:val="21"/>
                <w:highlight w:val="none"/>
              </w:rPr>
              <w:t>4分；</w:t>
            </w:r>
          </w:p>
          <w:p w14:paraId="2BC02CB4">
            <w:pPr>
              <w:spacing w:line="276"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项目团队中测评师具有CISP认证</w:t>
            </w:r>
            <w:r>
              <w:rPr>
                <w:rFonts w:hint="eastAsia" w:ascii="宋体" w:hAnsi="宋体" w:cs="宋体"/>
                <w:color w:val="auto"/>
                <w:sz w:val="21"/>
                <w:szCs w:val="21"/>
                <w:highlight w:val="none"/>
                <w:lang w:val="en-US" w:eastAsia="zh-CN"/>
              </w:rPr>
              <w:t>的，每提供一名</w:t>
            </w:r>
            <w:r>
              <w:rPr>
                <w:rFonts w:hint="eastAsia" w:ascii="宋体" w:hAnsi="宋体" w:eastAsia="宋体" w:cs="宋体"/>
                <w:color w:val="auto"/>
                <w:sz w:val="21"/>
                <w:szCs w:val="21"/>
                <w:highlight w:val="none"/>
              </w:rPr>
              <w:t>得</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分，最</w:t>
            </w:r>
            <w:r>
              <w:rPr>
                <w:rFonts w:hint="eastAsia" w:ascii="宋体" w:hAnsi="宋体" w:cs="宋体"/>
                <w:color w:val="auto"/>
                <w:sz w:val="21"/>
                <w:szCs w:val="21"/>
                <w:highlight w:val="none"/>
                <w:lang w:val="en-US" w:eastAsia="zh-CN"/>
              </w:rPr>
              <w:t>多得10</w:t>
            </w:r>
            <w:r>
              <w:rPr>
                <w:rFonts w:hint="eastAsia" w:ascii="宋体" w:hAnsi="宋体" w:eastAsia="宋体" w:cs="宋体"/>
                <w:color w:val="auto"/>
                <w:sz w:val="21"/>
                <w:szCs w:val="21"/>
                <w:highlight w:val="none"/>
              </w:rPr>
              <w:t>分。</w:t>
            </w:r>
          </w:p>
        </w:tc>
        <w:tc>
          <w:tcPr>
            <w:tcW w:w="1469" w:type="pct"/>
            <w:noWrap w:val="0"/>
            <w:vAlign w:val="center"/>
          </w:tcPr>
          <w:p w14:paraId="52EA9E77">
            <w:pPr>
              <w:spacing w:line="276"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w:t>
            </w:r>
          </w:p>
          <w:p w14:paraId="4CE26E92">
            <w:pPr>
              <w:spacing w:line="276"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1.项目成员名单；</w:t>
            </w:r>
          </w:p>
          <w:p w14:paraId="1CAA65F8">
            <w:pPr>
              <w:spacing w:line="276"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2.证书复印件；</w:t>
            </w:r>
          </w:p>
          <w:p w14:paraId="1B738C7D">
            <w:pPr>
              <w:spacing w:line="276"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供应商与其签订的劳务合同复印件（合同须说明全职或兼职）或供应商为其提供缴纳社保的证明材料复印件。</w:t>
            </w:r>
          </w:p>
        </w:tc>
      </w:tr>
      <w:tr w14:paraId="4B3BB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389" w:type="pct"/>
            <w:vMerge w:val="continue"/>
            <w:noWrap w:val="0"/>
            <w:vAlign w:val="center"/>
          </w:tcPr>
          <w:p w14:paraId="0D507C9C">
            <w:pPr>
              <w:spacing w:line="276" w:lineRule="auto"/>
              <w:jc w:val="left"/>
              <w:rPr>
                <w:rFonts w:hint="eastAsia" w:ascii="宋体" w:hAnsi="宋体" w:eastAsia="宋体" w:cs="宋体"/>
                <w:sz w:val="21"/>
                <w:szCs w:val="21"/>
                <w:highlight w:val="none"/>
              </w:rPr>
            </w:pPr>
          </w:p>
        </w:tc>
        <w:tc>
          <w:tcPr>
            <w:tcW w:w="475" w:type="pct"/>
            <w:vMerge w:val="continue"/>
            <w:noWrap w:val="0"/>
            <w:vAlign w:val="center"/>
          </w:tcPr>
          <w:p w14:paraId="1CF8EE42">
            <w:pPr>
              <w:spacing w:line="276" w:lineRule="auto"/>
              <w:jc w:val="left"/>
              <w:rPr>
                <w:rFonts w:hint="eastAsia" w:ascii="宋体" w:hAnsi="宋体" w:eastAsia="宋体" w:cs="宋体"/>
                <w:sz w:val="21"/>
                <w:szCs w:val="21"/>
                <w:highlight w:val="none"/>
              </w:rPr>
            </w:pPr>
          </w:p>
        </w:tc>
        <w:tc>
          <w:tcPr>
            <w:tcW w:w="628" w:type="pct"/>
            <w:noWrap w:val="0"/>
            <w:vAlign w:val="center"/>
          </w:tcPr>
          <w:p w14:paraId="2D92B51C">
            <w:pPr>
              <w:spacing w:line="276"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售后服务</w:t>
            </w:r>
          </w:p>
          <w:p w14:paraId="2CD2818D">
            <w:pPr>
              <w:spacing w:line="276"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分）</w:t>
            </w:r>
          </w:p>
        </w:tc>
        <w:tc>
          <w:tcPr>
            <w:tcW w:w="2037" w:type="pct"/>
            <w:noWrap w:val="0"/>
            <w:vAlign w:val="center"/>
          </w:tcPr>
          <w:p w14:paraId="215DAB64">
            <w:pPr>
              <w:spacing w:line="276" w:lineRule="auto"/>
              <w:jc w:val="left"/>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rPr>
              <w:t>供应商承诺一般事故处理时间不超过30分钟，重大事故处理时间不超过1小时，同时提供7×24小时服务</w:t>
            </w:r>
            <w:r>
              <w:rPr>
                <w:rFonts w:hint="eastAsia" w:ascii="宋体" w:hAnsi="宋体" w:cs="宋体"/>
                <w:color w:val="auto"/>
                <w:sz w:val="21"/>
                <w:szCs w:val="21"/>
                <w:highlight w:val="none"/>
                <w:lang w:val="en-US" w:eastAsia="zh-CN"/>
              </w:rPr>
              <w:t>的。</w:t>
            </w:r>
          </w:p>
          <w:p w14:paraId="1D15171D">
            <w:pPr>
              <w:spacing w:line="276"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承诺</w:t>
            </w:r>
            <w:r>
              <w:rPr>
                <w:rFonts w:hint="eastAsia" w:ascii="宋体" w:hAnsi="宋体" w:cs="宋体"/>
                <w:color w:val="auto"/>
                <w:sz w:val="21"/>
                <w:szCs w:val="21"/>
                <w:highlight w:val="none"/>
                <w:lang w:val="en-US" w:eastAsia="zh-CN"/>
              </w:rPr>
              <w:t>全部</w:t>
            </w:r>
            <w:r>
              <w:rPr>
                <w:rFonts w:hint="eastAsia" w:ascii="宋体" w:hAnsi="宋体" w:eastAsia="宋体" w:cs="宋体"/>
                <w:color w:val="auto"/>
                <w:sz w:val="21"/>
                <w:szCs w:val="21"/>
                <w:highlight w:val="none"/>
              </w:rPr>
              <w:t>满足得</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分，</w:t>
            </w:r>
            <w:r>
              <w:rPr>
                <w:rFonts w:hint="eastAsia" w:ascii="宋体" w:hAnsi="宋体" w:cs="宋体"/>
                <w:color w:val="auto"/>
                <w:sz w:val="21"/>
                <w:szCs w:val="21"/>
                <w:highlight w:val="none"/>
                <w:lang w:val="en-US" w:eastAsia="zh-CN"/>
              </w:rPr>
              <w:t>承诺</w:t>
            </w:r>
            <w:r>
              <w:rPr>
                <w:rFonts w:hint="eastAsia" w:ascii="宋体" w:hAnsi="宋体" w:eastAsia="宋体" w:cs="宋体"/>
                <w:color w:val="auto"/>
                <w:sz w:val="21"/>
                <w:szCs w:val="21"/>
                <w:highlight w:val="none"/>
              </w:rPr>
              <w:t>部分</w:t>
            </w:r>
            <w:r>
              <w:rPr>
                <w:rFonts w:hint="eastAsia" w:ascii="宋体" w:hAnsi="宋体" w:cs="宋体"/>
                <w:color w:val="auto"/>
                <w:sz w:val="21"/>
                <w:szCs w:val="21"/>
                <w:highlight w:val="none"/>
                <w:lang w:val="en-US" w:eastAsia="zh-CN"/>
              </w:rPr>
              <w:t>满足的</w:t>
            </w:r>
            <w:r>
              <w:rPr>
                <w:rFonts w:hint="eastAsia" w:ascii="宋体" w:hAnsi="宋体" w:eastAsia="宋体" w:cs="宋体"/>
                <w:color w:val="auto"/>
                <w:sz w:val="21"/>
                <w:szCs w:val="21"/>
                <w:highlight w:val="none"/>
              </w:rPr>
              <w:t>得</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分，未提供承诺不得分。</w:t>
            </w:r>
          </w:p>
        </w:tc>
        <w:tc>
          <w:tcPr>
            <w:tcW w:w="1469" w:type="pct"/>
            <w:noWrap w:val="0"/>
            <w:vAlign w:val="center"/>
          </w:tcPr>
          <w:p w14:paraId="445B9354">
            <w:pPr>
              <w:spacing w:line="276" w:lineRule="auto"/>
              <w:jc w:val="lef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提供承诺函</w:t>
            </w:r>
            <w:r>
              <w:rPr>
                <w:rFonts w:hint="eastAsia" w:ascii="宋体" w:hAnsi="宋体" w:cs="宋体"/>
                <w:color w:val="auto"/>
                <w:sz w:val="21"/>
                <w:szCs w:val="21"/>
                <w:highlight w:val="none"/>
                <w:lang w:val="en-US" w:eastAsia="zh-CN"/>
              </w:rPr>
              <w:t>，格式自拟</w:t>
            </w:r>
          </w:p>
        </w:tc>
      </w:tr>
      <w:tr w14:paraId="402F1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389" w:type="pct"/>
            <w:vMerge w:val="continue"/>
            <w:noWrap w:val="0"/>
            <w:vAlign w:val="center"/>
          </w:tcPr>
          <w:p w14:paraId="71E0B898">
            <w:pPr>
              <w:spacing w:line="276" w:lineRule="auto"/>
              <w:jc w:val="left"/>
              <w:rPr>
                <w:rFonts w:hint="eastAsia" w:ascii="宋体" w:hAnsi="宋体" w:eastAsia="宋体" w:cs="宋体"/>
                <w:sz w:val="21"/>
                <w:szCs w:val="21"/>
                <w:highlight w:val="none"/>
              </w:rPr>
            </w:pPr>
          </w:p>
        </w:tc>
        <w:tc>
          <w:tcPr>
            <w:tcW w:w="475" w:type="pct"/>
            <w:vMerge w:val="continue"/>
            <w:noWrap w:val="0"/>
            <w:vAlign w:val="center"/>
          </w:tcPr>
          <w:p w14:paraId="005010BC">
            <w:pPr>
              <w:spacing w:line="276" w:lineRule="auto"/>
              <w:jc w:val="left"/>
              <w:rPr>
                <w:rFonts w:hint="eastAsia" w:ascii="宋体" w:hAnsi="宋体" w:eastAsia="宋体" w:cs="宋体"/>
                <w:sz w:val="21"/>
                <w:szCs w:val="21"/>
                <w:highlight w:val="none"/>
              </w:rPr>
            </w:pPr>
          </w:p>
        </w:tc>
        <w:tc>
          <w:tcPr>
            <w:tcW w:w="628" w:type="pct"/>
            <w:noWrap w:val="0"/>
            <w:vAlign w:val="center"/>
          </w:tcPr>
          <w:p w14:paraId="537B7497">
            <w:pPr>
              <w:spacing w:line="276"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业绩</w:t>
            </w:r>
          </w:p>
          <w:p w14:paraId="4DE94AB7">
            <w:pPr>
              <w:spacing w:line="276"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（6分）</w:t>
            </w:r>
          </w:p>
        </w:tc>
        <w:tc>
          <w:tcPr>
            <w:tcW w:w="2037" w:type="pct"/>
            <w:noWrap w:val="0"/>
            <w:vAlign w:val="center"/>
          </w:tcPr>
          <w:p w14:paraId="6B9DB86D">
            <w:pPr>
              <w:spacing w:line="276"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供应商有等保测评的履约经验，每提供一个业绩得2分，本项最高得6分，没有的不得分。</w:t>
            </w:r>
          </w:p>
        </w:tc>
        <w:tc>
          <w:tcPr>
            <w:tcW w:w="1469" w:type="pct"/>
            <w:noWrap w:val="0"/>
            <w:vAlign w:val="center"/>
          </w:tcPr>
          <w:p w14:paraId="2CD3A8A4">
            <w:pPr>
              <w:spacing w:line="276"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提供合同关键页（封面、签字盖章页和能体现项目标的的页）复印件，并加盖供应商公章。</w:t>
            </w:r>
          </w:p>
        </w:tc>
      </w:tr>
    </w:tbl>
    <w:p w14:paraId="416845E9">
      <w:pPr>
        <w:rPr>
          <w:rFonts w:hint="eastAsia" w:ascii="宋体" w:hAnsi="宋体" w:eastAsia="宋体" w:cs="宋体"/>
          <w:color w:val="auto"/>
          <w:sz w:val="21"/>
          <w:szCs w:val="21"/>
        </w:rPr>
      </w:pPr>
      <w:bookmarkStart w:id="325" w:name="_Toc27467"/>
      <w:bookmarkStart w:id="326" w:name="_Toc4694"/>
      <w:bookmarkStart w:id="327" w:name="_Toc32309"/>
      <w:bookmarkStart w:id="328" w:name="_Toc21550"/>
      <w:bookmarkStart w:id="329" w:name="_Toc25889"/>
      <w:bookmarkStart w:id="330" w:name="_Toc19880"/>
      <w:bookmarkStart w:id="331" w:name="_Toc18733"/>
      <w:bookmarkStart w:id="332" w:name="_Toc20350"/>
      <w:bookmarkStart w:id="333" w:name="_Toc30075"/>
      <w:bookmarkStart w:id="334" w:name="_Toc11480"/>
      <w:bookmarkStart w:id="335" w:name="_Toc3950"/>
      <w:bookmarkStart w:id="336" w:name="_Toc1645"/>
      <w:bookmarkStart w:id="337" w:name="_Toc1063"/>
      <w:bookmarkStart w:id="338" w:name="_Toc65662741"/>
      <w:bookmarkStart w:id="339" w:name="_Toc13711"/>
      <w:bookmarkStart w:id="340" w:name="_Toc19498"/>
      <w:bookmarkStart w:id="341" w:name="_Toc22455"/>
      <w:bookmarkStart w:id="342" w:name="_Toc11996"/>
    </w:p>
    <w:p w14:paraId="11B32248">
      <w:pPr>
        <w:pStyle w:val="5"/>
        <w:adjustRightInd w:val="0"/>
        <w:snapToGrid w:val="0"/>
        <w:spacing w:before="0" w:after="0" w:line="240" w:lineRule="auto"/>
        <w:rPr>
          <w:rFonts w:hint="eastAsia" w:ascii="宋体" w:hAnsi="宋体" w:cs="宋体"/>
          <w:color w:val="auto"/>
        </w:rPr>
      </w:pPr>
      <w:bookmarkStart w:id="343" w:name="_Toc13437"/>
      <w:r>
        <w:rPr>
          <w:rFonts w:hint="eastAsia" w:ascii="宋体" w:hAnsi="宋体" w:cs="宋体"/>
          <w:color w:val="auto"/>
        </w:rPr>
        <w:t>三、无效响应</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14:paraId="3DA97A57">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供应商发生以下条款情况之一者，视为无效响应，其响应文件将被拒绝：</w:t>
      </w:r>
    </w:p>
    <w:p w14:paraId="6A9721BB">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（一）供应商不符合规定的资格条件的；</w:t>
      </w:r>
    </w:p>
    <w:p w14:paraId="6E306395">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（二）供应商的法定代表人（或其授权代表）或自然人未参加磋商；</w:t>
      </w:r>
    </w:p>
    <w:p w14:paraId="3B704304">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（三）供应商所提交的响应文件不按“第七篇响应文件编制要求”要求签署或盖章；</w:t>
      </w:r>
    </w:p>
    <w:p w14:paraId="418F63BA">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（四）供应商的最后报价超过采购预算或最高限价的；</w:t>
      </w:r>
    </w:p>
    <w:p w14:paraId="6F110186">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（五）法定代表人为同一个人的两个及两个以上法人，母公司、全资子公司及其控股公司，在同一包采购中同时参与磋商；</w:t>
      </w:r>
    </w:p>
    <w:p w14:paraId="06C3797F">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（六）单位负责人为同一人或者存在直接控股、管理关系的不同供应商，参加同一合同项下的政府采购活动的；</w:t>
      </w:r>
    </w:p>
    <w:p w14:paraId="5A2A8101">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（七）为采购项目提供整体设计、规范编制或者项目管理、监理、检测等服务的供应商，再参加该采购项目的其他采购活动；</w:t>
      </w:r>
    </w:p>
    <w:p w14:paraId="721FD54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（八）供应商磋商有效期不满足竞争性磋商文件要求的；</w:t>
      </w:r>
    </w:p>
    <w:p w14:paraId="111E9D9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（九）供应商响应文件内容有与国家现行法律法规相违背的内容，或附有采购人无法接受的条件；</w:t>
      </w:r>
    </w:p>
    <w:p w14:paraId="11310F0F">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（十）法律、法规和竞争性磋商文件规定的其他无效情形。</w:t>
      </w:r>
    </w:p>
    <w:p w14:paraId="639C386F">
      <w:pPr>
        <w:pStyle w:val="5"/>
        <w:adjustRightInd w:val="0"/>
        <w:snapToGrid w:val="0"/>
        <w:spacing w:before="0" w:after="0" w:line="240" w:lineRule="auto"/>
        <w:rPr>
          <w:rFonts w:hint="eastAsia" w:ascii="宋体" w:hAnsi="宋体" w:cs="宋体"/>
          <w:color w:val="auto"/>
        </w:rPr>
      </w:pPr>
      <w:bookmarkStart w:id="344" w:name="_Toc14443"/>
      <w:bookmarkStart w:id="345" w:name="_Toc3067"/>
      <w:bookmarkStart w:id="346" w:name="_Toc22860"/>
      <w:bookmarkStart w:id="347" w:name="_Toc31319"/>
      <w:bookmarkStart w:id="348" w:name="_Toc65662742"/>
      <w:bookmarkStart w:id="349" w:name="_Toc29419"/>
      <w:bookmarkStart w:id="350" w:name="_Toc665"/>
      <w:bookmarkStart w:id="351" w:name="_Toc14643"/>
      <w:bookmarkStart w:id="352" w:name="_Toc15684"/>
      <w:bookmarkStart w:id="353" w:name="_Toc19650"/>
      <w:bookmarkStart w:id="354" w:name="_Toc10185"/>
      <w:bookmarkStart w:id="355" w:name="_Toc29422"/>
      <w:bookmarkStart w:id="356" w:name="_Toc17186"/>
      <w:bookmarkStart w:id="357" w:name="_Toc5362"/>
      <w:bookmarkStart w:id="358" w:name="_Toc22475"/>
      <w:bookmarkStart w:id="359" w:name="_Toc18172"/>
      <w:bookmarkStart w:id="360" w:name="_Toc24476"/>
      <w:bookmarkStart w:id="361" w:name="_Toc20199"/>
      <w:bookmarkStart w:id="362" w:name="_Toc12962"/>
      <w:r>
        <w:rPr>
          <w:rFonts w:hint="eastAsia" w:ascii="宋体" w:hAnsi="宋体" w:cs="宋体"/>
          <w:color w:val="auto"/>
        </w:rPr>
        <w:t>四、</w:t>
      </w:r>
      <w:bookmarkEnd w:id="323"/>
      <w:bookmarkEnd w:id="324"/>
      <w:r>
        <w:rPr>
          <w:rFonts w:hint="eastAsia" w:ascii="宋体" w:hAnsi="宋体" w:cs="宋体"/>
          <w:color w:val="auto"/>
        </w:rPr>
        <w:t>采购终止</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p>
    <w:p w14:paraId="01D361B1">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出现下列情形之一的，采购人或者采购代理机构应当终止竞争性磋商采购活动，发布项目终止公告并说明原因，重新开展采购活动：</w:t>
      </w:r>
    </w:p>
    <w:p w14:paraId="076741D9">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（一）因情况变化，不再符合规定的竞争性磋商采购方式适用情形的；</w:t>
      </w:r>
    </w:p>
    <w:p w14:paraId="3560C2C0">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（二）出现影响采购公正的违法、违规行为的；</w:t>
      </w:r>
    </w:p>
    <w:p w14:paraId="013D6DF5">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（三）在采购过程中符合要求的供应商或者报价未超过采购预算的供应商不足3家的，但《政府采购竞争性磋商采购方式管理暂行办法》第二十一条第三款规定的情形除外。</w:t>
      </w:r>
    </w:p>
    <w:p w14:paraId="51E89753">
      <w:pPr>
        <w:spacing w:line="400" w:lineRule="exact"/>
        <w:ind w:firstLine="480" w:firstLineChars="200"/>
        <w:rPr>
          <w:rFonts w:hint="eastAsia" w:ascii="宋体" w:hAnsi="宋体" w:cs="宋体"/>
          <w:color w:val="auto"/>
          <w:sz w:val="24"/>
          <w:szCs w:val="24"/>
        </w:rPr>
      </w:pPr>
    </w:p>
    <w:p w14:paraId="632EE4AE">
      <w:pPr>
        <w:spacing w:line="400" w:lineRule="exact"/>
        <w:ind w:firstLine="480" w:firstLineChars="200"/>
        <w:rPr>
          <w:rFonts w:hint="eastAsia" w:ascii="宋体" w:hAnsi="宋体" w:cs="宋体"/>
          <w:color w:val="auto"/>
          <w:sz w:val="24"/>
          <w:szCs w:val="24"/>
        </w:rPr>
      </w:pPr>
    </w:p>
    <w:p w14:paraId="437F722E">
      <w:pPr>
        <w:spacing w:line="400" w:lineRule="exact"/>
        <w:ind w:firstLine="480" w:firstLineChars="200"/>
        <w:rPr>
          <w:rFonts w:hint="eastAsia" w:ascii="宋体" w:hAnsi="宋体" w:cs="宋体"/>
          <w:color w:val="auto"/>
          <w:sz w:val="24"/>
          <w:szCs w:val="24"/>
        </w:rPr>
      </w:pPr>
    </w:p>
    <w:p w14:paraId="40A62B5C">
      <w:pPr>
        <w:pStyle w:val="4"/>
        <w:rPr>
          <w:rFonts w:hint="eastAsia" w:cs="宋体"/>
          <w:bCs/>
          <w:color w:val="auto"/>
        </w:rPr>
      </w:pPr>
      <w:r>
        <w:rPr>
          <w:rFonts w:hint="eastAsia" w:cs="宋体"/>
          <w:color w:val="auto"/>
          <w:szCs w:val="24"/>
        </w:rPr>
        <w:br w:type="page"/>
      </w:r>
      <w:bookmarkStart w:id="363" w:name="_Toc1164"/>
      <w:bookmarkStart w:id="364" w:name="_Toc1204"/>
      <w:bookmarkStart w:id="365" w:name="_Toc8123"/>
      <w:bookmarkStart w:id="366" w:name="_Toc102227313"/>
      <w:bookmarkStart w:id="367" w:name="_Toc2609"/>
      <w:bookmarkStart w:id="368" w:name="_Toc30168"/>
      <w:bookmarkStart w:id="369" w:name="_Toc1090"/>
      <w:bookmarkStart w:id="370" w:name="_Toc65662743"/>
      <w:bookmarkStart w:id="371" w:name="_Toc17649"/>
      <w:bookmarkStart w:id="372" w:name="_Toc3678"/>
      <w:bookmarkStart w:id="373" w:name="_Toc22853"/>
      <w:bookmarkStart w:id="374" w:name="_Toc2524"/>
      <w:bookmarkStart w:id="375" w:name="_Toc3530"/>
      <w:bookmarkStart w:id="376" w:name="_Toc18008"/>
      <w:bookmarkStart w:id="377" w:name="_Toc29670"/>
      <w:bookmarkStart w:id="378" w:name="_Toc32370"/>
      <w:bookmarkStart w:id="379" w:name="_Toc6454"/>
      <w:bookmarkStart w:id="380" w:name="_Toc6786"/>
      <w:bookmarkStart w:id="381" w:name="_Toc27318"/>
      <w:bookmarkStart w:id="382" w:name="_Toc5578"/>
      <w:r>
        <w:rPr>
          <w:rFonts w:hint="eastAsia" w:cs="宋体"/>
          <w:bCs/>
          <w:color w:val="auto"/>
        </w:rPr>
        <w:t>第五篇  供应商须知</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p>
    <w:p w14:paraId="6E27BCB0">
      <w:pPr>
        <w:pStyle w:val="5"/>
        <w:adjustRightInd w:val="0"/>
        <w:snapToGrid w:val="0"/>
        <w:spacing w:before="0" w:after="0" w:line="240" w:lineRule="auto"/>
        <w:rPr>
          <w:rFonts w:hint="eastAsia" w:ascii="宋体" w:hAnsi="宋体" w:cs="宋体"/>
          <w:color w:val="auto"/>
        </w:rPr>
      </w:pPr>
      <w:bookmarkStart w:id="383" w:name="_Toc32039"/>
      <w:bookmarkStart w:id="384" w:name="_Toc3596"/>
      <w:bookmarkStart w:id="385" w:name="_Toc21537"/>
      <w:bookmarkStart w:id="386" w:name="_Toc12159"/>
      <w:bookmarkStart w:id="387" w:name="_Toc30644"/>
      <w:bookmarkStart w:id="388" w:name="_Toc10565"/>
      <w:bookmarkStart w:id="389" w:name="_Toc23491"/>
      <w:bookmarkStart w:id="390" w:name="_Toc6216"/>
      <w:bookmarkStart w:id="391" w:name="_Toc3951"/>
      <w:bookmarkStart w:id="392" w:name="_Toc3627"/>
      <w:bookmarkStart w:id="393" w:name="_Toc17559"/>
      <w:bookmarkStart w:id="394" w:name="_Toc18224"/>
      <w:bookmarkStart w:id="395" w:name="_Toc26525"/>
      <w:bookmarkStart w:id="396" w:name="_Toc15165"/>
      <w:bookmarkStart w:id="397" w:name="_Toc16043"/>
      <w:bookmarkStart w:id="398" w:name="_Toc13994"/>
      <w:bookmarkStart w:id="399" w:name="_Toc65662744"/>
      <w:bookmarkStart w:id="400" w:name="_Toc342913389"/>
      <w:bookmarkStart w:id="401" w:name="_Toc28287"/>
      <w:bookmarkStart w:id="402" w:name="_Toc503"/>
      <w:r>
        <w:rPr>
          <w:rFonts w:hint="eastAsia" w:ascii="宋体" w:hAnsi="宋体" w:cs="宋体"/>
          <w:color w:val="auto"/>
        </w:rPr>
        <w:t>一、磋商费用</w:t>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p>
    <w:p w14:paraId="2DD26C07">
      <w:pPr>
        <w:pStyle w:val="176"/>
        <w:spacing w:line="400" w:lineRule="exact"/>
        <w:ind w:firstLine="480" w:firstLineChars="200"/>
        <w:rPr>
          <w:rFonts w:hint="eastAsia" w:hAnsi="宋体" w:cs="宋体"/>
          <w:color w:val="auto"/>
          <w:sz w:val="24"/>
          <w:szCs w:val="24"/>
        </w:rPr>
      </w:pPr>
      <w:r>
        <w:rPr>
          <w:rFonts w:hint="eastAsia" w:hAnsi="宋体" w:cs="宋体"/>
          <w:color w:val="auto"/>
          <w:sz w:val="24"/>
          <w:szCs w:val="24"/>
        </w:rPr>
        <w:t>参与磋商的供应商应承担其编制响应文件与递交响应文件所涉及的一切费用，不论磋商结果如何，采购人和采购代理机构在任何情况下无义务也无责任承担这些费用。</w:t>
      </w:r>
    </w:p>
    <w:p w14:paraId="675C01FA">
      <w:pPr>
        <w:pStyle w:val="5"/>
        <w:adjustRightInd w:val="0"/>
        <w:snapToGrid w:val="0"/>
        <w:spacing w:before="0" w:after="0" w:line="240" w:lineRule="auto"/>
        <w:rPr>
          <w:rFonts w:hint="eastAsia" w:ascii="宋体" w:hAnsi="宋体" w:cs="宋体"/>
          <w:color w:val="auto"/>
        </w:rPr>
      </w:pPr>
      <w:bookmarkStart w:id="403" w:name="_Toc2091"/>
      <w:bookmarkStart w:id="404" w:name="_Toc29009"/>
      <w:bookmarkStart w:id="405" w:name="_Toc10149"/>
      <w:bookmarkStart w:id="406" w:name="_Toc13740"/>
      <w:bookmarkStart w:id="407" w:name="_Toc7263"/>
      <w:bookmarkStart w:id="408" w:name="_Toc6362"/>
      <w:bookmarkStart w:id="409" w:name="_Toc342913391"/>
      <w:bookmarkStart w:id="410" w:name="_Toc7895"/>
      <w:bookmarkStart w:id="411" w:name="_Toc3299"/>
      <w:bookmarkStart w:id="412" w:name="_Toc7477"/>
      <w:bookmarkStart w:id="413" w:name="_Toc28953"/>
      <w:bookmarkStart w:id="414" w:name="_Toc24448"/>
      <w:bookmarkStart w:id="415" w:name="_Toc14370"/>
      <w:bookmarkStart w:id="416" w:name="_Toc28727"/>
      <w:bookmarkStart w:id="417" w:name="_Toc7160"/>
      <w:bookmarkStart w:id="418" w:name="_Toc14426"/>
      <w:bookmarkStart w:id="419" w:name="_Toc13122"/>
      <w:bookmarkStart w:id="420" w:name="_Toc24802"/>
      <w:bookmarkStart w:id="421" w:name="_Toc65662745"/>
      <w:bookmarkStart w:id="422" w:name="_Toc12594"/>
      <w:r>
        <w:rPr>
          <w:rFonts w:hint="eastAsia" w:ascii="宋体" w:hAnsi="宋体" w:cs="宋体"/>
          <w:color w:val="auto"/>
        </w:rPr>
        <w:t>二、竞争性磋商文件</w:t>
      </w:r>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p w14:paraId="6A974ED6">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（一）竞争性磋商文件由采购邀请书、项目技术需求、项目商务需求、磋商程序及方法、评审标准、无效响应和采购终止、供应商须知</w:t>
      </w:r>
      <w:r>
        <w:rPr>
          <w:rFonts w:hint="eastAsia" w:ascii="宋体" w:hAnsi="宋体" w:cs="宋体"/>
          <w:b/>
          <w:color w:val="auto"/>
          <w:sz w:val="24"/>
          <w:szCs w:val="24"/>
        </w:rPr>
        <w:t>、</w:t>
      </w:r>
      <w:r>
        <w:rPr>
          <w:rFonts w:hint="eastAsia" w:ascii="宋体" w:hAnsi="宋体" w:cs="宋体"/>
          <w:color w:val="auto"/>
          <w:sz w:val="24"/>
          <w:szCs w:val="24"/>
        </w:rPr>
        <w:t>政府采购合同</w:t>
      </w:r>
      <w:r>
        <w:rPr>
          <w:rFonts w:hint="eastAsia" w:ascii="宋体" w:hAnsi="宋体" w:cs="宋体"/>
          <w:b/>
          <w:color w:val="auto"/>
          <w:sz w:val="24"/>
          <w:szCs w:val="24"/>
        </w:rPr>
        <w:t>、</w:t>
      </w:r>
      <w:r>
        <w:rPr>
          <w:rFonts w:hint="eastAsia" w:ascii="宋体" w:hAnsi="宋体" w:cs="宋体"/>
          <w:color w:val="auto"/>
          <w:sz w:val="24"/>
          <w:szCs w:val="24"/>
        </w:rPr>
        <w:t>响应文件编制要求七部分组成。</w:t>
      </w:r>
    </w:p>
    <w:p w14:paraId="21665B67">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（二）采购人（或采购代理机构）所作的一切有效的书面通知、修改及补充，都是竞争性磋商文件不可分割的部分。</w:t>
      </w:r>
    </w:p>
    <w:p w14:paraId="5FC24A1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（三）竞争性磋商文件的解释</w:t>
      </w:r>
    </w:p>
    <w:p w14:paraId="6044B1E8">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供应商如对竞争性磋商文件有疑问，必须以书面形式在提交响应文件截止时间3个工作日前向采购人（或采购代理机构）要求澄清，采购人（或采购代理机构）可视具体情况做出处理或答复。如供应商未提出疑问，视为完全理解并同意本竞争性磋商文件。一经进入磋商程序，即视为供应商已详细阅读全部文件资料，完全理解竞争性磋商文件所有条款内容并同意放弃对这方面有不明白及误解的权利。</w:t>
      </w:r>
      <w:bookmarkStart w:id="423" w:name="_Toc318159780"/>
      <w:bookmarkStart w:id="424" w:name="_Toc318159349"/>
      <w:bookmarkStart w:id="425" w:name="_Toc318159160"/>
      <w:bookmarkStart w:id="426" w:name="_Toc318166429"/>
    </w:p>
    <w:p w14:paraId="35ACE94D">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（四）本竞争性磋商文件中，磋商小组根据与供应商进行磋商可能实质性变动的内容为竞争性磋商文件第二、三、六篇全部内容。</w:t>
      </w:r>
    </w:p>
    <w:p w14:paraId="6910752D">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（五）评审的依据为竞争性磋商文件和响应文件（含有效的书面承诺）。磋商小组判断响应文件对竞争性磋商文件的响应，仅基于响应文件本身而不靠外部证据。</w:t>
      </w:r>
    </w:p>
    <w:bookmarkEnd w:id="423"/>
    <w:bookmarkEnd w:id="424"/>
    <w:bookmarkEnd w:id="425"/>
    <w:bookmarkEnd w:id="426"/>
    <w:p w14:paraId="361C8653">
      <w:pPr>
        <w:pStyle w:val="5"/>
        <w:adjustRightInd w:val="0"/>
        <w:snapToGrid w:val="0"/>
        <w:spacing w:before="0" w:after="0" w:line="240" w:lineRule="auto"/>
        <w:rPr>
          <w:rFonts w:hint="eastAsia" w:ascii="宋体" w:hAnsi="宋体" w:cs="宋体"/>
          <w:color w:val="auto"/>
        </w:rPr>
      </w:pPr>
      <w:bookmarkStart w:id="427" w:name="_Toc5155"/>
      <w:bookmarkStart w:id="428" w:name="_Toc179714297"/>
      <w:bookmarkStart w:id="429" w:name="_Toc22478"/>
      <w:bookmarkStart w:id="430" w:name="_Toc4969"/>
      <w:bookmarkStart w:id="431" w:name="_Toc1026"/>
      <w:bookmarkStart w:id="432" w:name="_Toc342913392"/>
      <w:bookmarkStart w:id="433" w:name="_Toc28193"/>
      <w:bookmarkStart w:id="434" w:name="_Toc8432"/>
      <w:bookmarkStart w:id="435" w:name="_Toc18524"/>
      <w:bookmarkStart w:id="436" w:name="_Toc5120"/>
      <w:bookmarkStart w:id="437" w:name="_Toc24879"/>
      <w:bookmarkStart w:id="438" w:name="_Toc3350"/>
      <w:bookmarkStart w:id="439" w:name="_Toc17029"/>
      <w:bookmarkStart w:id="440" w:name="_Toc26019"/>
      <w:bookmarkStart w:id="441" w:name="_Toc8959"/>
      <w:bookmarkStart w:id="442" w:name="_Toc65662746"/>
      <w:bookmarkStart w:id="443" w:name="_Toc31818"/>
      <w:bookmarkStart w:id="444" w:name="_Toc102227318"/>
      <w:bookmarkStart w:id="445" w:name="_Toc5549"/>
      <w:bookmarkStart w:id="446" w:name="_Toc31789"/>
      <w:bookmarkStart w:id="447" w:name="_Toc23678"/>
      <w:bookmarkStart w:id="448" w:name="_Toc27184"/>
      <w:r>
        <w:rPr>
          <w:rFonts w:hint="eastAsia" w:ascii="宋体" w:hAnsi="宋体" w:cs="宋体"/>
          <w:color w:val="auto"/>
        </w:rPr>
        <w:t>三、磋商要求</w:t>
      </w:r>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p>
    <w:p w14:paraId="18E80FB6">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（一）响应文件</w:t>
      </w:r>
    </w:p>
    <w:p w14:paraId="31B7D5A2">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1.供应商应当按照竞争性磋商文件的要求编制响应文件，并对竞争性磋商文件提出的要求和条件作出实质性响应，响应文件原则上采用软面订本，同时应编制完整的页码、目录。</w:t>
      </w:r>
    </w:p>
    <w:p w14:paraId="4C2618DF">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2.响应文件组成</w:t>
      </w:r>
    </w:p>
    <w:p w14:paraId="3A629D70">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响应文件由“第七篇响应文件编制要求”规定的部分和供应商所作的一切有效补充、修改和承诺等文件组成，供应商应按照“第七篇响应文件编制要求”规定的目录顺序组织编写和装订，也可在基本格式基础上对表格进行扩展，未规定格式的由供应商自定格式。</w:t>
      </w:r>
    </w:p>
    <w:p w14:paraId="3A9CAC64">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（二）联合体</w:t>
      </w:r>
    </w:p>
    <w:p w14:paraId="6F7B16F4">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不接受。</w:t>
      </w:r>
    </w:p>
    <w:p w14:paraId="5A4341C1">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（三）磋商有效期：响应文件及有关承诺文件有效期为提交响应文件截止时间起90天。</w:t>
      </w:r>
    </w:p>
    <w:p w14:paraId="4CFF1283">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（四）修正错误</w:t>
      </w:r>
    </w:p>
    <w:p w14:paraId="40A0677A">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1.若供应商所递交的响应文件或最后报价中的价格出现大写金额和小写金额不一致的错误，以大写金额修正为准。</w:t>
      </w:r>
    </w:p>
    <w:p w14:paraId="66E58D00">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2.磋商小组按上述修正错误的原则及方法修正供应商的报价，供应商同意并</w:t>
      </w:r>
      <w:r>
        <w:rPr>
          <w:rFonts w:hint="eastAsia" w:ascii="宋体" w:hAnsi="宋体" w:cs="宋体"/>
          <w:color w:val="auto"/>
          <w:sz w:val="24"/>
        </w:rPr>
        <w:t>签署</w:t>
      </w:r>
      <w:r>
        <w:rPr>
          <w:rFonts w:hint="eastAsia" w:ascii="宋体" w:hAnsi="宋体" w:cs="宋体"/>
          <w:color w:val="auto"/>
          <w:sz w:val="24"/>
          <w:szCs w:val="24"/>
        </w:rPr>
        <w:t>确认后，修正后的报价对供应商具有约束作用。如果供应商不接受修正后的价格，将失去成为成交供应商的资格。</w:t>
      </w:r>
    </w:p>
    <w:p w14:paraId="4679355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（五）提交响应文件的份数和签署</w:t>
      </w:r>
    </w:p>
    <w:p w14:paraId="2675B612">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响应文件一式四份，其中正本一份，副本二份，电子文档一份（电子文档内容应与纸质文件正本一致，如不一致以纸质文件正本为准。推荐采用光盘或U盘为电子文档载体）；副本可为正本的复印件，应与正本一致，如出现不一致情况以正本为准。</w:t>
      </w:r>
    </w:p>
    <w:p w14:paraId="7C6CC7C7">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w:t>
      </w:r>
      <w:r>
        <w:rPr>
          <w:rFonts w:hint="eastAsia" w:ascii="宋体" w:hAnsi="宋体" w:cs="宋体"/>
          <w:color w:val="auto"/>
          <w:sz w:val="24"/>
        </w:rPr>
        <w:t>响应文件按竞争性磋商文件“第七篇响应文件编制要求”要求签署或盖章。</w:t>
      </w:r>
    </w:p>
    <w:p w14:paraId="457FB87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（六）响应文件的递交</w:t>
      </w:r>
    </w:p>
    <w:p w14:paraId="5ED20019">
      <w:pPr>
        <w:pStyle w:val="32"/>
        <w:spacing w:line="400" w:lineRule="exact"/>
        <w:ind w:firstLine="480" w:firstLineChars="200"/>
        <w:rPr>
          <w:rFonts w:hint="eastAsia" w:hAnsi="宋体" w:cs="宋体"/>
          <w:color w:val="auto"/>
          <w:sz w:val="24"/>
        </w:rPr>
      </w:pPr>
      <w:r>
        <w:rPr>
          <w:rFonts w:hint="eastAsia" w:hAnsi="宋体" w:cs="宋体"/>
          <w:color w:val="auto"/>
          <w:sz w:val="24"/>
        </w:rPr>
        <w:t>响应文件的正本、副本以及电子文档均应密封送达磋商地点，应在封套上注明磋商项目名称、供应商名称。若正本、副本以及电子文档分别进行密封的，还应在封套上注明“正本”、“副本”、“电子文档”字样。</w:t>
      </w:r>
    </w:p>
    <w:p w14:paraId="5CE6C1F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（七）供应商参与人员</w:t>
      </w:r>
    </w:p>
    <w:p w14:paraId="5592E7E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各个供应商应当派1-2名代表参与磋商，至少1人应为法定代表人（或其授权代表）或自然人（供应商为自然人）。</w:t>
      </w:r>
    </w:p>
    <w:p w14:paraId="33E12250">
      <w:pPr>
        <w:pStyle w:val="5"/>
        <w:adjustRightInd w:val="0"/>
        <w:snapToGrid w:val="0"/>
        <w:spacing w:before="0" w:after="0" w:line="240" w:lineRule="auto"/>
        <w:rPr>
          <w:rFonts w:hint="eastAsia" w:ascii="宋体" w:hAnsi="宋体" w:cs="宋体"/>
          <w:color w:val="auto"/>
        </w:rPr>
      </w:pPr>
      <w:bookmarkStart w:id="449" w:name="_Toc27105"/>
      <w:bookmarkStart w:id="450" w:name="_Toc18849"/>
      <w:bookmarkStart w:id="451" w:name="_Toc25051"/>
      <w:bookmarkStart w:id="452" w:name="_Toc889"/>
      <w:bookmarkStart w:id="453" w:name="_Toc23067"/>
      <w:bookmarkStart w:id="454" w:name="_Toc1222"/>
      <w:bookmarkStart w:id="455" w:name="_Toc12700"/>
      <w:bookmarkStart w:id="456" w:name="_Toc65662747"/>
      <w:bookmarkStart w:id="457" w:name="_Toc20548"/>
      <w:bookmarkStart w:id="458" w:name="_Toc13807"/>
      <w:bookmarkStart w:id="459" w:name="_Toc32325"/>
      <w:bookmarkStart w:id="460" w:name="_Toc4212"/>
      <w:bookmarkStart w:id="461" w:name="_Toc3309"/>
      <w:bookmarkStart w:id="462" w:name="_Toc26851"/>
      <w:bookmarkStart w:id="463" w:name="_Toc1531"/>
      <w:bookmarkStart w:id="464" w:name="_Toc11792"/>
      <w:bookmarkStart w:id="465" w:name="_Toc18567"/>
      <w:bookmarkStart w:id="466" w:name="_Toc9178"/>
      <w:bookmarkStart w:id="467" w:name="_Toc17747"/>
      <w:r>
        <w:rPr>
          <w:rFonts w:hint="eastAsia" w:ascii="宋体" w:hAnsi="宋体" w:cs="宋体"/>
          <w:color w:val="auto"/>
        </w:rPr>
        <w:t>四、成交供应商的确认和变更</w:t>
      </w:r>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p>
    <w:p w14:paraId="47726B5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（一）成交供应商的确认</w:t>
      </w:r>
    </w:p>
    <w:p w14:paraId="22181672">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0362C5E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（二）成交供应商的变更</w:t>
      </w:r>
    </w:p>
    <w:p w14:paraId="70925D2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rPr>
        <w:t>成交供应商拒绝与采购人签订合同的，采购人可以按照评标报告推荐的成交候选供应商顺序，确定排名下一位的候选人为成交供应商，也可以重新开展政府采购活动。</w:t>
      </w:r>
    </w:p>
    <w:p w14:paraId="653CD882">
      <w:pPr>
        <w:pStyle w:val="5"/>
        <w:adjustRightInd w:val="0"/>
        <w:snapToGrid w:val="0"/>
        <w:spacing w:before="0" w:after="0" w:line="240" w:lineRule="auto"/>
        <w:rPr>
          <w:rFonts w:hint="eastAsia" w:ascii="宋体" w:hAnsi="宋体" w:cs="宋体"/>
          <w:color w:val="auto"/>
        </w:rPr>
      </w:pPr>
      <w:bookmarkStart w:id="468" w:name="_Toc65662748"/>
      <w:bookmarkStart w:id="469" w:name="_Toc1552"/>
      <w:bookmarkStart w:id="470" w:name="_Toc13822"/>
      <w:bookmarkStart w:id="471" w:name="_Toc26142"/>
      <w:bookmarkStart w:id="472" w:name="_Toc12606"/>
      <w:bookmarkStart w:id="473" w:name="_Toc17554"/>
      <w:bookmarkStart w:id="474" w:name="_Toc12586"/>
      <w:bookmarkStart w:id="475" w:name="_Toc6482"/>
      <w:bookmarkStart w:id="476" w:name="_Toc342913395"/>
      <w:bookmarkStart w:id="477" w:name="_Toc9561"/>
      <w:bookmarkStart w:id="478" w:name="_Toc1997"/>
      <w:bookmarkStart w:id="479" w:name="_Toc17059"/>
      <w:bookmarkStart w:id="480" w:name="_Toc18422"/>
      <w:bookmarkStart w:id="481" w:name="_Toc10611"/>
      <w:bookmarkStart w:id="482" w:name="_Toc102227321"/>
      <w:bookmarkStart w:id="483" w:name="_Toc11020"/>
      <w:bookmarkStart w:id="484" w:name="_Toc6702"/>
      <w:bookmarkStart w:id="485" w:name="_Toc15076"/>
      <w:bookmarkStart w:id="486" w:name="_Toc18580"/>
      <w:bookmarkStart w:id="487" w:name="_Toc19943"/>
      <w:bookmarkStart w:id="488" w:name="_Toc21250"/>
      <w:r>
        <w:rPr>
          <w:rFonts w:hint="eastAsia" w:ascii="宋体" w:hAnsi="宋体" w:cs="宋体"/>
          <w:color w:val="auto"/>
        </w:rPr>
        <w:t>五、成交通知</w:t>
      </w:r>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p>
    <w:p w14:paraId="23EB32B8">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（一）成交供应商确定后，采购代理机构将在重庆市政府采购网（</w:t>
      </w:r>
      <w:r>
        <w:rPr>
          <w:rFonts w:hint="eastAsia" w:ascii="宋体" w:hAnsi="宋体" w:cs="宋体"/>
          <w:color w:val="auto"/>
          <w:sz w:val="24"/>
          <w:szCs w:val="24"/>
        </w:rPr>
        <w:fldChar w:fldCharType="begin"/>
      </w:r>
      <w:r>
        <w:rPr>
          <w:rFonts w:hint="eastAsia" w:ascii="宋体" w:hAnsi="宋体" w:cs="宋体"/>
          <w:color w:val="auto"/>
          <w:sz w:val="24"/>
          <w:szCs w:val="24"/>
        </w:rPr>
        <w:instrText xml:space="preserve"> HYPERLINK "http://www.cqgp.gov.cn" </w:instrText>
      </w:r>
      <w:r>
        <w:rPr>
          <w:rFonts w:hint="eastAsia" w:ascii="宋体" w:hAnsi="宋体" w:cs="宋体"/>
          <w:color w:val="auto"/>
          <w:sz w:val="24"/>
          <w:szCs w:val="24"/>
        </w:rPr>
        <w:fldChar w:fldCharType="separate"/>
      </w:r>
      <w:r>
        <w:rPr>
          <w:rFonts w:hint="eastAsia" w:ascii="宋体" w:hAnsi="宋体" w:cs="宋体"/>
          <w:color w:val="auto"/>
          <w:sz w:val="24"/>
          <w:szCs w:val="24"/>
        </w:rPr>
        <w:t>www.ccgp-chongqing.gov.cn</w:t>
      </w:r>
      <w:r>
        <w:rPr>
          <w:rFonts w:hint="eastAsia" w:ascii="宋体" w:hAnsi="宋体" w:cs="宋体"/>
          <w:color w:val="auto"/>
          <w:sz w:val="24"/>
          <w:szCs w:val="24"/>
        </w:rPr>
        <w:fldChar w:fldCharType="end"/>
      </w:r>
      <w:r>
        <w:rPr>
          <w:rFonts w:hint="eastAsia" w:ascii="宋体" w:hAnsi="宋体" w:cs="宋体"/>
          <w:color w:val="auto"/>
          <w:sz w:val="24"/>
          <w:szCs w:val="24"/>
        </w:rPr>
        <w:t>）上发布成交结果公告。</w:t>
      </w:r>
    </w:p>
    <w:p w14:paraId="25094FEA">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（二）结果公告发出同时，采购代理机构将以书面形式发出《成交通知书》。《成交通知书》一经发出即发生法律效力。</w:t>
      </w:r>
    </w:p>
    <w:p w14:paraId="5E2A17E3">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（三）《成交通知书》将作为签订合同的依据。</w:t>
      </w:r>
    </w:p>
    <w:p w14:paraId="68B32DD1">
      <w:pPr>
        <w:pStyle w:val="5"/>
        <w:adjustRightInd w:val="0"/>
        <w:snapToGrid w:val="0"/>
        <w:spacing w:before="0" w:after="0" w:line="240" w:lineRule="auto"/>
        <w:rPr>
          <w:rFonts w:hint="eastAsia" w:ascii="宋体" w:hAnsi="宋体" w:cs="宋体"/>
          <w:color w:val="auto"/>
        </w:rPr>
      </w:pPr>
      <w:bookmarkStart w:id="489" w:name="_Toc8152"/>
      <w:bookmarkStart w:id="490" w:name="_Toc13"/>
      <w:bookmarkStart w:id="491" w:name="_Toc24739"/>
      <w:bookmarkStart w:id="492" w:name="_Toc5867"/>
      <w:bookmarkStart w:id="493" w:name="_Toc3574"/>
      <w:bookmarkStart w:id="494" w:name="_Toc7016"/>
      <w:bookmarkStart w:id="495" w:name="_Toc7628"/>
      <w:bookmarkStart w:id="496" w:name="_Toc5660"/>
      <w:bookmarkStart w:id="497" w:name="_Toc24715"/>
      <w:bookmarkStart w:id="498" w:name="_Toc28267"/>
      <w:bookmarkStart w:id="499" w:name="_Toc6983"/>
      <w:bookmarkStart w:id="500" w:name="_Toc27176"/>
      <w:bookmarkStart w:id="501" w:name="_Toc7935"/>
      <w:bookmarkStart w:id="502" w:name="_Toc15739"/>
      <w:bookmarkStart w:id="503" w:name="_Toc65662749"/>
      <w:bookmarkStart w:id="504" w:name="_Toc15096"/>
      <w:bookmarkStart w:id="505" w:name="_Toc25259"/>
      <w:bookmarkStart w:id="506" w:name="_Toc30148"/>
      <w:bookmarkStart w:id="507" w:name="_Toc30815"/>
      <w:r>
        <w:rPr>
          <w:rFonts w:hint="eastAsia" w:ascii="宋体" w:hAnsi="宋体" w:cs="宋体"/>
          <w:color w:val="auto"/>
        </w:rPr>
        <w:t>六、关于质疑和投诉</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p>
    <w:p w14:paraId="1344ED19">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（一）质疑</w:t>
      </w:r>
    </w:p>
    <w:p w14:paraId="1697472A">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供应商认为采购文件、采购过程和成交结果使自己的权益受到伤害的，可向采购人或采购代理机构以书面形式提出质疑。</w:t>
      </w:r>
    </w:p>
    <w:p w14:paraId="4FAD8D8C">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 xml:space="preserve">提出质疑的应当是参与所质疑项目采购活动的供应商。 </w:t>
      </w:r>
    </w:p>
    <w:p w14:paraId="04CC6347">
      <w:pPr>
        <w:spacing w:line="400" w:lineRule="exact"/>
        <w:ind w:right="12" w:firstLine="480"/>
        <w:rPr>
          <w:rFonts w:hint="eastAsia" w:ascii="宋体" w:hAnsi="宋体" w:cs="宋体"/>
          <w:color w:val="auto"/>
          <w:sz w:val="24"/>
        </w:rPr>
      </w:pPr>
      <w:r>
        <w:rPr>
          <w:rFonts w:hint="eastAsia" w:ascii="宋体" w:hAnsi="宋体" w:cs="宋体"/>
          <w:color w:val="auto"/>
          <w:sz w:val="24"/>
        </w:rPr>
        <w:t>1.质疑时限、内容</w:t>
      </w:r>
    </w:p>
    <w:p w14:paraId="2CD38E0F">
      <w:pPr>
        <w:spacing w:line="400" w:lineRule="exact"/>
        <w:ind w:right="12" w:firstLine="480"/>
        <w:rPr>
          <w:rFonts w:hint="eastAsia" w:ascii="宋体" w:hAnsi="宋体" w:cs="宋体"/>
          <w:color w:val="auto"/>
          <w:sz w:val="24"/>
        </w:rPr>
      </w:pPr>
      <w:r>
        <w:rPr>
          <w:rFonts w:hint="eastAsia" w:ascii="宋体" w:hAnsi="宋体" w:cs="宋体"/>
          <w:color w:val="auto"/>
          <w:sz w:val="24"/>
        </w:rPr>
        <w:t>供应商认为采购文件、采购过程、成交结果使自己的权益受到损害的，可以在知道或者应知其权益受到损害之日起7个工作日内，以书面形式向采购人、采购代理机构提出质疑。</w:t>
      </w:r>
    </w:p>
    <w:p w14:paraId="66B0D132">
      <w:pPr>
        <w:spacing w:line="400" w:lineRule="exact"/>
        <w:ind w:right="12" w:firstLine="480"/>
        <w:rPr>
          <w:rFonts w:hint="eastAsia" w:ascii="宋体" w:hAnsi="宋体" w:cs="宋体"/>
          <w:color w:val="auto"/>
          <w:sz w:val="24"/>
        </w:rPr>
      </w:pPr>
      <w:r>
        <w:rPr>
          <w:rFonts w:hint="eastAsia" w:ascii="宋体" w:hAnsi="宋体" w:cs="宋体"/>
          <w:color w:val="auto"/>
          <w:sz w:val="24"/>
        </w:rPr>
        <w:t>1.2供应商提出质疑应当提交质疑函和必要的证明材料，质疑函应当包括下列内容：</w:t>
      </w:r>
    </w:p>
    <w:p w14:paraId="4F9B9823">
      <w:pPr>
        <w:spacing w:line="400" w:lineRule="exact"/>
        <w:ind w:right="12" w:firstLine="480"/>
        <w:rPr>
          <w:rFonts w:hint="eastAsia" w:ascii="宋体" w:hAnsi="宋体" w:cs="宋体"/>
          <w:color w:val="auto"/>
          <w:sz w:val="24"/>
        </w:rPr>
      </w:pPr>
      <w:r>
        <w:rPr>
          <w:rFonts w:hint="eastAsia" w:ascii="宋体" w:hAnsi="宋体" w:cs="宋体"/>
          <w:color w:val="auto"/>
          <w:sz w:val="24"/>
        </w:rPr>
        <w:t>1.2.1供应商的姓名或者名称、地址、邮编、联系人及联系电话；</w:t>
      </w:r>
    </w:p>
    <w:p w14:paraId="2DF00B82">
      <w:pPr>
        <w:spacing w:line="400" w:lineRule="exact"/>
        <w:ind w:right="12" w:firstLine="480"/>
        <w:rPr>
          <w:rFonts w:hint="eastAsia" w:ascii="宋体" w:hAnsi="宋体" w:cs="宋体"/>
          <w:color w:val="auto"/>
          <w:sz w:val="24"/>
        </w:rPr>
      </w:pPr>
      <w:r>
        <w:rPr>
          <w:rFonts w:hint="eastAsia" w:ascii="宋体" w:hAnsi="宋体" w:cs="宋体"/>
          <w:color w:val="auto"/>
          <w:sz w:val="24"/>
        </w:rPr>
        <w:t>1.2.2质疑项目的名称、项目号以及采购执行编号；</w:t>
      </w:r>
    </w:p>
    <w:p w14:paraId="0FCC3BAD">
      <w:pPr>
        <w:spacing w:line="400" w:lineRule="exact"/>
        <w:ind w:right="12" w:firstLine="480"/>
        <w:rPr>
          <w:rFonts w:hint="eastAsia" w:ascii="宋体" w:hAnsi="宋体" w:cs="宋体"/>
          <w:color w:val="auto"/>
          <w:sz w:val="24"/>
        </w:rPr>
      </w:pPr>
      <w:r>
        <w:rPr>
          <w:rFonts w:hint="eastAsia" w:ascii="宋体" w:hAnsi="宋体" w:cs="宋体"/>
          <w:color w:val="auto"/>
          <w:sz w:val="24"/>
        </w:rPr>
        <w:t>1.2.3具体、明确的质疑事项和与质疑事项相关的请求；</w:t>
      </w:r>
    </w:p>
    <w:p w14:paraId="7E29E6BE">
      <w:pPr>
        <w:spacing w:line="400" w:lineRule="exact"/>
        <w:ind w:right="12" w:firstLine="480"/>
        <w:rPr>
          <w:rFonts w:hint="eastAsia" w:ascii="宋体" w:hAnsi="宋体" w:cs="宋体"/>
          <w:color w:val="auto"/>
          <w:sz w:val="24"/>
        </w:rPr>
      </w:pPr>
      <w:r>
        <w:rPr>
          <w:rFonts w:hint="eastAsia" w:ascii="宋体" w:hAnsi="宋体" w:cs="宋体"/>
          <w:color w:val="auto"/>
          <w:sz w:val="24"/>
        </w:rPr>
        <w:t>1.2.4事实依据；</w:t>
      </w:r>
    </w:p>
    <w:p w14:paraId="1F8D4576">
      <w:pPr>
        <w:spacing w:line="400" w:lineRule="exact"/>
        <w:ind w:right="12" w:firstLine="480"/>
        <w:rPr>
          <w:rFonts w:hint="eastAsia" w:ascii="宋体" w:hAnsi="宋体" w:cs="宋体"/>
          <w:color w:val="auto"/>
          <w:sz w:val="24"/>
        </w:rPr>
      </w:pPr>
      <w:r>
        <w:rPr>
          <w:rFonts w:hint="eastAsia" w:ascii="宋体" w:hAnsi="宋体" w:cs="宋体"/>
          <w:color w:val="auto"/>
          <w:sz w:val="24"/>
        </w:rPr>
        <w:t>1.2.5必要的法律依据；</w:t>
      </w:r>
    </w:p>
    <w:p w14:paraId="32EEA80A">
      <w:pPr>
        <w:spacing w:line="400" w:lineRule="exact"/>
        <w:ind w:right="12" w:firstLine="480"/>
        <w:rPr>
          <w:rFonts w:hint="eastAsia" w:ascii="宋体" w:hAnsi="宋体" w:cs="宋体"/>
          <w:color w:val="auto"/>
          <w:sz w:val="24"/>
        </w:rPr>
      </w:pPr>
      <w:r>
        <w:rPr>
          <w:rFonts w:hint="eastAsia" w:ascii="宋体" w:hAnsi="宋体" w:cs="宋体"/>
          <w:color w:val="auto"/>
          <w:sz w:val="24"/>
        </w:rPr>
        <w:t>1.2.6提出质疑的日期；</w:t>
      </w:r>
    </w:p>
    <w:p w14:paraId="2B85E83A">
      <w:pPr>
        <w:spacing w:line="400" w:lineRule="exact"/>
        <w:ind w:right="12" w:firstLine="480"/>
        <w:rPr>
          <w:rFonts w:hint="eastAsia" w:ascii="宋体" w:hAnsi="宋体" w:cs="宋体"/>
          <w:color w:val="auto"/>
          <w:sz w:val="24"/>
        </w:rPr>
      </w:pPr>
      <w:r>
        <w:rPr>
          <w:rFonts w:hint="eastAsia" w:ascii="宋体" w:hAnsi="宋体" w:cs="宋体"/>
          <w:color w:val="auto"/>
          <w:sz w:val="24"/>
        </w:rPr>
        <w:t>1.2.7营业执照（或事业单位法人证书，或个体工商户营业执照或有效的自然人身份证明）复印件；</w:t>
      </w:r>
    </w:p>
    <w:p w14:paraId="25866E6E">
      <w:pPr>
        <w:spacing w:line="400" w:lineRule="exact"/>
        <w:ind w:right="12" w:firstLine="480"/>
        <w:rPr>
          <w:rFonts w:hint="eastAsia" w:ascii="宋体" w:hAnsi="宋体" w:cs="宋体"/>
          <w:color w:val="auto"/>
          <w:sz w:val="24"/>
        </w:rPr>
      </w:pPr>
      <w:r>
        <w:rPr>
          <w:rFonts w:hint="eastAsia" w:ascii="宋体" w:hAnsi="宋体" w:cs="宋体"/>
          <w:color w:val="auto"/>
          <w:sz w:val="24"/>
        </w:rPr>
        <w:t>1.2.8法定代表人授权委托书原件、法定代表人身份证复印件和其授权代表的身份证复印件（供应商为自然人的提供自然人身份证复印件）；</w:t>
      </w:r>
    </w:p>
    <w:p w14:paraId="13C0F4F4">
      <w:pPr>
        <w:spacing w:line="400" w:lineRule="exact"/>
        <w:ind w:right="12" w:firstLine="480"/>
        <w:rPr>
          <w:rFonts w:hint="eastAsia" w:ascii="宋体" w:hAnsi="宋体" w:cs="宋体"/>
          <w:color w:val="auto"/>
          <w:sz w:val="24"/>
        </w:rPr>
      </w:pPr>
      <w:r>
        <w:rPr>
          <w:rFonts w:hint="eastAsia" w:ascii="宋体" w:hAnsi="宋体" w:cs="宋体"/>
          <w:color w:val="auto"/>
          <w:sz w:val="24"/>
        </w:rPr>
        <w:t>1.3供应商为自然人的，质疑函应当由本人签字；供应商为法人或者其他组织的，质疑函应当由法定代表人、主要负责人，或者其授权代表签字或者盖章，并加盖公章。</w:t>
      </w:r>
    </w:p>
    <w:p w14:paraId="555044C8">
      <w:pPr>
        <w:spacing w:line="400" w:lineRule="exact"/>
        <w:ind w:right="12" w:firstLine="480"/>
        <w:rPr>
          <w:rFonts w:hint="eastAsia" w:ascii="宋体" w:hAnsi="宋体" w:cs="宋体"/>
          <w:color w:val="auto"/>
          <w:sz w:val="24"/>
        </w:rPr>
      </w:pPr>
      <w:r>
        <w:rPr>
          <w:rFonts w:hint="eastAsia" w:ascii="宋体" w:hAnsi="宋体" w:cs="宋体"/>
          <w:color w:val="auto"/>
          <w:sz w:val="24"/>
        </w:rPr>
        <w:t>2.质疑答复</w:t>
      </w:r>
    </w:p>
    <w:p w14:paraId="0AD5F47E">
      <w:pPr>
        <w:spacing w:line="400" w:lineRule="exact"/>
        <w:ind w:right="12" w:firstLine="480"/>
        <w:rPr>
          <w:rFonts w:hint="eastAsia" w:ascii="宋体" w:hAnsi="宋体" w:cs="宋体"/>
          <w:color w:val="auto"/>
          <w:sz w:val="24"/>
        </w:rPr>
      </w:pPr>
      <w:r>
        <w:rPr>
          <w:rFonts w:hint="eastAsia" w:ascii="宋体" w:hAnsi="宋体" w:cs="宋体"/>
          <w:color w:val="auto"/>
          <w:sz w:val="24"/>
        </w:rPr>
        <w:t>采购人、采购代理机构应当在收到供应商的书面质疑后七个工作日内作出答复，并以书面形式通知质疑供应商和其他有关供应商。</w:t>
      </w:r>
    </w:p>
    <w:p w14:paraId="0ED0704B">
      <w:pPr>
        <w:spacing w:line="400" w:lineRule="exact"/>
        <w:ind w:right="12" w:firstLine="480"/>
        <w:rPr>
          <w:rFonts w:hint="eastAsia" w:ascii="宋体" w:hAnsi="宋体" w:cs="宋体"/>
          <w:color w:val="auto"/>
          <w:sz w:val="24"/>
        </w:rPr>
      </w:pPr>
      <w:r>
        <w:rPr>
          <w:rFonts w:hint="eastAsia" w:ascii="宋体" w:hAnsi="宋体" w:cs="宋体"/>
          <w:color w:val="auto"/>
          <w:sz w:val="24"/>
        </w:rPr>
        <w:t>3.其他</w:t>
      </w:r>
    </w:p>
    <w:p w14:paraId="683C1818">
      <w:pPr>
        <w:spacing w:line="400" w:lineRule="exact"/>
        <w:ind w:right="12" w:firstLine="480"/>
        <w:rPr>
          <w:rFonts w:hint="eastAsia" w:ascii="宋体" w:hAnsi="宋体" w:cs="宋体"/>
          <w:color w:val="auto"/>
          <w:sz w:val="24"/>
        </w:rPr>
      </w:pPr>
      <w:r>
        <w:rPr>
          <w:rFonts w:hint="eastAsia" w:ascii="宋体" w:hAnsi="宋体" w:cs="宋体"/>
          <w:color w:val="auto"/>
          <w:sz w:val="24"/>
        </w:rPr>
        <w:t>3.1供应商应按照《政府采购质疑和投诉办法》（财政部令第94号）及相关法律法规要求，在法定质疑期内一次性提出针对同一采购程序环节的质疑。</w:t>
      </w:r>
    </w:p>
    <w:p w14:paraId="0DB6B854">
      <w:pPr>
        <w:spacing w:line="400" w:lineRule="exact"/>
        <w:ind w:right="12" w:firstLine="480"/>
        <w:rPr>
          <w:rFonts w:hint="eastAsia" w:ascii="宋体" w:hAnsi="宋体" w:cs="宋体"/>
          <w:color w:val="auto"/>
          <w:sz w:val="24"/>
        </w:rPr>
      </w:pPr>
      <w:r>
        <w:rPr>
          <w:rFonts w:hint="eastAsia" w:ascii="宋体" w:hAnsi="宋体" w:cs="宋体"/>
          <w:color w:val="auto"/>
          <w:sz w:val="24"/>
        </w:rPr>
        <w:t>3.2质疑函范本可在财政部门户网站和中国政府采购网下载。</w:t>
      </w:r>
    </w:p>
    <w:p w14:paraId="4A90B8F5">
      <w:pPr>
        <w:spacing w:line="400" w:lineRule="exact"/>
        <w:ind w:right="12" w:firstLine="480"/>
        <w:rPr>
          <w:rFonts w:hint="eastAsia" w:ascii="宋体" w:hAnsi="宋体" w:cs="宋体"/>
          <w:color w:val="auto"/>
          <w:sz w:val="24"/>
        </w:rPr>
      </w:pPr>
      <w:r>
        <w:rPr>
          <w:rFonts w:hint="eastAsia" w:ascii="宋体" w:hAnsi="宋体" w:cs="宋体"/>
          <w:color w:val="auto"/>
          <w:sz w:val="24"/>
        </w:rPr>
        <w:t>（二）投诉</w:t>
      </w:r>
    </w:p>
    <w:p w14:paraId="239D8D67">
      <w:pPr>
        <w:spacing w:line="400" w:lineRule="exact"/>
        <w:ind w:right="12" w:firstLine="480"/>
        <w:rPr>
          <w:rFonts w:hint="eastAsia" w:ascii="宋体" w:hAnsi="宋体" w:cs="宋体"/>
          <w:color w:val="auto"/>
          <w:sz w:val="24"/>
        </w:rPr>
      </w:pPr>
      <w:r>
        <w:rPr>
          <w:rFonts w:hint="eastAsia" w:ascii="宋体" w:hAnsi="宋体" w:cs="宋体"/>
          <w:color w:val="auto"/>
          <w:sz w:val="24"/>
        </w:rPr>
        <w:t>1.供应商对采购人、采购代理机构的答复不满意，或者采购人、采购代理机构未在规定时间内作出答复的，可以在答复期满后15个工作日内按照相关法律法规向财政部门提起投诉。</w:t>
      </w:r>
    </w:p>
    <w:p w14:paraId="5C52651B">
      <w:pPr>
        <w:spacing w:line="400" w:lineRule="exact"/>
        <w:ind w:right="12" w:firstLine="480"/>
        <w:rPr>
          <w:rFonts w:hint="eastAsia" w:ascii="宋体" w:hAnsi="宋体" w:cs="宋体"/>
          <w:color w:val="auto"/>
          <w:sz w:val="24"/>
        </w:rPr>
      </w:pPr>
      <w:r>
        <w:rPr>
          <w:rFonts w:hint="eastAsia" w:ascii="宋体" w:hAnsi="宋体" w:cs="宋体"/>
          <w:color w:val="auto"/>
          <w:sz w:val="24"/>
        </w:rPr>
        <w:t>2.供应商应按照《政府采购质疑和投诉办法》（财政部令第94号）及相关法律法规要求递交投诉书和必要的证明材料。投诉书范本可在财政部门户网站和中国政府采购网下载。</w:t>
      </w:r>
    </w:p>
    <w:p w14:paraId="15598116">
      <w:pPr>
        <w:spacing w:line="400" w:lineRule="exact"/>
        <w:ind w:right="12" w:firstLine="480"/>
        <w:rPr>
          <w:rFonts w:hint="eastAsia" w:ascii="宋体" w:hAnsi="宋体" w:cs="宋体"/>
          <w:color w:val="auto"/>
          <w:sz w:val="24"/>
        </w:rPr>
      </w:pPr>
      <w:r>
        <w:rPr>
          <w:rFonts w:hint="eastAsia" w:ascii="宋体" w:hAnsi="宋体" w:cs="宋体"/>
          <w:color w:val="auto"/>
          <w:sz w:val="24"/>
        </w:rPr>
        <w:t>3.投诉书应当使用中文，相关当事人提供外文书证或者外国语视听资料的，应当附有中文译本，由翻译机构盖章或者翻译人员签名；相关当事人向财政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14:paraId="4F6BD18D">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rPr>
        <w:t>4.在确定受理投诉后，财政部门自受理投诉之日起30个工作日内（需要检验、检测、鉴定、专家评审以及需要投诉人补正材料的，所需时间不计算在投诉处理期限内）对投诉事项做出处理决定。</w:t>
      </w:r>
    </w:p>
    <w:p w14:paraId="5730C795">
      <w:pPr>
        <w:pStyle w:val="5"/>
        <w:adjustRightInd w:val="0"/>
        <w:snapToGrid w:val="0"/>
        <w:spacing w:before="0" w:after="0" w:line="240" w:lineRule="auto"/>
        <w:rPr>
          <w:rFonts w:hint="eastAsia" w:ascii="宋体" w:hAnsi="宋体" w:cs="宋体"/>
          <w:color w:val="auto"/>
        </w:rPr>
      </w:pPr>
      <w:bookmarkStart w:id="508" w:name="_Toc14424"/>
      <w:bookmarkStart w:id="509" w:name="_Toc8684"/>
      <w:bookmarkStart w:id="510" w:name="_Toc20506"/>
      <w:bookmarkStart w:id="511" w:name="_Toc12087"/>
      <w:bookmarkStart w:id="512" w:name="_Toc15020"/>
      <w:bookmarkStart w:id="513" w:name="_Toc16579"/>
      <w:bookmarkStart w:id="514" w:name="_Toc27110"/>
      <w:bookmarkStart w:id="515" w:name="_Toc30881"/>
      <w:bookmarkStart w:id="516" w:name="_Toc14032"/>
      <w:bookmarkStart w:id="517" w:name="_Toc8843"/>
      <w:bookmarkStart w:id="518" w:name="_Toc65662750"/>
      <w:bookmarkStart w:id="519" w:name="_Toc218"/>
      <w:bookmarkStart w:id="520" w:name="_Toc20661"/>
      <w:bookmarkStart w:id="521" w:name="_Toc29094"/>
      <w:bookmarkStart w:id="522" w:name="_Toc13392"/>
      <w:bookmarkStart w:id="523" w:name="_Toc12183"/>
      <w:bookmarkStart w:id="524" w:name="_Toc13139"/>
      <w:bookmarkStart w:id="525" w:name="_Toc12475"/>
      <w:bookmarkStart w:id="526" w:name="_Toc23033"/>
      <w:r>
        <w:rPr>
          <w:rFonts w:hint="eastAsia" w:ascii="宋体" w:hAnsi="宋体" w:cs="宋体"/>
          <w:color w:val="auto"/>
        </w:rPr>
        <w:t>七、采购代理服务费</w:t>
      </w:r>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p>
    <w:p w14:paraId="5E9F05CE">
      <w:pPr>
        <w:spacing w:line="400" w:lineRule="exact"/>
        <w:ind w:firstLine="480" w:firstLineChars="200"/>
        <w:rPr>
          <w:rFonts w:hint="eastAsia" w:ascii="宋体" w:hAnsi="宋体" w:cs="宋体"/>
          <w:b/>
          <w:color w:val="auto"/>
          <w:sz w:val="24"/>
        </w:rPr>
      </w:pPr>
      <w:bookmarkStart w:id="527" w:name="OLE_LINK7"/>
      <w:bookmarkStart w:id="528" w:name="OLE_LINK8"/>
      <w:r>
        <w:rPr>
          <w:rFonts w:hint="eastAsia" w:ascii="宋体" w:hAnsi="宋体" w:cs="宋体"/>
          <w:color w:val="auto"/>
          <w:sz w:val="24"/>
        </w:rPr>
        <w:t>（一）供应商成交后向采购代理机构缴纳</w:t>
      </w:r>
      <w:r>
        <w:rPr>
          <w:rFonts w:hint="eastAsia" w:ascii="宋体" w:hAnsi="宋体" w:cs="宋体"/>
          <w:color w:val="auto"/>
          <w:sz w:val="24"/>
          <w:szCs w:val="24"/>
        </w:rPr>
        <w:t>采购</w:t>
      </w:r>
      <w:r>
        <w:rPr>
          <w:rFonts w:hint="eastAsia" w:ascii="宋体" w:hAnsi="宋体" w:cs="宋体"/>
          <w:color w:val="auto"/>
          <w:sz w:val="24"/>
        </w:rPr>
        <w:t>代理服务费，</w:t>
      </w:r>
      <w:r>
        <w:rPr>
          <w:rFonts w:hint="eastAsia" w:ascii="宋体" w:hAnsi="宋体" w:cs="宋体"/>
          <w:color w:val="auto"/>
          <w:sz w:val="24"/>
          <w:szCs w:val="24"/>
        </w:rPr>
        <w:t>采购</w:t>
      </w:r>
      <w:r>
        <w:rPr>
          <w:rFonts w:hint="eastAsia" w:ascii="宋体" w:hAnsi="宋体" w:cs="宋体"/>
          <w:color w:val="auto"/>
          <w:sz w:val="24"/>
        </w:rPr>
        <w:t>代理服务费的收取标准按照以下标准</w:t>
      </w:r>
      <w:r>
        <w:rPr>
          <w:rFonts w:hint="eastAsia" w:ascii="宋体" w:hAnsi="宋体" w:cs="宋体"/>
          <w:color w:val="auto"/>
          <w:sz w:val="24"/>
          <w:u w:val="single"/>
        </w:rPr>
        <w:t xml:space="preserve"> </w:t>
      </w:r>
      <w:r>
        <w:rPr>
          <w:rFonts w:hint="eastAsia" w:ascii="宋体" w:hAnsi="宋体" w:cs="宋体"/>
          <w:b/>
          <w:bCs/>
          <w:color w:val="auto"/>
          <w:sz w:val="24"/>
          <w:u w:val="single"/>
        </w:rPr>
        <w:t xml:space="preserve">服务类型 </w:t>
      </w:r>
      <w:r>
        <w:rPr>
          <w:rFonts w:hint="eastAsia" w:ascii="宋体" w:hAnsi="宋体" w:cs="宋体"/>
          <w:color w:val="auto"/>
          <w:sz w:val="24"/>
        </w:rPr>
        <w:t>的95%执行:</w:t>
      </w:r>
    </w:p>
    <w:bookmarkEnd w:id="527"/>
    <w:bookmarkEnd w:id="528"/>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10"/>
        <w:gridCol w:w="2273"/>
        <w:gridCol w:w="2273"/>
        <w:gridCol w:w="2272"/>
      </w:tblGrid>
      <w:tr w14:paraId="493D1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2810" w:type="dxa"/>
            <w:tcBorders>
              <w:tl2br w:val="single" w:color="auto" w:sz="4" w:space="0"/>
            </w:tcBorders>
            <w:noWrap w:val="0"/>
            <w:vAlign w:val="top"/>
          </w:tcPr>
          <w:p w14:paraId="64AEB018">
            <w:pPr>
              <w:spacing w:line="400" w:lineRule="exact"/>
              <w:jc w:val="right"/>
              <w:rPr>
                <w:rFonts w:hint="eastAsia" w:ascii="宋体" w:hAnsi="宋体" w:cs="宋体"/>
                <w:color w:val="auto"/>
                <w:sz w:val="21"/>
                <w:szCs w:val="21"/>
              </w:rPr>
            </w:pPr>
            <w:r>
              <w:rPr>
                <w:rFonts w:hint="eastAsia" w:ascii="宋体" w:hAnsi="宋体" w:cs="宋体"/>
                <w:color w:val="auto"/>
                <w:sz w:val="21"/>
                <w:szCs w:val="21"/>
              </w:rPr>
              <mc:AlternateContent>
                <mc:Choice Requires="wps">
                  <w:drawing>
                    <wp:anchor distT="0" distB="0" distL="114300" distR="114300" simplePos="0" relativeHeight="251659264" behindDoc="0" locked="0" layoutInCell="0" allowOverlap="1">
                      <wp:simplePos x="0" y="0"/>
                      <wp:positionH relativeFrom="column">
                        <wp:posOffset>-114300</wp:posOffset>
                      </wp:positionH>
                      <wp:positionV relativeFrom="paragraph">
                        <wp:posOffset>-6350</wp:posOffset>
                      </wp:positionV>
                      <wp:extent cx="635" cy="635"/>
                      <wp:effectExtent l="0" t="0" r="0" b="0"/>
                      <wp:wrapNone/>
                      <wp:docPr id="1" name="直线 7"/>
                      <wp:cNvGraphicFramePr/>
                      <a:graphic xmlns:a="http://schemas.openxmlformats.org/drawingml/2006/main">
                        <a:graphicData uri="http://schemas.microsoft.com/office/word/2010/wordprocessingShape">
                          <wps:wsp>
                            <wps:cNvCnPr/>
                            <wps:spPr>
                              <a:xfrm>
                                <a:off x="0" y="0"/>
                                <a:ext cx="635"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7" o:spid="_x0000_s1026" o:spt="20" style="position:absolute;left:0pt;margin-left:-9pt;margin-top:-0.5pt;height:0.05pt;width:0.05pt;z-index:251659264;mso-width-relative:page;mso-height-relative:page;" filled="f" stroked="t" coordsize="21600,21600" o:allowincell="f" o:gfxdata="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fPvmD1gAAAAgB&#10;AAAPAAAAAAAAAAEAIAAAACIAAABkcnMvZG93bnJldi54bWxQSwECFAAUAAAACACHTuJAAnTKWeQB&#10;AADZAwAADgAAAAAAAAABACAAAAAlAQAAZHJzL2Uyb0RvYy54bWxQSwUGAAAAAAYABgBZAQAAewUA&#10;AAAA&#10;">
                      <v:fill on="f" focussize="0,0"/>
                      <v:stroke color="#000000" joinstyle="round"/>
                      <v:imagedata o:title=""/>
                      <o:lock v:ext="edit" aspectratio="f"/>
                    </v:line>
                  </w:pict>
                </mc:Fallback>
              </mc:AlternateContent>
            </w:r>
            <w:r>
              <w:rPr>
                <w:rFonts w:hint="eastAsia" w:ascii="宋体" w:hAnsi="宋体" w:cs="宋体"/>
                <w:color w:val="auto"/>
                <w:sz w:val="21"/>
                <w:szCs w:val="21"/>
              </w:rPr>
              <w:t>招标类型</w:t>
            </w:r>
          </w:p>
          <w:p w14:paraId="680B21C4">
            <w:pPr>
              <w:spacing w:line="400" w:lineRule="exact"/>
              <w:rPr>
                <w:rFonts w:hint="eastAsia" w:ascii="宋体" w:hAnsi="宋体" w:cs="宋体"/>
                <w:color w:val="auto"/>
                <w:sz w:val="21"/>
                <w:szCs w:val="21"/>
              </w:rPr>
            </w:pPr>
            <w:r>
              <w:rPr>
                <w:rFonts w:hint="eastAsia" w:ascii="宋体" w:hAnsi="宋体" w:cs="宋体"/>
                <w:color w:val="auto"/>
                <w:sz w:val="21"/>
                <w:szCs w:val="21"/>
              </w:rPr>
              <w:t>中标金额（万元）</w:t>
            </w:r>
          </w:p>
        </w:tc>
        <w:tc>
          <w:tcPr>
            <w:tcW w:w="2273" w:type="dxa"/>
            <w:noWrap w:val="0"/>
            <w:vAlign w:val="center"/>
          </w:tcPr>
          <w:p w14:paraId="466154D0">
            <w:pPr>
              <w:spacing w:line="400" w:lineRule="exact"/>
              <w:jc w:val="center"/>
              <w:rPr>
                <w:rFonts w:hint="eastAsia" w:ascii="宋体" w:hAnsi="宋体" w:cs="宋体"/>
                <w:color w:val="auto"/>
                <w:sz w:val="21"/>
                <w:szCs w:val="21"/>
              </w:rPr>
            </w:pPr>
            <w:r>
              <w:rPr>
                <w:rFonts w:hint="eastAsia" w:ascii="宋体" w:hAnsi="宋体" w:cs="宋体"/>
                <w:color w:val="auto"/>
                <w:sz w:val="21"/>
                <w:szCs w:val="21"/>
              </w:rPr>
              <w:t>货物招标</w:t>
            </w:r>
          </w:p>
        </w:tc>
        <w:tc>
          <w:tcPr>
            <w:tcW w:w="2273" w:type="dxa"/>
            <w:noWrap w:val="0"/>
            <w:vAlign w:val="center"/>
          </w:tcPr>
          <w:p w14:paraId="600755DA">
            <w:pPr>
              <w:spacing w:line="400" w:lineRule="exact"/>
              <w:jc w:val="center"/>
              <w:rPr>
                <w:rFonts w:hint="eastAsia" w:ascii="宋体" w:hAnsi="宋体" w:cs="宋体"/>
                <w:color w:val="auto"/>
                <w:sz w:val="21"/>
                <w:szCs w:val="21"/>
              </w:rPr>
            </w:pPr>
            <w:r>
              <w:rPr>
                <w:rFonts w:hint="eastAsia" w:ascii="宋体" w:hAnsi="宋体" w:cs="宋体"/>
                <w:color w:val="auto"/>
                <w:sz w:val="21"/>
                <w:szCs w:val="21"/>
              </w:rPr>
              <w:t>服务招标</w:t>
            </w:r>
          </w:p>
        </w:tc>
        <w:tc>
          <w:tcPr>
            <w:tcW w:w="2272" w:type="dxa"/>
            <w:noWrap w:val="0"/>
            <w:vAlign w:val="center"/>
          </w:tcPr>
          <w:p w14:paraId="11F68AB7">
            <w:pPr>
              <w:pStyle w:val="239"/>
              <w:widowControl w:val="0"/>
              <w:pBdr>
                <w:left w:val="none" w:color="auto" w:sz="0" w:space="0"/>
                <w:right w:val="none" w:color="auto" w:sz="0" w:space="0"/>
              </w:pBdr>
              <w:spacing w:before="0" w:beforeAutospacing="0" w:after="0" w:afterAutospacing="0" w:line="400" w:lineRule="exact"/>
              <w:rPr>
                <w:rFonts w:hint="eastAsia" w:cs="宋体"/>
                <w:color w:val="auto"/>
                <w:kern w:val="2"/>
                <w:sz w:val="21"/>
                <w:szCs w:val="21"/>
              </w:rPr>
            </w:pPr>
            <w:r>
              <w:rPr>
                <w:rFonts w:hint="eastAsia" w:cs="宋体"/>
                <w:color w:val="auto"/>
                <w:kern w:val="2"/>
                <w:sz w:val="21"/>
                <w:szCs w:val="21"/>
              </w:rPr>
              <w:t>工程招标</w:t>
            </w:r>
          </w:p>
        </w:tc>
      </w:tr>
      <w:tr w14:paraId="515B5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10" w:type="dxa"/>
            <w:noWrap w:val="0"/>
            <w:vAlign w:val="center"/>
          </w:tcPr>
          <w:p w14:paraId="3BE7C9D2">
            <w:pPr>
              <w:spacing w:line="400" w:lineRule="exact"/>
              <w:jc w:val="center"/>
              <w:rPr>
                <w:rFonts w:hint="eastAsia" w:ascii="宋体" w:hAnsi="宋体" w:cs="宋体"/>
                <w:color w:val="auto"/>
                <w:sz w:val="21"/>
                <w:szCs w:val="21"/>
              </w:rPr>
            </w:pPr>
            <w:r>
              <w:rPr>
                <w:rFonts w:hint="eastAsia" w:ascii="宋体" w:hAnsi="宋体" w:cs="宋体"/>
                <w:color w:val="auto"/>
                <w:sz w:val="21"/>
                <w:szCs w:val="21"/>
              </w:rPr>
              <w:t>100以下</w:t>
            </w:r>
          </w:p>
        </w:tc>
        <w:tc>
          <w:tcPr>
            <w:tcW w:w="2273" w:type="dxa"/>
            <w:noWrap w:val="0"/>
            <w:vAlign w:val="center"/>
          </w:tcPr>
          <w:p w14:paraId="1DA8D2E1">
            <w:pPr>
              <w:spacing w:line="400" w:lineRule="exact"/>
              <w:jc w:val="center"/>
              <w:rPr>
                <w:rFonts w:hint="eastAsia" w:ascii="宋体" w:hAnsi="宋体" w:cs="宋体"/>
                <w:color w:val="auto"/>
                <w:sz w:val="21"/>
                <w:szCs w:val="21"/>
              </w:rPr>
            </w:pPr>
            <w:r>
              <w:rPr>
                <w:rFonts w:hint="eastAsia" w:ascii="宋体" w:hAnsi="宋体" w:cs="宋体"/>
                <w:color w:val="auto"/>
                <w:sz w:val="21"/>
                <w:szCs w:val="21"/>
              </w:rPr>
              <w:t>1.5%</w:t>
            </w:r>
          </w:p>
        </w:tc>
        <w:tc>
          <w:tcPr>
            <w:tcW w:w="2273" w:type="dxa"/>
            <w:noWrap w:val="0"/>
            <w:vAlign w:val="center"/>
          </w:tcPr>
          <w:p w14:paraId="0EBA01C4">
            <w:pPr>
              <w:spacing w:line="400" w:lineRule="exact"/>
              <w:jc w:val="center"/>
              <w:rPr>
                <w:rFonts w:hint="eastAsia" w:ascii="宋体" w:hAnsi="宋体" w:cs="宋体"/>
                <w:color w:val="auto"/>
                <w:sz w:val="21"/>
                <w:szCs w:val="21"/>
              </w:rPr>
            </w:pPr>
            <w:r>
              <w:rPr>
                <w:rFonts w:hint="eastAsia" w:ascii="宋体" w:hAnsi="宋体" w:cs="宋体"/>
                <w:color w:val="auto"/>
                <w:sz w:val="21"/>
                <w:szCs w:val="21"/>
              </w:rPr>
              <w:t>1.5%</w:t>
            </w:r>
          </w:p>
        </w:tc>
        <w:tc>
          <w:tcPr>
            <w:tcW w:w="2272" w:type="dxa"/>
            <w:noWrap w:val="0"/>
            <w:vAlign w:val="center"/>
          </w:tcPr>
          <w:p w14:paraId="764020C3">
            <w:pPr>
              <w:spacing w:line="400" w:lineRule="exact"/>
              <w:jc w:val="center"/>
              <w:rPr>
                <w:rFonts w:hint="eastAsia" w:ascii="宋体" w:hAnsi="宋体" w:cs="宋体"/>
                <w:color w:val="auto"/>
                <w:sz w:val="21"/>
                <w:szCs w:val="21"/>
              </w:rPr>
            </w:pPr>
            <w:r>
              <w:rPr>
                <w:rFonts w:hint="eastAsia" w:ascii="宋体" w:hAnsi="宋体" w:cs="宋体"/>
                <w:color w:val="auto"/>
                <w:sz w:val="21"/>
                <w:szCs w:val="21"/>
              </w:rPr>
              <w:t>1.0%</w:t>
            </w:r>
          </w:p>
        </w:tc>
      </w:tr>
      <w:tr w14:paraId="3C3C3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10" w:type="dxa"/>
            <w:noWrap w:val="0"/>
            <w:vAlign w:val="center"/>
          </w:tcPr>
          <w:p w14:paraId="5B2EEE7A">
            <w:pPr>
              <w:spacing w:line="400" w:lineRule="exact"/>
              <w:jc w:val="center"/>
              <w:rPr>
                <w:rFonts w:hint="eastAsia" w:ascii="宋体" w:hAnsi="宋体" w:cs="宋体"/>
                <w:color w:val="auto"/>
                <w:sz w:val="21"/>
                <w:szCs w:val="21"/>
              </w:rPr>
            </w:pPr>
            <w:r>
              <w:rPr>
                <w:rFonts w:hint="eastAsia" w:ascii="宋体" w:hAnsi="宋体" w:cs="宋体"/>
                <w:color w:val="auto"/>
                <w:sz w:val="21"/>
                <w:szCs w:val="21"/>
              </w:rPr>
              <w:t>100-500</w:t>
            </w:r>
          </w:p>
        </w:tc>
        <w:tc>
          <w:tcPr>
            <w:tcW w:w="2273" w:type="dxa"/>
            <w:noWrap w:val="0"/>
            <w:vAlign w:val="center"/>
          </w:tcPr>
          <w:p w14:paraId="36A1C711">
            <w:pPr>
              <w:spacing w:line="400" w:lineRule="exact"/>
              <w:jc w:val="center"/>
              <w:rPr>
                <w:rFonts w:hint="eastAsia" w:ascii="宋体" w:hAnsi="宋体" w:cs="宋体"/>
                <w:color w:val="auto"/>
                <w:sz w:val="21"/>
                <w:szCs w:val="21"/>
              </w:rPr>
            </w:pPr>
            <w:r>
              <w:rPr>
                <w:rFonts w:hint="eastAsia" w:ascii="宋体" w:hAnsi="宋体" w:cs="宋体"/>
                <w:color w:val="auto"/>
                <w:sz w:val="21"/>
                <w:szCs w:val="21"/>
              </w:rPr>
              <w:t>1.1%</w:t>
            </w:r>
          </w:p>
        </w:tc>
        <w:tc>
          <w:tcPr>
            <w:tcW w:w="2273" w:type="dxa"/>
            <w:noWrap w:val="0"/>
            <w:vAlign w:val="center"/>
          </w:tcPr>
          <w:p w14:paraId="767EACBD">
            <w:pPr>
              <w:spacing w:line="400" w:lineRule="exact"/>
              <w:jc w:val="center"/>
              <w:rPr>
                <w:rFonts w:hint="eastAsia" w:ascii="宋体" w:hAnsi="宋体" w:cs="宋体"/>
                <w:color w:val="auto"/>
                <w:sz w:val="21"/>
                <w:szCs w:val="21"/>
              </w:rPr>
            </w:pPr>
            <w:r>
              <w:rPr>
                <w:rFonts w:hint="eastAsia" w:ascii="宋体" w:hAnsi="宋体" w:cs="宋体"/>
                <w:color w:val="auto"/>
                <w:sz w:val="21"/>
                <w:szCs w:val="21"/>
              </w:rPr>
              <w:t>0.8%</w:t>
            </w:r>
          </w:p>
        </w:tc>
        <w:tc>
          <w:tcPr>
            <w:tcW w:w="2272" w:type="dxa"/>
            <w:noWrap w:val="0"/>
            <w:vAlign w:val="center"/>
          </w:tcPr>
          <w:p w14:paraId="5E4D67B9">
            <w:pPr>
              <w:spacing w:line="400" w:lineRule="exact"/>
              <w:jc w:val="center"/>
              <w:rPr>
                <w:rFonts w:hint="eastAsia" w:ascii="宋体" w:hAnsi="宋体" w:cs="宋体"/>
                <w:color w:val="auto"/>
                <w:sz w:val="21"/>
                <w:szCs w:val="21"/>
              </w:rPr>
            </w:pPr>
            <w:r>
              <w:rPr>
                <w:rFonts w:hint="eastAsia" w:ascii="宋体" w:hAnsi="宋体" w:cs="宋体"/>
                <w:color w:val="auto"/>
                <w:sz w:val="21"/>
                <w:szCs w:val="21"/>
              </w:rPr>
              <w:t>0.7%</w:t>
            </w:r>
          </w:p>
        </w:tc>
      </w:tr>
      <w:tr w14:paraId="42EC8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10" w:type="dxa"/>
            <w:noWrap w:val="0"/>
            <w:vAlign w:val="center"/>
          </w:tcPr>
          <w:p w14:paraId="080F2B27">
            <w:pPr>
              <w:spacing w:line="400" w:lineRule="exact"/>
              <w:jc w:val="center"/>
              <w:rPr>
                <w:rFonts w:hint="eastAsia" w:ascii="宋体" w:hAnsi="宋体" w:cs="宋体"/>
                <w:color w:val="auto"/>
                <w:sz w:val="21"/>
                <w:szCs w:val="21"/>
              </w:rPr>
            </w:pPr>
            <w:r>
              <w:rPr>
                <w:rFonts w:hint="eastAsia" w:ascii="宋体" w:hAnsi="宋体" w:cs="宋体"/>
                <w:color w:val="auto"/>
                <w:sz w:val="21"/>
                <w:szCs w:val="21"/>
              </w:rPr>
              <w:t>500-1000</w:t>
            </w:r>
          </w:p>
        </w:tc>
        <w:tc>
          <w:tcPr>
            <w:tcW w:w="2273" w:type="dxa"/>
            <w:noWrap w:val="0"/>
            <w:vAlign w:val="center"/>
          </w:tcPr>
          <w:p w14:paraId="52ABE8DD">
            <w:pPr>
              <w:spacing w:line="400" w:lineRule="exact"/>
              <w:jc w:val="center"/>
              <w:rPr>
                <w:rFonts w:hint="eastAsia" w:ascii="宋体" w:hAnsi="宋体" w:cs="宋体"/>
                <w:color w:val="auto"/>
                <w:sz w:val="21"/>
                <w:szCs w:val="21"/>
              </w:rPr>
            </w:pPr>
            <w:r>
              <w:rPr>
                <w:rFonts w:hint="eastAsia" w:ascii="宋体" w:hAnsi="宋体" w:cs="宋体"/>
                <w:color w:val="auto"/>
                <w:sz w:val="21"/>
                <w:szCs w:val="21"/>
              </w:rPr>
              <w:t>0.8%</w:t>
            </w:r>
          </w:p>
        </w:tc>
        <w:tc>
          <w:tcPr>
            <w:tcW w:w="2273" w:type="dxa"/>
            <w:noWrap w:val="0"/>
            <w:vAlign w:val="center"/>
          </w:tcPr>
          <w:p w14:paraId="304A14BE">
            <w:pPr>
              <w:spacing w:line="400" w:lineRule="exact"/>
              <w:jc w:val="center"/>
              <w:rPr>
                <w:rFonts w:hint="eastAsia" w:ascii="宋体" w:hAnsi="宋体" w:cs="宋体"/>
                <w:color w:val="auto"/>
                <w:sz w:val="21"/>
                <w:szCs w:val="21"/>
              </w:rPr>
            </w:pPr>
            <w:r>
              <w:rPr>
                <w:rFonts w:hint="eastAsia" w:ascii="宋体" w:hAnsi="宋体" w:cs="宋体"/>
                <w:color w:val="auto"/>
                <w:sz w:val="21"/>
                <w:szCs w:val="21"/>
              </w:rPr>
              <w:t>0.45%</w:t>
            </w:r>
          </w:p>
        </w:tc>
        <w:tc>
          <w:tcPr>
            <w:tcW w:w="2272" w:type="dxa"/>
            <w:noWrap w:val="0"/>
            <w:vAlign w:val="center"/>
          </w:tcPr>
          <w:p w14:paraId="2EF91E53">
            <w:pPr>
              <w:spacing w:line="400" w:lineRule="exact"/>
              <w:jc w:val="center"/>
              <w:rPr>
                <w:rFonts w:hint="eastAsia" w:ascii="宋体" w:hAnsi="宋体" w:cs="宋体"/>
                <w:color w:val="auto"/>
                <w:sz w:val="21"/>
                <w:szCs w:val="21"/>
              </w:rPr>
            </w:pPr>
            <w:r>
              <w:rPr>
                <w:rFonts w:hint="eastAsia" w:ascii="宋体" w:hAnsi="宋体" w:cs="宋体"/>
                <w:color w:val="auto"/>
                <w:sz w:val="21"/>
                <w:szCs w:val="21"/>
              </w:rPr>
              <w:t>0.55%</w:t>
            </w:r>
          </w:p>
        </w:tc>
      </w:tr>
      <w:tr w14:paraId="50F52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10" w:type="dxa"/>
            <w:noWrap w:val="0"/>
            <w:vAlign w:val="center"/>
          </w:tcPr>
          <w:p w14:paraId="45CC1A66">
            <w:pPr>
              <w:spacing w:line="400" w:lineRule="exact"/>
              <w:jc w:val="center"/>
              <w:rPr>
                <w:rFonts w:hint="eastAsia" w:ascii="宋体" w:hAnsi="宋体" w:cs="宋体"/>
                <w:color w:val="auto"/>
                <w:sz w:val="21"/>
                <w:szCs w:val="21"/>
              </w:rPr>
            </w:pPr>
            <w:r>
              <w:rPr>
                <w:rFonts w:hint="eastAsia" w:ascii="宋体" w:hAnsi="宋体" w:cs="宋体"/>
                <w:color w:val="auto"/>
                <w:sz w:val="21"/>
                <w:szCs w:val="21"/>
              </w:rPr>
              <w:t>1000-5000</w:t>
            </w:r>
          </w:p>
        </w:tc>
        <w:tc>
          <w:tcPr>
            <w:tcW w:w="2273" w:type="dxa"/>
            <w:noWrap w:val="0"/>
            <w:vAlign w:val="center"/>
          </w:tcPr>
          <w:p w14:paraId="2AFABD3F">
            <w:pPr>
              <w:spacing w:line="400" w:lineRule="exact"/>
              <w:jc w:val="center"/>
              <w:rPr>
                <w:rFonts w:hint="eastAsia" w:ascii="宋体" w:hAnsi="宋体" w:cs="宋体"/>
                <w:color w:val="auto"/>
                <w:sz w:val="21"/>
                <w:szCs w:val="21"/>
              </w:rPr>
            </w:pPr>
            <w:r>
              <w:rPr>
                <w:rFonts w:hint="eastAsia" w:ascii="宋体" w:hAnsi="宋体" w:cs="宋体"/>
                <w:color w:val="auto"/>
                <w:sz w:val="21"/>
                <w:szCs w:val="21"/>
              </w:rPr>
              <w:t>0.5%</w:t>
            </w:r>
          </w:p>
        </w:tc>
        <w:tc>
          <w:tcPr>
            <w:tcW w:w="2273" w:type="dxa"/>
            <w:noWrap w:val="0"/>
            <w:vAlign w:val="center"/>
          </w:tcPr>
          <w:p w14:paraId="3C612FDD">
            <w:pPr>
              <w:spacing w:line="400" w:lineRule="exact"/>
              <w:jc w:val="center"/>
              <w:rPr>
                <w:rFonts w:hint="eastAsia" w:ascii="宋体" w:hAnsi="宋体" w:cs="宋体"/>
                <w:color w:val="auto"/>
                <w:sz w:val="21"/>
                <w:szCs w:val="21"/>
              </w:rPr>
            </w:pPr>
            <w:r>
              <w:rPr>
                <w:rFonts w:hint="eastAsia" w:ascii="宋体" w:hAnsi="宋体" w:cs="宋体"/>
                <w:color w:val="auto"/>
                <w:sz w:val="21"/>
                <w:szCs w:val="21"/>
              </w:rPr>
              <w:t>0.25%</w:t>
            </w:r>
          </w:p>
        </w:tc>
        <w:tc>
          <w:tcPr>
            <w:tcW w:w="2272" w:type="dxa"/>
            <w:noWrap w:val="0"/>
            <w:vAlign w:val="center"/>
          </w:tcPr>
          <w:p w14:paraId="37FF0659">
            <w:pPr>
              <w:spacing w:line="400" w:lineRule="exact"/>
              <w:jc w:val="center"/>
              <w:rPr>
                <w:rFonts w:hint="eastAsia" w:ascii="宋体" w:hAnsi="宋体" w:cs="宋体"/>
                <w:color w:val="auto"/>
                <w:sz w:val="21"/>
                <w:szCs w:val="21"/>
              </w:rPr>
            </w:pPr>
            <w:r>
              <w:rPr>
                <w:rFonts w:hint="eastAsia" w:ascii="宋体" w:hAnsi="宋体" w:cs="宋体"/>
                <w:color w:val="auto"/>
                <w:sz w:val="21"/>
                <w:szCs w:val="21"/>
              </w:rPr>
              <w:t>0.35%</w:t>
            </w:r>
          </w:p>
        </w:tc>
      </w:tr>
      <w:tr w14:paraId="2AFBD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10" w:type="dxa"/>
            <w:noWrap w:val="0"/>
            <w:vAlign w:val="center"/>
          </w:tcPr>
          <w:p w14:paraId="17B60464">
            <w:pPr>
              <w:spacing w:line="400" w:lineRule="exact"/>
              <w:jc w:val="center"/>
              <w:rPr>
                <w:rFonts w:hint="eastAsia" w:ascii="宋体" w:hAnsi="宋体" w:cs="宋体"/>
                <w:color w:val="auto"/>
                <w:sz w:val="21"/>
                <w:szCs w:val="21"/>
              </w:rPr>
            </w:pPr>
            <w:r>
              <w:rPr>
                <w:rFonts w:hint="eastAsia" w:ascii="宋体" w:hAnsi="宋体" w:cs="宋体"/>
                <w:color w:val="auto"/>
                <w:sz w:val="21"/>
                <w:szCs w:val="21"/>
              </w:rPr>
              <w:t>5000-10000</w:t>
            </w:r>
          </w:p>
        </w:tc>
        <w:tc>
          <w:tcPr>
            <w:tcW w:w="2273" w:type="dxa"/>
            <w:noWrap w:val="0"/>
            <w:vAlign w:val="center"/>
          </w:tcPr>
          <w:p w14:paraId="250CE7B7">
            <w:pPr>
              <w:spacing w:line="400" w:lineRule="exact"/>
              <w:jc w:val="center"/>
              <w:rPr>
                <w:rFonts w:hint="eastAsia" w:ascii="宋体" w:hAnsi="宋体" w:cs="宋体"/>
                <w:color w:val="auto"/>
                <w:sz w:val="21"/>
                <w:szCs w:val="21"/>
              </w:rPr>
            </w:pPr>
            <w:r>
              <w:rPr>
                <w:rFonts w:hint="eastAsia" w:ascii="宋体" w:hAnsi="宋体" w:cs="宋体"/>
                <w:color w:val="auto"/>
                <w:sz w:val="21"/>
                <w:szCs w:val="21"/>
              </w:rPr>
              <w:t>0.25%</w:t>
            </w:r>
          </w:p>
        </w:tc>
        <w:tc>
          <w:tcPr>
            <w:tcW w:w="2273" w:type="dxa"/>
            <w:noWrap w:val="0"/>
            <w:vAlign w:val="center"/>
          </w:tcPr>
          <w:p w14:paraId="65F51465">
            <w:pPr>
              <w:spacing w:line="400" w:lineRule="exact"/>
              <w:jc w:val="center"/>
              <w:rPr>
                <w:rFonts w:hint="eastAsia" w:ascii="宋体" w:hAnsi="宋体" w:cs="宋体"/>
                <w:color w:val="auto"/>
                <w:sz w:val="21"/>
                <w:szCs w:val="21"/>
              </w:rPr>
            </w:pPr>
            <w:r>
              <w:rPr>
                <w:rFonts w:hint="eastAsia" w:ascii="宋体" w:hAnsi="宋体" w:cs="宋体"/>
                <w:color w:val="auto"/>
                <w:sz w:val="21"/>
                <w:szCs w:val="21"/>
              </w:rPr>
              <w:t>0.1%</w:t>
            </w:r>
          </w:p>
        </w:tc>
        <w:tc>
          <w:tcPr>
            <w:tcW w:w="2272" w:type="dxa"/>
            <w:noWrap w:val="0"/>
            <w:vAlign w:val="center"/>
          </w:tcPr>
          <w:p w14:paraId="15AAC606">
            <w:pPr>
              <w:spacing w:line="400" w:lineRule="exact"/>
              <w:jc w:val="center"/>
              <w:rPr>
                <w:rFonts w:hint="eastAsia" w:ascii="宋体" w:hAnsi="宋体" w:cs="宋体"/>
                <w:color w:val="auto"/>
                <w:sz w:val="21"/>
                <w:szCs w:val="21"/>
              </w:rPr>
            </w:pPr>
            <w:r>
              <w:rPr>
                <w:rFonts w:hint="eastAsia" w:ascii="宋体" w:hAnsi="宋体" w:cs="宋体"/>
                <w:color w:val="auto"/>
                <w:sz w:val="21"/>
                <w:szCs w:val="21"/>
              </w:rPr>
              <w:t>0.2%</w:t>
            </w:r>
          </w:p>
        </w:tc>
      </w:tr>
      <w:tr w14:paraId="410EC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810" w:type="dxa"/>
            <w:noWrap w:val="0"/>
            <w:vAlign w:val="center"/>
          </w:tcPr>
          <w:p w14:paraId="23A966D9">
            <w:pPr>
              <w:spacing w:line="400" w:lineRule="exact"/>
              <w:jc w:val="center"/>
              <w:rPr>
                <w:rFonts w:hint="eastAsia" w:ascii="宋体" w:hAnsi="宋体" w:cs="宋体"/>
                <w:color w:val="auto"/>
                <w:sz w:val="21"/>
                <w:szCs w:val="21"/>
              </w:rPr>
            </w:pPr>
            <w:r>
              <w:rPr>
                <w:rFonts w:hint="eastAsia" w:ascii="宋体" w:hAnsi="宋体" w:cs="宋体"/>
                <w:color w:val="auto"/>
                <w:sz w:val="21"/>
                <w:szCs w:val="21"/>
              </w:rPr>
              <w:t>10000-100000</w:t>
            </w:r>
          </w:p>
        </w:tc>
        <w:tc>
          <w:tcPr>
            <w:tcW w:w="2273" w:type="dxa"/>
            <w:noWrap w:val="0"/>
            <w:vAlign w:val="center"/>
          </w:tcPr>
          <w:p w14:paraId="06D98C07">
            <w:pPr>
              <w:spacing w:line="400" w:lineRule="exact"/>
              <w:jc w:val="center"/>
              <w:rPr>
                <w:rFonts w:hint="eastAsia" w:ascii="宋体" w:hAnsi="宋体" w:cs="宋体"/>
                <w:color w:val="auto"/>
                <w:sz w:val="21"/>
                <w:szCs w:val="21"/>
              </w:rPr>
            </w:pPr>
            <w:r>
              <w:rPr>
                <w:rFonts w:hint="eastAsia" w:ascii="宋体" w:hAnsi="宋体" w:cs="宋体"/>
                <w:color w:val="auto"/>
                <w:sz w:val="21"/>
                <w:szCs w:val="21"/>
              </w:rPr>
              <w:t>0.05%</w:t>
            </w:r>
          </w:p>
        </w:tc>
        <w:tc>
          <w:tcPr>
            <w:tcW w:w="2273" w:type="dxa"/>
            <w:noWrap w:val="0"/>
            <w:vAlign w:val="center"/>
          </w:tcPr>
          <w:p w14:paraId="08392B99">
            <w:pPr>
              <w:spacing w:line="400" w:lineRule="exact"/>
              <w:jc w:val="center"/>
              <w:rPr>
                <w:rFonts w:hint="eastAsia" w:ascii="宋体" w:hAnsi="宋体" w:cs="宋体"/>
                <w:color w:val="auto"/>
                <w:sz w:val="21"/>
                <w:szCs w:val="21"/>
              </w:rPr>
            </w:pPr>
            <w:r>
              <w:rPr>
                <w:rFonts w:hint="eastAsia" w:ascii="宋体" w:hAnsi="宋体" w:cs="宋体"/>
                <w:color w:val="auto"/>
                <w:sz w:val="21"/>
                <w:szCs w:val="21"/>
              </w:rPr>
              <w:t>0.05%</w:t>
            </w:r>
          </w:p>
        </w:tc>
        <w:tc>
          <w:tcPr>
            <w:tcW w:w="2272" w:type="dxa"/>
            <w:noWrap w:val="0"/>
            <w:vAlign w:val="center"/>
          </w:tcPr>
          <w:p w14:paraId="2EFB0043">
            <w:pPr>
              <w:spacing w:line="400" w:lineRule="exact"/>
              <w:jc w:val="center"/>
              <w:rPr>
                <w:rFonts w:hint="eastAsia" w:ascii="宋体" w:hAnsi="宋体" w:cs="宋体"/>
                <w:color w:val="auto"/>
                <w:sz w:val="21"/>
                <w:szCs w:val="21"/>
              </w:rPr>
            </w:pPr>
            <w:r>
              <w:rPr>
                <w:rFonts w:hint="eastAsia" w:ascii="宋体" w:hAnsi="宋体" w:cs="宋体"/>
                <w:color w:val="auto"/>
                <w:sz w:val="21"/>
                <w:szCs w:val="21"/>
              </w:rPr>
              <w:t>0.05%</w:t>
            </w:r>
          </w:p>
        </w:tc>
      </w:tr>
    </w:tbl>
    <w:p w14:paraId="3209A994">
      <w:pPr>
        <w:spacing w:line="400" w:lineRule="exact"/>
        <w:ind w:firstLine="480" w:firstLineChars="200"/>
        <w:rPr>
          <w:rFonts w:hint="eastAsia" w:ascii="宋体" w:hAnsi="宋体" w:cs="宋体"/>
          <w:color w:val="auto"/>
          <w:sz w:val="24"/>
        </w:rPr>
      </w:pPr>
      <w:r>
        <w:rPr>
          <w:rFonts w:hint="eastAsia" w:ascii="宋体" w:hAnsi="宋体" w:cs="宋体"/>
          <w:color w:val="auto"/>
          <w:sz w:val="24"/>
        </w:rPr>
        <w:t>注：代理服务收费按差额定率累进法计算。例如：某服务代理业务成交金额为</w:t>
      </w:r>
      <w:r>
        <w:rPr>
          <w:rFonts w:hint="eastAsia" w:ascii="宋体" w:hAnsi="宋体" w:cs="宋体"/>
          <w:color w:val="auto"/>
          <w:sz w:val="24"/>
          <w:lang w:val="en-US" w:eastAsia="zh-CN"/>
        </w:rPr>
        <w:t>2</w:t>
      </w:r>
      <w:r>
        <w:rPr>
          <w:rFonts w:hint="eastAsia" w:ascii="宋体" w:hAnsi="宋体" w:cs="宋体"/>
          <w:color w:val="auto"/>
          <w:sz w:val="24"/>
        </w:rPr>
        <w:t>00万元，计算代理服务收费额如下：</w:t>
      </w:r>
    </w:p>
    <w:p w14:paraId="3E9079BB">
      <w:pPr>
        <w:spacing w:line="400" w:lineRule="exact"/>
        <w:ind w:firstLine="480" w:firstLineChars="200"/>
        <w:rPr>
          <w:rFonts w:hint="eastAsia" w:ascii="宋体" w:hAnsi="宋体" w:cs="宋体"/>
          <w:color w:val="auto"/>
          <w:sz w:val="24"/>
        </w:rPr>
      </w:pPr>
      <w:r>
        <w:rPr>
          <w:rFonts w:hint="eastAsia" w:ascii="宋体" w:hAnsi="宋体" w:cs="宋体"/>
          <w:color w:val="auto"/>
          <w:sz w:val="24"/>
        </w:rPr>
        <w:t>100万元×1.5%=1.5万元</w:t>
      </w:r>
    </w:p>
    <w:p w14:paraId="244E7B2D">
      <w:pPr>
        <w:spacing w:line="400" w:lineRule="exact"/>
        <w:ind w:firstLine="480" w:firstLineChars="200"/>
        <w:rPr>
          <w:rFonts w:hint="eastAsia" w:ascii="宋体" w:hAnsi="宋体" w:cs="宋体"/>
          <w:color w:val="auto"/>
          <w:sz w:val="24"/>
        </w:rPr>
      </w:pPr>
      <w:r>
        <w:rPr>
          <w:rFonts w:hint="eastAsia" w:ascii="宋体" w:hAnsi="宋体" w:cs="宋体"/>
          <w:color w:val="auto"/>
          <w:sz w:val="24"/>
        </w:rPr>
        <w:t>（200-100）万元×0.8%=0.8万元</w:t>
      </w:r>
    </w:p>
    <w:p w14:paraId="62068C03">
      <w:pPr>
        <w:spacing w:line="400" w:lineRule="exact"/>
        <w:ind w:firstLine="480" w:firstLineChars="200"/>
        <w:rPr>
          <w:rFonts w:hint="eastAsia" w:ascii="宋体" w:hAnsi="宋体" w:cs="宋体"/>
          <w:color w:val="auto"/>
          <w:sz w:val="24"/>
        </w:rPr>
      </w:pPr>
      <w:r>
        <w:rPr>
          <w:rFonts w:hint="eastAsia" w:ascii="宋体" w:hAnsi="宋体" w:cs="宋体"/>
          <w:color w:val="auto"/>
          <w:sz w:val="24"/>
        </w:rPr>
        <w:t>合计收费=</w:t>
      </w:r>
      <w:r>
        <w:rPr>
          <w:rFonts w:hint="eastAsia" w:ascii="宋体" w:hAnsi="宋体" w:cs="宋体"/>
          <w:color w:val="auto"/>
          <w:sz w:val="24"/>
          <w:lang w:eastAsia="zh-CN"/>
        </w:rPr>
        <w:t>（</w:t>
      </w:r>
      <w:r>
        <w:rPr>
          <w:rFonts w:hint="eastAsia" w:ascii="宋体" w:hAnsi="宋体" w:cs="宋体"/>
          <w:color w:val="auto"/>
          <w:sz w:val="24"/>
        </w:rPr>
        <w:t>1.5+0.8</w:t>
      </w:r>
      <w:r>
        <w:rPr>
          <w:rFonts w:hint="eastAsia" w:ascii="宋体" w:hAnsi="宋体" w:cs="宋体"/>
          <w:color w:val="auto"/>
          <w:sz w:val="24"/>
          <w:lang w:eastAsia="zh-CN"/>
        </w:rPr>
        <w:t>）</w:t>
      </w:r>
      <w:r>
        <w:rPr>
          <w:rFonts w:hint="eastAsia" w:ascii="宋体" w:hAnsi="宋体" w:cs="宋体"/>
          <w:color w:val="auto"/>
          <w:sz w:val="24"/>
          <w:lang w:val="en-US" w:eastAsia="zh-CN"/>
        </w:rPr>
        <w:t>*0.95</w:t>
      </w:r>
      <w:r>
        <w:rPr>
          <w:rFonts w:hint="eastAsia" w:ascii="宋体" w:hAnsi="宋体" w:cs="宋体"/>
          <w:color w:val="auto"/>
          <w:sz w:val="24"/>
        </w:rPr>
        <w:t>=</w:t>
      </w:r>
      <w:r>
        <w:rPr>
          <w:rFonts w:hint="eastAsia" w:ascii="宋体" w:hAnsi="宋体" w:cs="宋体"/>
          <w:color w:val="auto"/>
          <w:sz w:val="24"/>
          <w:lang w:val="en-US" w:eastAsia="zh-CN"/>
        </w:rPr>
        <w:t>2.185</w:t>
      </w:r>
      <w:r>
        <w:rPr>
          <w:rFonts w:hint="eastAsia" w:ascii="宋体" w:hAnsi="宋体" w:cs="宋体"/>
          <w:color w:val="auto"/>
          <w:sz w:val="24"/>
        </w:rPr>
        <w:t>（万元）</w:t>
      </w:r>
    </w:p>
    <w:p w14:paraId="4FC36CBF">
      <w:pPr>
        <w:spacing w:line="400" w:lineRule="exact"/>
        <w:ind w:firstLine="480" w:firstLineChars="200"/>
        <w:rPr>
          <w:rFonts w:hint="eastAsia" w:ascii="宋体" w:hAnsi="宋体" w:cs="宋体"/>
          <w:color w:val="auto"/>
          <w:sz w:val="24"/>
        </w:rPr>
      </w:pPr>
      <w:r>
        <w:rPr>
          <w:rFonts w:hint="eastAsia" w:ascii="宋体" w:hAnsi="宋体" w:cs="宋体"/>
          <w:color w:val="auto"/>
          <w:sz w:val="24"/>
        </w:rPr>
        <w:t>（二）采购代理服务费缴纳账号：</w:t>
      </w:r>
    </w:p>
    <w:p w14:paraId="21B9F0E4">
      <w:pPr>
        <w:snapToGrid w:val="0"/>
        <w:spacing w:line="400" w:lineRule="exact"/>
        <w:ind w:firstLine="360" w:firstLineChars="150"/>
        <w:rPr>
          <w:rFonts w:hint="default" w:ascii="宋体" w:hAnsi="宋体" w:eastAsia="宋体" w:cs="宋体"/>
          <w:color w:val="auto"/>
          <w:sz w:val="24"/>
          <w:szCs w:val="24"/>
          <w:lang w:val="en-US" w:eastAsia="zh-CN"/>
        </w:rPr>
      </w:pPr>
      <w:r>
        <w:rPr>
          <w:rFonts w:hint="eastAsia" w:ascii="宋体" w:hAnsi="宋体" w:cs="宋体"/>
          <w:color w:val="auto"/>
          <w:sz w:val="24"/>
          <w:szCs w:val="24"/>
        </w:rPr>
        <w:t>户  名：</w:t>
      </w:r>
      <w:r>
        <w:rPr>
          <w:rFonts w:hint="eastAsia" w:ascii="宋体" w:hAnsi="宋体" w:cs="宋体"/>
          <w:color w:val="auto"/>
          <w:sz w:val="24"/>
          <w:szCs w:val="24"/>
          <w:lang w:val="en-US" w:eastAsia="zh-CN"/>
        </w:rPr>
        <w:t>重庆希维招标代理有限公司</w:t>
      </w:r>
    </w:p>
    <w:p w14:paraId="4E1BF36E">
      <w:pPr>
        <w:snapToGrid w:val="0"/>
        <w:spacing w:line="400" w:lineRule="exact"/>
        <w:ind w:firstLine="360" w:firstLineChars="150"/>
        <w:rPr>
          <w:rFonts w:hint="eastAsia" w:ascii="宋体" w:hAnsi="宋体" w:cs="宋体"/>
          <w:color w:val="auto"/>
          <w:sz w:val="24"/>
          <w:szCs w:val="24"/>
        </w:rPr>
      </w:pPr>
      <w:r>
        <w:rPr>
          <w:rFonts w:hint="eastAsia" w:ascii="宋体" w:hAnsi="宋体" w:cs="宋体"/>
          <w:color w:val="auto"/>
          <w:sz w:val="24"/>
          <w:szCs w:val="24"/>
        </w:rPr>
        <w:t>开户行：华夏银行股份有限公司重庆中山支行</w:t>
      </w:r>
    </w:p>
    <w:p w14:paraId="4530EFED">
      <w:pPr>
        <w:snapToGrid w:val="0"/>
        <w:spacing w:line="400" w:lineRule="exact"/>
        <w:ind w:firstLine="360" w:firstLineChars="150"/>
        <w:rPr>
          <w:rFonts w:hint="eastAsia" w:ascii="宋体" w:hAnsi="宋体" w:cs="宋体"/>
          <w:color w:val="auto"/>
          <w:sz w:val="24"/>
          <w:szCs w:val="24"/>
        </w:rPr>
      </w:pPr>
      <w:r>
        <w:rPr>
          <w:rFonts w:hint="eastAsia" w:ascii="宋体" w:hAnsi="宋体" w:cs="宋体"/>
          <w:color w:val="auto"/>
          <w:sz w:val="24"/>
          <w:szCs w:val="24"/>
        </w:rPr>
        <w:t>账  号：11261000000383428</w:t>
      </w:r>
    </w:p>
    <w:p w14:paraId="3B1ED2E8">
      <w:pPr>
        <w:pStyle w:val="5"/>
        <w:adjustRightInd w:val="0"/>
        <w:snapToGrid w:val="0"/>
        <w:spacing w:before="0" w:after="0" w:line="240" w:lineRule="auto"/>
        <w:rPr>
          <w:rFonts w:hint="eastAsia" w:ascii="宋体" w:hAnsi="宋体" w:cs="宋体"/>
          <w:color w:val="auto"/>
        </w:rPr>
      </w:pPr>
      <w:bookmarkStart w:id="529" w:name="_Toc31456"/>
      <w:bookmarkStart w:id="530" w:name="_Toc5922"/>
      <w:bookmarkStart w:id="531" w:name="_Toc23952"/>
      <w:bookmarkStart w:id="532" w:name="_Toc13174"/>
      <w:bookmarkStart w:id="533" w:name="_Toc32158"/>
      <w:bookmarkStart w:id="534" w:name="_Toc6538"/>
      <w:bookmarkStart w:id="535" w:name="_Toc26604"/>
      <w:bookmarkStart w:id="536" w:name="_Toc30955"/>
      <w:bookmarkStart w:id="537" w:name="_Toc29728"/>
      <w:bookmarkStart w:id="538" w:name="_Toc65662751"/>
      <w:bookmarkStart w:id="539" w:name="_Toc16307"/>
      <w:bookmarkStart w:id="540" w:name="_Toc23123"/>
      <w:bookmarkStart w:id="541" w:name="_Toc6242"/>
      <w:bookmarkStart w:id="542" w:name="_Toc6637"/>
      <w:bookmarkStart w:id="543" w:name="_Toc7561"/>
      <w:bookmarkStart w:id="544" w:name="_Toc10159"/>
      <w:bookmarkStart w:id="545" w:name="_Toc6274"/>
      <w:bookmarkStart w:id="546" w:name="_Toc3457"/>
      <w:bookmarkStart w:id="547" w:name="_Toc18761"/>
      <w:r>
        <w:rPr>
          <w:rFonts w:hint="eastAsia" w:ascii="宋体" w:hAnsi="宋体" w:cs="宋体"/>
          <w:color w:val="auto"/>
        </w:rPr>
        <w:t>八、交易服务费</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p>
    <w:p w14:paraId="6694A298">
      <w:pPr>
        <w:spacing w:line="400" w:lineRule="exact"/>
        <w:ind w:firstLine="480" w:firstLineChars="200"/>
        <w:rPr>
          <w:rFonts w:hint="eastAsia" w:ascii="宋体" w:hAnsi="宋体" w:cs="宋体"/>
          <w:color w:val="auto"/>
          <w:sz w:val="24"/>
        </w:rPr>
      </w:pPr>
      <w:r>
        <w:rPr>
          <w:rFonts w:hint="eastAsia" w:ascii="宋体" w:hAnsi="宋体" w:cs="宋体"/>
          <w:color w:val="auto"/>
          <w:sz w:val="24"/>
        </w:rPr>
        <w:t>供应商成交后向“重庆联合产权交易所集团股份有限公司”缴纳交易服务费，服务费的收取标准按渝发改收费[2023]115号执行。</w:t>
      </w:r>
    </w:p>
    <w:p w14:paraId="746051EE">
      <w:pPr>
        <w:spacing w:line="400" w:lineRule="exact"/>
        <w:ind w:firstLine="480" w:firstLineChars="200"/>
        <w:rPr>
          <w:rFonts w:hint="eastAsia" w:ascii="宋体" w:hAnsi="宋体" w:cs="宋体"/>
          <w:color w:val="auto"/>
          <w:sz w:val="24"/>
        </w:rPr>
      </w:pPr>
      <w:r>
        <w:rPr>
          <w:rFonts w:hint="eastAsia" w:ascii="宋体" w:hAnsi="宋体" w:cs="宋体"/>
          <w:color w:val="auto"/>
          <w:sz w:val="24"/>
        </w:rPr>
        <w:t>重庆市公共资源交易中心咨询电话：023-63625633。</w:t>
      </w:r>
    </w:p>
    <w:p w14:paraId="389B13EA">
      <w:pPr>
        <w:pStyle w:val="5"/>
        <w:adjustRightInd w:val="0"/>
        <w:snapToGrid w:val="0"/>
        <w:spacing w:before="0" w:after="0" w:line="240" w:lineRule="auto"/>
        <w:rPr>
          <w:rFonts w:hint="eastAsia" w:ascii="宋体" w:hAnsi="宋体" w:cs="宋体"/>
          <w:color w:val="auto"/>
        </w:rPr>
      </w:pPr>
      <w:bookmarkStart w:id="548" w:name="_Toc102227322"/>
      <w:bookmarkStart w:id="549" w:name="_Toc16612"/>
      <w:bookmarkStart w:id="550" w:name="_Toc1774"/>
      <w:bookmarkStart w:id="551" w:name="_Toc10649"/>
      <w:bookmarkStart w:id="552" w:name="_Toc22780"/>
      <w:bookmarkStart w:id="553" w:name="_Toc3166"/>
      <w:bookmarkStart w:id="554" w:name="_Toc11917"/>
      <w:bookmarkStart w:id="555" w:name="_Toc342913396"/>
      <w:bookmarkStart w:id="556" w:name="_Toc107"/>
      <w:bookmarkStart w:id="557" w:name="_Toc22107"/>
      <w:bookmarkStart w:id="558" w:name="_Toc8323"/>
      <w:bookmarkStart w:id="559" w:name="_Toc6204"/>
      <w:bookmarkStart w:id="560" w:name="_Toc65662752"/>
      <w:bookmarkStart w:id="561" w:name="_Toc26389"/>
      <w:bookmarkStart w:id="562" w:name="_Toc467"/>
      <w:bookmarkStart w:id="563" w:name="_Toc20868"/>
      <w:bookmarkStart w:id="564" w:name="_Toc3922"/>
      <w:bookmarkStart w:id="565" w:name="_Toc22297"/>
      <w:bookmarkStart w:id="566" w:name="_Toc15791"/>
      <w:bookmarkStart w:id="567" w:name="_Toc8907"/>
      <w:bookmarkStart w:id="568" w:name="_Toc25456"/>
      <w:bookmarkStart w:id="569" w:name="_Toc12789059"/>
      <w:bookmarkStart w:id="570" w:name="_Toc11641055"/>
      <w:r>
        <w:rPr>
          <w:rFonts w:hint="eastAsia" w:ascii="宋体" w:hAnsi="宋体" w:cs="宋体"/>
          <w:color w:val="auto"/>
        </w:rPr>
        <w:t>九、签订</w:t>
      </w:r>
      <w:bookmarkEnd w:id="548"/>
      <w:r>
        <w:rPr>
          <w:rFonts w:hint="eastAsia" w:ascii="宋体" w:hAnsi="宋体" w:cs="宋体"/>
          <w:color w:val="auto"/>
        </w:rPr>
        <w:t>合同</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p>
    <w:p w14:paraId="27D9F228">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一）采购人原则上应在成交通知书发出之日起二十日内和成交供应商签订政府采购合同，无正当理由不得拒绝或拖延合同签订。所签订的合同不得对竞争性磋商文件和供应商的响应文件作实质性修改。其他未尽事宜由采购人和成交供应商在采购合同中详细约定。</w:t>
      </w:r>
    </w:p>
    <w:p w14:paraId="330377E6">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二）采购人应当自合同签订之日起7个工作日内，在“政府采购业务管理系统”进行合同登记备案；2个工作日内按相关管理要求在重庆市政府采购网上公告政府采购合同，但政府采购合同中涉及国家秘密、商业秘密的内容除外。未按要求公告及备案的，应当及时进行补充公告及备案。</w:t>
      </w:r>
    </w:p>
    <w:p w14:paraId="65BCF7F2">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（三）竞争性磋商文件、供应商的响应文件及澄清文件等，均为签订政府采购合同的依据。</w:t>
      </w:r>
    </w:p>
    <w:p w14:paraId="27F2D775">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（四）合同生效条款由供需双方约定，法律、行政法规规定应当办理批准、登记等手续后生效的合同，依照其规定。</w:t>
      </w:r>
    </w:p>
    <w:p w14:paraId="03FD972A">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（五）合同原则上应按照《重庆市政府采购合同》签订，相关单位要求适用合同通用格式版本的，应按其要求另行签订其他合同。</w:t>
      </w:r>
    </w:p>
    <w:p w14:paraId="7C47C5EF">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（六）采购人要求成交供应商提供履约保证金的，应当在竞争性磋商文件中予以约定。成交供应商履约完毕后，采购人根据采购文件规定无息退还其履约保证金。</w:t>
      </w:r>
    </w:p>
    <w:p w14:paraId="6DDF78C7">
      <w:pPr>
        <w:pStyle w:val="5"/>
        <w:adjustRightInd w:val="0"/>
        <w:snapToGrid w:val="0"/>
        <w:spacing w:before="0" w:after="0" w:line="240" w:lineRule="auto"/>
        <w:rPr>
          <w:rFonts w:hint="eastAsia" w:ascii="宋体" w:hAnsi="宋体" w:cs="宋体"/>
          <w:color w:val="auto"/>
        </w:rPr>
      </w:pPr>
      <w:bookmarkStart w:id="571" w:name="_Toc30471"/>
      <w:bookmarkStart w:id="572" w:name="_Toc21594"/>
      <w:bookmarkStart w:id="573" w:name="_Toc22122"/>
      <w:bookmarkStart w:id="574" w:name="_Toc12140"/>
      <w:r>
        <w:rPr>
          <w:rFonts w:hint="eastAsia" w:ascii="宋体" w:hAnsi="宋体" w:cs="宋体"/>
          <w:color w:val="auto"/>
        </w:rPr>
        <w:t>十、</w:t>
      </w:r>
      <w:bookmarkEnd w:id="571"/>
      <w:r>
        <w:rPr>
          <w:rFonts w:hint="eastAsia" w:ascii="宋体" w:hAnsi="宋体" w:cs="宋体"/>
          <w:color w:val="auto"/>
        </w:rPr>
        <w:t>项目验收</w:t>
      </w:r>
      <w:bookmarkEnd w:id="572"/>
      <w:bookmarkEnd w:id="573"/>
      <w:bookmarkEnd w:id="574"/>
    </w:p>
    <w:p w14:paraId="79B6F83E">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合同执行完毕，采购人或采购代理机构原则上应在7个工作日内组织履约情况验收，不得无故拖延或附加额外条件。</w:t>
      </w:r>
    </w:p>
    <w:p w14:paraId="094F5799">
      <w:pPr>
        <w:pStyle w:val="5"/>
        <w:adjustRightInd w:val="0"/>
        <w:snapToGrid w:val="0"/>
        <w:spacing w:before="0" w:after="0" w:line="240" w:lineRule="auto"/>
        <w:rPr>
          <w:rFonts w:hint="eastAsia" w:ascii="宋体" w:hAnsi="宋体" w:cs="宋体"/>
          <w:color w:val="auto"/>
        </w:rPr>
      </w:pPr>
      <w:bookmarkStart w:id="575" w:name="_Toc11156"/>
      <w:bookmarkStart w:id="576" w:name="_Toc12766"/>
      <w:bookmarkStart w:id="577" w:name="_Toc21680"/>
      <w:bookmarkStart w:id="578" w:name="_Toc13005"/>
      <w:bookmarkStart w:id="579" w:name="_Toc22180"/>
      <w:bookmarkStart w:id="580" w:name="_Toc14780"/>
      <w:bookmarkStart w:id="581" w:name="_Toc28016"/>
      <w:bookmarkStart w:id="582" w:name="_Toc18452"/>
      <w:bookmarkStart w:id="583" w:name="_Toc11180"/>
      <w:bookmarkStart w:id="584" w:name="_Toc24775"/>
      <w:bookmarkStart w:id="585" w:name="_Toc4178"/>
      <w:bookmarkStart w:id="586" w:name="_Toc886"/>
      <w:bookmarkStart w:id="587" w:name="_Toc19947"/>
      <w:bookmarkStart w:id="588" w:name="_Toc65662753"/>
      <w:bookmarkStart w:id="589" w:name="_Toc24005"/>
      <w:bookmarkStart w:id="590" w:name="_Toc23364"/>
      <w:bookmarkStart w:id="591" w:name="_Toc1252"/>
      <w:bookmarkStart w:id="592" w:name="_Toc10042"/>
      <w:bookmarkStart w:id="593" w:name="_Toc26309"/>
      <w:bookmarkStart w:id="594" w:name="_Toc17428"/>
      <w:r>
        <w:rPr>
          <w:rFonts w:hint="eastAsia" w:ascii="宋体" w:hAnsi="宋体" w:cs="宋体"/>
          <w:color w:val="auto"/>
        </w:rPr>
        <w:t>十一、政府采购信用融资</w:t>
      </w:r>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p>
    <w:p w14:paraId="477AF9F4">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供应商参与重庆市政府采购活动，成为成交供应商，并与采购人签订政府采购合同后，可按照重庆市政府采购支持中小企业信用融资办法的规定，向开展政府采购信用融资业务的银行申请贷款。具体内容详见重庆市政府采购网“信用融资”信息专栏。</w:t>
      </w:r>
    </w:p>
    <w:p w14:paraId="686688D7">
      <w:pPr>
        <w:spacing w:line="400" w:lineRule="exact"/>
        <w:ind w:firstLine="480" w:firstLineChars="200"/>
        <w:rPr>
          <w:rFonts w:hint="eastAsia" w:ascii="宋体" w:hAnsi="宋体" w:cs="宋体"/>
          <w:color w:val="auto"/>
          <w:sz w:val="24"/>
          <w:szCs w:val="24"/>
        </w:rPr>
      </w:pPr>
    </w:p>
    <w:p w14:paraId="3D9F3EF8">
      <w:pPr>
        <w:spacing w:line="400" w:lineRule="exact"/>
        <w:ind w:firstLine="480" w:firstLineChars="200"/>
        <w:rPr>
          <w:rFonts w:hint="eastAsia" w:ascii="宋体" w:hAnsi="宋体" w:cs="宋体"/>
          <w:color w:val="auto"/>
          <w:sz w:val="24"/>
          <w:szCs w:val="24"/>
        </w:rPr>
      </w:pPr>
    </w:p>
    <w:p w14:paraId="17A440F3">
      <w:pPr>
        <w:pStyle w:val="4"/>
        <w:rPr>
          <w:rFonts w:hint="eastAsia" w:cs="宋体"/>
          <w:bCs/>
          <w:color w:val="auto"/>
        </w:rPr>
      </w:pPr>
      <w:r>
        <w:rPr>
          <w:rFonts w:hint="eastAsia" w:cs="宋体"/>
          <w:color w:val="auto"/>
          <w:sz w:val="24"/>
          <w:szCs w:val="24"/>
        </w:rPr>
        <w:br w:type="page"/>
      </w:r>
      <w:bookmarkStart w:id="595" w:name="_Toc27350"/>
      <w:bookmarkStart w:id="596" w:name="_Toc6868"/>
      <w:bookmarkStart w:id="597" w:name="_Toc22083"/>
      <w:bookmarkStart w:id="598" w:name="_Toc19767"/>
      <w:bookmarkStart w:id="599" w:name="_Toc13316"/>
      <w:bookmarkStart w:id="600" w:name="_Toc8947"/>
      <w:bookmarkStart w:id="601" w:name="_Toc4047"/>
      <w:bookmarkStart w:id="602" w:name="_Toc27415"/>
      <w:bookmarkStart w:id="603" w:name="_Toc10667"/>
      <w:bookmarkStart w:id="604" w:name="_Toc2078"/>
      <w:bookmarkStart w:id="605" w:name="_Toc13723"/>
      <w:bookmarkStart w:id="606" w:name="_Toc19182"/>
      <w:bookmarkStart w:id="607" w:name="_Toc65662754"/>
      <w:bookmarkStart w:id="608" w:name="_Toc13423"/>
      <w:bookmarkStart w:id="609" w:name="_Toc24426"/>
      <w:bookmarkStart w:id="610" w:name="_Toc15330"/>
      <w:bookmarkStart w:id="611" w:name="_Toc28295"/>
      <w:bookmarkStart w:id="612" w:name="_Toc22862"/>
      <w:bookmarkStart w:id="613" w:name="_Toc1142"/>
      <w:r>
        <w:rPr>
          <w:rFonts w:hint="eastAsia" w:cs="宋体"/>
          <w:bCs/>
          <w:color w:val="auto"/>
        </w:rPr>
        <w:t xml:space="preserve">第六篇  </w:t>
      </w:r>
      <w:bookmarkEnd w:id="569"/>
      <w:bookmarkEnd w:id="570"/>
      <w:r>
        <w:rPr>
          <w:rFonts w:hint="eastAsia" w:cs="宋体"/>
          <w:bCs/>
          <w:color w:val="auto"/>
        </w:rPr>
        <w:t>政府采购合同</w:t>
      </w:r>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p w14:paraId="459A591B">
      <w:pPr>
        <w:spacing w:line="500" w:lineRule="exact"/>
        <w:jc w:val="center"/>
        <w:rPr>
          <w:rFonts w:hint="eastAsia" w:ascii="宋体" w:hAnsi="宋体" w:cs="宋体"/>
          <w:b/>
          <w:color w:val="auto"/>
          <w:sz w:val="44"/>
        </w:rPr>
      </w:pPr>
      <w:r>
        <w:rPr>
          <w:rFonts w:hint="eastAsia" w:ascii="宋体" w:hAnsi="宋体" w:cs="宋体"/>
          <w:b/>
          <w:color w:val="auto"/>
          <w:sz w:val="44"/>
        </w:rPr>
        <w:t>重庆市政府采购合同</w:t>
      </w:r>
    </w:p>
    <w:p w14:paraId="312AD70A">
      <w:pPr>
        <w:spacing w:line="500" w:lineRule="exact"/>
        <w:jc w:val="center"/>
        <w:rPr>
          <w:rFonts w:hint="eastAsia" w:ascii="宋体" w:hAnsi="宋体" w:cs="宋体"/>
          <w:color w:val="auto"/>
        </w:rPr>
      </w:pPr>
      <w:r>
        <w:rPr>
          <w:rFonts w:hint="eastAsia" w:ascii="宋体" w:hAnsi="宋体" w:cs="宋体"/>
          <w:color w:val="auto"/>
        </w:rPr>
        <w:t>（项目号：     ）</w:t>
      </w:r>
    </w:p>
    <w:p w14:paraId="621388A3">
      <w:pPr>
        <w:spacing w:line="500" w:lineRule="exact"/>
        <w:rPr>
          <w:rFonts w:hint="eastAsia" w:ascii="宋体" w:hAnsi="宋体" w:cs="宋体"/>
          <w:color w:val="auto"/>
          <w:sz w:val="24"/>
        </w:rPr>
      </w:pPr>
      <w:r>
        <w:rPr>
          <w:rFonts w:hint="eastAsia" w:ascii="宋体" w:hAnsi="宋体" w:cs="宋体"/>
          <w:color w:val="auto"/>
          <w:sz w:val="24"/>
        </w:rPr>
        <w:t>甲方（需方）：___________________________      计价单位：____________</w:t>
      </w:r>
    </w:p>
    <w:p w14:paraId="6C8C87F9">
      <w:pPr>
        <w:spacing w:line="500" w:lineRule="exact"/>
        <w:rPr>
          <w:rFonts w:hint="eastAsia" w:ascii="宋体" w:hAnsi="宋体" w:cs="宋体"/>
          <w:color w:val="auto"/>
          <w:sz w:val="24"/>
        </w:rPr>
      </w:pPr>
      <w:r>
        <w:rPr>
          <w:rFonts w:hint="eastAsia" w:ascii="宋体" w:hAnsi="宋体" w:cs="宋体"/>
          <w:color w:val="auto"/>
          <w:sz w:val="24"/>
        </w:rPr>
        <w:t>乙方（供方）：___________________________      计量单位：_____________</w:t>
      </w:r>
    </w:p>
    <w:p w14:paraId="47F3E193">
      <w:pPr>
        <w:spacing w:line="500" w:lineRule="exact"/>
        <w:rPr>
          <w:rFonts w:hint="eastAsia" w:ascii="宋体" w:hAnsi="宋体" w:cs="宋体"/>
          <w:color w:val="auto"/>
          <w:sz w:val="24"/>
        </w:rPr>
      </w:pPr>
    </w:p>
    <w:p w14:paraId="34671888">
      <w:pPr>
        <w:spacing w:line="500" w:lineRule="exact"/>
        <w:rPr>
          <w:rFonts w:hint="eastAsia" w:ascii="宋体" w:hAnsi="宋体" w:cs="宋体"/>
          <w:color w:val="auto"/>
          <w:sz w:val="24"/>
        </w:rPr>
      </w:pPr>
      <w:r>
        <w:rPr>
          <w:rFonts w:hint="eastAsia" w:ascii="宋体" w:hAnsi="宋体" w:cs="宋体"/>
          <w:color w:val="auto"/>
          <w:sz w:val="24"/>
        </w:rPr>
        <w:t>经双方协商一致，达成以下购销合同：</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1262"/>
        <w:gridCol w:w="984"/>
        <w:gridCol w:w="589"/>
        <w:gridCol w:w="709"/>
        <w:gridCol w:w="1134"/>
        <w:gridCol w:w="1559"/>
        <w:gridCol w:w="1567"/>
        <w:gridCol w:w="15"/>
      </w:tblGrid>
      <w:tr w14:paraId="6D6D3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809" w:type="dxa"/>
            <w:noWrap w:val="0"/>
            <w:vAlign w:val="center"/>
          </w:tcPr>
          <w:p w14:paraId="0BBE063E">
            <w:pPr>
              <w:spacing w:line="240" w:lineRule="atLeast"/>
              <w:jc w:val="center"/>
              <w:rPr>
                <w:rFonts w:hint="eastAsia" w:ascii="宋体" w:hAnsi="宋体" w:cs="宋体"/>
                <w:color w:val="auto"/>
                <w:sz w:val="21"/>
                <w:szCs w:val="21"/>
              </w:rPr>
            </w:pPr>
            <w:r>
              <w:rPr>
                <w:rFonts w:hint="eastAsia" w:ascii="宋体" w:hAnsi="宋体" w:cs="宋体"/>
                <w:color w:val="auto"/>
                <w:sz w:val="21"/>
                <w:szCs w:val="21"/>
              </w:rPr>
              <w:t>磋商项目名称</w:t>
            </w:r>
          </w:p>
        </w:tc>
        <w:tc>
          <w:tcPr>
            <w:tcW w:w="1262" w:type="dxa"/>
            <w:noWrap w:val="0"/>
            <w:vAlign w:val="center"/>
          </w:tcPr>
          <w:p w14:paraId="130A55DD">
            <w:pPr>
              <w:spacing w:line="240" w:lineRule="atLeast"/>
              <w:jc w:val="center"/>
              <w:rPr>
                <w:rFonts w:hint="eastAsia" w:ascii="宋体" w:hAnsi="宋体" w:cs="宋体"/>
                <w:color w:val="auto"/>
                <w:sz w:val="21"/>
                <w:szCs w:val="21"/>
              </w:rPr>
            </w:pPr>
            <w:r>
              <w:rPr>
                <w:rFonts w:hint="eastAsia" w:ascii="宋体" w:hAnsi="宋体" w:cs="宋体"/>
                <w:color w:val="auto"/>
                <w:sz w:val="21"/>
                <w:szCs w:val="21"/>
              </w:rPr>
              <w:t>规格型号</w:t>
            </w:r>
          </w:p>
        </w:tc>
        <w:tc>
          <w:tcPr>
            <w:tcW w:w="984" w:type="dxa"/>
            <w:noWrap w:val="0"/>
            <w:vAlign w:val="center"/>
          </w:tcPr>
          <w:p w14:paraId="2B77E723">
            <w:pPr>
              <w:spacing w:line="240" w:lineRule="atLeast"/>
              <w:jc w:val="center"/>
              <w:rPr>
                <w:rFonts w:hint="eastAsia" w:ascii="宋体" w:hAnsi="宋体" w:cs="宋体"/>
                <w:color w:val="auto"/>
                <w:sz w:val="21"/>
                <w:szCs w:val="21"/>
              </w:rPr>
            </w:pPr>
            <w:r>
              <w:rPr>
                <w:rFonts w:hint="eastAsia" w:ascii="宋体" w:hAnsi="宋体" w:cs="宋体"/>
                <w:color w:val="auto"/>
                <w:sz w:val="21"/>
                <w:szCs w:val="21"/>
              </w:rPr>
              <w:t>数量</w:t>
            </w:r>
          </w:p>
        </w:tc>
        <w:tc>
          <w:tcPr>
            <w:tcW w:w="1298" w:type="dxa"/>
            <w:gridSpan w:val="2"/>
            <w:noWrap w:val="0"/>
            <w:vAlign w:val="center"/>
          </w:tcPr>
          <w:p w14:paraId="04A02AD6">
            <w:pPr>
              <w:spacing w:line="240" w:lineRule="atLeast"/>
              <w:jc w:val="center"/>
              <w:rPr>
                <w:rFonts w:hint="eastAsia" w:ascii="宋体" w:hAnsi="宋体" w:cs="宋体"/>
                <w:color w:val="auto"/>
                <w:sz w:val="21"/>
                <w:szCs w:val="21"/>
              </w:rPr>
            </w:pPr>
            <w:r>
              <w:rPr>
                <w:rFonts w:hint="eastAsia" w:ascii="宋体" w:hAnsi="宋体" w:cs="宋体"/>
                <w:color w:val="auto"/>
                <w:sz w:val="21"/>
                <w:szCs w:val="21"/>
              </w:rPr>
              <w:t>综合单价</w:t>
            </w:r>
          </w:p>
        </w:tc>
        <w:tc>
          <w:tcPr>
            <w:tcW w:w="1134" w:type="dxa"/>
            <w:noWrap w:val="0"/>
            <w:vAlign w:val="center"/>
          </w:tcPr>
          <w:p w14:paraId="28822023">
            <w:pPr>
              <w:spacing w:line="240" w:lineRule="atLeast"/>
              <w:jc w:val="center"/>
              <w:rPr>
                <w:rFonts w:hint="eastAsia" w:ascii="宋体" w:hAnsi="宋体" w:cs="宋体"/>
                <w:color w:val="auto"/>
                <w:sz w:val="21"/>
                <w:szCs w:val="21"/>
              </w:rPr>
            </w:pPr>
            <w:r>
              <w:rPr>
                <w:rFonts w:hint="eastAsia" w:ascii="宋体" w:hAnsi="宋体" w:cs="宋体"/>
                <w:color w:val="auto"/>
                <w:sz w:val="21"/>
                <w:szCs w:val="21"/>
              </w:rPr>
              <w:t>总价</w:t>
            </w:r>
          </w:p>
        </w:tc>
        <w:tc>
          <w:tcPr>
            <w:tcW w:w="1559" w:type="dxa"/>
            <w:noWrap w:val="0"/>
            <w:vAlign w:val="center"/>
          </w:tcPr>
          <w:p w14:paraId="3232E309">
            <w:pPr>
              <w:spacing w:line="240" w:lineRule="atLeast"/>
              <w:jc w:val="center"/>
              <w:rPr>
                <w:rFonts w:hint="eastAsia" w:ascii="宋体" w:hAnsi="宋体" w:cs="宋体"/>
                <w:color w:val="auto"/>
                <w:sz w:val="21"/>
                <w:szCs w:val="21"/>
              </w:rPr>
            </w:pPr>
            <w:r>
              <w:rPr>
                <w:rFonts w:hint="eastAsia" w:ascii="宋体" w:hAnsi="宋体" w:cs="宋体"/>
                <w:color w:val="auto"/>
                <w:sz w:val="21"/>
                <w:szCs w:val="21"/>
              </w:rPr>
              <w:t>交货时间</w:t>
            </w:r>
          </w:p>
        </w:tc>
        <w:tc>
          <w:tcPr>
            <w:tcW w:w="1567" w:type="dxa"/>
            <w:noWrap w:val="0"/>
            <w:vAlign w:val="center"/>
          </w:tcPr>
          <w:p w14:paraId="02378AEB">
            <w:pPr>
              <w:spacing w:line="240" w:lineRule="atLeast"/>
              <w:jc w:val="center"/>
              <w:rPr>
                <w:rFonts w:hint="eastAsia" w:ascii="宋体" w:hAnsi="宋体" w:cs="宋体"/>
                <w:color w:val="auto"/>
                <w:sz w:val="21"/>
                <w:szCs w:val="21"/>
              </w:rPr>
            </w:pPr>
            <w:r>
              <w:rPr>
                <w:rFonts w:hint="eastAsia" w:ascii="宋体" w:hAnsi="宋体" w:cs="宋体"/>
                <w:color w:val="auto"/>
                <w:sz w:val="21"/>
                <w:szCs w:val="21"/>
              </w:rPr>
              <w:t>交货地点</w:t>
            </w:r>
          </w:p>
        </w:tc>
      </w:tr>
      <w:tr w14:paraId="0B053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809" w:type="dxa"/>
            <w:noWrap w:val="0"/>
            <w:vAlign w:val="center"/>
          </w:tcPr>
          <w:p w14:paraId="45A87EB4">
            <w:pPr>
              <w:spacing w:line="240" w:lineRule="atLeast"/>
              <w:jc w:val="center"/>
              <w:rPr>
                <w:rFonts w:hint="eastAsia" w:ascii="宋体" w:hAnsi="宋体" w:cs="宋体"/>
                <w:color w:val="auto"/>
                <w:sz w:val="21"/>
                <w:szCs w:val="21"/>
              </w:rPr>
            </w:pPr>
          </w:p>
        </w:tc>
        <w:tc>
          <w:tcPr>
            <w:tcW w:w="1262" w:type="dxa"/>
            <w:noWrap w:val="0"/>
            <w:vAlign w:val="center"/>
          </w:tcPr>
          <w:p w14:paraId="7DD0CF8F">
            <w:pPr>
              <w:spacing w:line="240" w:lineRule="atLeast"/>
              <w:jc w:val="center"/>
              <w:rPr>
                <w:rFonts w:hint="eastAsia" w:ascii="宋体" w:hAnsi="宋体" w:cs="宋体"/>
                <w:color w:val="auto"/>
                <w:sz w:val="21"/>
                <w:szCs w:val="21"/>
              </w:rPr>
            </w:pPr>
          </w:p>
        </w:tc>
        <w:tc>
          <w:tcPr>
            <w:tcW w:w="984" w:type="dxa"/>
            <w:noWrap w:val="0"/>
            <w:vAlign w:val="center"/>
          </w:tcPr>
          <w:p w14:paraId="2C67A105">
            <w:pPr>
              <w:spacing w:line="240" w:lineRule="atLeast"/>
              <w:jc w:val="center"/>
              <w:rPr>
                <w:rFonts w:hint="eastAsia" w:ascii="宋体" w:hAnsi="宋体" w:cs="宋体"/>
                <w:color w:val="auto"/>
                <w:sz w:val="21"/>
                <w:szCs w:val="21"/>
              </w:rPr>
            </w:pPr>
          </w:p>
        </w:tc>
        <w:tc>
          <w:tcPr>
            <w:tcW w:w="1298" w:type="dxa"/>
            <w:gridSpan w:val="2"/>
            <w:noWrap w:val="0"/>
            <w:vAlign w:val="center"/>
          </w:tcPr>
          <w:p w14:paraId="204CE81D">
            <w:pPr>
              <w:spacing w:line="240" w:lineRule="atLeast"/>
              <w:jc w:val="center"/>
              <w:rPr>
                <w:rFonts w:hint="eastAsia" w:ascii="宋体" w:hAnsi="宋体" w:cs="宋体"/>
                <w:color w:val="auto"/>
                <w:sz w:val="21"/>
                <w:szCs w:val="21"/>
              </w:rPr>
            </w:pPr>
          </w:p>
        </w:tc>
        <w:tc>
          <w:tcPr>
            <w:tcW w:w="1134" w:type="dxa"/>
            <w:noWrap w:val="0"/>
            <w:vAlign w:val="center"/>
          </w:tcPr>
          <w:p w14:paraId="256B29AE">
            <w:pPr>
              <w:spacing w:line="240" w:lineRule="atLeast"/>
              <w:jc w:val="center"/>
              <w:rPr>
                <w:rFonts w:hint="eastAsia" w:ascii="宋体" w:hAnsi="宋体" w:cs="宋体"/>
                <w:color w:val="auto"/>
                <w:sz w:val="21"/>
                <w:szCs w:val="21"/>
              </w:rPr>
            </w:pPr>
          </w:p>
        </w:tc>
        <w:tc>
          <w:tcPr>
            <w:tcW w:w="1559" w:type="dxa"/>
            <w:noWrap w:val="0"/>
            <w:vAlign w:val="center"/>
          </w:tcPr>
          <w:p w14:paraId="4E7FFA35">
            <w:pPr>
              <w:spacing w:line="240" w:lineRule="atLeast"/>
              <w:jc w:val="center"/>
              <w:rPr>
                <w:rFonts w:hint="eastAsia" w:ascii="宋体" w:hAnsi="宋体" w:cs="宋体"/>
                <w:color w:val="auto"/>
                <w:sz w:val="21"/>
                <w:szCs w:val="21"/>
              </w:rPr>
            </w:pPr>
          </w:p>
        </w:tc>
        <w:tc>
          <w:tcPr>
            <w:tcW w:w="1567" w:type="dxa"/>
            <w:noWrap w:val="0"/>
            <w:vAlign w:val="center"/>
          </w:tcPr>
          <w:p w14:paraId="7E4C88E4">
            <w:pPr>
              <w:spacing w:line="240" w:lineRule="atLeast"/>
              <w:jc w:val="center"/>
              <w:rPr>
                <w:rFonts w:hint="eastAsia" w:ascii="宋体" w:hAnsi="宋体" w:cs="宋体"/>
                <w:color w:val="auto"/>
                <w:sz w:val="21"/>
                <w:szCs w:val="21"/>
              </w:rPr>
            </w:pPr>
          </w:p>
        </w:tc>
      </w:tr>
      <w:tr w14:paraId="7238C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1809" w:type="dxa"/>
            <w:noWrap w:val="0"/>
            <w:vAlign w:val="center"/>
          </w:tcPr>
          <w:p w14:paraId="4218D5C2">
            <w:pPr>
              <w:spacing w:line="240" w:lineRule="atLeast"/>
              <w:jc w:val="center"/>
              <w:rPr>
                <w:rFonts w:hint="eastAsia" w:ascii="宋体" w:hAnsi="宋体" w:cs="宋体"/>
                <w:color w:val="auto"/>
                <w:sz w:val="21"/>
                <w:szCs w:val="21"/>
              </w:rPr>
            </w:pPr>
          </w:p>
        </w:tc>
        <w:tc>
          <w:tcPr>
            <w:tcW w:w="1262" w:type="dxa"/>
            <w:noWrap w:val="0"/>
            <w:vAlign w:val="center"/>
          </w:tcPr>
          <w:p w14:paraId="1754DD24">
            <w:pPr>
              <w:spacing w:line="240" w:lineRule="atLeast"/>
              <w:jc w:val="center"/>
              <w:rPr>
                <w:rFonts w:hint="eastAsia" w:ascii="宋体" w:hAnsi="宋体" w:cs="宋体"/>
                <w:color w:val="auto"/>
                <w:sz w:val="21"/>
                <w:szCs w:val="21"/>
              </w:rPr>
            </w:pPr>
          </w:p>
        </w:tc>
        <w:tc>
          <w:tcPr>
            <w:tcW w:w="984" w:type="dxa"/>
            <w:noWrap w:val="0"/>
            <w:vAlign w:val="center"/>
          </w:tcPr>
          <w:p w14:paraId="7AAF4B31">
            <w:pPr>
              <w:spacing w:line="240" w:lineRule="atLeast"/>
              <w:jc w:val="center"/>
              <w:rPr>
                <w:rFonts w:hint="eastAsia" w:ascii="宋体" w:hAnsi="宋体" w:cs="宋体"/>
                <w:color w:val="auto"/>
                <w:sz w:val="21"/>
                <w:szCs w:val="21"/>
              </w:rPr>
            </w:pPr>
          </w:p>
        </w:tc>
        <w:tc>
          <w:tcPr>
            <w:tcW w:w="1298" w:type="dxa"/>
            <w:gridSpan w:val="2"/>
            <w:noWrap w:val="0"/>
            <w:vAlign w:val="center"/>
          </w:tcPr>
          <w:p w14:paraId="5A9A2A2F">
            <w:pPr>
              <w:spacing w:line="240" w:lineRule="atLeast"/>
              <w:jc w:val="center"/>
              <w:rPr>
                <w:rFonts w:hint="eastAsia" w:ascii="宋体" w:hAnsi="宋体" w:cs="宋体"/>
                <w:color w:val="auto"/>
                <w:sz w:val="21"/>
                <w:szCs w:val="21"/>
              </w:rPr>
            </w:pPr>
          </w:p>
        </w:tc>
        <w:tc>
          <w:tcPr>
            <w:tcW w:w="1134" w:type="dxa"/>
            <w:noWrap w:val="0"/>
            <w:vAlign w:val="center"/>
          </w:tcPr>
          <w:p w14:paraId="629ED48D">
            <w:pPr>
              <w:spacing w:line="240" w:lineRule="atLeast"/>
              <w:jc w:val="center"/>
              <w:rPr>
                <w:rFonts w:hint="eastAsia" w:ascii="宋体" w:hAnsi="宋体" w:cs="宋体"/>
                <w:color w:val="auto"/>
                <w:sz w:val="21"/>
                <w:szCs w:val="21"/>
              </w:rPr>
            </w:pPr>
          </w:p>
        </w:tc>
        <w:tc>
          <w:tcPr>
            <w:tcW w:w="1559" w:type="dxa"/>
            <w:noWrap w:val="0"/>
            <w:vAlign w:val="center"/>
          </w:tcPr>
          <w:p w14:paraId="5359CB56">
            <w:pPr>
              <w:spacing w:line="240" w:lineRule="atLeast"/>
              <w:jc w:val="center"/>
              <w:rPr>
                <w:rFonts w:hint="eastAsia" w:ascii="宋体" w:hAnsi="宋体" w:cs="宋体"/>
                <w:color w:val="auto"/>
                <w:sz w:val="21"/>
                <w:szCs w:val="21"/>
              </w:rPr>
            </w:pPr>
          </w:p>
        </w:tc>
        <w:tc>
          <w:tcPr>
            <w:tcW w:w="1567" w:type="dxa"/>
            <w:noWrap w:val="0"/>
            <w:vAlign w:val="center"/>
          </w:tcPr>
          <w:p w14:paraId="37D090C0">
            <w:pPr>
              <w:spacing w:line="240" w:lineRule="atLeast"/>
              <w:jc w:val="center"/>
              <w:rPr>
                <w:rFonts w:hint="eastAsia" w:ascii="宋体" w:hAnsi="宋体" w:cs="宋体"/>
                <w:color w:val="auto"/>
                <w:sz w:val="21"/>
                <w:szCs w:val="21"/>
              </w:rPr>
            </w:pPr>
          </w:p>
        </w:tc>
      </w:tr>
      <w:tr w14:paraId="0EFD6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9613" w:type="dxa"/>
            <w:gridSpan w:val="8"/>
            <w:noWrap w:val="0"/>
            <w:vAlign w:val="center"/>
          </w:tcPr>
          <w:p w14:paraId="2738C89E">
            <w:pPr>
              <w:spacing w:line="240" w:lineRule="atLeast"/>
              <w:rPr>
                <w:rFonts w:hint="eastAsia" w:ascii="宋体" w:hAnsi="宋体" w:cs="宋体"/>
                <w:color w:val="auto"/>
                <w:sz w:val="21"/>
                <w:szCs w:val="21"/>
              </w:rPr>
            </w:pPr>
            <w:r>
              <w:rPr>
                <w:rFonts w:hint="eastAsia" w:ascii="宋体" w:hAnsi="宋体" w:cs="宋体"/>
                <w:color w:val="auto"/>
                <w:sz w:val="21"/>
                <w:szCs w:val="21"/>
              </w:rPr>
              <w:t>合计人民币（小写）：</w:t>
            </w:r>
          </w:p>
        </w:tc>
      </w:tr>
      <w:tr w14:paraId="3F1FD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Pr>
        <w:tc>
          <w:tcPr>
            <w:tcW w:w="9613" w:type="dxa"/>
            <w:gridSpan w:val="8"/>
            <w:noWrap w:val="0"/>
            <w:vAlign w:val="center"/>
          </w:tcPr>
          <w:p w14:paraId="52408BBA">
            <w:pPr>
              <w:spacing w:line="240" w:lineRule="atLeast"/>
              <w:rPr>
                <w:rFonts w:hint="eastAsia" w:ascii="宋体" w:hAnsi="宋体" w:cs="宋体"/>
                <w:color w:val="auto"/>
                <w:sz w:val="21"/>
                <w:szCs w:val="21"/>
              </w:rPr>
            </w:pPr>
            <w:r>
              <w:rPr>
                <w:rFonts w:hint="eastAsia" w:ascii="宋体" w:hAnsi="宋体" w:cs="宋体"/>
                <w:color w:val="auto"/>
                <w:sz w:val="21"/>
                <w:szCs w:val="21"/>
              </w:rPr>
              <w:t>合计人民币（大写）：</w:t>
            </w:r>
          </w:p>
        </w:tc>
      </w:tr>
      <w:tr w14:paraId="2F0D0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5" w:type="dxa"/>
          <w:trHeight w:val="776" w:hRule="atLeast"/>
        </w:trPr>
        <w:tc>
          <w:tcPr>
            <w:tcW w:w="9613" w:type="dxa"/>
            <w:gridSpan w:val="8"/>
            <w:noWrap w:val="0"/>
            <w:vAlign w:val="top"/>
          </w:tcPr>
          <w:p w14:paraId="24F53750">
            <w:pPr>
              <w:spacing w:line="240" w:lineRule="atLeast"/>
              <w:rPr>
                <w:rFonts w:hint="eastAsia" w:ascii="宋体" w:hAnsi="宋体" w:cs="宋体"/>
                <w:color w:val="auto"/>
                <w:sz w:val="21"/>
                <w:szCs w:val="21"/>
              </w:rPr>
            </w:pPr>
            <w:r>
              <w:rPr>
                <w:rFonts w:hint="eastAsia" w:ascii="宋体" w:hAnsi="宋体" w:cs="宋体"/>
                <w:color w:val="auto"/>
                <w:sz w:val="21"/>
                <w:szCs w:val="21"/>
              </w:rPr>
              <w:t>一、技术及质量要求</w:t>
            </w:r>
          </w:p>
        </w:tc>
      </w:tr>
      <w:tr w14:paraId="06D60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9628" w:type="dxa"/>
            <w:gridSpan w:val="9"/>
            <w:noWrap w:val="0"/>
            <w:vAlign w:val="top"/>
          </w:tcPr>
          <w:p w14:paraId="003B6525">
            <w:pPr>
              <w:spacing w:line="240" w:lineRule="atLeast"/>
              <w:rPr>
                <w:rFonts w:hint="eastAsia" w:ascii="宋体" w:hAnsi="宋体" w:cs="宋体"/>
                <w:color w:val="auto"/>
                <w:sz w:val="21"/>
                <w:szCs w:val="21"/>
              </w:rPr>
            </w:pPr>
            <w:r>
              <w:rPr>
                <w:rFonts w:hint="eastAsia" w:ascii="宋体" w:hAnsi="宋体" w:cs="宋体"/>
                <w:color w:val="auto"/>
                <w:sz w:val="21"/>
                <w:szCs w:val="21"/>
              </w:rPr>
              <w:t>二、商务要求</w:t>
            </w:r>
          </w:p>
        </w:tc>
      </w:tr>
      <w:tr w14:paraId="0923F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9"/>
            <w:noWrap w:val="0"/>
            <w:vAlign w:val="top"/>
          </w:tcPr>
          <w:p w14:paraId="1B9E46A6">
            <w:pPr>
              <w:spacing w:line="240" w:lineRule="atLeast"/>
              <w:rPr>
                <w:rFonts w:hint="eastAsia" w:ascii="宋体" w:hAnsi="宋体" w:cs="宋体"/>
                <w:color w:val="auto"/>
                <w:sz w:val="21"/>
                <w:szCs w:val="21"/>
              </w:rPr>
            </w:pPr>
            <w:r>
              <w:rPr>
                <w:rFonts w:hint="eastAsia" w:ascii="宋体" w:hAnsi="宋体" w:cs="宋体"/>
                <w:color w:val="auto"/>
                <w:sz w:val="21"/>
                <w:szCs w:val="21"/>
              </w:rPr>
              <w:t>三、付款方式：</w:t>
            </w:r>
          </w:p>
          <w:p w14:paraId="4B6A6A2F">
            <w:pPr>
              <w:pStyle w:val="34"/>
              <w:spacing w:line="240" w:lineRule="atLeast"/>
              <w:rPr>
                <w:rFonts w:hint="eastAsia" w:ascii="宋体" w:hAnsi="宋体" w:cs="宋体"/>
                <w:color w:val="auto"/>
                <w:sz w:val="21"/>
                <w:szCs w:val="21"/>
              </w:rPr>
            </w:pPr>
          </w:p>
        </w:tc>
      </w:tr>
      <w:tr w14:paraId="35322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9"/>
            <w:noWrap w:val="0"/>
            <w:vAlign w:val="top"/>
          </w:tcPr>
          <w:p w14:paraId="11052240">
            <w:pPr>
              <w:spacing w:line="240" w:lineRule="atLeast"/>
              <w:rPr>
                <w:rFonts w:hint="eastAsia" w:ascii="宋体" w:hAnsi="宋体" w:cs="宋体"/>
                <w:color w:val="auto"/>
                <w:sz w:val="21"/>
                <w:szCs w:val="21"/>
              </w:rPr>
            </w:pPr>
            <w:r>
              <w:rPr>
                <w:rFonts w:hint="eastAsia" w:ascii="宋体" w:hAnsi="宋体" w:cs="宋体"/>
                <w:color w:val="auto"/>
                <w:sz w:val="21"/>
                <w:szCs w:val="21"/>
              </w:rPr>
              <w:t>四、履约保证金：</w:t>
            </w:r>
          </w:p>
          <w:p w14:paraId="34C627CE">
            <w:pPr>
              <w:spacing w:line="240" w:lineRule="atLeast"/>
              <w:rPr>
                <w:rFonts w:hint="eastAsia" w:ascii="宋体" w:hAnsi="宋体" w:cs="宋体"/>
                <w:color w:val="auto"/>
                <w:sz w:val="21"/>
                <w:szCs w:val="21"/>
              </w:rPr>
            </w:pPr>
          </w:p>
        </w:tc>
      </w:tr>
      <w:tr w14:paraId="5DFE4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9"/>
            <w:noWrap w:val="0"/>
            <w:vAlign w:val="top"/>
          </w:tcPr>
          <w:p w14:paraId="4C7E1B43">
            <w:pPr>
              <w:spacing w:line="240" w:lineRule="atLeast"/>
              <w:rPr>
                <w:rFonts w:hint="eastAsia" w:ascii="宋体" w:hAnsi="宋体" w:cs="宋体"/>
                <w:color w:val="auto"/>
                <w:sz w:val="21"/>
                <w:szCs w:val="21"/>
              </w:rPr>
            </w:pPr>
            <w:r>
              <w:rPr>
                <w:rFonts w:hint="eastAsia" w:ascii="宋体" w:hAnsi="宋体" w:cs="宋体"/>
                <w:color w:val="auto"/>
                <w:sz w:val="21"/>
                <w:szCs w:val="21"/>
              </w:rPr>
              <w:t>五、违约责任：</w:t>
            </w:r>
          </w:p>
          <w:p w14:paraId="497721F0">
            <w:pPr>
              <w:spacing w:line="240" w:lineRule="atLeast"/>
              <w:rPr>
                <w:rFonts w:hint="eastAsia" w:ascii="宋体" w:hAnsi="宋体" w:cs="宋体"/>
                <w:color w:val="auto"/>
                <w:sz w:val="21"/>
                <w:szCs w:val="21"/>
              </w:rPr>
            </w:pPr>
            <w:r>
              <w:rPr>
                <w:rFonts w:hint="eastAsia" w:ascii="宋体" w:hAnsi="宋体" w:cs="宋体"/>
                <w:color w:val="auto"/>
                <w:sz w:val="21"/>
                <w:szCs w:val="21"/>
              </w:rPr>
              <w:t>按《中华人民共和国民法典》、《中华人民共和国政府采购法》执行，或按双方约定。</w:t>
            </w:r>
          </w:p>
        </w:tc>
      </w:tr>
      <w:tr w14:paraId="24B6E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9"/>
            <w:noWrap w:val="0"/>
            <w:vAlign w:val="top"/>
          </w:tcPr>
          <w:p w14:paraId="14511893">
            <w:pPr>
              <w:spacing w:line="240" w:lineRule="atLeast"/>
              <w:rPr>
                <w:rFonts w:hint="eastAsia" w:ascii="宋体" w:hAnsi="宋体" w:cs="宋体"/>
                <w:color w:val="auto"/>
                <w:sz w:val="21"/>
                <w:szCs w:val="21"/>
              </w:rPr>
            </w:pPr>
            <w:r>
              <w:rPr>
                <w:rFonts w:hint="eastAsia" w:ascii="宋体" w:hAnsi="宋体" w:cs="宋体"/>
                <w:color w:val="auto"/>
                <w:sz w:val="21"/>
                <w:szCs w:val="21"/>
              </w:rPr>
              <w:t>六、其他约定事项：</w:t>
            </w:r>
          </w:p>
          <w:p w14:paraId="0608B8D0">
            <w:pPr>
              <w:spacing w:line="240" w:lineRule="atLeast"/>
              <w:rPr>
                <w:rFonts w:hint="eastAsia" w:ascii="宋体" w:hAnsi="宋体" w:cs="宋体"/>
                <w:color w:val="auto"/>
                <w:sz w:val="21"/>
                <w:szCs w:val="21"/>
              </w:rPr>
            </w:pPr>
            <w:r>
              <w:rPr>
                <w:rFonts w:hint="eastAsia" w:ascii="宋体" w:hAnsi="宋体" w:cs="宋体"/>
                <w:color w:val="auto"/>
                <w:sz w:val="21"/>
                <w:szCs w:val="21"/>
              </w:rPr>
              <w:t>1.采购文件及其澄清文件、响应文件和承诺是本合同不可分割的部分。</w:t>
            </w:r>
          </w:p>
          <w:p w14:paraId="40451865">
            <w:pPr>
              <w:spacing w:line="240" w:lineRule="atLeast"/>
              <w:rPr>
                <w:rFonts w:hint="eastAsia" w:ascii="宋体" w:hAnsi="宋体" w:cs="宋体"/>
                <w:color w:val="auto"/>
                <w:sz w:val="21"/>
                <w:szCs w:val="21"/>
              </w:rPr>
            </w:pPr>
            <w:r>
              <w:rPr>
                <w:rFonts w:hint="eastAsia" w:ascii="宋体" w:hAnsi="宋体" w:cs="宋体"/>
                <w:color w:val="auto"/>
                <w:sz w:val="21"/>
                <w:szCs w:val="21"/>
              </w:rPr>
              <w:t>2.本合同如发生争议由双方协商解决，协商不成向需方所在人民法院提请诉讼。</w:t>
            </w:r>
          </w:p>
          <w:p w14:paraId="47A65E90">
            <w:pPr>
              <w:spacing w:line="240" w:lineRule="atLeast"/>
              <w:rPr>
                <w:rFonts w:hint="eastAsia" w:ascii="宋体" w:hAnsi="宋体" w:cs="宋体"/>
                <w:color w:val="auto"/>
                <w:sz w:val="21"/>
                <w:szCs w:val="21"/>
              </w:rPr>
            </w:pPr>
            <w:r>
              <w:rPr>
                <w:rFonts w:hint="eastAsia" w:ascii="宋体" w:hAnsi="宋体" w:cs="宋体"/>
                <w:color w:val="auto"/>
                <w:sz w:val="21"/>
                <w:szCs w:val="21"/>
              </w:rPr>
              <w:t>3.本合同一式__份， 需方__份，供方__份，具同等法律效力。</w:t>
            </w:r>
          </w:p>
          <w:p w14:paraId="0DFE548C">
            <w:pPr>
              <w:spacing w:line="240" w:lineRule="atLeast"/>
              <w:rPr>
                <w:rFonts w:hint="eastAsia" w:ascii="宋体" w:hAnsi="宋体" w:cs="宋体"/>
                <w:color w:val="auto"/>
                <w:sz w:val="21"/>
                <w:szCs w:val="21"/>
              </w:rPr>
            </w:pPr>
            <w:r>
              <w:rPr>
                <w:rFonts w:hint="eastAsia" w:ascii="宋体" w:hAnsi="宋体" w:cs="宋体"/>
                <w:color w:val="auto"/>
                <w:sz w:val="21"/>
                <w:szCs w:val="21"/>
              </w:rPr>
              <w:t>4.其他：</w:t>
            </w:r>
          </w:p>
        </w:tc>
      </w:tr>
      <w:tr w14:paraId="71E5C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4" w:type="dxa"/>
            <w:gridSpan w:val="4"/>
            <w:noWrap w:val="0"/>
            <w:vAlign w:val="top"/>
          </w:tcPr>
          <w:p w14:paraId="7876BB65">
            <w:pPr>
              <w:spacing w:line="240" w:lineRule="atLeast"/>
              <w:rPr>
                <w:rFonts w:hint="eastAsia" w:ascii="宋体" w:hAnsi="宋体" w:cs="宋体"/>
                <w:color w:val="auto"/>
                <w:sz w:val="21"/>
                <w:szCs w:val="21"/>
              </w:rPr>
            </w:pPr>
            <w:r>
              <w:rPr>
                <w:rFonts w:hint="eastAsia" w:ascii="宋体" w:hAnsi="宋体" w:cs="宋体"/>
                <w:color w:val="auto"/>
                <w:sz w:val="21"/>
                <w:szCs w:val="21"/>
              </w:rPr>
              <w:t>需方：</w:t>
            </w:r>
          </w:p>
          <w:p w14:paraId="7C3C75D8">
            <w:pPr>
              <w:spacing w:line="240" w:lineRule="atLeast"/>
              <w:rPr>
                <w:rFonts w:hint="eastAsia" w:ascii="宋体" w:hAnsi="宋体" w:cs="宋体"/>
                <w:color w:val="auto"/>
                <w:sz w:val="21"/>
                <w:szCs w:val="21"/>
              </w:rPr>
            </w:pPr>
            <w:r>
              <w:rPr>
                <w:rFonts w:hint="eastAsia" w:ascii="宋体" w:hAnsi="宋体" w:cs="宋体"/>
                <w:color w:val="auto"/>
                <w:sz w:val="21"/>
                <w:szCs w:val="21"/>
              </w:rPr>
              <w:t>地址：</w:t>
            </w:r>
          </w:p>
          <w:p w14:paraId="2B83F0E3">
            <w:pPr>
              <w:spacing w:line="240" w:lineRule="atLeast"/>
              <w:rPr>
                <w:rFonts w:hint="eastAsia" w:ascii="宋体" w:hAnsi="宋体" w:cs="宋体"/>
                <w:color w:val="auto"/>
                <w:sz w:val="21"/>
                <w:szCs w:val="21"/>
              </w:rPr>
            </w:pPr>
            <w:r>
              <w:rPr>
                <w:rFonts w:hint="eastAsia" w:ascii="宋体" w:hAnsi="宋体" w:cs="宋体"/>
                <w:color w:val="auto"/>
                <w:sz w:val="21"/>
                <w:szCs w:val="21"/>
              </w:rPr>
              <w:t>联系电话：</w:t>
            </w:r>
          </w:p>
          <w:p w14:paraId="4AAAF2B3">
            <w:pPr>
              <w:spacing w:line="240" w:lineRule="atLeast"/>
              <w:rPr>
                <w:rFonts w:hint="eastAsia" w:ascii="宋体" w:hAnsi="宋体" w:cs="宋体"/>
                <w:color w:val="auto"/>
                <w:sz w:val="21"/>
                <w:szCs w:val="21"/>
              </w:rPr>
            </w:pPr>
            <w:r>
              <w:rPr>
                <w:rFonts w:hint="eastAsia" w:ascii="宋体" w:hAnsi="宋体" w:cs="宋体"/>
                <w:color w:val="auto"/>
                <w:sz w:val="21"/>
                <w:szCs w:val="21"/>
              </w:rPr>
              <w:t>授权代表：</w:t>
            </w:r>
          </w:p>
        </w:tc>
        <w:tc>
          <w:tcPr>
            <w:tcW w:w="4984" w:type="dxa"/>
            <w:gridSpan w:val="5"/>
            <w:noWrap w:val="0"/>
            <w:vAlign w:val="top"/>
          </w:tcPr>
          <w:p w14:paraId="3AC63095">
            <w:pPr>
              <w:spacing w:line="240" w:lineRule="atLeast"/>
              <w:rPr>
                <w:rFonts w:hint="eastAsia" w:ascii="宋体" w:hAnsi="宋体" w:cs="宋体"/>
                <w:color w:val="auto"/>
                <w:sz w:val="21"/>
                <w:szCs w:val="21"/>
              </w:rPr>
            </w:pPr>
            <w:r>
              <w:rPr>
                <w:rFonts w:hint="eastAsia" w:ascii="宋体" w:hAnsi="宋体" w:cs="宋体"/>
                <w:color w:val="auto"/>
                <w:sz w:val="21"/>
                <w:szCs w:val="21"/>
              </w:rPr>
              <w:t>供方：</w:t>
            </w:r>
          </w:p>
          <w:p w14:paraId="0468DD2A">
            <w:pPr>
              <w:spacing w:line="240" w:lineRule="atLeast"/>
              <w:rPr>
                <w:rFonts w:hint="eastAsia" w:ascii="宋体" w:hAnsi="宋体" w:cs="宋体"/>
                <w:color w:val="auto"/>
                <w:sz w:val="21"/>
                <w:szCs w:val="21"/>
              </w:rPr>
            </w:pPr>
            <w:r>
              <w:rPr>
                <w:rFonts w:hint="eastAsia" w:ascii="宋体" w:hAnsi="宋体" w:cs="宋体"/>
                <w:color w:val="auto"/>
                <w:sz w:val="21"/>
                <w:szCs w:val="21"/>
              </w:rPr>
              <w:t>地址：</w:t>
            </w:r>
          </w:p>
          <w:p w14:paraId="018FB6E1">
            <w:pPr>
              <w:spacing w:line="240" w:lineRule="atLeast"/>
              <w:rPr>
                <w:rFonts w:hint="eastAsia" w:ascii="宋体" w:hAnsi="宋体" w:cs="宋体"/>
                <w:color w:val="auto"/>
                <w:sz w:val="21"/>
                <w:szCs w:val="21"/>
              </w:rPr>
            </w:pPr>
            <w:r>
              <w:rPr>
                <w:rFonts w:hint="eastAsia" w:ascii="宋体" w:hAnsi="宋体" w:cs="宋体"/>
                <w:color w:val="auto"/>
                <w:sz w:val="21"/>
                <w:szCs w:val="21"/>
              </w:rPr>
              <w:t>电话：</w:t>
            </w:r>
          </w:p>
          <w:p w14:paraId="5E61EA13">
            <w:pPr>
              <w:spacing w:line="240" w:lineRule="atLeast"/>
              <w:rPr>
                <w:rFonts w:hint="eastAsia" w:ascii="宋体" w:hAnsi="宋体" w:cs="宋体"/>
                <w:color w:val="auto"/>
                <w:sz w:val="21"/>
                <w:szCs w:val="21"/>
              </w:rPr>
            </w:pPr>
            <w:r>
              <w:rPr>
                <w:rFonts w:hint="eastAsia" w:ascii="宋体" w:hAnsi="宋体" w:cs="宋体"/>
                <w:color w:val="auto"/>
                <w:sz w:val="21"/>
                <w:szCs w:val="21"/>
              </w:rPr>
              <w:t>传真：</w:t>
            </w:r>
          </w:p>
          <w:p w14:paraId="31E3B7A4">
            <w:pPr>
              <w:spacing w:line="240" w:lineRule="atLeast"/>
              <w:rPr>
                <w:rFonts w:hint="eastAsia" w:ascii="宋体" w:hAnsi="宋体" w:cs="宋体"/>
                <w:color w:val="auto"/>
                <w:sz w:val="21"/>
                <w:szCs w:val="21"/>
              </w:rPr>
            </w:pPr>
            <w:r>
              <w:rPr>
                <w:rFonts w:hint="eastAsia" w:ascii="宋体" w:hAnsi="宋体" w:cs="宋体"/>
                <w:color w:val="auto"/>
                <w:sz w:val="21"/>
                <w:szCs w:val="21"/>
              </w:rPr>
              <w:t>开户银行：</w:t>
            </w:r>
          </w:p>
          <w:p w14:paraId="24574550">
            <w:pPr>
              <w:spacing w:line="240" w:lineRule="atLeast"/>
              <w:rPr>
                <w:rFonts w:hint="eastAsia" w:ascii="宋体" w:hAnsi="宋体" w:cs="宋体"/>
                <w:color w:val="auto"/>
                <w:sz w:val="21"/>
                <w:szCs w:val="21"/>
              </w:rPr>
            </w:pPr>
            <w:r>
              <w:rPr>
                <w:rFonts w:hint="eastAsia" w:ascii="宋体" w:hAnsi="宋体" w:cs="宋体"/>
                <w:color w:val="auto"/>
                <w:sz w:val="21"/>
                <w:szCs w:val="21"/>
              </w:rPr>
              <w:t>账号：</w:t>
            </w:r>
          </w:p>
          <w:p w14:paraId="1272531D">
            <w:pPr>
              <w:spacing w:line="240" w:lineRule="atLeast"/>
              <w:rPr>
                <w:rFonts w:hint="eastAsia" w:ascii="宋体" w:hAnsi="宋体" w:cs="宋体"/>
                <w:color w:val="auto"/>
                <w:sz w:val="21"/>
                <w:szCs w:val="21"/>
              </w:rPr>
            </w:pPr>
            <w:r>
              <w:rPr>
                <w:rFonts w:hint="eastAsia" w:ascii="宋体" w:hAnsi="宋体" w:cs="宋体"/>
                <w:color w:val="auto"/>
                <w:sz w:val="21"/>
                <w:szCs w:val="21"/>
              </w:rPr>
              <w:t>授权代表：</w:t>
            </w:r>
          </w:p>
          <w:p w14:paraId="43A685EB">
            <w:pPr>
              <w:widowControl/>
              <w:spacing w:line="240" w:lineRule="atLeast"/>
              <w:jc w:val="left"/>
              <w:rPr>
                <w:rFonts w:hint="eastAsia" w:ascii="宋体" w:hAnsi="宋体" w:cs="宋体"/>
                <w:color w:val="auto"/>
                <w:sz w:val="21"/>
                <w:szCs w:val="21"/>
              </w:rPr>
            </w:pPr>
            <w:r>
              <w:rPr>
                <w:rFonts w:hint="eastAsia" w:ascii="宋体" w:hAnsi="宋体" w:cs="宋体"/>
                <w:color w:val="auto"/>
                <w:sz w:val="21"/>
                <w:szCs w:val="21"/>
              </w:rPr>
              <w:t>（本栏请用计算机打印以便于准确付款）</w:t>
            </w:r>
          </w:p>
        </w:tc>
      </w:tr>
      <w:tr w14:paraId="3C871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9"/>
            <w:noWrap w:val="0"/>
            <w:vAlign w:val="top"/>
          </w:tcPr>
          <w:p w14:paraId="589E3ECA">
            <w:pPr>
              <w:spacing w:line="240" w:lineRule="atLeast"/>
              <w:rPr>
                <w:rFonts w:hint="eastAsia" w:ascii="宋体" w:hAnsi="宋体" w:cs="宋体"/>
                <w:color w:val="auto"/>
                <w:sz w:val="21"/>
                <w:szCs w:val="21"/>
              </w:rPr>
            </w:pPr>
            <w:r>
              <w:rPr>
                <w:rFonts w:hint="eastAsia" w:ascii="宋体" w:hAnsi="宋体" w:cs="宋体"/>
                <w:color w:val="auto"/>
                <w:sz w:val="21"/>
                <w:szCs w:val="21"/>
              </w:rPr>
              <w:t>备注：</w:t>
            </w:r>
          </w:p>
          <w:p w14:paraId="0C5F6499">
            <w:pPr>
              <w:spacing w:line="240" w:lineRule="atLeast"/>
              <w:rPr>
                <w:rFonts w:hint="eastAsia" w:ascii="宋体" w:hAnsi="宋体" w:cs="宋体"/>
                <w:color w:val="auto"/>
                <w:sz w:val="21"/>
                <w:szCs w:val="21"/>
              </w:rPr>
            </w:pPr>
          </w:p>
          <w:p w14:paraId="637D1EFB">
            <w:pPr>
              <w:spacing w:line="240" w:lineRule="atLeast"/>
              <w:rPr>
                <w:rFonts w:hint="eastAsia" w:ascii="宋体" w:hAnsi="宋体" w:cs="宋体"/>
                <w:color w:val="auto"/>
                <w:sz w:val="21"/>
                <w:szCs w:val="21"/>
              </w:rPr>
            </w:pPr>
          </w:p>
        </w:tc>
      </w:tr>
    </w:tbl>
    <w:p w14:paraId="09558D5F">
      <w:pPr>
        <w:rPr>
          <w:rFonts w:hint="eastAsia" w:ascii="宋体" w:hAnsi="宋体" w:cs="宋体"/>
          <w:color w:val="auto"/>
          <w:sz w:val="24"/>
        </w:rPr>
      </w:pPr>
      <w:r>
        <w:rPr>
          <w:rFonts w:hint="eastAsia" w:ascii="宋体" w:hAnsi="宋体" w:cs="宋体"/>
          <w:color w:val="auto"/>
          <w:sz w:val="24"/>
        </w:rPr>
        <w:t>签约时间：           年   月   日      签约地点：</w:t>
      </w:r>
    </w:p>
    <w:p w14:paraId="75B4B710">
      <w:pPr>
        <w:rPr>
          <w:rFonts w:hint="eastAsia" w:ascii="宋体" w:hAnsi="宋体" w:cs="宋体"/>
          <w:color w:val="auto"/>
          <w:sz w:val="24"/>
        </w:rPr>
      </w:pPr>
    </w:p>
    <w:p w14:paraId="66EBA3BB">
      <w:pPr>
        <w:rPr>
          <w:rFonts w:hint="eastAsia" w:ascii="宋体" w:hAnsi="宋体" w:cs="宋体"/>
          <w:color w:val="auto"/>
          <w:sz w:val="24"/>
        </w:rPr>
      </w:pPr>
    </w:p>
    <w:p w14:paraId="025CB007">
      <w:pPr>
        <w:rPr>
          <w:rFonts w:hint="eastAsia" w:ascii="宋体" w:hAnsi="宋体" w:cs="宋体"/>
          <w:color w:val="auto"/>
          <w:sz w:val="24"/>
        </w:rPr>
      </w:pPr>
    </w:p>
    <w:p w14:paraId="03EB742B">
      <w:pPr>
        <w:pStyle w:val="4"/>
        <w:rPr>
          <w:rFonts w:hint="eastAsia" w:cs="宋体"/>
          <w:color w:val="auto"/>
        </w:rPr>
      </w:pPr>
      <w:r>
        <w:rPr>
          <w:rFonts w:hint="eastAsia" w:cs="宋体"/>
          <w:color w:val="auto"/>
          <w:sz w:val="24"/>
        </w:rPr>
        <w:br w:type="page"/>
      </w:r>
      <w:bookmarkStart w:id="614" w:name="_Hlt41879464"/>
      <w:bookmarkEnd w:id="614"/>
      <w:bookmarkStart w:id="615" w:name="_Toc19709"/>
      <w:bookmarkStart w:id="616" w:name="_Toc3653"/>
      <w:bookmarkStart w:id="617" w:name="_Toc18345"/>
      <w:bookmarkStart w:id="618" w:name="_Toc17758"/>
      <w:bookmarkStart w:id="619" w:name="_Toc32069"/>
      <w:bookmarkStart w:id="620" w:name="_Toc65662755"/>
      <w:bookmarkStart w:id="621" w:name="_Toc30418"/>
      <w:bookmarkStart w:id="622" w:name="_Toc15815"/>
      <w:bookmarkStart w:id="623" w:name="_Toc19134"/>
      <w:bookmarkStart w:id="624" w:name="_Toc13114"/>
      <w:bookmarkStart w:id="625" w:name="_Toc1401"/>
      <w:bookmarkStart w:id="626" w:name="_Toc20583"/>
      <w:bookmarkStart w:id="627" w:name="_Toc15832"/>
      <w:bookmarkStart w:id="628" w:name="_Toc15847"/>
      <w:bookmarkStart w:id="629" w:name="_Toc30403"/>
      <w:bookmarkStart w:id="630" w:name="_Toc14754"/>
      <w:bookmarkStart w:id="631" w:name="_Toc30962"/>
      <w:bookmarkStart w:id="632" w:name="_Toc23520"/>
      <w:bookmarkStart w:id="633" w:name="_Toc20398"/>
      <w:r>
        <w:rPr>
          <w:rFonts w:hint="eastAsia" w:cs="宋体"/>
          <w:color w:val="auto"/>
        </w:rPr>
        <w:t>第七篇  响应文件编制要求</w:t>
      </w:r>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p>
    <w:p w14:paraId="3D8A452F">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一、经济部分</w:t>
      </w:r>
    </w:p>
    <w:p w14:paraId="2AAD2FDE">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（一）竞争性磋商报价函</w:t>
      </w:r>
    </w:p>
    <w:p w14:paraId="06D209E4">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（二）明细报价表</w:t>
      </w:r>
    </w:p>
    <w:p w14:paraId="26600525">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二、技术部分</w:t>
      </w:r>
    </w:p>
    <w:p w14:paraId="4F8C1D30">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（一）技术条款差异表</w:t>
      </w:r>
    </w:p>
    <w:p w14:paraId="1E6BC5C9">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（二）其他资料（格式自定）</w:t>
      </w:r>
    </w:p>
    <w:p w14:paraId="1D38CC2E">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三、商务部分</w:t>
      </w:r>
    </w:p>
    <w:p w14:paraId="607FBA4B">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（一）商务响应偏离表</w:t>
      </w:r>
    </w:p>
    <w:p w14:paraId="38242AD2">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（二）其他优惠承诺（格式自定）</w:t>
      </w:r>
    </w:p>
    <w:p w14:paraId="778DC884">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四、资格条件及其他</w:t>
      </w:r>
    </w:p>
    <w:p w14:paraId="6693B2A7">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7D67485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5BCD3EB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1371D84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0BCAA2C">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五、其他资料</w:t>
      </w:r>
    </w:p>
    <w:p w14:paraId="08BA8252">
      <w:pPr>
        <w:spacing w:line="400" w:lineRule="exact"/>
        <w:ind w:firstLine="480" w:firstLineChars="200"/>
        <w:rPr>
          <w:rFonts w:hint="eastAsia" w:ascii="宋体" w:hAnsi="宋体" w:cs="宋体"/>
          <w:b/>
          <w:color w:val="auto"/>
          <w:sz w:val="24"/>
          <w:szCs w:val="24"/>
        </w:rPr>
      </w:pPr>
      <w:r>
        <w:rPr>
          <w:rFonts w:hint="eastAsia" w:ascii="宋体" w:hAnsi="宋体" w:cs="宋体"/>
          <w:color w:val="auto"/>
          <w:sz w:val="24"/>
          <w:szCs w:val="24"/>
        </w:rPr>
        <w:t>（一）中小企业声明函、监狱企业证明文件、残疾人福利性单位声明函</w:t>
      </w:r>
    </w:p>
    <w:p w14:paraId="479492D3">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（二）其他与项目有关的资料</w:t>
      </w:r>
    </w:p>
    <w:p w14:paraId="2B024854">
      <w:pPr>
        <w:spacing w:line="400" w:lineRule="exact"/>
        <w:ind w:firstLine="480" w:firstLineChars="200"/>
        <w:rPr>
          <w:rFonts w:hint="eastAsia" w:ascii="宋体" w:hAnsi="宋体" w:cs="宋体"/>
          <w:color w:val="auto"/>
          <w:sz w:val="24"/>
          <w:szCs w:val="24"/>
        </w:rPr>
      </w:pPr>
    </w:p>
    <w:p w14:paraId="6CE71B6C">
      <w:pPr>
        <w:snapToGrid w:val="0"/>
        <w:spacing w:line="360" w:lineRule="auto"/>
        <w:rPr>
          <w:rFonts w:hint="eastAsia" w:ascii="宋体" w:hAnsi="宋体" w:cs="宋体"/>
          <w:color w:val="auto"/>
          <w:sz w:val="24"/>
          <w:szCs w:val="24"/>
          <w:bdr w:val="single" w:color="auto" w:sz="4" w:space="0"/>
        </w:rPr>
        <w:sectPr>
          <w:pgSz w:w="11907" w:h="16840"/>
          <w:pgMar w:top="1134" w:right="1191" w:bottom="1134" w:left="1304" w:header="851" w:footer="992" w:gutter="0"/>
          <w:pgNumType w:fmt="numberInDash"/>
          <w:cols w:space="720" w:num="1"/>
          <w:docGrid w:linePitch="380" w:charSpace="-5735"/>
        </w:sectPr>
      </w:pPr>
    </w:p>
    <w:p w14:paraId="1BB2D38D">
      <w:pPr>
        <w:pStyle w:val="5"/>
        <w:adjustRightInd w:val="0"/>
        <w:snapToGrid w:val="0"/>
        <w:spacing w:before="0" w:after="0" w:line="240" w:lineRule="auto"/>
        <w:rPr>
          <w:rFonts w:hint="eastAsia" w:ascii="宋体" w:hAnsi="宋体" w:cs="宋体"/>
          <w:color w:val="auto"/>
        </w:rPr>
      </w:pPr>
      <w:bookmarkStart w:id="634" w:name="_Toc342913419"/>
      <w:bookmarkStart w:id="635" w:name="_Toc24798"/>
      <w:bookmarkStart w:id="636" w:name="_Toc16618"/>
      <w:bookmarkStart w:id="637" w:name="_Toc27113"/>
      <w:bookmarkStart w:id="638" w:name="_Toc28446"/>
      <w:bookmarkStart w:id="639" w:name="_Toc1246"/>
      <w:bookmarkStart w:id="640" w:name="_Toc313008356"/>
      <w:bookmarkStart w:id="641" w:name="_Toc9090"/>
      <w:bookmarkStart w:id="642" w:name="_Toc26649"/>
      <w:bookmarkStart w:id="643" w:name="_Toc65662756"/>
      <w:bookmarkStart w:id="644" w:name="_Toc22948"/>
      <w:bookmarkStart w:id="645" w:name="_Toc313888360"/>
      <w:bookmarkStart w:id="646" w:name="_Toc2522"/>
      <w:bookmarkStart w:id="647" w:name="_Toc26022"/>
      <w:bookmarkStart w:id="648" w:name="_Toc16594"/>
      <w:bookmarkStart w:id="649" w:name="_Toc23984"/>
      <w:bookmarkStart w:id="650" w:name="_Toc4387"/>
      <w:bookmarkStart w:id="651" w:name="_Toc3086"/>
      <w:bookmarkStart w:id="652" w:name="_Toc7682"/>
      <w:bookmarkStart w:id="653" w:name="_Toc27009"/>
      <w:bookmarkStart w:id="654" w:name="_Toc31619"/>
      <w:bookmarkStart w:id="655" w:name="_Toc29339"/>
      <w:bookmarkStart w:id="656" w:name="_Toc12789073"/>
      <w:bookmarkStart w:id="657" w:name="_Toc283382454"/>
      <w:r>
        <w:rPr>
          <w:rFonts w:hint="eastAsia" w:ascii="宋体" w:hAnsi="宋体" w:cs="宋体"/>
          <w:color w:val="auto"/>
        </w:rPr>
        <w:t>一、经济部分</w:t>
      </w:r>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p>
    <w:bookmarkEnd w:id="656"/>
    <w:bookmarkEnd w:id="657"/>
    <w:p w14:paraId="54C01E6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（一）竞争性磋商报价函</w:t>
      </w:r>
    </w:p>
    <w:p w14:paraId="43ABA121">
      <w:pPr>
        <w:jc w:val="center"/>
        <w:rPr>
          <w:rFonts w:hint="eastAsia" w:ascii="宋体" w:hAnsi="宋体" w:cs="宋体"/>
          <w:b/>
          <w:color w:val="auto"/>
          <w:szCs w:val="28"/>
        </w:rPr>
      </w:pPr>
      <w:r>
        <w:rPr>
          <w:rFonts w:hint="eastAsia" w:ascii="宋体" w:hAnsi="宋体" w:cs="宋体"/>
          <w:b/>
          <w:color w:val="auto"/>
          <w:szCs w:val="28"/>
        </w:rPr>
        <w:t>竞争性磋商报价函</w:t>
      </w:r>
    </w:p>
    <w:p w14:paraId="400E9560">
      <w:pPr>
        <w:tabs>
          <w:tab w:val="left" w:pos="6300"/>
        </w:tabs>
        <w:snapToGrid w:val="0"/>
        <w:spacing w:line="312" w:lineRule="auto"/>
        <w:rPr>
          <w:rFonts w:hint="eastAsia" w:ascii="宋体" w:hAnsi="宋体" w:cs="宋体"/>
          <w:color w:val="auto"/>
          <w:sz w:val="24"/>
          <w:szCs w:val="24"/>
        </w:rPr>
      </w:pPr>
      <w:r>
        <w:rPr>
          <w:rFonts w:hint="eastAsia" w:ascii="宋体" w:hAnsi="宋体" w:cs="宋体"/>
          <w:color w:val="auto"/>
          <w:sz w:val="24"/>
          <w:szCs w:val="24"/>
          <w:u w:val="single"/>
        </w:rPr>
        <w:t>（采购代理机构名称）</w:t>
      </w:r>
      <w:r>
        <w:rPr>
          <w:rFonts w:hint="eastAsia" w:ascii="宋体" w:hAnsi="宋体" w:cs="宋体"/>
          <w:color w:val="auto"/>
          <w:sz w:val="24"/>
          <w:szCs w:val="24"/>
        </w:rPr>
        <w:t>：</w:t>
      </w:r>
    </w:p>
    <w:p w14:paraId="5E3A7F91">
      <w:pPr>
        <w:tabs>
          <w:tab w:val="left" w:pos="6300"/>
        </w:tabs>
        <w:snapToGrid w:val="0"/>
        <w:spacing w:line="312" w:lineRule="auto"/>
        <w:ind w:firstLine="480" w:firstLineChars="200"/>
        <w:rPr>
          <w:rFonts w:hint="eastAsia" w:ascii="宋体" w:hAnsi="宋体" w:cs="宋体"/>
          <w:color w:val="auto"/>
          <w:sz w:val="24"/>
          <w:szCs w:val="24"/>
        </w:rPr>
      </w:pPr>
      <w:r>
        <w:rPr>
          <w:rFonts w:hint="eastAsia" w:ascii="宋体" w:hAnsi="宋体" w:cs="宋体"/>
          <w:color w:val="auto"/>
          <w:sz w:val="24"/>
          <w:szCs w:val="24"/>
        </w:rPr>
        <w:t>我方收到____________________________（磋商项目名称）的竞争性磋商文件，经详细研究，决定参加该项目的磋商。</w:t>
      </w:r>
    </w:p>
    <w:p w14:paraId="0C4CDA9A">
      <w:pPr>
        <w:tabs>
          <w:tab w:val="left" w:pos="6300"/>
        </w:tabs>
        <w:snapToGrid w:val="0"/>
        <w:spacing w:line="312" w:lineRule="auto"/>
        <w:ind w:firstLine="480" w:firstLineChars="200"/>
        <w:rPr>
          <w:rFonts w:hint="eastAsia" w:ascii="宋体" w:hAnsi="宋体" w:cs="宋体"/>
          <w:color w:val="auto"/>
          <w:sz w:val="24"/>
          <w:szCs w:val="24"/>
        </w:rPr>
      </w:pPr>
      <w:r>
        <w:rPr>
          <w:rFonts w:hint="eastAsia" w:ascii="宋体" w:hAnsi="宋体" w:cs="宋体"/>
          <w:color w:val="auto"/>
          <w:sz w:val="24"/>
          <w:szCs w:val="24"/>
        </w:rPr>
        <w:t>1.愿意按照竞争性磋商文件中的一切要求，提供本项目的服务，初始报价为人民币大写：</w:t>
      </w:r>
      <w:r>
        <w:rPr>
          <w:rFonts w:hint="eastAsia" w:ascii="宋体" w:hAnsi="宋体" w:cs="宋体"/>
          <w:color w:val="auto"/>
          <w:sz w:val="24"/>
          <w:szCs w:val="24"/>
          <w:u w:val="single"/>
        </w:rPr>
        <w:t xml:space="preserve">      </w:t>
      </w:r>
      <w:r>
        <w:rPr>
          <w:rFonts w:hint="eastAsia" w:ascii="宋体" w:hAnsi="宋体" w:cs="宋体"/>
          <w:color w:val="auto"/>
          <w:sz w:val="24"/>
          <w:szCs w:val="24"/>
        </w:rPr>
        <w:t>；人民币小写：</w:t>
      </w:r>
      <w:r>
        <w:rPr>
          <w:rFonts w:hint="eastAsia" w:ascii="宋体" w:hAnsi="宋体" w:cs="宋体"/>
          <w:color w:val="auto"/>
          <w:sz w:val="24"/>
          <w:szCs w:val="24"/>
          <w:u w:val="single"/>
        </w:rPr>
        <w:t xml:space="preserve">    </w:t>
      </w:r>
      <w:r>
        <w:rPr>
          <w:rFonts w:hint="eastAsia" w:ascii="宋体" w:hAnsi="宋体" w:cs="宋体"/>
          <w:color w:val="auto"/>
          <w:sz w:val="24"/>
          <w:szCs w:val="24"/>
        </w:rPr>
        <w:t>元。以我公司最后报价为准。</w:t>
      </w:r>
    </w:p>
    <w:p w14:paraId="2C3EA424">
      <w:pPr>
        <w:tabs>
          <w:tab w:val="left" w:pos="6300"/>
        </w:tabs>
        <w:snapToGrid w:val="0"/>
        <w:spacing w:line="312" w:lineRule="auto"/>
        <w:ind w:firstLine="480" w:firstLineChars="200"/>
        <w:rPr>
          <w:rFonts w:hint="eastAsia" w:ascii="宋体" w:hAnsi="宋体" w:cs="宋体"/>
          <w:color w:val="auto"/>
          <w:sz w:val="24"/>
          <w:szCs w:val="24"/>
        </w:rPr>
      </w:pPr>
      <w:r>
        <w:rPr>
          <w:rFonts w:hint="eastAsia" w:ascii="宋体" w:hAnsi="宋体" w:cs="宋体"/>
          <w:color w:val="auto"/>
          <w:sz w:val="24"/>
          <w:szCs w:val="24"/>
        </w:rPr>
        <w:t>2.我方现提交的响应文件为：响应文件正本</w:t>
      </w:r>
      <w:r>
        <w:rPr>
          <w:rFonts w:hint="eastAsia" w:ascii="宋体" w:hAnsi="宋体" w:cs="宋体"/>
          <w:color w:val="auto"/>
          <w:sz w:val="24"/>
          <w:szCs w:val="24"/>
          <w:u w:val="single"/>
        </w:rPr>
        <w:t xml:space="preserve">   </w:t>
      </w:r>
      <w:r>
        <w:rPr>
          <w:rFonts w:hint="eastAsia" w:ascii="宋体" w:hAnsi="宋体" w:cs="宋体"/>
          <w:color w:val="auto"/>
          <w:sz w:val="24"/>
          <w:szCs w:val="24"/>
        </w:rPr>
        <w:t>份，副本</w:t>
      </w:r>
      <w:r>
        <w:rPr>
          <w:rFonts w:hint="eastAsia" w:ascii="宋体" w:hAnsi="宋体" w:cs="宋体"/>
          <w:color w:val="auto"/>
          <w:sz w:val="24"/>
          <w:szCs w:val="24"/>
          <w:u w:val="single"/>
        </w:rPr>
        <w:t xml:space="preserve">   </w:t>
      </w:r>
      <w:r>
        <w:rPr>
          <w:rFonts w:hint="eastAsia" w:ascii="宋体" w:hAnsi="宋体" w:cs="宋体"/>
          <w:color w:val="auto"/>
          <w:sz w:val="24"/>
          <w:szCs w:val="24"/>
        </w:rPr>
        <w:t>份，电子文档</w:t>
      </w:r>
      <w:r>
        <w:rPr>
          <w:rFonts w:hint="eastAsia" w:ascii="宋体" w:hAnsi="宋体" w:cs="宋体"/>
          <w:color w:val="auto"/>
          <w:sz w:val="24"/>
          <w:szCs w:val="24"/>
          <w:u w:val="single"/>
        </w:rPr>
        <w:t xml:space="preserve">   </w:t>
      </w:r>
      <w:r>
        <w:rPr>
          <w:rFonts w:hint="eastAsia" w:ascii="宋体" w:hAnsi="宋体" w:cs="宋体"/>
          <w:color w:val="auto"/>
          <w:sz w:val="24"/>
          <w:szCs w:val="24"/>
        </w:rPr>
        <w:t>份。</w:t>
      </w:r>
    </w:p>
    <w:p w14:paraId="651D1CCB">
      <w:pPr>
        <w:tabs>
          <w:tab w:val="left" w:pos="6300"/>
        </w:tabs>
        <w:snapToGrid w:val="0"/>
        <w:spacing w:line="312" w:lineRule="auto"/>
        <w:ind w:firstLine="480" w:firstLineChars="200"/>
        <w:rPr>
          <w:rFonts w:hint="eastAsia" w:ascii="宋体" w:hAnsi="宋体" w:cs="宋体"/>
          <w:color w:val="auto"/>
          <w:sz w:val="24"/>
          <w:szCs w:val="24"/>
        </w:rPr>
      </w:pPr>
      <w:r>
        <w:rPr>
          <w:rFonts w:hint="eastAsia" w:ascii="宋体" w:hAnsi="宋体" w:cs="宋体"/>
          <w:color w:val="auto"/>
          <w:sz w:val="24"/>
          <w:szCs w:val="24"/>
        </w:rPr>
        <w:t>3.我方承诺：本次磋商的有效期为提交响应文件截止时间起90天。</w:t>
      </w:r>
    </w:p>
    <w:p w14:paraId="52D06B0A">
      <w:pPr>
        <w:tabs>
          <w:tab w:val="left" w:pos="6300"/>
        </w:tabs>
        <w:snapToGrid w:val="0"/>
        <w:spacing w:line="312" w:lineRule="auto"/>
        <w:ind w:firstLine="480" w:firstLineChars="200"/>
        <w:rPr>
          <w:rFonts w:hint="eastAsia" w:ascii="宋体" w:hAnsi="宋体" w:cs="宋体"/>
          <w:color w:val="auto"/>
          <w:sz w:val="24"/>
          <w:szCs w:val="24"/>
        </w:rPr>
      </w:pPr>
      <w:r>
        <w:rPr>
          <w:rFonts w:hint="eastAsia" w:ascii="宋体" w:hAnsi="宋体" w:cs="宋体"/>
          <w:color w:val="auto"/>
          <w:sz w:val="24"/>
          <w:szCs w:val="24"/>
        </w:rPr>
        <w:t>4.我方完全理解和接受贵方竞争性磋商文件的一切规定和要求及评审办法。</w:t>
      </w:r>
    </w:p>
    <w:p w14:paraId="7E0E88BD">
      <w:pPr>
        <w:tabs>
          <w:tab w:val="left" w:pos="6300"/>
        </w:tabs>
        <w:snapToGrid w:val="0"/>
        <w:spacing w:line="312" w:lineRule="auto"/>
        <w:ind w:firstLine="480" w:firstLineChars="200"/>
        <w:rPr>
          <w:rFonts w:hint="eastAsia" w:ascii="宋体" w:hAnsi="宋体" w:cs="宋体"/>
          <w:color w:val="auto"/>
          <w:sz w:val="24"/>
          <w:szCs w:val="24"/>
        </w:rPr>
      </w:pPr>
      <w:r>
        <w:rPr>
          <w:rFonts w:hint="eastAsia" w:ascii="宋体" w:hAnsi="宋体" w:cs="宋体"/>
          <w:color w:val="auto"/>
          <w:sz w:val="24"/>
          <w:szCs w:val="24"/>
        </w:rPr>
        <w:t>5.在整个竞争性磋商过程中，我方若有违规行为，接受按照《中华人民共和国政府采购法》和《竞争性磋商文件》之规定给予惩罚。</w:t>
      </w:r>
    </w:p>
    <w:p w14:paraId="7CECC2A9">
      <w:pPr>
        <w:tabs>
          <w:tab w:val="left" w:pos="6300"/>
        </w:tabs>
        <w:snapToGrid w:val="0"/>
        <w:spacing w:line="312" w:lineRule="auto"/>
        <w:ind w:firstLine="480" w:firstLineChars="200"/>
        <w:rPr>
          <w:rFonts w:hint="eastAsia" w:ascii="宋体" w:hAnsi="宋体" w:cs="宋体"/>
          <w:color w:val="auto"/>
          <w:sz w:val="24"/>
          <w:szCs w:val="24"/>
        </w:rPr>
      </w:pPr>
      <w:r>
        <w:rPr>
          <w:rFonts w:hint="eastAsia" w:ascii="宋体" w:hAnsi="宋体" w:cs="宋体"/>
          <w:color w:val="auto"/>
          <w:sz w:val="24"/>
          <w:szCs w:val="24"/>
        </w:rPr>
        <w:t>6.我方若成为成交供应商，将按照最终磋商结果签订合同，并且严格履行合同义务。本承诺函将成为合同不可分割的一部分，与合同具有同等的法律效力。</w:t>
      </w:r>
    </w:p>
    <w:p w14:paraId="4B5BEAC2">
      <w:pPr>
        <w:tabs>
          <w:tab w:val="left" w:pos="6300"/>
        </w:tabs>
        <w:snapToGrid w:val="0"/>
        <w:spacing w:line="312" w:lineRule="auto"/>
        <w:ind w:firstLine="480" w:firstLineChars="200"/>
        <w:rPr>
          <w:rFonts w:hint="eastAsia" w:ascii="宋体" w:hAnsi="宋体" w:cs="宋体"/>
          <w:color w:val="auto"/>
          <w:sz w:val="24"/>
          <w:szCs w:val="24"/>
        </w:rPr>
      </w:pPr>
      <w:r>
        <w:rPr>
          <w:rFonts w:hint="eastAsia" w:ascii="宋体" w:hAnsi="宋体" w:cs="宋体"/>
          <w:color w:val="auto"/>
          <w:sz w:val="24"/>
          <w:szCs w:val="24"/>
        </w:rPr>
        <w:t>7.如果我方成为成交供应商，保证在接到成交通知书后，向采购代理机构和</w:t>
      </w:r>
      <w:r>
        <w:rPr>
          <w:rFonts w:hint="eastAsia" w:ascii="宋体" w:hAnsi="宋体" w:cs="宋体"/>
          <w:color w:val="auto"/>
          <w:sz w:val="24"/>
        </w:rPr>
        <w:t>重庆联合产权交易所集团股份有限公司缴纳</w:t>
      </w:r>
      <w:r>
        <w:rPr>
          <w:rFonts w:hint="eastAsia" w:ascii="宋体" w:hAnsi="宋体" w:cs="宋体"/>
          <w:color w:val="auto"/>
          <w:sz w:val="24"/>
          <w:szCs w:val="24"/>
        </w:rPr>
        <w:t>竞争性磋商文件规定的采购代理服务费和交易服务费。</w:t>
      </w:r>
    </w:p>
    <w:p w14:paraId="10E53B66">
      <w:pPr>
        <w:tabs>
          <w:tab w:val="left" w:pos="6300"/>
        </w:tabs>
        <w:snapToGrid w:val="0"/>
        <w:spacing w:line="312" w:lineRule="auto"/>
        <w:ind w:firstLine="480" w:firstLineChars="200"/>
        <w:rPr>
          <w:rFonts w:hint="eastAsia" w:ascii="宋体" w:hAnsi="宋体" w:cs="宋体"/>
          <w:color w:val="auto"/>
          <w:sz w:val="24"/>
          <w:szCs w:val="24"/>
        </w:rPr>
      </w:pPr>
      <w:r>
        <w:rPr>
          <w:rFonts w:hint="eastAsia" w:ascii="宋体" w:hAnsi="宋体" w:cs="宋体"/>
          <w:color w:val="auto"/>
          <w:sz w:val="24"/>
          <w:szCs w:val="24"/>
        </w:rPr>
        <w:t>8.</w:t>
      </w:r>
      <w:r>
        <w:rPr>
          <w:rFonts w:hint="eastAsia" w:ascii="宋体" w:hAnsi="宋体" w:cs="宋体"/>
          <w:color w:val="auto"/>
          <w:sz w:val="24"/>
          <w:szCs w:val="28"/>
        </w:rPr>
        <w:t>我方未</w:t>
      </w:r>
      <w:r>
        <w:rPr>
          <w:rFonts w:hint="eastAsia" w:ascii="宋体" w:hAnsi="宋体" w:cs="宋体"/>
          <w:color w:val="auto"/>
          <w:sz w:val="24"/>
          <w:szCs w:val="24"/>
        </w:rPr>
        <w:t>为采购项目提供整体设计、规范编制或者项目管理、监理、检测等服务。</w:t>
      </w:r>
    </w:p>
    <w:p w14:paraId="320A6421">
      <w:pPr>
        <w:tabs>
          <w:tab w:val="left" w:pos="6300"/>
        </w:tabs>
        <w:snapToGrid w:val="0"/>
        <w:spacing w:line="312" w:lineRule="auto"/>
        <w:ind w:firstLine="570"/>
        <w:rPr>
          <w:rFonts w:hint="eastAsia" w:ascii="宋体" w:hAnsi="宋体" w:cs="宋体"/>
          <w:color w:val="auto"/>
          <w:sz w:val="24"/>
          <w:szCs w:val="24"/>
        </w:rPr>
      </w:pPr>
      <w:r>
        <w:rPr>
          <w:rFonts w:hint="eastAsia" w:ascii="宋体" w:hAnsi="宋体" w:cs="宋体"/>
          <w:color w:val="auto"/>
          <w:sz w:val="24"/>
          <w:szCs w:val="24"/>
        </w:rPr>
        <w:t>供应商（公章）或自然人签署：</w:t>
      </w:r>
    </w:p>
    <w:p w14:paraId="798573C3">
      <w:pPr>
        <w:tabs>
          <w:tab w:val="left" w:pos="6300"/>
        </w:tabs>
        <w:snapToGrid w:val="0"/>
        <w:spacing w:line="312" w:lineRule="auto"/>
        <w:ind w:firstLine="570"/>
        <w:rPr>
          <w:rFonts w:hint="eastAsia" w:ascii="宋体" w:hAnsi="宋体" w:cs="宋体"/>
          <w:color w:val="auto"/>
          <w:sz w:val="24"/>
          <w:szCs w:val="24"/>
        </w:rPr>
      </w:pPr>
      <w:r>
        <w:rPr>
          <w:rFonts w:hint="eastAsia" w:ascii="宋体" w:hAnsi="宋体" w:cs="宋体"/>
          <w:color w:val="auto"/>
          <w:sz w:val="24"/>
          <w:szCs w:val="24"/>
        </w:rPr>
        <w:t xml:space="preserve">地址：  </w:t>
      </w:r>
    </w:p>
    <w:p w14:paraId="44214F0D">
      <w:pPr>
        <w:tabs>
          <w:tab w:val="left" w:pos="6300"/>
        </w:tabs>
        <w:snapToGrid w:val="0"/>
        <w:spacing w:line="312" w:lineRule="auto"/>
        <w:ind w:firstLine="570"/>
        <w:rPr>
          <w:rFonts w:hint="eastAsia" w:ascii="宋体" w:hAnsi="宋体" w:cs="宋体"/>
          <w:color w:val="auto"/>
          <w:sz w:val="24"/>
          <w:szCs w:val="24"/>
        </w:rPr>
      </w:pPr>
      <w:r>
        <w:rPr>
          <w:rFonts w:hint="eastAsia" w:ascii="宋体" w:hAnsi="宋体" w:cs="宋体"/>
          <w:color w:val="auto"/>
          <w:sz w:val="24"/>
          <w:szCs w:val="24"/>
        </w:rPr>
        <w:t>电话：                                             传真：</w:t>
      </w:r>
    </w:p>
    <w:p w14:paraId="20927CDE">
      <w:pPr>
        <w:tabs>
          <w:tab w:val="left" w:pos="6300"/>
        </w:tabs>
        <w:snapToGrid w:val="0"/>
        <w:spacing w:line="312" w:lineRule="auto"/>
        <w:ind w:firstLine="570"/>
        <w:rPr>
          <w:rFonts w:hint="eastAsia" w:ascii="宋体" w:hAnsi="宋体" w:cs="宋体"/>
          <w:color w:val="auto"/>
          <w:sz w:val="24"/>
          <w:szCs w:val="24"/>
        </w:rPr>
      </w:pPr>
      <w:r>
        <w:rPr>
          <w:rFonts w:hint="eastAsia" w:ascii="宋体" w:hAnsi="宋体" w:cs="宋体"/>
          <w:color w:val="auto"/>
          <w:sz w:val="24"/>
          <w:szCs w:val="24"/>
        </w:rPr>
        <w:t>网址：                                             邮编：</w:t>
      </w:r>
    </w:p>
    <w:p w14:paraId="2F428A80">
      <w:pPr>
        <w:tabs>
          <w:tab w:val="left" w:pos="6300"/>
        </w:tabs>
        <w:snapToGrid w:val="0"/>
        <w:spacing w:line="312" w:lineRule="auto"/>
        <w:ind w:firstLine="570"/>
        <w:rPr>
          <w:rFonts w:hint="eastAsia" w:ascii="宋体" w:hAnsi="宋体" w:cs="宋体"/>
          <w:color w:val="auto"/>
          <w:sz w:val="24"/>
          <w:szCs w:val="24"/>
        </w:rPr>
      </w:pPr>
      <w:r>
        <w:rPr>
          <w:rFonts w:hint="eastAsia" w:ascii="宋体" w:hAnsi="宋体" w:cs="宋体"/>
          <w:color w:val="auto"/>
          <w:sz w:val="24"/>
          <w:szCs w:val="24"/>
        </w:rPr>
        <w:t>联系人：</w:t>
      </w:r>
    </w:p>
    <w:p w14:paraId="533A1A11">
      <w:pPr>
        <w:snapToGrid w:val="0"/>
        <w:spacing w:line="312" w:lineRule="auto"/>
        <w:ind w:firstLine="480" w:firstLineChars="200"/>
        <w:rPr>
          <w:rFonts w:hint="eastAsia" w:ascii="宋体" w:hAnsi="宋体" w:cs="宋体"/>
          <w:color w:val="auto"/>
          <w:sz w:val="24"/>
          <w:szCs w:val="24"/>
        </w:rPr>
        <w:sectPr>
          <w:pgSz w:w="11907" w:h="16840"/>
          <w:pgMar w:top="1134" w:right="1191" w:bottom="1134" w:left="1304" w:header="851" w:footer="992" w:gutter="0"/>
          <w:pgNumType w:fmt="numberInDash"/>
          <w:cols w:space="720" w:num="1"/>
          <w:docGrid w:linePitch="380" w:charSpace="-5735"/>
        </w:sectPr>
      </w:pPr>
      <w:r>
        <w:rPr>
          <w:rFonts w:hint="eastAsia" w:ascii="宋体" w:hAnsi="宋体" w:cs="宋体"/>
          <w:color w:val="auto"/>
          <w:sz w:val="24"/>
          <w:szCs w:val="24"/>
        </w:rPr>
        <w:t xml:space="preserve">                                                  年   月   日</w:t>
      </w:r>
    </w:p>
    <w:p w14:paraId="1247F7BB">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（二）明细报价表</w:t>
      </w:r>
    </w:p>
    <w:p w14:paraId="0E1C868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 xml:space="preserve">项目号：                                </w:t>
      </w:r>
    </w:p>
    <w:p w14:paraId="34CD3EF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 xml:space="preserve">磋商项目名称： </w:t>
      </w:r>
    </w:p>
    <w:tbl>
      <w:tblPr>
        <w:tblStyle w:val="59"/>
        <w:tblW w:w="95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3"/>
        <w:gridCol w:w="2414"/>
        <w:gridCol w:w="2355"/>
        <w:gridCol w:w="1275"/>
        <w:gridCol w:w="1293"/>
        <w:gridCol w:w="1262"/>
      </w:tblGrid>
      <w:tr w14:paraId="2DA3E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exact"/>
          <w:jc w:val="center"/>
        </w:trPr>
        <w:tc>
          <w:tcPr>
            <w:tcW w:w="963" w:type="dxa"/>
            <w:vAlign w:val="center"/>
          </w:tcPr>
          <w:p w14:paraId="2B1C41CB">
            <w:pPr>
              <w:jc w:val="center"/>
              <w:rPr>
                <w:rFonts w:ascii="宋体" w:hAnsi="宋体" w:cs="宋体"/>
                <w:b/>
                <w:color w:val="000000"/>
                <w:sz w:val="21"/>
                <w:szCs w:val="21"/>
              </w:rPr>
            </w:pPr>
            <w:r>
              <w:rPr>
                <w:rFonts w:hint="eastAsia" w:ascii="宋体" w:hAnsi="宋体" w:cs="宋体"/>
                <w:b/>
                <w:color w:val="000000"/>
                <w:sz w:val="21"/>
                <w:szCs w:val="21"/>
              </w:rPr>
              <w:t>序号</w:t>
            </w:r>
          </w:p>
        </w:tc>
        <w:tc>
          <w:tcPr>
            <w:tcW w:w="2414" w:type="dxa"/>
            <w:vAlign w:val="center"/>
          </w:tcPr>
          <w:p w14:paraId="3076ACDF">
            <w:pPr>
              <w:jc w:val="center"/>
              <w:rPr>
                <w:rFonts w:ascii="宋体" w:hAnsi="宋体" w:cs="宋体"/>
                <w:b/>
                <w:color w:val="000000"/>
                <w:sz w:val="21"/>
                <w:szCs w:val="21"/>
              </w:rPr>
            </w:pPr>
            <w:r>
              <w:rPr>
                <w:rFonts w:hint="eastAsia" w:ascii="宋体" w:hAnsi="宋体" w:cs="宋体"/>
                <w:b/>
                <w:color w:val="000000"/>
                <w:sz w:val="21"/>
                <w:szCs w:val="21"/>
              </w:rPr>
              <w:t>名称</w:t>
            </w:r>
          </w:p>
        </w:tc>
        <w:tc>
          <w:tcPr>
            <w:tcW w:w="2355" w:type="dxa"/>
            <w:vAlign w:val="center"/>
          </w:tcPr>
          <w:p w14:paraId="79C0A7B4">
            <w:pPr>
              <w:jc w:val="center"/>
              <w:rPr>
                <w:rFonts w:ascii="宋体" w:hAnsi="宋体" w:cs="宋体"/>
                <w:b/>
                <w:color w:val="000000"/>
                <w:sz w:val="21"/>
                <w:szCs w:val="21"/>
              </w:rPr>
            </w:pPr>
            <w:r>
              <w:rPr>
                <w:rFonts w:hint="eastAsia" w:ascii="宋体" w:hAnsi="宋体" w:cs="宋体"/>
                <w:b/>
                <w:color w:val="000000"/>
                <w:sz w:val="21"/>
                <w:szCs w:val="21"/>
              </w:rPr>
              <w:t>相关信息</w:t>
            </w:r>
          </w:p>
        </w:tc>
        <w:tc>
          <w:tcPr>
            <w:tcW w:w="1275" w:type="dxa"/>
            <w:vAlign w:val="center"/>
          </w:tcPr>
          <w:p w14:paraId="11A6210F">
            <w:pPr>
              <w:jc w:val="center"/>
              <w:rPr>
                <w:rFonts w:ascii="宋体" w:hAnsi="宋体" w:cs="宋体"/>
                <w:b/>
                <w:color w:val="000000"/>
                <w:sz w:val="21"/>
                <w:szCs w:val="21"/>
              </w:rPr>
            </w:pPr>
            <w:r>
              <w:rPr>
                <w:rFonts w:hint="eastAsia" w:ascii="宋体" w:hAnsi="宋体" w:cs="宋体"/>
                <w:b/>
                <w:color w:val="000000"/>
                <w:sz w:val="21"/>
                <w:szCs w:val="21"/>
              </w:rPr>
              <w:t>单价</w:t>
            </w:r>
          </w:p>
        </w:tc>
        <w:tc>
          <w:tcPr>
            <w:tcW w:w="1293" w:type="dxa"/>
            <w:vAlign w:val="center"/>
          </w:tcPr>
          <w:p w14:paraId="36BEE579">
            <w:pPr>
              <w:jc w:val="center"/>
              <w:rPr>
                <w:rFonts w:ascii="宋体" w:hAnsi="宋体" w:cs="宋体"/>
                <w:b/>
                <w:color w:val="000000"/>
                <w:sz w:val="21"/>
                <w:szCs w:val="21"/>
              </w:rPr>
            </w:pPr>
            <w:r>
              <w:rPr>
                <w:rFonts w:hint="eastAsia" w:ascii="宋体" w:hAnsi="宋体" w:cs="宋体"/>
                <w:b/>
                <w:color w:val="000000"/>
                <w:sz w:val="21"/>
                <w:szCs w:val="21"/>
              </w:rPr>
              <w:t>合计</w:t>
            </w:r>
          </w:p>
        </w:tc>
        <w:tc>
          <w:tcPr>
            <w:tcW w:w="1262" w:type="dxa"/>
            <w:vAlign w:val="center"/>
          </w:tcPr>
          <w:p w14:paraId="059224B1">
            <w:pPr>
              <w:jc w:val="center"/>
              <w:rPr>
                <w:rFonts w:ascii="宋体" w:hAnsi="宋体" w:cs="宋体"/>
                <w:b/>
                <w:color w:val="000000"/>
                <w:sz w:val="21"/>
                <w:szCs w:val="21"/>
              </w:rPr>
            </w:pPr>
            <w:r>
              <w:rPr>
                <w:rFonts w:hint="eastAsia" w:ascii="宋体" w:hAnsi="宋体" w:cs="宋体"/>
                <w:b/>
                <w:color w:val="000000"/>
                <w:sz w:val="21"/>
                <w:szCs w:val="21"/>
              </w:rPr>
              <w:t>备注</w:t>
            </w:r>
          </w:p>
        </w:tc>
      </w:tr>
      <w:tr w14:paraId="0170B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exact"/>
          <w:jc w:val="center"/>
        </w:trPr>
        <w:tc>
          <w:tcPr>
            <w:tcW w:w="963" w:type="dxa"/>
            <w:vAlign w:val="center"/>
          </w:tcPr>
          <w:p w14:paraId="333D0168">
            <w:pPr>
              <w:pStyle w:val="25"/>
              <w:spacing w:line="240" w:lineRule="atLeast"/>
              <w:ind w:left="3920"/>
              <w:jc w:val="center"/>
              <w:rPr>
                <w:rFonts w:ascii="宋体" w:hAnsi="宋体" w:cs="宋体"/>
                <w:color w:val="000000"/>
                <w:sz w:val="21"/>
                <w:szCs w:val="21"/>
              </w:rPr>
            </w:pPr>
            <w:r>
              <w:rPr>
                <w:rFonts w:hint="eastAsia" w:ascii="宋体" w:hAnsi="宋体" w:cs="宋体"/>
                <w:color w:val="000000"/>
                <w:sz w:val="21"/>
                <w:szCs w:val="21"/>
              </w:rPr>
              <w:t>1</w:t>
            </w:r>
          </w:p>
        </w:tc>
        <w:tc>
          <w:tcPr>
            <w:tcW w:w="2414" w:type="dxa"/>
            <w:vAlign w:val="center"/>
          </w:tcPr>
          <w:p w14:paraId="28696AC4">
            <w:pPr>
              <w:jc w:val="center"/>
              <w:rPr>
                <w:rFonts w:ascii="宋体" w:hAnsi="宋体" w:cs="宋体"/>
                <w:color w:val="000000"/>
                <w:sz w:val="21"/>
                <w:szCs w:val="21"/>
              </w:rPr>
            </w:pPr>
          </w:p>
        </w:tc>
        <w:tc>
          <w:tcPr>
            <w:tcW w:w="2355" w:type="dxa"/>
          </w:tcPr>
          <w:p w14:paraId="48657DDD">
            <w:pPr>
              <w:jc w:val="center"/>
              <w:rPr>
                <w:rFonts w:ascii="宋体" w:hAnsi="宋体" w:cs="宋体"/>
                <w:color w:val="000000"/>
                <w:sz w:val="21"/>
                <w:szCs w:val="21"/>
              </w:rPr>
            </w:pPr>
          </w:p>
        </w:tc>
        <w:tc>
          <w:tcPr>
            <w:tcW w:w="1275" w:type="dxa"/>
          </w:tcPr>
          <w:p w14:paraId="335ECDA4">
            <w:pPr>
              <w:jc w:val="center"/>
              <w:rPr>
                <w:rFonts w:ascii="宋体" w:hAnsi="宋体" w:cs="宋体"/>
                <w:color w:val="000000"/>
                <w:sz w:val="21"/>
                <w:szCs w:val="21"/>
              </w:rPr>
            </w:pPr>
          </w:p>
        </w:tc>
        <w:tc>
          <w:tcPr>
            <w:tcW w:w="1293" w:type="dxa"/>
          </w:tcPr>
          <w:p w14:paraId="24B371FD">
            <w:pPr>
              <w:jc w:val="center"/>
              <w:rPr>
                <w:rFonts w:ascii="宋体" w:hAnsi="宋体" w:cs="宋体"/>
                <w:color w:val="000000"/>
                <w:sz w:val="21"/>
                <w:szCs w:val="21"/>
              </w:rPr>
            </w:pPr>
          </w:p>
        </w:tc>
        <w:tc>
          <w:tcPr>
            <w:tcW w:w="1262" w:type="dxa"/>
            <w:vMerge w:val="restart"/>
            <w:vAlign w:val="center"/>
          </w:tcPr>
          <w:p w14:paraId="64B13A90">
            <w:pPr>
              <w:jc w:val="center"/>
              <w:rPr>
                <w:rFonts w:ascii="宋体" w:hAnsi="宋体" w:cs="宋体"/>
                <w:color w:val="000000"/>
                <w:sz w:val="21"/>
                <w:szCs w:val="21"/>
              </w:rPr>
            </w:pPr>
          </w:p>
        </w:tc>
      </w:tr>
      <w:tr w14:paraId="56D4D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963" w:type="dxa"/>
            <w:vAlign w:val="center"/>
          </w:tcPr>
          <w:p w14:paraId="577545BD">
            <w:pPr>
              <w:pStyle w:val="25"/>
              <w:spacing w:line="240" w:lineRule="atLeast"/>
              <w:ind w:left="3920"/>
              <w:jc w:val="center"/>
              <w:rPr>
                <w:rFonts w:ascii="宋体" w:hAnsi="宋体" w:cs="宋体"/>
                <w:color w:val="000000"/>
                <w:sz w:val="21"/>
                <w:szCs w:val="21"/>
              </w:rPr>
            </w:pPr>
            <w:r>
              <w:rPr>
                <w:rFonts w:hint="eastAsia" w:ascii="宋体" w:hAnsi="宋体" w:cs="宋体"/>
                <w:color w:val="000000"/>
                <w:sz w:val="21"/>
                <w:szCs w:val="21"/>
              </w:rPr>
              <w:t>2</w:t>
            </w:r>
          </w:p>
        </w:tc>
        <w:tc>
          <w:tcPr>
            <w:tcW w:w="2414" w:type="dxa"/>
            <w:vAlign w:val="center"/>
          </w:tcPr>
          <w:p w14:paraId="05DE38A7">
            <w:pPr>
              <w:jc w:val="center"/>
              <w:rPr>
                <w:rFonts w:ascii="宋体" w:hAnsi="宋体" w:cs="宋体"/>
                <w:color w:val="000000"/>
                <w:sz w:val="21"/>
                <w:szCs w:val="21"/>
              </w:rPr>
            </w:pPr>
          </w:p>
        </w:tc>
        <w:tc>
          <w:tcPr>
            <w:tcW w:w="2355" w:type="dxa"/>
          </w:tcPr>
          <w:p w14:paraId="21F93743">
            <w:pPr>
              <w:jc w:val="center"/>
              <w:rPr>
                <w:rFonts w:ascii="宋体" w:hAnsi="宋体" w:cs="宋体"/>
                <w:color w:val="000000"/>
                <w:sz w:val="21"/>
                <w:szCs w:val="21"/>
              </w:rPr>
            </w:pPr>
          </w:p>
        </w:tc>
        <w:tc>
          <w:tcPr>
            <w:tcW w:w="1275" w:type="dxa"/>
          </w:tcPr>
          <w:p w14:paraId="67D34AFE">
            <w:pPr>
              <w:jc w:val="center"/>
              <w:rPr>
                <w:rFonts w:ascii="宋体" w:hAnsi="宋体" w:cs="宋体"/>
                <w:color w:val="000000"/>
                <w:sz w:val="21"/>
                <w:szCs w:val="21"/>
              </w:rPr>
            </w:pPr>
          </w:p>
        </w:tc>
        <w:tc>
          <w:tcPr>
            <w:tcW w:w="1293" w:type="dxa"/>
          </w:tcPr>
          <w:p w14:paraId="7B14B741">
            <w:pPr>
              <w:jc w:val="center"/>
              <w:rPr>
                <w:rFonts w:ascii="宋体" w:hAnsi="宋体" w:cs="宋体"/>
                <w:color w:val="000000"/>
                <w:sz w:val="21"/>
                <w:szCs w:val="21"/>
              </w:rPr>
            </w:pPr>
          </w:p>
        </w:tc>
        <w:tc>
          <w:tcPr>
            <w:tcW w:w="1262" w:type="dxa"/>
            <w:vMerge w:val="continue"/>
          </w:tcPr>
          <w:p w14:paraId="55769150">
            <w:pPr>
              <w:jc w:val="center"/>
              <w:rPr>
                <w:rFonts w:ascii="宋体" w:hAnsi="宋体" w:cs="宋体"/>
                <w:color w:val="000000"/>
                <w:sz w:val="21"/>
                <w:szCs w:val="21"/>
              </w:rPr>
            </w:pPr>
          </w:p>
        </w:tc>
      </w:tr>
      <w:tr w14:paraId="67F88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963" w:type="dxa"/>
            <w:vAlign w:val="center"/>
          </w:tcPr>
          <w:p w14:paraId="50B3A97A">
            <w:pPr>
              <w:pStyle w:val="25"/>
              <w:spacing w:line="240" w:lineRule="atLeast"/>
              <w:ind w:left="3920"/>
              <w:jc w:val="center"/>
              <w:rPr>
                <w:rFonts w:ascii="宋体" w:hAnsi="宋体" w:cs="宋体"/>
                <w:color w:val="000000"/>
                <w:sz w:val="21"/>
                <w:szCs w:val="21"/>
              </w:rPr>
            </w:pPr>
            <w:r>
              <w:rPr>
                <w:rFonts w:hint="eastAsia" w:ascii="宋体" w:hAnsi="宋体" w:cs="宋体"/>
                <w:color w:val="000000"/>
                <w:sz w:val="21"/>
                <w:szCs w:val="21"/>
              </w:rPr>
              <w:t>3</w:t>
            </w:r>
          </w:p>
        </w:tc>
        <w:tc>
          <w:tcPr>
            <w:tcW w:w="2414" w:type="dxa"/>
            <w:vAlign w:val="center"/>
          </w:tcPr>
          <w:p w14:paraId="6F563250">
            <w:pPr>
              <w:jc w:val="center"/>
              <w:rPr>
                <w:rFonts w:ascii="宋体" w:hAnsi="宋体" w:cs="宋体"/>
                <w:color w:val="000000"/>
                <w:sz w:val="21"/>
                <w:szCs w:val="21"/>
              </w:rPr>
            </w:pPr>
          </w:p>
        </w:tc>
        <w:tc>
          <w:tcPr>
            <w:tcW w:w="2355" w:type="dxa"/>
          </w:tcPr>
          <w:p w14:paraId="7044BDEF">
            <w:pPr>
              <w:jc w:val="center"/>
              <w:rPr>
                <w:rFonts w:ascii="宋体" w:hAnsi="宋体" w:cs="宋体"/>
                <w:color w:val="000000"/>
                <w:sz w:val="21"/>
                <w:szCs w:val="21"/>
              </w:rPr>
            </w:pPr>
          </w:p>
        </w:tc>
        <w:tc>
          <w:tcPr>
            <w:tcW w:w="1275" w:type="dxa"/>
          </w:tcPr>
          <w:p w14:paraId="5C112B01">
            <w:pPr>
              <w:jc w:val="center"/>
              <w:rPr>
                <w:rFonts w:ascii="宋体" w:hAnsi="宋体" w:cs="宋体"/>
                <w:color w:val="000000"/>
                <w:sz w:val="21"/>
                <w:szCs w:val="21"/>
              </w:rPr>
            </w:pPr>
          </w:p>
        </w:tc>
        <w:tc>
          <w:tcPr>
            <w:tcW w:w="1293" w:type="dxa"/>
          </w:tcPr>
          <w:p w14:paraId="1FFC679F">
            <w:pPr>
              <w:jc w:val="center"/>
              <w:rPr>
                <w:rFonts w:ascii="宋体" w:hAnsi="宋体" w:cs="宋体"/>
                <w:color w:val="000000"/>
                <w:sz w:val="21"/>
                <w:szCs w:val="21"/>
              </w:rPr>
            </w:pPr>
          </w:p>
        </w:tc>
        <w:tc>
          <w:tcPr>
            <w:tcW w:w="1262" w:type="dxa"/>
            <w:vMerge w:val="continue"/>
          </w:tcPr>
          <w:p w14:paraId="7F88A607">
            <w:pPr>
              <w:jc w:val="center"/>
              <w:rPr>
                <w:rFonts w:ascii="宋体" w:hAnsi="宋体" w:cs="宋体"/>
                <w:color w:val="000000"/>
                <w:sz w:val="21"/>
                <w:szCs w:val="21"/>
              </w:rPr>
            </w:pPr>
          </w:p>
        </w:tc>
      </w:tr>
      <w:tr w14:paraId="12858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963" w:type="dxa"/>
            <w:vAlign w:val="center"/>
          </w:tcPr>
          <w:p w14:paraId="4DB44CCC">
            <w:pPr>
              <w:pStyle w:val="25"/>
              <w:spacing w:line="240" w:lineRule="atLeast"/>
              <w:ind w:left="3920"/>
              <w:jc w:val="center"/>
              <w:rPr>
                <w:rFonts w:ascii="宋体" w:hAnsi="宋体" w:cs="宋体"/>
                <w:color w:val="000000"/>
                <w:sz w:val="21"/>
                <w:szCs w:val="21"/>
              </w:rPr>
            </w:pPr>
            <w:r>
              <w:rPr>
                <w:rFonts w:hint="eastAsia" w:ascii="宋体" w:hAnsi="宋体" w:cs="宋体"/>
                <w:color w:val="000000"/>
                <w:sz w:val="21"/>
                <w:szCs w:val="21"/>
              </w:rPr>
              <w:t>4</w:t>
            </w:r>
          </w:p>
        </w:tc>
        <w:tc>
          <w:tcPr>
            <w:tcW w:w="2414" w:type="dxa"/>
            <w:vAlign w:val="center"/>
          </w:tcPr>
          <w:p w14:paraId="7CB9C8FA">
            <w:pPr>
              <w:jc w:val="center"/>
              <w:rPr>
                <w:rFonts w:ascii="宋体" w:hAnsi="宋体" w:cs="宋体"/>
                <w:color w:val="000000"/>
                <w:sz w:val="21"/>
                <w:szCs w:val="21"/>
              </w:rPr>
            </w:pPr>
          </w:p>
        </w:tc>
        <w:tc>
          <w:tcPr>
            <w:tcW w:w="2355" w:type="dxa"/>
          </w:tcPr>
          <w:p w14:paraId="3BB9BB9C">
            <w:pPr>
              <w:jc w:val="center"/>
              <w:rPr>
                <w:rFonts w:ascii="宋体" w:hAnsi="宋体" w:cs="宋体"/>
                <w:color w:val="000000"/>
                <w:sz w:val="21"/>
                <w:szCs w:val="21"/>
              </w:rPr>
            </w:pPr>
          </w:p>
        </w:tc>
        <w:tc>
          <w:tcPr>
            <w:tcW w:w="1275" w:type="dxa"/>
          </w:tcPr>
          <w:p w14:paraId="4F6D8C1C">
            <w:pPr>
              <w:jc w:val="center"/>
              <w:rPr>
                <w:rFonts w:ascii="宋体" w:hAnsi="宋体" w:cs="宋体"/>
                <w:color w:val="000000"/>
                <w:sz w:val="21"/>
                <w:szCs w:val="21"/>
              </w:rPr>
            </w:pPr>
          </w:p>
        </w:tc>
        <w:tc>
          <w:tcPr>
            <w:tcW w:w="1293" w:type="dxa"/>
          </w:tcPr>
          <w:p w14:paraId="7B13BBAB">
            <w:pPr>
              <w:jc w:val="center"/>
              <w:rPr>
                <w:rFonts w:ascii="宋体" w:hAnsi="宋体" w:cs="宋体"/>
                <w:color w:val="000000"/>
                <w:sz w:val="21"/>
                <w:szCs w:val="21"/>
              </w:rPr>
            </w:pPr>
          </w:p>
        </w:tc>
        <w:tc>
          <w:tcPr>
            <w:tcW w:w="1262" w:type="dxa"/>
            <w:vMerge w:val="continue"/>
          </w:tcPr>
          <w:p w14:paraId="0058FD7F">
            <w:pPr>
              <w:jc w:val="center"/>
              <w:rPr>
                <w:rFonts w:ascii="宋体" w:hAnsi="宋体" w:cs="宋体"/>
                <w:color w:val="000000"/>
                <w:sz w:val="21"/>
                <w:szCs w:val="21"/>
              </w:rPr>
            </w:pPr>
          </w:p>
        </w:tc>
      </w:tr>
      <w:tr w14:paraId="04A21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963" w:type="dxa"/>
            <w:vAlign w:val="center"/>
          </w:tcPr>
          <w:p w14:paraId="330BA7BB">
            <w:pPr>
              <w:pStyle w:val="25"/>
              <w:spacing w:line="240" w:lineRule="atLeast"/>
              <w:ind w:left="3920"/>
              <w:jc w:val="center"/>
              <w:rPr>
                <w:rFonts w:ascii="宋体" w:hAnsi="宋体" w:cs="宋体"/>
                <w:color w:val="000000"/>
                <w:sz w:val="21"/>
                <w:szCs w:val="21"/>
              </w:rPr>
            </w:pPr>
            <w:r>
              <w:rPr>
                <w:rFonts w:hint="eastAsia" w:ascii="宋体" w:hAnsi="宋体" w:cs="宋体"/>
                <w:color w:val="000000"/>
                <w:sz w:val="21"/>
                <w:szCs w:val="21"/>
              </w:rPr>
              <w:t>5</w:t>
            </w:r>
          </w:p>
        </w:tc>
        <w:tc>
          <w:tcPr>
            <w:tcW w:w="2414" w:type="dxa"/>
            <w:vAlign w:val="center"/>
          </w:tcPr>
          <w:p w14:paraId="04C576F5">
            <w:pPr>
              <w:jc w:val="center"/>
              <w:rPr>
                <w:rFonts w:ascii="宋体" w:hAnsi="宋体" w:cs="宋体"/>
                <w:color w:val="000000"/>
                <w:sz w:val="21"/>
                <w:szCs w:val="21"/>
              </w:rPr>
            </w:pPr>
          </w:p>
        </w:tc>
        <w:tc>
          <w:tcPr>
            <w:tcW w:w="2355" w:type="dxa"/>
          </w:tcPr>
          <w:p w14:paraId="6BBF37A3">
            <w:pPr>
              <w:jc w:val="center"/>
              <w:rPr>
                <w:rFonts w:ascii="宋体" w:hAnsi="宋体" w:cs="宋体"/>
                <w:color w:val="000000"/>
                <w:sz w:val="21"/>
                <w:szCs w:val="21"/>
              </w:rPr>
            </w:pPr>
          </w:p>
        </w:tc>
        <w:tc>
          <w:tcPr>
            <w:tcW w:w="1275" w:type="dxa"/>
          </w:tcPr>
          <w:p w14:paraId="6D10A119">
            <w:pPr>
              <w:jc w:val="center"/>
              <w:rPr>
                <w:rFonts w:ascii="宋体" w:hAnsi="宋体" w:cs="宋体"/>
                <w:color w:val="000000"/>
                <w:sz w:val="21"/>
                <w:szCs w:val="21"/>
              </w:rPr>
            </w:pPr>
          </w:p>
        </w:tc>
        <w:tc>
          <w:tcPr>
            <w:tcW w:w="1293" w:type="dxa"/>
          </w:tcPr>
          <w:p w14:paraId="2B562E33">
            <w:pPr>
              <w:jc w:val="center"/>
              <w:rPr>
                <w:rFonts w:ascii="宋体" w:hAnsi="宋体" w:cs="宋体"/>
                <w:color w:val="000000"/>
                <w:sz w:val="21"/>
                <w:szCs w:val="21"/>
              </w:rPr>
            </w:pPr>
          </w:p>
        </w:tc>
        <w:tc>
          <w:tcPr>
            <w:tcW w:w="1262" w:type="dxa"/>
            <w:vMerge w:val="continue"/>
          </w:tcPr>
          <w:p w14:paraId="6FFA2354">
            <w:pPr>
              <w:jc w:val="center"/>
              <w:rPr>
                <w:rFonts w:ascii="宋体" w:hAnsi="宋体" w:cs="宋体"/>
                <w:color w:val="000000"/>
                <w:sz w:val="21"/>
                <w:szCs w:val="21"/>
              </w:rPr>
            </w:pPr>
          </w:p>
        </w:tc>
      </w:tr>
      <w:tr w14:paraId="7B0A1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963" w:type="dxa"/>
            <w:vAlign w:val="center"/>
          </w:tcPr>
          <w:p w14:paraId="5C0FEC0C">
            <w:pPr>
              <w:pStyle w:val="25"/>
              <w:spacing w:line="240" w:lineRule="atLeast"/>
              <w:ind w:left="3920"/>
              <w:jc w:val="center"/>
              <w:rPr>
                <w:rFonts w:ascii="宋体" w:hAnsi="宋体" w:cs="宋体"/>
                <w:color w:val="000000"/>
                <w:sz w:val="21"/>
                <w:szCs w:val="21"/>
              </w:rPr>
            </w:pPr>
            <w:r>
              <w:rPr>
                <w:rFonts w:hint="eastAsia" w:ascii="宋体" w:hAnsi="宋体" w:cs="宋体"/>
                <w:color w:val="000000"/>
                <w:sz w:val="21"/>
                <w:szCs w:val="21"/>
              </w:rPr>
              <w:t>6</w:t>
            </w:r>
          </w:p>
        </w:tc>
        <w:tc>
          <w:tcPr>
            <w:tcW w:w="2414" w:type="dxa"/>
            <w:vAlign w:val="center"/>
          </w:tcPr>
          <w:p w14:paraId="0E0B394D">
            <w:pPr>
              <w:jc w:val="center"/>
              <w:rPr>
                <w:rFonts w:ascii="宋体" w:hAnsi="宋体" w:cs="宋体"/>
                <w:color w:val="000000"/>
                <w:sz w:val="21"/>
                <w:szCs w:val="21"/>
              </w:rPr>
            </w:pPr>
          </w:p>
        </w:tc>
        <w:tc>
          <w:tcPr>
            <w:tcW w:w="2355" w:type="dxa"/>
          </w:tcPr>
          <w:p w14:paraId="4584F044">
            <w:pPr>
              <w:jc w:val="center"/>
              <w:rPr>
                <w:rFonts w:ascii="宋体" w:hAnsi="宋体" w:cs="宋体"/>
                <w:color w:val="000000"/>
                <w:sz w:val="21"/>
                <w:szCs w:val="21"/>
              </w:rPr>
            </w:pPr>
          </w:p>
        </w:tc>
        <w:tc>
          <w:tcPr>
            <w:tcW w:w="1275" w:type="dxa"/>
          </w:tcPr>
          <w:p w14:paraId="5D2DC085">
            <w:pPr>
              <w:jc w:val="center"/>
              <w:rPr>
                <w:rFonts w:ascii="宋体" w:hAnsi="宋体" w:cs="宋体"/>
                <w:color w:val="000000"/>
                <w:sz w:val="21"/>
                <w:szCs w:val="21"/>
              </w:rPr>
            </w:pPr>
          </w:p>
        </w:tc>
        <w:tc>
          <w:tcPr>
            <w:tcW w:w="1293" w:type="dxa"/>
          </w:tcPr>
          <w:p w14:paraId="72726E83">
            <w:pPr>
              <w:jc w:val="center"/>
              <w:rPr>
                <w:rFonts w:ascii="宋体" w:hAnsi="宋体" w:cs="宋体"/>
                <w:color w:val="000000"/>
                <w:sz w:val="21"/>
                <w:szCs w:val="21"/>
              </w:rPr>
            </w:pPr>
          </w:p>
        </w:tc>
        <w:tc>
          <w:tcPr>
            <w:tcW w:w="1262" w:type="dxa"/>
            <w:vMerge w:val="continue"/>
          </w:tcPr>
          <w:p w14:paraId="6A32101D">
            <w:pPr>
              <w:jc w:val="center"/>
              <w:rPr>
                <w:rFonts w:ascii="宋体" w:hAnsi="宋体" w:cs="宋体"/>
                <w:color w:val="000000"/>
                <w:sz w:val="21"/>
                <w:szCs w:val="21"/>
              </w:rPr>
            </w:pPr>
          </w:p>
        </w:tc>
      </w:tr>
      <w:tr w14:paraId="26DF2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963" w:type="dxa"/>
            <w:vAlign w:val="center"/>
          </w:tcPr>
          <w:p w14:paraId="613E8B83">
            <w:pPr>
              <w:pStyle w:val="25"/>
              <w:spacing w:line="240" w:lineRule="atLeast"/>
              <w:ind w:left="3920"/>
              <w:jc w:val="center"/>
              <w:rPr>
                <w:rFonts w:ascii="宋体" w:hAnsi="宋体" w:cs="宋体"/>
                <w:color w:val="000000"/>
                <w:sz w:val="21"/>
                <w:szCs w:val="21"/>
              </w:rPr>
            </w:pPr>
            <w:r>
              <w:rPr>
                <w:rFonts w:hint="eastAsia" w:ascii="宋体" w:hAnsi="宋体" w:cs="宋体"/>
                <w:color w:val="000000"/>
                <w:sz w:val="21"/>
                <w:szCs w:val="21"/>
              </w:rPr>
              <w:t>7</w:t>
            </w:r>
          </w:p>
        </w:tc>
        <w:tc>
          <w:tcPr>
            <w:tcW w:w="2414" w:type="dxa"/>
            <w:vAlign w:val="center"/>
          </w:tcPr>
          <w:p w14:paraId="08842634">
            <w:pPr>
              <w:jc w:val="center"/>
              <w:rPr>
                <w:rFonts w:ascii="宋体" w:hAnsi="宋体" w:cs="宋体"/>
                <w:color w:val="000000"/>
                <w:sz w:val="21"/>
                <w:szCs w:val="21"/>
              </w:rPr>
            </w:pPr>
          </w:p>
        </w:tc>
        <w:tc>
          <w:tcPr>
            <w:tcW w:w="2355" w:type="dxa"/>
          </w:tcPr>
          <w:p w14:paraId="2E7173A2">
            <w:pPr>
              <w:jc w:val="center"/>
              <w:rPr>
                <w:rFonts w:ascii="宋体" w:hAnsi="宋体" w:cs="宋体"/>
                <w:color w:val="000000"/>
                <w:sz w:val="21"/>
                <w:szCs w:val="21"/>
              </w:rPr>
            </w:pPr>
          </w:p>
        </w:tc>
        <w:tc>
          <w:tcPr>
            <w:tcW w:w="1275" w:type="dxa"/>
          </w:tcPr>
          <w:p w14:paraId="53BFAA46">
            <w:pPr>
              <w:jc w:val="center"/>
              <w:rPr>
                <w:rFonts w:ascii="宋体" w:hAnsi="宋体" w:cs="宋体"/>
                <w:color w:val="000000"/>
                <w:sz w:val="21"/>
                <w:szCs w:val="21"/>
              </w:rPr>
            </w:pPr>
          </w:p>
        </w:tc>
        <w:tc>
          <w:tcPr>
            <w:tcW w:w="1293" w:type="dxa"/>
          </w:tcPr>
          <w:p w14:paraId="31E34DB2">
            <w:pPr>
              <w:jc w:val="center"/>
              <w:rPr>
                <w:rFonts w:ascii="宋体" w:hAnsi="宋体" w:cs="宋体"/>
                <w:color w:val="000000"/>
                <w:sz w:val="21"/>
                <w:szCs w:val="21"/>
              </w:rPr>
            </w:pPr>
          </w:p>
        </w:tc>
        <w:tc>
          <w:tcPr>
            <w:tcW w:w="1262" w:type="dxa"/>
            <w:vMerge w:val="continue"/>
          </w:tcPr>
          <w:p w14:paraId="6AF5CD9F">
            <w:pPr>
              <w:jc w:val="center"/>
              <w:rPr>
                <w:rFonts w:ascii="宋体" w:hAnsi="宋体" w:cs="宋体"/>
                <w:color w:val="000000"/>
                <w:sz w:val="21"/>
                <w:szCs w:val="21"/>
              </w:rPr>
            </w:pPr>
          </w:p>
        </w:tc>
      </w:tr>
      <w:tr w14:paraId="6FD63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963" w:type="dxa"/>
            <w:vAlign w:val="center"/>
          </w:tcPr>
          <w:p w14:paraId="69C9B088">
            <w:pPr>
              <w:pStyle w:val="25"/>
              <w:spacing w:line="240" w:lineRule="atLeast"/>
              <w:ind w:left="3920"/>
              <w:jc w:val="center"/>
              <w:rPr>
                <w:rFonts w:ascii="宋体" w:hAnsi="宋体" w:cs="宋体"/>
                <w:color w:val="000000"/>
                <w:sz w:val="21"/>
                <w:szCs w:val="21"/>
              </w:rPr>
            </w:pPr>
            <w:r>
              <w:rPr>
                <w:rFonts w:hint="eastAsia" w:ascii="宋体" w:hAnsi="宋体" w:cs="宋体"/>
                <w:color w:val="000000"/>
                <w:sz w:val="21"/>
                <w:szCs w:val="21"/>
              </w:rPr>
              <w:t>8</w:t>
            </w:r>
          </w:p>
        </w:tc>
        <w:tc>
          <w:tcPr>
            <w:tcW w:w="2414" w:type="dxa"/>
            <w:vAlign w:val="center"/>
          </w:tcPr>
          <w:p w14:paraId="424EE89F">
            <w:pPr>
              <w:jc w:val="center"/>
              <w:rPr>
                <w:rFonts w:ascii="宋体" w:hAnsi="宋体" w:cs="宋体"/>
                <w:color w:val="000000"/>
                <w:sz w:val="21"/>
                <w:szCs w:val="21"/>
              </w:rPr>
            </w:pPr>
          </w:p>
        </w:tc>
        <w:tc>
          <w:tcPr>
            <w:tcW w:w="2355" w:type="dxa"/>
          </w:tcPr>
          <w:p w14:paraId="3AB2C39B">
            <w:pPr>
              <w:jc w:val="center"/>
              <w:rPr>
                <w:rFonts w:ascii="宋体" w:hAnsi="宋体" w:cs="宋体"/>
                <w:color w:val="000000"/>
                <w:sz w:val="21"/>
                <w:szCs w:val="21"/>
              </w:rPr>
            </w:pPr>
          </w:p>
        </w:tc>
        <w:tc>
          <w:tcPr>
            <w:tcW w:w="1275" w:type="dxa"/>
          </w:tcPr>
          <w:p w14:paraId="1F080598">
            <w:pPr>
              <w:jc w:val="center"/>
              <w:rPr>
                <w:rFonts w:ascii="宋体" w:hAnsi="宋体" w:cs="宋体"/>
                <w:color w:val="000000"/>
                <w:sz w:val="21"/>
                <w:szCs w:val="21"/>
              </w:rPr>
            </w:pPr>
          </w:p>
        </w:tc>
        <w:tc>
          <w:tcPr>
            <w:tcW w:w="1293" w:type="dxa"/>
          </w:tcPr>
          <w:p w14:paraId="6F5ACDF6">
            <w:pPr>
              <w:jc w:val="center"/>
              <w:rPr>
                <w:rFonts w:ascii="宋体" w:hAnsi="宋体" w:cs="宋体"/>
                <w:color w:val="000000"/>
                <w:sz w:val="21"/>
                <w:szCs w:val="21"/>
              </w:rPr>
            </w:pPr>
          </w:p>
        </w:tc>
        <w:tc>
          <w:tcPr>
            <w:tcW w:w="1262" w:type="dxa"/>
            <w:vMerge w:val="continue"/>
          </w:tcPr>
          <w:p w14:paraId="66E63112">
            <w:pPr>
              <w:jc w:val="center"/>
              <w:rPr>
                <w:rFonts w:ascii="宋体" w:hAnsi="宋体" w:cs="宋体"/>
                <w:color w:val="000000"/>
                <w:sz w:val="21"/>
                <w:szCs w:val="21"/>
              </w:rPr>
            </w:pPr>
          </w:p>
        </w:tc>
      </w:tr>
      <w:tr w14:paraId="70025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963" w:type="dxa"/>
            <w:vAlign w:val="center"/>
          </w:tcPr>
          <w:p w14:paraId="04AA2536">
            <w:pPr>
              <w:pStyle w:val="25"/>
              <w:spacing w:line="240" w:lineRule="atLeast"/>
              <w:ind w:left="3920"/>
              <w:jc w:val="center"/>
              <w:rPr>
                <w:rFonts w:ascii="宋体" w:hAnsi="宋体" w:cs="宋体"/>
                <w:color w:val="000000"/>
                <w:sz w:val="21"/>
                <w:szCs w:val="21"/>
              </w:rPr>
            </w:pPr>
            <w:r>
              <w:rPr>
                <w:rFonts w:hint="eastAsia" w:ascii="宋体" w:hAnsi="宋体" w:cs="宋体"/>
                <w:color w:val="000000"/>
                <w:sz w:val="21"/>
                <w:szCs w:val="21"/>
              </w:rPr>
              <w:t>9</w:t>
            </w:r>
          </w:p>
        </w:tc>
        <w:tc>
          <w:tcPr>
            <w:tcW w:w="2414" w:type="dxa"/>
            <w:vAlign w:val="center"/>
          </w:tcPr>
          <w:p w14:paraId="44C8E713">
            <w:pPr>
              <w:jc w:val="center"/>
              <w:rPr>
                <w:rFonts w:ascii="宋体" w:hAnsi="宋体" w:cs="宋体"/>
                <w:color w:val="000000"/>
                <w:sz w:val="21"/>
                <w:szCs w:val="21"/>
              </w:rPr>
            </w:pPr>
          </w:p>
        </w:tc>
        <w:tc>
          <w:tcPr>
            <w:tcW w:w="2355" w:type="dxa"/>
          </w:tcPr>
          <w:p w14:paraId="1052BAC5">
            <w:pPr>
              <w:jc w:val="center"/>
              <w:rPr>
                <w:rFonts w:ascii="宋体" w:hAnsi="宋体" w:cs="宋体"/>
                <w:color w:val="000000"/>
                <w:sz w:val="21"/>
                <w:szCs w:val="21"/>
              </w:rPr>
            </w:pPr>
          </w:p>
        </w:tc>
        <w:tc>
          <w:tcPr>
            <w:tcW w:w="1275" w:type="dxa"/>
          </w:tcPr>
          <w:p w14:paraId="38BDBBEA">
            <w:pPr>
              <w:jc w:val="center"/>
              <w:rPr>
                <w:rFonts w:ascii="宋体" w:hAnsi="宋体" w:cs="宋体"/>
                <w:color w:val="000000"/>
                <w:sz w:val="21"/>
                <w:szCs w:val="21"/>
              </w:rPr>
            </w:pPr>
          </w:p>
        </w:tc>
        <w:tc>
          <w:tcPr>
            <w:tcW w:w="1293" w:type="dxa"/>
          </w:tcPr>
          <w:p w14:paraId="2ED0C8AF">
            <w:pPr>
              <w:jc w:val="center"/>
              <w:rPr>
                <w:rFonts w:ascii="宋体" w:hAnsi="宋体" w:cs="宋体"/>
                <w:color w:val="000000"/>
                <w:sz w:val="21"/>
                <w:szCs w:val="21"/>
              </w:rPr>
            </w:pPr>
          </w:p>
        </w:tc>
        <w:tc>
          <w:tcPr>
            <w:tcW w:w="1262" w:type="dxa"/>
            <w:vMerge w:val="continue"/>
          </w:tcPr>
          <w:p w14:paraId="1BB054F0">
            <w:pPr>
              <w:jc w:val="center"/>
              <w:rPr>
                <w:rFonts w:ascii="宋体" w:hAnsi="宋体" w:cs="宋体"/>
                <w:color w:val="000000"/>
                <w:sz w:val="21"/>
                <w:szCs w:val="21"/>
              </w:rPr>
            </w:pPr>
          </w:p>
        </w:tc>
      </w:tr>
      <w:tr w14:paraId="52C29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963" w:type="dxa"/>
            <w:vAlign w:val="center"/>
          </w:tcPr>
          <w:p w14:paraId="7315342C">
            <w:pPr>
              <w:pStyle w:val="25"/>
              <w:spacing w:line="240" w:lineRule="atLeast"/>
              <w:ind w:left="3920"/>
              <w:jc w:val="center"/>
              <w:rPr>
                <w:rFonts w:ascii="宋体" w:hAnsi="宋体" w:cs="宋体"/>
                <w:color w:val="000000"/>
                <w:sz w:val="21"/>
                <w:szCs w:val="21"/>
              </w:rPr>
            </w:pPr>
            <w:r>
              <w:rPr>
                <w:rFonts w:hint="eastAsia" w:ascii="宋体" w:hAnsi="宋体" w:cs="宋体"/>
                <w:color w:val="000000"/>
                <w:sz w:val="21"/>
                <w:szCs w:val="21"/>
              </w:rPr>
              <w:t>10</w:t>
            </w:r>
          </w:p>
        </w:tc>
        <w:tc>
          <w:tcPr>
            <w:tcW w:w="2414" w:type="dxa"/>
            <w:vAlign w:val="center"/>
          </w:tcPr>
          <w:p w14:paraId="6668EBE5">
            <w:pPr>
              <w:jc w:val="center"/>
              <w:rPr>
                <w:rFonts w:ascii="宋体" w:hAnsi="宋体" w:cs="宋体"/>
                <w:color w:val="000000"/>
                <w:sz w:val="21"/>
                <w:szCs w:val="21"/>
              </w:rPr>
            </w:pPr>
          </w:p>
        </w:tc>
        <w:tc>
          <w:tcPr>
            <w:tcW w:w="2355" w:type="dxa"/>
          </w:tcPr>
          <w:p w14:paraId="7AB0BCF8">
            <w:pPr>
              <w:jc w:val="center"/>
              <w:rPr>
                <w:rFonts w:ascii="宋体" w:hAnsi="宋体" w:cs="宋体"/>
                <w:color w:val="000000"/>
                <w:sz w:val="21"/>
                <w:szCs w:val="21"/>
              </w:rPr>
            </w:pPr>
          </w:p>
        </w:tc>
        <w:tc>
          <w:tcPr>
            <w:tcW w:w="1275" w:type="dxa"/>
          </w:tcPr>
          <w:p w14:paraId="51A2F25B">
            <w:pPr>
              <w:jc w:val="center"/>
              <w:rPr>
                <w:rFonts w:ascii="宋体" w:hAnsi="宋体" w:cs="宋体"/>
                <w:color w:val="000000"/>
                <w:sz w:val="21"/>
                <w:szCs w:val="21"/>
              </w:rPr>
            </w:pPr>
          </w:p>
        </w:tc>
        <w:tc>
          <w:tcPr>
            <w:tcW w:w="1293" w:type="dxa"/>
          </w:tcPr>
          <w:p w14:paraId="0EC19B6F">
            <w:pPr>
              <w:jc w:val="center"/>
              <w:rPr>
                <w:rFonts w:ascii="宋体" w:hAnsi="宋体" w:cs="宋体"/>
                <w:color w:val="000000"/>
                <w:sz w:val="21"/>
                <w:szCs w:val="21"/>
              </w:rPr>
            </w:pPr>
          </w:p>
        </w:tc>
        <w:tc>
          <w:tcPr>
            <w:tcW w:w="1262" w:type="dxa"/>
            <w:vMerge w:val="continue"/>
          </w:tcPr>
          <w:p w14:paraId="6A659E8B">
            <w:pPr>
              <w:jc w:val="center"/>
              <w:rPr>
                <w:rFonts w:ascii="宋体" w:hAnsi="宋体" w:cs="宋体"/>
                <w:color w:val="000000"/>
                <w:sz w:val="21"/>
                <w:szCs w:val="21"/>
              </w:rPr>
            </w:pPr>
          </w:p>
        </w:tc>
      </w:tr>
      <w:tr w14:paraId="37172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963" w:type="dxa"/>
            <w:vAlign w:val="center"/>
          </w:tcPr>
          <w:p w14:paraId="7FAEC287">
            <w:pPr>
              <w:pStyle w:val="25"/>
              <w:spacing w:line="240" w:lineRule="atLeast"/>
              <w:ind w:left="3920"/>
              <w:jc w:val="center"/>
              <w:rPr>
                <w:rFonts w:ascii="宋体" w:hAnsi="宋体" w:cs="宋体"/>
                <w:color w:val="000000"/>
                <w:sz w:val="21"/>
                <w:szCs w:val="21"/>
              </w:rPr>
            </w:pPr>
            <w:r>
              <w:rPr>
                <w:rFonts w:hint="eastAsia" w:ascii="宋体" w:hAnsi="宋体" w:cs="宋体"/>
                <w:color w:val="000000"/>
                <w:sz w:val="21"/>
                <w:szCs w:val="21"/>
              </w:rPr>
              <w:t>11</w:t>
            </w:r>
          </w:p>
        </w:tc>
        <w:tc>
          <w:tcPr>
            <w:tcW w:w="2414" w:type="dxa"/>
            <w:vAlign w:val="center"/>
          </w:tcPr>
          <w:p w14:paraId="04CA15D2">
            <w:pPr>
              <w:jc w:val="center"/>
              <w:rPr>
                <w:rFonts w:ascii="宋体" w:hAnsi="宋体" w:cs="宋体"/>
                <w:color w:val="000000"/>
                <w:sz w:val="21"/>
                <w:szCs w:val="21"/>
              </w:rPr>
            </w:pPr>
          </w:p>
        </w:tc>
        <w:tc>
          <w:tcPr>
            <w:tcW w:w="2355" w:type="dxa"/>
          </w:tcPr>
          <w:p w14:paraId="1E36E2EF">
            <w:pPr>
              <w:jc w:val="center"/>
              <w:rPr>
                <w:rFonts w:ascii="宋体" w:hAnsi="宋体" w:cs="宋体"/>
                <w:color w:val="000000"/>
                <w:sz w:val="21"/>
                <w:szCs w:val="21"/>
              </w:rPr>
            </w:pPr>
          </w:p>
        </w:tc>
        <w:tc>
          <w:tcPr>
            <w:tcW w:w="1275" w:type="dxa"/>
          </w:tcPr>
          <w:p w14:paraId="056AF0C6">
            <w:pPr>
              <w:jc w:val="center"/>
              <w:rPr>
                <w:rFonts w:ascii="宋体" w:hAnsi="宋体" w:cs="宋体"/>
                <w:color w:val="000000"/>
                <w:sz w:val="21"/>
                <w:szCs w:val="21"/>
              </w:rPr>
            </w:pPr>
          </w:p>
        </w:tc>
        <w:tc>
          <w:tcPr>
            <w:tcW w:w="1293" w:type="dxa"/>
          </w:tcPr>
          <w:p w14:paraId="5CCD8692">
            <w:pPr>
              <w:jc w:val="center"/>
              <w:rPr>
                <w:rFonts w:ascii="宋体" w:hAnsi="宋体" w:cs="宋体"/>
                <w:color w:val="000000"/>
                <w:sz w:val="21"/>
                <w:szCs w:val="21"/>
              </w:rPr>
            </w:pPr>
          </w:p>
        </w:tc>
        <w:tc>
          <w:tcPr>
            <w:tcW w:w="1262" w:type="dxa"/>
            <w:vMerge w:val="continue"/>
          </w:tcPr>
          <w:p w14:paraId="5316D830">
            <w:pPr>
              <w:jc w:val="center"/>
              <w:rPr>
                <w:rFonts w:ascii="宋体" w:hAnsi="宋体" w:cs="宋体"/>
                <w:color w:val="000000"/>
                <w:sz w:val="21"/>
                <w:szCs w:val="21"/>
              </w:rPr>
            </w:pPr>
          </w:p>
        </w:tc>
      </w:tr>
      <w:tr w14:paraId="4C5AF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jc w:val="center"/>
        </w:trPr>
        <w:tc>
          <w:tcPr>
            <w:tcW w:w="963" w:type="dxa"/>
            <w:vAlign w:val="center"/>
          </w:tcPr>
          <w:p w14:paraId="0F858F13">
            <w:pPr>
              <w:pStyle w:val="25"/>
              <w:spacing w:line="240" w:lineRule="atLeast"/>
              <w:ind w:left="3920"/>
              <w:jc w:val="center"/>
              <w:rPr>
                <w:rFonts w:ascii="宋体" w:hAnsi="宋体" w:cs="宋体"/>
                <w:color w:val="000000"/>
                <w:sz w:val="21"/>
                <w:szCs w:val="21"/>
              </w:rPr>
            </w:pPr>
            <w:r>
              <w:rPr>
                <w:rFonts w:hint="eastAsia" w:ascii="宋体" w:hAnsi="宋体" w:cs="宋体"/>
                <w:color w:val="000000"/>
                <w:sz w:val="21"/>
                <w:szCs w:val="21"/>
              </w:rPr>
              <w:t>12</w:t>
            </w:r>
          </w:p>
        </w:tc>
        <w:tc>
          <w:tcPr>
            <w:tcW w:w="2414" w:type="dxa"/>
            <w:vAlign w:val="center"/>
          </w:tcPr>
          <w:p w14:paraId="15925C6C">
            <w:pPr>
              <w:jc w:val="center"/>
              <w:rPr>
                <w:rFonts w:ascii="宋体" w:hAnsi="宋体" w:cs="宋体"/>
                <w:color w:val="000000"/>
                <w:sz w:val="21"/>
                <w:szCs w:val="21"/>
              </w:rPr>
            </w:pPr>
            <w:r>
              <w:rPr>
                <w:rFonts w:hint="eastAsia" w:ascii="宋体" w:hAnsi="宋体" w:cs="宋体"/>
                <w:color w:val="000000"/>
                <w:sz w:val="21"/>
                <w:szCs w:val="21"/>
              </w:rPr>
              <w:t>总计</w:t>
            </w:r>
          </w:p>
        </w:tc>
        <w:tc>
          <w:tcPr>
            <w:tcW w:w="4923" w:type="dxa"/>
            <w:gridSpan w:val="3"/>
          </w:tcPr>
          <w:p w14:paraId="1071195F">
            <w:pPr>
              <w:rPr>
                <w:rFonts w:ascii="宋体" w:hAnsi="宋体" w:cs="宋体"/>
                <w:color w:val="000000"/>
                <w:sz w:val="21"/>
                <w:szCs w:val="21"/>
              </w:rPr>
            </w:pPr>
          </w:p>
        </w:tc>
        <w:tc>
          <w:tcPr>
            <w:tcW w:w="1262" w:type="dxa"/>
          </w:tcPr>
          <w:p w14:paraId="7885A2A2">
            <w:pPr>
              <w:rPr>
                <w:rFonts w:ascii="宋体" w:hAnsi="宋体" w:cs="宋体"/>
                <w:color w:val="000000"/>
                <w:sz w:val="21"/>
                <w:szCs w:val="21"/>
              </w:rPr>
            </w:pPr>
          </w:p>
        </w:tc>
      </w:tr>
    </w:tbl>
    <w:p w14:paraId="5CC02F2D">
      <w:pPr>
        <w:snapToGrid w:val="0"/>
        <w:spacing w:line="500" w:lineRule="exact"/>
        <w:ind w:firstLine="480" w:firstLineChars="200"/>
        <w:rPr>
          <w:rFonts w:hint="eastAsia" w:ascii="宋体" w:hAnsi="宋体" w:cs="宋体"/>
          <w:color w:val="auto"/>
          <w:sz w:val="24"/>
          <w:szCs w:val="28"/>
        </w:rPr>
      </w:pPr>
    </w:p>
    <w:p w14:paraId="5336B870">
      <w:pPr>
        <w:snapToGrid w:val="0"/>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注：1.供应商应完整填写本表。</w:t>
      </w:r>
    </w:p>
    <w:p w14:paraId="65DA3E02">
      <w:pPr>
        <w:snapToGrid w:val="0"/>
        <w:spacing w:line="500" w:lineRule="exact"/>
        <w:rPr>
          <w:rFonts w:hint="eastAsia" w:ascii="宋体" w:hAnsi="宋体" w:cs="宋体"/>
          <w:color w:val="auto"/>
          <w:sz w:val="24"/>
          <w:szCs w:val="28"/>
        </w:rPr>
      </w:pPr>
      <w:r>
        <w:rPr>
          <w:rFonts w:hint="eastAsia" w:ascii="宋体" w:hAnsi="宋体" w:cs="宋体"/>
          <w:color w:val="auto"/>
          <w:sz w:val="24"/>
          <w:szCs w:val="28"/>
        </w:rPr>
        <w:t xml:space="preserve">        2.该表可扩展</w:t>
      </w:r>
      <w:bookmarkStart w:id="658" w:name="OLE_LINK1"/>
      <w:bookmarkStart w:id="659" w:name="OLE_LINK2"/>
      <w:r>
        <w:rPr>
          <w:rFonts w:hint="eastAsia" w:ascii="宋体" w:hAnsi="宋体" w:cs="宋体"/>
          <w:color w:val="auto"/>
          <w:sz w:val="24"/>
          <w:szCs w:val="28"/>
        </w:rPr>
        <w:t>。</w:t>
      </w:r>
      <w:bookmarkEnd w:id="658"/>
      <w:bookmarkEnd w:id="659"/>
    </w:p>
    <w:p w14:paraId="4A40FD54">
      <w:pPr>
        <w:pStyle w:val="39"/>
        <w:rPr>
          <w:rFonts w:hint="eastAsia" w:ascii="宋体" w:hAnsi="宋体" w:cs="宋体"/>
          <w:color w:val="auto"/>
          <w:szCs w:val="24"/>
        </w:rPr>
      </w:pPr>
    </w:p>
    <w:p w14:paraId="22C2C2C8">
      <w:pPr>
        <w:pStyle w:val="39"/>
        <w:rPr>
          <w:rFonts w:hint="eastAsia" w:ascii="宋体" w:hAnsi="宋体" w:cs="宋体"/>
          <w:color w:val="auto"/>
          <w:szCs w:val="24"/>
        </w:rPr>
      </w:pPr>
      <w:r>
        <w:rPr>
          <w:rFonts w:hint="eastAsia" w:ascii="宋体" w:hAnsi="宋体" w:cs="宋体"/>
          <w:color w:val="auto"/>
          <w:szCs w:val="24"/>
        </w:rPr>
        <w:t xml:space="preserve">            </w:t>
      </w:r>
    </w:p>
    <w:p w14:paraId="63F0DC85">
      <w:pPr>
        <w:rPr>
          <w:rFonts w:hint="eastAsia" w:ascii="宋体" w:hAnsi="宋体" w:cs="宋体"/>
          <w:color w:val="auto"/>
        </w:rPr>
      </w:pPr>
    </w:p>
    <w:p w14:paraId="0FDC6C77">
      <w:pPr>
        <w:rPr>
          <w:rFonts w:hint="eastAsia" w:ascii="宋体" w:hAnsi="宋体" w:cs="宋体"/>
          <w:color w:val="auto"/>
        </w:rPr>
      </w:pPr>
    </w:p>
    <w:p w14:paraId="58EBC3CF">
      <w:pPr>
        <w:spacing w:line="360" w:lineRule="auto"/>
        <w:rPr>
          <w:rFonts w:hint="eastAsia" w:ascii="宋体" w:hAnsi="宋体" w:cs="宋体"/>
          <w:color w:val="auto"/>
          <w:sz w:val="24"/>
          <w:szCs w:val="24"/>
        </w:rPr>
      </w:pPr>
      <w:r>
        <w:rPr>
          <w:rFonts w:hint="eastAsia" w:ascii="宋体" w:hAnsi="宋体" w:cs="宋体"/>
          <w:color w:val="auto"/>
          <w:sz w:val="24"/>
          <w:szCs w:val="24"/>
        </w:rPr>
        <w:t xml:space="preserve">                                                供应商名称（公章）或自然人签署：</w:t>
      </w:r>
    </w:p>
    <w:p w14:paraId="500B0EC9">
      <w:pPr>
        <w:spacing w:line="360" w:lineRule="auto"/>
        <w:rPr>
          <w:rFonts w:hint="eastAsia" w:ascii="宋体" w:hAnsi="宋体" w:cs="宋体"/>
          <w:color w:val="auto"/>
        </w:rPr>
      </w:pPr>
    </w:p>
    <w:p w14:paraId="5FB947AC">
      <w:pPr>
        <w:spacing w:line="360" w:lineRule="auto"/>
        <w:ind w:right="480" w:firstLine="6480" w:firstLineChars="2700"/>
        <w:rPr>
          <w:rFonts w:hint="eastAsia" w:ascii="宋体" w:hAnsi="宋体" w:cs="宋体"/>
          <w:color w:val="auto"/>
          <w:sz w:val="24"/>
          <w:szCs w:val="24"/>
        </w:rPr>
      </w:pPr>
      <w:r>
        <w:rPr>
          <w:rFonts w:hint="eastAsia" w:ascii="宋体" w:hAnsi="宋体" w:cs="宋体"/>
          <w:color w:val="auto"/>
          <w:sz w:val="24"/>
          <w:szCs w:val="24"/>
        </w:rPr>
        <w:t>年     月    日</w:t>
      </w:r>
    </w:p>
    <w:p w14:paraId="4F380F7F">
      <w:pPr>
        <w:snapToGrid w:val="0"/>
        <w:spacing w:line="360" w:lineRule="auto"/>
        <w:ind w:firstLine="480" w:firstLineChars="200"/>
        <w:rPr>
          <w:rFonts w:hint="eastAsia" w:ascii="宋体" w:hAnsi="宋体" w:cs="宋体"/>
          <w:color w:val="auto"/>
          <w:sz w:val="24"/>
          <w:szCs w:val="24"/>
          <w:bdr w:val="single" w:color="auto" w:sz="4" w:space="0"/>
        </w:rPr>
        <w:sectPr>
          <w:headerReference r:id="rId9" w:type="default"/>
          <w:pgSz w:w="11907" w:h="16840"/>
          <w:pgMar w:top="1134" w:right="1191" w:bottom="1134" w:left="1304" w:header="851" w:footer="992" w:gutter="0"/>
          <w:pgNumType w:fmt="numberInDash"/>
          <w:cols w:space="720" w:num="1"/>
          <w:docGrid w:linePitch="380" w:charSpace="-5735"/>
        </w:sectPr>
      </w:pPr>
    </w:p>
    <w:p w14:paraId="57B145BF">
      <w:pPr>
        <w:pStyle w:val="5"/>
        <w:adjustRightInd w:val="0"/>
        <w:snapToGrid w:val="0"/>
        <w:spacing w:before="0" w:after="0" w:line="240" w:lineRule="auto"/>
        <w:rPr>
          <w:rFonts w:hint="eastAsia" w:ascii="宋体" w:hAnsi="宋体" w:cs="宋体"/>
          <w:color w:val="auto"/>
        </w:rPr>
      </w:pPr>
      <w:bookmarkStart w:id="660" w:name="_Toc21076"/>
      <w:bookmarkStart w:id="661" w:name="_Toc313008357"/>
      <w:bookmarkStart w:id="662" w:name="_Toc21897"/>
      <w:bookmarkStart w:id="663" w:name="_Toc15013"/>
      <w:bookmarkStart w:id="664" w:name="_Toc31077"/>
      <w:bookmarkStart w:id="665" w:name="_Toc23220"/>
      <w:bookmarkStart w:id="666" w:name="_Toc313888361"/>
      <w:bookmarkStart w:id="667" w:name="_Toc5374"/>
      <w:bookmarkStart w:id="668" w:name="_Toc20852"/>
      <w:bookmarkStart w:id="669" w:name="_Toc16006"/>
      <w:bookmarkStart w:id="670" w:name="_Toc6232"/>
      <w:bookmarkStart w:id="671" w:name="_Toc28875"/>
      <w:bookmarkStart w:id="672" w:name="_Toc9213"/>
      <w:bookmarkStart w:id="673" w:name="_Toc31372"/>
      <w:bookmarkStart w:id="674" w:name="_Toc65662757"/>
      <w:bookmarkStart w:id="675" w:name="_Toc4994"/>
      <w:bookmarkStart w:id="676" w:name="_Toc19183"/>
      <w:bookmarkStart w:id="677" w:name="_Toc11715"/>
      <w:bookmarkStart w:id="678" w:name="_Toc26034"/>
      <w:bookmarkStart w:id="679" w:name="_Toc342913420"/>
      <w:bookmarkStart w:id="680" w:name="_Toc29115"/>
      <w:bookmarkStart w:id="681" w:name="_Toc16137"/>
      <w:r>
        <w:rPr>
          <w:rFonts w:hint="eastAsia" w:ascii="宋体" w:hAnsi="宋体" w:cs="宋体"/>
          <w:color w:val="auto"/>
        </w:rPr>
        <w:t>二、技术部分</w:t>
      </w:r>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p>
    <w:p w14:paraId="67490D46">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（一）技术条款差异表</w:t>
      </w:r>
    </w:p>
    <w:p w14:paraId="7C0E784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 xml:space="preserve">项目号：                             </w:t>
      </w:r>
    </w:p>
    <w:p w14:paraId="7F6BE0B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磋商项目名称：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2969"/>
        <w:gridCol w:w="3081"/>
        <w:gridCol w:w="2307"/>
      </w:tblGrid>
      <w:tr w14:paraId="49285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271" w:type="dxa"/>
            <w:noWrap w:val="0"/>
            <w:vAlign w:val="center"/>
          </w:tcPr>
          <w:p w14:paraId="6B8784A7">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序号</w:t>
            </w:r>
          </w:p>
        </w:tc>
        <w:tc>
          <w:tcPr>
            <w:tcW w:w="2969" w:type="dxa"/>
            <w:noWrap w:val="0"/>
            <w:vAlign w:val="center"/>
          </w:tcPr>
          <w:p w14:paraId="386838FE">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项目技术需求</w:t>
            </w:r>
          </w:p>
        </w:tc>
        <w:tc>
          <w:tcPr>
            <w:tcW w:w="3081" w:type="dxa"/>
            <w:noWrap w:val="0"/>
            <w:vAlign w:val="center"/>
          </w:tcPr>
          <w:p w14:paraId="43B037A1">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技术应答</w:t>
            </w:r>
          </w:p>
        </w:tc>
        <w:tc>
          <w:tcPr>
            <w:tcW w:w="2307" w:type="dxa"/>
            <w:noWrap w:val="0"/>
            <w:vAlign w:val="center"/>
          </w:tcPr>
          <w:p w14:paraId="3CF168E4">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差异说明</w:t>
            </w:r>
          </w:p>
        </w:tc>
      </w:tr>
      <w:tr w14:paraId="17442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12002A41">
            <w:pPr>
              <w:tabs>
                <w:tab w:val="left" w:pos="6300"/>
              </w:tabs>
              <w:snapToGrid w:val="0"/>
              <w:spacing w:line="500" w:lineRule="exact"/>
              <w:jc w:val="center"/>
              <w:rPr>
                <w:rFonts w:hint="eastAsia" w:ascii="宋体" w:hAnsi="宋体" w:cs="宋体"/>
                <w:color w:val="auto"/>
                <w:sz w:val="21"/>
                <w:szCs w:val="21"/>
              </w:rPr>
            </w:pPr>
          </w:p>
        </w:tc>
        <w:tc>
          <w:tcPr>
            <w:tcW w:w="2969" w:type="dxa"/>
            <w:noWrap w:val="0"/>
            <w:vAlign w:val="center"/>
          </w:tcPr>
          <w:p w14:paraId="284C9B5A">
            <w:pPr>
              <w:tabs>
                <w:tab w:val="left" w:pos="6300"/>
              </w:tabs>
              <w:snapToGrid w:val="0"/>
              <w:spacing w:line="500" w:lineRule="exact"/>
              <w:jc w:val="center"/>
              <w:rPr>
                <w:rFonts w:hint="eastAsia" w:ascii="宋体" w:hAnsi="宋体" w:cs="宋体"/>
                <w:color w:val="auto"/>
                <w:sz w:val="21"/>
                <w:szCs w:val="21"/>
              </w:rPr>
            </w:pPr>
          </w:p>
        </w:tc>
        <w:tc>
          <w:tcPr>
            <w:tcW w:w="3081" w:type="dxa"/>
            <w:noWrap w:val="0"/>
            <w:vAlign w:val="center"/>
          </w:tcPr>
          <w:p w14:paraId="380A7AE1">
            <w:pPr>
              <w:tabs>
                <w:tab w:val="left" w:pos="6300"/>
              </w:tabs>
              <w:snapToGrid w:val="0"/>
              <w:spacing w:line="500" w:lineRule="exact"/>
              <w:jc w:val="left"/>
              <w:rPr>
                <w:rFonts w:hint="eastAsia" w:ascii="宋体" w:hAnsi="宋体" w:cs="宋体"/>
                <w:color w:val="auto"/>
                <w:sz w:val="21"/>
                <w:szCs w:val="21"/>
              </w:rPr>
            </w:pPr>
            <w:r>
              <w:rPr>
                <w:rFonts w:hint="eastAsia" w:ascii="宋体" w:hAnsi="宋体" w:cs="宋体"/>
                <w:color w:val="auto"/>
                <w:sz w:val="21"/>
                <w:szCs w:val="21"/>
              </w:rPr>
              <w:t>提醒：请注明技术参数或具体内容以及响应文件中技术参数或具体内容的位置（页码）</w:t>
            </w:r>
          </w:p>
        </w:tc>
        <w:tc>
          <w:tcPr>
            <w:tcW w:w="2307" w:type="dxa"/>
            <w:noWrap w:val="0"/>
            <w:vAlign w:val="center"/>
          </w:tcPr>
          <w:p w14:paraId="04F6AD30">
            <w:pPr>
              <w:tabs>
                <w:tab w:val="left" w:pos="6300"/>
              </w:tabs>
              <w:snapToGrid w:val="0"/>
              <w:spacing w:line="500" w:lineRule="exact"/>
              <w:jc w:val="center"/>
              <w:rPr>
                <w:rFonts w:hint="eastAsia" w:ascii="宋体" w:hAnsi="宋体" w:cs="宋体"/>
                <w:color w:val="auto"/>
                <w:sz w:val="21"/>
                <w:szCs w:val="21"/>
              </w:rPr>
            </w:pPr>
          </w:p>
        </w:tc>
      </w:tr>
      <w:tr w14:paraId="49B0D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65AB23D9">
            <w:pPr>
              <w:tabs>
                <w:tab w:val="left" w:pos="6300"/>
              </w:tabs>
              <w:snapToGrid w:val="0"/>
              <w:spacing w:line="500" w:lineRule="exact"/>
              <w:jc w:val="center"/>
              <w:rPr>
                <w:rFonts w:hint="eastAsia" w:ascii="宋体" w:hAnsi="宋体" w:cs="宋体"/>
                <w:color w:val="auto"/>
                <w:sz w:val="21"/>
                <w:szCs w:val="21"/>
              </w:rPr>
            </w:pPr>
          </w:p>
        </w:tc>
        <w:tc>
          <w:tcPr>
            <w:tcW w:w="2969" w:type="dxa"/>
            <w:noWrap w:val="0"/>
            <w:vAlign w:val="center"/>
          </w:tcPr>
          <w:p w14:paraId="73F1FD90">
            <w:pPr>
              <w:tabs>
                <w:tab w:val="left" w:pos="6300"/>
              </w:tabs>
              <w:snapToGrid w:val="0"/>
              <w:spacing w:line="500" w:lineRule="exact"/>
              <w:jc w:val="center"/>
              <w:rPr>
                <w:rFonts w:hint="eastAsia" w:ascii="宋体" w:hAnsi="宋体" w:cs="宋体"/>
                <w:color w:val="auto"/>
                <w:sz w:val="21"/>
                <w:szCs w:val="21"/>
              </w:rPr>
            </w:pPr>
          </w:p>
        </w:tc>
        <w:tc>
          <w:tcPr>
            <w:tcW w:w="3081" w:type="dxa"/>
            <w:noWrap w:val="0"/>
            <w:vAlign w:val="center"/>
          </w:tcPr>
          <w:p w14:paraId="0CA5193E">
            <w:pPr>
              <w:tabs>
                <w:tab w:val="left" w:pos="6300"/>
              </w:tabs>
              <w:snapToGrid w:val="0"/>
              <w:spacing w:line="500" w:lineRule="exact"/>
              <w:jc w:val="center"/>
              <w:rPr>
                <w:rFonts w:hint="eastAsia" w:ascii="宋体" w:hAnsi="宋体" w:cs="宋体"/>
                <w:color w:val="auto"/>
                <w:sz w:val="21"/>
                <w:szCs w:val="21"/>
              </w:rPr>
            </w:pPr>
          </w:p>
        </w:tc>
        <w:tc>
          <w:tcPr>
            <w:tcW w:w="2307" w:type="dxa"/>
            <w:noWrap w:val="0"/>
            <w:vAlign w:val="center"/>
          </w:tcPr>
          <w:p w14:paraId="6569AC54">
            <w:pPr>
              <w:tabs>
                <w:tab w:val="left" w:pos="6300"/>
              </w:tabs>
              <w:snapToGrid w:val="0"/>
              <w:spacing w:line="500" w:lineRule="exact"/>
              <w:jc w:val="center"/>
              <w:rPr>
                <w:rFonts w:hint="eastAsia" w:ascii="宋体" w:hAnsi="宋体" w:cs="宋体"/>
                <w:color w:val="auto"/>
                <w:sz w:val="21"/>
                <w:szCs w:val="21"/>
              </w:rPr>
            </w:pPr>
          </w:p>
        </w:tc>
      </w:tr>
      <w:tr w14:paraId="35210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41DF4FD9">
            <w:pPr>
              <w:tabs>
                <w:tab w:val="left" w:pos="6300"/>
              </w:tabs>
              <w:snapToGrid w:val="0"/>
              <w:spacing w:line="500" w:lineRule="exact"/>
              <w:jc w:val="center"/>
              <w:rPr>
                <w:rFonts w:hint="eastAsia" w:ascii="宋体" w:hAnsi="宋体" w:cs="宋体"/>
                <w:color w:val="auto"/>
                <w:sz w:val="21"/>
                <w:szCs w:val="21"/>
              </w:rPr>
            </w:pPr>
          </w:p>
        </w:tc>
        <w:tc>
          <w:tcPr>
            <w:tcW w:w="2969" w:type="dxa"/>
            <w:noWrap w:val="0"/>
            <w:vAlign w:val="center"/>
          </w:tcPr>
          <w:p w14:paraId="31190217">
            <w:pPr>
              <w:tabs>
                <w:tab w:val="left" w:pos="6300"/>
              </w:tabs>
              <w:snapToGrid w:val="0"/>
              <w:spacing w:line="500" w:lineRule="exact"/>
              <w:jc w:val="center"/>
              <w:rPr>
                <w:rFonts w:hint="eastAsia" w:ascii="宋体" w:hAnsi="宋体" w:cs="宋体"/>
                <w:color w:val="auto"/>
                <w:sz w:val="21"/>
                <w:szCs w:val="21"/>
              </w:rPr>
            </w:pPr>
          </w:p>
        </w:tc>
        <w:tc>
          <w:tcPr>
            <w:tcW w:w="3081" w:type="dxa"/>
            <w:noWrap w:val="0"/>
            <w:vAlign w:val="center"/>
          </w:tcPr>
          <w:p w14:paraId="4DBD1B87">
            <w:pPr>
              <w:tabs>
                <w:tab w:val="left" w:pos="6300"/>
              </w:tabs>
              <w:snapToGrid w:val="0"/>
              <w:spacing w:line="500" w:lineRule="exact"/>
              <w:jc w:val="center"/>
              <w:rPr>
                <w:rFonts w:hint="eastAsia" w:ascii="宋体" w:hAnsi="宋体" w:cs="宋体"/>
                <w:color w:val="auto"/>
                <w:sz w:val="21"/>
                <w:szCs w:val="21"/>
              </w:rPr>
            </w:pPr>
          </w:p>
        </w:tc>
        <w:tc>
          <w:tcPr>
            <w:tcW w:w="2307" w:type="dxa"/>
            <w:noWrap w:val="0"/>
            <w:vAlign w:val="center"/>
          </w:tcPr>
          <w:p w14:paraId="2FDB20A5">
            <w:pPr>
              <w:tabs>
                <w:tab w:val="left" w:pos="6300"/>
              </w:tabs>
              <w:snapToGrid w:val="0"/>
              <w:spacing w:line="500" w:lineRule="exact"/>
              <w:jc w:val="center"/>
              <w:rPr>
                <w:rFonts w:hint="eastAsia" w:ascii="宋体" w:hAnsi="宋体" w:cs="宋体"/>
                <w:color w:val="auto"/>
                <w:sz w:val="21"/>
                <w:szCs w:val="21"/>
              </w:rPr>
            </w:pPr>
          </w:p>
        </w:tc>
      </w:tr>
      <w:tr w14:paraId="01347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474AF06F">
            <w:pPr>
              <w:tabs>
                <w:tab w:val="left" w:pos="6300"/>
              </w:tabs>
              <w:snapToGrid w:val="0"/>
              <w:spacing w:line="500" w:lineRule="exact"/>
              <w:jc w:val="center"/>
              <w:rPr>
                <w:rFonts w:hint="eastAsia" w:ascii="宋体" w:hAnsi="宋体" w:cs="宋体"/>
                <w:color w:val="auto"/>
                <w:sz w:val="21"/>
                <w:szCs w:val="21"/>
              </w:rPr>
            </w:pPr>
          </w:p>
        </w:tc>
        <w:tc>
          <w:tcPr>
            <w:tcW w:w="2969" w:type="dxa"/>
            <w:noWrap w:val="0"/>
            <w:vAlign w:val="center"/>
          </w:tcPr>
          <w:p w14:paraId="0F37A83A">
            <w:pPr>
              <w:tabs>
                <w:tab w:val="left" w:pos="6300"/>
              </w:tabs>
              <w:snapToGrid w:val="0"/>
              <w:spacing w:line="500" w:lineRule="exact"/>
              <w:jc w:val="center"/>
              <w:rPr>
                <w:rFonts w:hint="eastAsia" w:ascii="宋体" w:hAnsi="宋体" w:cs="宋体"/>
                <w:color w:val="auto"/>
                <w:sz w:val="21"/>
                <w:szCs w:val="21"/>
              </w:rPr>
            </w:pPr>
          </w:p>
        </w:tc>
        <w:tc>
          <w:tcPr>
            <w:tcW w:w="3081" w:type="dxa"/>
            <w:noWrap w:val="0"/>
            <w:vAlign w:val="center"/>
          </w:tcPr>
          <w:p w14:paraId="0D20F02C">
            <w:pPr>
              <w:tabs>
                <w:tab w:val="left" w:pos="6300"/>
              </w:tabs>
              <w:snapToGrid w:val="0"/>
              <w:spacing w:line="500" w:lineRule="exact"/>
              <w:jc w:val="center"/>
              <w:rPr>
                <w:rFonts w:hint="eastAsia" w:ascii="宋体" w:hAnsi="宋体" w:cs="宋体"/>
                <w:color w:val="auto"/>
                <w:sz w:val="21"/>
                <w:szCs w:val="21"/>
              </w:rPr>
            </w:pPr>
          </w:p>
        </w:tc>
        <w:tc>
          <w:tcPr>
            <w:tcW w:w="2307" w:type="dxa"/>
            <w:noWrap w:val="0"/>
            <w:vAlign w:val="center"/>
          </w:tcPr>
          <w:p w14:paraId="64138544">
            <w:pPr>
              <w:tabs>
                <w:tab w:val="left" w:pos="6300"/>
              </w:tabs>
              <w:snapToGrid w:val="0"/>
              <w:spacing w:line="500" w:lineRule="exact"/>
              <w:jc w:val="center"/>
              <w:rPr>
                <w:rFonts w:hint="eastAsia" w:ascii="宋体" w:hAnsi="宋体" w:cs="宋体"/>
                <w:color w:val="auto"/>
                <w:sz w:val="21"/>
                <w:szCs w:val="21"/>
              </w:rPr>
            </w:pPr>
          </w:p>
        </w:tc>
      </w:tr>
      <w:tr w14:paraId="49C41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590D1BDB">
            <w:pPr>
              <w:tabs>
                <w:tab w:val="left" w:pos="6300"/>
              </w:tabs>
              <w:snapToGrid w:val="0"/>
              <w:spacing w:line="500" w:lineRule="exact"/>
              <w:jc w:val="center"/>
              <w:rPr>
                <w:rFonts w:hint="eastAsia" w:ascii="宋体" w:hAnsi="宋体" w:cs="宋体"/>
                <w:color w:val="auto"/>
                <w:sz w:val="21"/>
                <w:szCs w:val="21"/>
              </w:rPr>
            </w:pPr>
          </w:p>
        </w:tc>
        <w:tc>
          <w:tcPr>
            <w:tcW w:w="2969" w:type="dxa"/>
            <w:noWrap w:val="0"/>
            <w:vAlign w:val="center"/>
          </w:tcPr>
          <w:p w14:paraId="0479FC1D">
            <w:pPr>
              <w:tabs>
                <w:tab w:val="left" w:pos="6300"/>
              </w:tabs>
              <w:snapToGrid w:val="0"/>
              <w:spacing w:line="500" w:lineRule="exact"/>
              <w:jc w:val="center"/>
              <w:rPr>
                <w:rFonts w:hint="eastAsia" w:ascii="宋体" w:hAnsi="宋体" w:cs="宋体"/>
                <w:color w:val="auto"/>
                <w:sz w:val="21"/>
                <w:szCs w:val="21"/>
              </w:rPr>
            </w:pPr>
          </w:p>
        </w:tc>
        <w:tc>
          <w:tcPr>
            <w:tcW w:w="3081" w:type="dxa"/>
            <w:noWrap w:val="0"/>
            <w:vAlign w:val="center"/>
          </w:tcPr>
          <w:p w14:paraId="205BF584">
            <w:pPr>
              <w:tabs>
                <w:tab w:val="left" w:pos="6300"/>
              </w:tabs>
              <w:snapToGrid w:val="0"/>
              <w:spacing w:line="500" w:lineRule="exact"/>
              <w:jc w:val="center"/>
              <w:rPr>
                <w:rFonts w:hint="eastAsia" w:ascii="宋体" w:hAnsi="宋体" w:cs="宋体"/>
                <w:color w:val="auto"/>
                <w:sz w:val="21"/>
                <w:szCs w:val="21"/>
              </w:rPr>
            </w:pPr>
          </w:p>
        </w:tc>
        <w:tc>
          <w:tcPr>
            <w:tcW w:w="2307" w:type="dxa"/>
            <w:noWrap w:val="0"/>
            <w:vAlign w:val="center"/>
          </w:tcPr>
          <w:p w14:paraId="76D082A5">
            <w:pPr>
              <w:tabs>
                <w:tab w:val="left" w:pos="6300"/>
              </w:tabs>
              <w:snapToGrid w:val="0"/>
              <w:spacing w:line="500" w:lineRule="exact"/>
              <w:jc w:val="center"/>
              <w:rPr>
                <w:rFonts w:hint="eastAsia" w:ascii="宋体" w:hAnsi="宋体" w:cs="宋体"/>
                <w:color w:val="auto"/>
                <w:sz w:val="21"/>
                <w:szCs w:val="21"/>
              </w:rPr>
            </w:pPr>
          </w:p>
        </w:tc>
      </w:tr>
      <w:tr w14:paraId="22993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5A083E3E">
            <w:pPr>
              <w:tabs>
                <w:tab w:val="left" w:pos="6300"/>
              </w:tabs>
              <w:snapToGrid w:val="0"/>
              <w:spacing w:line="500" w:lineRule="exact"/>
              <w:jc w:val="center"/>
              <w:rPr>
                <w:rFonts w:hint="eastAsia" w:ascii="宋体" w:hAnsi="宋体" w:cs="宋体"/>
                <w:color w:val="auto"/>
                <w:sz w:val="21"/>
                <w:szCs w:val="21"/>
              </w:rPr>
            </w:pPr>
          </w:p>
        </w:tc>
        <w:tc>
          <w:tcPr>
            <w:tcW w:w="2969" w:type="dxa"/>
            <w:noWrap w:val="0"/>
            <w:vAlign w:val="center"/>
          </w:tcPr>
          <w:p w14:paraId="4EB7598E">
            <w:pPr>
              <w:tabs>
                <w:tab w:val="left" w:pos="6300"/>
              </w:tabs>
              <w:snapToGrid w:val="0"/>
              <w:spacing w:line="500" w:lineRule="exact"/>
              <w:jc w:val="center"/>
              <w:rPr>
                <w:rFonts w:hint="eastAsia" w:ascii="宋体" w:hAnsi="宋体" w:cs="宋体"/>
                <w:color w:val="auto"/>
                <w:sz w:val="21"/>
                <w:szCs w:val="21"/>
              </w:rPr>
            </w:pPr>
          </w:p>
        </w:tc>
        <w:tc>
          <w:tcPr>
            <w:tcW w:w="3081" w:type="dxa"/>
            <w:noWrap w:val="0"/>
            <w:vAlign w:val="center"/>
          </w:tcPr>
          <w:p w14:paraId="4BC65001">
            <w:pPr>
              <w:tabs>
                <w:tab w:val="left" w:pos="6300"/>
              </w:tabs>
              <w:snapToGrid w:val="0"/>
              <w:spacing w:line="500" w:lineRule="exact"/>
              <w:jc w:val="center"/>
              <w:rPr>
                <w:rFonts w:hint="eastAsia" w:ascii="宋体" w:hAnsi="宋体" w:cs="宋体"/>
                <w:color w:val="auto"/>
                <w:sz w:val="21"/>
                <w:szCs w:val="21"/>
              </w:rPr>
            </w:pPr>
          </w:p>
        </w:tc>
        <w:tc>
          <w:tcPr>
            <w:tcW w:w="2307" w:type="dxa"/>
            <w:noWrap w:val="0"/>
            <w:vAlign w:val="center"/>
          </w:tcPr>
          <w:p w14:paraId="754E53FD">
            <w:pPr>
              <w:tabs>
                <w:tab w:val="left" w:pos="6300"/>
              </w:tabs>
              <w:snapToGrid w:val="0"/>
              <w:spacing w:line="500" w:lineRule="exact"/>
              <w:jc w:val="center"/>
              <w:rPr>
                <w:rFonts w:hint="eastAsia" w:ascii="宋体" w:hAnsi="宋体" w:cs="宋体"/>
                <w:color w:val="auto"/>
                <w:sz w:val="21"/>
                <w:szCs w:val="21"/>
              </w:rPr>
            </w:pPr>
          </w:p>
        </w:tc>
      </w:tr>
      <w:tr w14:paraId="540C8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72416577">
            <w:pPr>
              <w:tabs>
                <w:tab w:val="left" w:pos="6300"/>
              </w:tabs>
              <w:snapToGrid w:val="0"/>
              <w:spacing w:line="500" w:lineRule="exact"/>
              <w:jc w:val="center"/>
              <w:rPr>
                <w:rFonts w:hint="eastAsia" w:ascii="宋体" w:hAnsi="宋体" w:cs="宋体"/>
                <w:color w:val="auto"/>
                <w:sz w:val="21"/>
                <w:szCs w:val="21"/>
              </w:rPr>
            </w:pPr>
          </w:p>
        </w:tc>
        <w:tc>
          <w:tcPr>
            <w:tcW w:w="2969" w:type="dxa"/>
            <w:noWrap w:val="0"/>
            <w:vAlign w:val="center"/>
          </w:tcPr>
          <w:p w14:paraId="5EE35F80">
            <w:pPr>
              <w:tabs>
                <w:tab w:val="left" w:pos="6300"/>
              </w:tabs>
              <w:snapToGrid w:val="0"/>
              <w:spacing w:line="500" w:lineRule="exact"/>
              <w:jc w:val="center"/>
              <w:rPr>
                <w:rFonts w:hint="eastAsia" w:ascii="宋体" w:hAnsi="宋体" w:cs="宋体"/>
                <w:color w:val="auto"/>
                <w:sz w:val="21"/>
                <w:szCs w:val="21"/>
              </w:rPr>
            </w:pPr>
          </w:p>
        </w:tc>
        <w:tc>
          <w:tcPr>
            <w:tcW w:w="3081" w:type="dxa"/>
            <w:noWrap w:val="0"/>
            <w:vAlign w:val="center"/>
          </w:tcPr>
          <w:p w14:paraId="4ADCA42A">
            <w:pPr>
              <w:tabs>
                <w:tab w:val="left" w:pos="6300"/>
              </w:tabs>
              <w:snapToGrid w:val="0"/>
              <w:spacing w:line="500" w:lineRule="exact"/>
              <w:jc w:val="center"/>
              <w:rPr>
                <w:rFonts w:hint="eastAsia" w:ascii="宋体" w:hAnsi="宋体" w:cs="宋体"/>
                <w:color w:val="auto"/>
                <w:sz w:val="21"/>
                <w:szCs w:val="21"/>
              </w:rPr>
            </w:pPr>
          </w:p>
        </w:tc>
        <w:tc>
          <w:tcPr>
            <w:tcW w:w="2307" w:type="dxa"/>
            <w:noWrap w:val="0"/>
            <w:vAlign w:val="center"/>
          </w:tcPr>
          <w:p w14:paraId="5AEE2837">
            <w:pPr>
              <w:tabs>
                <w:tab w:val="left" w:pos="6300"/>
              </w:tabs>
              <w:snapToGrid w:val="0"/>
              <w:spacing w:line="500" w:lineRule="exact"/>
              <w:jc w:val="center"/>
              <w:rPr>
                <w:rFonts w:hint="eastAsia" w:ascii="宋体" w:hAnsi="宋体" w:cs="宋体"/>
                <w:color w:val="auto"/>
                <w:sz w:val="21"/>
                <w:szCs w:val="21"/>
              </w:rPr>
            </w:pPr>
          </w:p>
        </w:tc>
      </w:tr>
      <w:tr w14:paraId="4AF34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5630E79B">
            <w:pPr>
              <w:tabs>
                <w:tab w:val="left" w:pos="6300"/>
              </w:tabs>
              <w:snapToGrid w:val="0"/>
              <w:spacing w:line="500" w:lineRule="exact"/>
              <w:jc w:val="center"/>
              <w:rPr>
                <w:rFonts w:hint="eastAsia" w:ascii="宋体" w:hAnsi="宋体" w:cs="宋体"/>
                <w:color w:val="auto"/>
                <w:sz w:val="21"/>
                <w:szCs w:val="21"/>
              </w:rPr>
            </w:pPr>
          </w:p>
        </w:tc>
        <w:tc>
          <w:tcPr>
            <w:tcW w:w="2969" w:type="dxa"/>
            <w:noWrap w:val="0"/>
            <w:vAlign w:val="center"/>
          </w:tcPr>
          <w:p w14:paraId="67DB6D5C">
            <w:pPr>
              <w:tabs>
                <w:tab w:val="left" w:pos="6300"/>
              </w:tabs>
              <w:snapToGrid w:val="0"/>
              <w:spacing w:line="500" w:lineRule="exact"/>
              <w:jc w:val="center"/>
              <w:rPr>
                <w:rFonts w:hint="eastAsia" w:ascii="宋体" w:hAnsi="宋体" w:cs="宋体"/>
                <w:color w:val="auto"/>
                <w:sz w:val="21"/>
                <w:szCs w:val="21"/>
              </w:rPr>
            </w:pPr>
          </w:p>
        </w:tc>
        <w:tc>
          <w:tcPr>
            <w:tcW w:w="3081" w:type="dxa"/>
            <w:noWrap w:val="0"/>
            <w:vAlign w:val="center"/>
          </w:tcPr>
          <w:p w14:paraId="07623853">
            <w:pPr>
              <w:tabs>
                <w:tab w:val="left" w:pos="6300"/>
              </w:tabs>
              <w:snapToGrid w:val="0"/>
              <w:spacing w:line="500" w:lineRule="exact"/>
              <w:jc w:val="center"/>
              <w:rPr>
                <w:rFonts w:hint="eastAsia" w:ascii="宋体" w:hAnsi="宋体" w:cs="宋体"/>
                <w:color w:val="auto"/>
                <w:sz w:val="21"/>
                <w:szCs w:val="21"/>
              </w:rPr>
            </w:pPr>
          </w:p>
        </w:tc>
        <w:tc>
          <w:tcPr>
            <w:tcW w:w="2307" w:type="dxa"/>
            <w:noWrap w:val="0"/>
            <w:vAlign w:val="center"/>
          </w:tcPr>
          <w:p w14:paraId="3BF829C9">
            <w:pPr>
              <w:tabs>
                <w:tab w:val="left" w:pos="6300"/>
              </w:tabs>
              <w:snapToGrid w:val="0"/>
              <w:spacing w:line="500" w:lineRule="exact"/>
              <w:jc w:val="center"/>
              <w:rPr>
                <w:rFonts w:hint="eastAsia" w:ascii="宋体" w:hAnsi="宋体" w:cs="宋体"/>
                <w:color w:val="auto"/>
                <w:sz w:val="21"/>
                <w:szCs w:val="21"/>
              </w:rPr>
            </w:pPr>
          </w:p>
        </w:tc>
      </w:tr>
      <w:tr w14:paraId="04284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48FE43C1">
            <w:pPr>
              <w:tabs>
                <w:tab w:val="left" w:pos="6300"/>
              </w:tabs>
              <w:snapToGrid w:val="0"/>
              <w:spacing w:line="500" w:lineRule="exact"/>
              <w:jc w:val="center"/>
              <w:rPr>
                <w:rFonts w:hint="eastAsia" w:ascii="宋体" w:hAnsi="宋体" w:cs="宋体"/>
                <w:color w:val="auto"/>
                <w:sz w:val="21"/>
                <w:szCs w:val="21"/>
              </w:rPr>
            </w:pPr>
          </w:p>
        </w:tc>
        <w:tc>
          <w:tcPr>
            <w:tcW w:w="2969" w:type="dxa"/>
            <w:noWrap w:val="0"/>
            <w:vAlign w:val="center"/>
          </w:tcPr>
          <w:p w14:paraId="6C74453E">
            <w:pPr>
              <w:tabs>
                <w:tab w:val="left" w:pos="6300"/>
              </w:tabs>
              <w:snapToGrid w:val="0"/>
              <w:spacing w:line="500" w:lineRule="exact"/>
              <w:jc w:val="center"/>
              <w:rPr>
                <w:rFonts w:hint="eastAsia" w:ascii="宋体" w:hAnsi="宋体" w:cs="宋体"/>
                <w:color w:val="auto"/>
                <w:sz w:val="21"/>
                <w:szCs w:val="21"/>
              </w:rPr>
            </w:pPr>
          </w:p>
        </w:tc>
        <w:tc>
          <w:tcPr>
            <w:tcW w:w="3081" w:type="dxa"/>
            <w:noWrap w:val="0"/>
            <w:vAlign w:val="center"/>
          </w:tcPr>
          <w:p w14:paraId="498DF6F2">
            <w:pPr>
              <w:tabs>
                <w:tab w:val="left" w:pos="6300"/>
              </w:tabs>
              <w:snapToGrid w:val="0"/>
              <w:spacing w:line="500" w:lineRule="exact"/>
              <w:jc w:val="center"/>
              <w:rPr>
                <w:rFonts w:hint="eastAsia" w:ascii="宋体" w:hAnsi="宋体" w:cs="宋体"/>
                <w:color w:val="auto"/>
                <w:sz w:val="21"/>
                <w:szCs w:val="21"/>
              </w:rPr>
            </w:pPr>
          </w:p>
        </w:tc>
        <w:tc>
          <w:tcPr>
            <w:tcW w:w="2307" w:type="dxa"/>
            <w:noWrap w:val="0"/>
            <w:vAlign w:val="center"/>
          </w:tcPr>
          <w:p w14:paraId="3FB386BD">
            <w:pPr>
              <w:tabs>
                <w:tab w:val="left" w:pos="6300"/>
              </w:tabs>
              <w:snapToGrid w:val="0"/>
              <w:spacing w:line="500" w:lineRule="exact"/>
              <w:jc w:val="center"/>
              <w:rPr>
                <w:rFonts w:hint="eastAsia" w:ascii="宋体" w:hAnsi="宋体" w:cs="宋体"/>
                <w:color w:val="auto"/>
                <w:sz w:val="21"/>
                <w:szCs w:val="21"/>
              </w:rPr>
            </w:pPr>
          </w:p>
        </w:tc>
      </w:tr>
      <w:tr w14:paraId="3525C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271" w:type="dxa"/>
            <w:noWrap w:val="0"/>
            <w:vAlign w:val="center"/>
          </w:tcPr>
          <w:p w14:paraId="7A017C20">
            <w:pPr>
              <w:tabs>
                <w:tab w:val="left" w:pos="6300"/>
              </w:tabs>
              <w:snapToGrid w:val="0"/>
              <w:spacing w:line="500" w:lineRule="exact"/>
              <w:jc w:val="center"/>
              <w:outlineLvl w:val="0"/>
              <w:rPr>
                <w:rFonts w:hint="eastAsia" w:ascii="宋体" w:hAnsi="宋体" w:cs="宋体"/>
                <w:color w:val="auto"/>
                <w:sz w:val="21"/>
                <w:szCs w:val="21"/>
              </w:rPr>
            </w:pPr>
          </w:p>
        </w:tc>
        <w:tc>
          <w:tcPr>
            <w:tcW w:w="2969" w:type="dxa"/>
            <w:noWrap w:val="0"/>
            <w:vAlign w:val="center"/>
          </w:tcPr>
          <w:p w14:paraId="21C6A64F">
            <w:pPr>
              <w:tabs>
                <w:tab w:val="left" w:pos="6300"/>
              </w:tabs>
              <w:snapToGrid w:val="0"/>
              <w:spacing w:line="500" w:lineRule="exact"/>
              <w:jc w:val="center"/>
              <w:outlineLvl w:val="0"/>
              <w:rPr>
                <w:rFonts w:hint="eastAsia" w:ascii="宋体" w:hAnsi="宋体" w:cs="宋体"/>
                <w:color w:val="auto"/>
                <w:sz w:val="21"/>
                <w:szCs w:val="21"/>
              </w:rPr>
            </w:pPr>
          </w:p>
        </w:tc>
        <w:tc>
          <w:tcPr>
            <w:tcW w:w="3081" w:type="dxa"/>
            <w:noWrap w:val="0"/>
            <w:vAlign w:val="center"/>
          </w:tcPr>
          <w:p w14:paraId="1F0054A2">
            <w:pPr>
              <w:tabs>
                <w:tab w:val="left" w:pos="6300"/>
              </w:tabs>
              <w:snapToGrid w:val="0"/>
              <w:spacing w:line="500" w:lineRule="exact"/>
              <w:jc w:val="center"/>
              <w:outlineLvl w:val="0"/>
              <w:rPr>
                <w:rFonts w:hint="eastAsia" w:ascii="宋体" w:hAnsi="宋体" w:cs="宋体"/>
                <w:color w:val="auto"/>
                <w:sz w:val="21"/>
                <w:szCs w:val="21"/>
              </w:rPr>
            </w:pPr>
          </w:p>
        </w:tc>
        <w:tc>
          <w:tcPr>
            <w:tcW w:w="2307" w:type="dxa"/>
            <w:noWrap w:val="0"/>
            <w:vAlign w:val="center"/>
          </w:tcPr>
          <w:p w14:paraId="51D4B44D">
            <w:pPr>
              <w:tabs>
                <w:tab w:val="left" w:pos="6300"/>
              </w:tabs>
              <w:snapToGrid w:val="0"/>
              <w:spacing w:line="500" w:lineRule="exact"/>
              <w:jc w:val="center"/>
              <w:outlineLvl w:val="0"/>
              <w:rPr>
                <w:rFonts w:hint="eastAsia" w:ascii="宋体" w:hAnsi="宋体" w:cs="宋体"/>
                <w:color w:val="auto"/>
                <w:sz w:val="21"/>
                <w:szCs w:val="21"/>
              </w:rPr>
            </w:pPr>
          </w:p>
        </w:tc>
      </w:tr>
    </w:tbl>
    <w:p w14:paraId="279F6B40">
      <w:pPr>
        <w:tabs>
          <w:tab w:val="left" w:pos="6300"/>
        </w:tabs>
        <w:snapToGrid w:val="0"/>
        <w:spacing w:line="500" w:lineRule="exact"/>
        <w:ind w:firstLine="570"/>
        <w:rPr>
          <w:rFonts w:hint="eastAsia" w:ascii="宋体" w:hAnsi="宋体" w:cs="宋体"/>
          <w:color w:val="auto"/>
          <w:sz w:val="24"/>
        </w:rPr>
      </w:pPr>
    </w:p>
    <w:p w14:paraId="38AA1594">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供应商：                            法定代表人（或其授权代表）或自然人：</w:t>
      </w:r>
    </w:p>
    <w:p w14:paraId="6F9326E5">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 xml:space="preserve">    </w:t>
      </w:r>
    </w:p>
    <w:p w14:paraId="0CA1CFFA">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（供应商公章）                               （签署或盖章）</w:t>
      </w:r>
    </w:p>
    <w:p w14:paraId="1630CDB6">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sz w:val="24"/>
        </w:rPr>
        <w:t xml:space="preserve">                                              年     月     日</w:t>
      </w:r>
    </w:p>
    <w:p w14:paraId="095BC58B">
      <w:pPr>
        <w:tabs>
          <w:tab w:val="left" w:pos="6300"/>
        </w:tabs>
        <w:snapToGrid w:val="0"/>
        <w:spacing w:line="500" w:lineRule="exact"/>
        <w:ind w:firstLine="570"/>
        <w:rPr>
          <w:rFonts w:hint="eastAsia" w:ascii="宋体" w:hAnsi="宋体" w:cs="宋体"/>
          <w:color w:val="auto"/>
          <w:sz w:val="24"/>
        </w:rPr>
      </w:pPr>
    </w:p>
    <w:p w14:paraId="78BC96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273C6E47">
      <w:pPr>
        <w:tabs>
          <w:tab w:val="left" w:pos="6300"/>
        </w:tabs>
        <w:snapToGrid w:val="0"/>
        <w:spacing w:line="5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1.本表即为对本项目“第二篇  项目技术需求”中所列条款进行比较和响应；</w:t>
      </w:r>
    </w:p>
    <w:p w14:paraId="5991D985">
      <w:pPr>
        <w:tabs>
          <w:tab w:val="left" w:pos="6300"/>
        </w:tabs>
        <w:snapToGrid w:val="0"/>
        <w:spacing w:line="500" w:lineRule="exact"/>
        <w:ind w:firstLine="480" w:firstLineChars="200"/>
        <w:rPr>
          <w:rFonts w:hint="eastAsia" w:ascii="宋体" w:hAnsi="宋体" w:cs="宋体"/>
          <w:color w:val="auto"/>
          <w:sz w:val="24"/>
          <w:szCs w:val="24"/>
        </w:rPr>
      </w:pPr>
      <w:r>
        <w:rPr>
          <w:rFonts w:hint="eastAsia" w:ascii="宋体" w:hAnsi="宋体" w:cs="宋体"/>
          <w:color w:val="auto"/>
          <w:sz w:val="24"/>
        </w:rPr>
        <w:t>2.本表可扩展</w:t>
      </w:r>
      <w:r>
        <w:rPr>
          <w:rFonts w:hint="eastAsia" w:ascii="宋体" w:hAnsi="宋体" w:cs="宋体"/>
          <w:color w:val="auto"/>
          <w:sz w:val="24"/>
          <w:szCs w:val="24"/>
        </w:rPr>
        <w:t>；</w:t>
      </w:r>
    </w:p>
    <w:p w14:paraId="7D894145">
      <w:pPr>
        <w:tabs>
          <w:tab w:val="left" w:pos="6300"/>
        </w:tabs>
        <w:snapToGrid w:val="0"/>
        <w:spacing w:line="500" w:lineRule="exact"/>
        <w:ind w:firstLine="480" w:firstLineChars="200"/>
        <w:rPr>
          <w:rFonts w:hint="eastAsia" w:ascii="宋体" w:hAnsi="宋体" w:cs="宋体"/>
          <w:color w:val="auto"/>
          <w:sz w:val="24"/>
          <w:szCs w:val="24"/>
        </w:rPr>
      </w:pPr>
    </w:p>
    <w:p w14:paraId="6ABABDEB">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szCs w:val="24"/>
        </w:rPr>
        <w:br w:type="page"/>
      </w:r>
      <w:r>
        <w:rPr>
          <w:rFonts w:hint="eastAsia" w:ascii="宋体" w:hAnsi="宋体" w:cs="宋体"/>
          <w:color w:val="auto"/>
          <w:sz w:val="24"/>
          <w:szCs w:val="24"/>
        </w:rPr>
        <w:t>（二）其他资料（格式自定）</w:t>
      </w:r>
    </w:p>
    <w:p w14:paraId="5B75B0FB">
      <w:pPr>
        <w:tabs>
          <w:tab w:val="left" w:pos="6300"/>
        </w:tabs>
        <w:snapToGrid w:val="0"/>
        <w:spacing w:line="500" w:lineRule="exact"/>
        <w:ind w:firstLine="480" w:firstLineChars="200"/>
        <w:rPr>
          <w:rFonts w:hint="eastAsia" w:ascii="宋体" w:hAnsi="宋体" w:cs="宋体"/>
          <w:color w:val="auto"/>
          <w:sz w:val="24"/>
        </w:rPr>
      </w:pPr>
    </w:p>
    <w:p w14:paraId="78036D63">
      <w:pPr>
        <w:pStyle w:val="5"/>
        <w:adjustRightInd w:val="0"/>
        <w:snapToGrid w:val="0"/>
        <w:spacing w:before="0" w:after="0" w:line="400" w:lineRule="exact"/>
        <w:ind w:firstLine="480" w:firstLineChars="200"/>
        <w:rPr>
          <w:rFonts w:hint="eastAsia" w:ascii="宋体" w:hAnsi="宋体" w:cs="宋体"/>
          <w:color w:val="auto"/>
        </w:rPr>
      </w:pPr>
      <w:r>
        <w:rPr>
          <w:rFonts w:hint="eastAsia" w:ascii="宋体" w:hAnsi="宋体" w:cs="宋体"/>
          <w:b w:val="0"/>
          <w:color w:val="auto"/>
        </w:rPr>
        <w:br w:type="page"/>
      </w:r>
      <w:bookmarkStart w:id="682" w:name="_Toc11324"/>
      <w:bookmarkStart w:id="683" w:name="_Toc25403"/>
      <w:bookmarkStart w:id="684" w:name="_Toc31137"/>
      <w:bookmarkStart w:id="685" w:name="_Toc8608"/>
      <w:bookmarkStart w:id="686" w:name="_Toc6814"/>
      <w:bookmarkStart w:id="687" w:name="_Toc65662758"/>
      <w:bookmarkStart w:id="688" w:name="_Toc26544"/>
      <w:bookmarkStart w:id="689" w:name="_Toc3871"/>
      <w:bookmarkStart w:id="690" w:name="_Toc2711"/>
      <w:bookmarkStart w:id="691" w:name="_Toc28039"/>
      <w:bookmarkStart w:id="692" w:name="_Toc19625"/>
      <w:bookmarkStart w:id="693" w:name="_Toc342913421"/>
      <w:bookmarkStart w:id="694" w:name="_Toc2212"/>
      <w:bookmarkStart w:id="695" w:name="_Toc313008358"/>
      <w:bookmarkStart w:id="696" w:name="_Toc28605"/>
      <w:bookmarkStart w:id="697" w:name="_Toc13629"/>
      <w:bookmarkStart w:id="698" w:name="_Toc313888362"/>
      <w:bookmarkStart w:id="699" w:name="_Toc18638"/>
      <w:bookmarkStart w:id="700" w:name="_Toc16278"/>
      <w:bookmarkStart w:id="701" w:name="_Toc23757"/>
      <w:bookmarkStart w:id="702" w:name="_Toc1456"/>
      <w:bookmarkStart w:id="703" w:name="_Toc12627"/>
      <w:r>
        <w:rPr>
          <w:rFonts w:hint="eastAsia" w:ascii="宋体" w:hAnsi="宋体" w:cs="宋体"/>
          <w:color w:val="auto"/>
        </w:rPr>
        <w:t>三、商务部分</w:t>
      </w:r>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p>
    <w:p w14:paraId="5C19628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（一）商务响应偏离表</w:t>
      </w:r>
    </w:p>
    <w:p w14:paraId="20156A6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 xml:space="preserve">项目号：                              </w:t>
      </w:r>
    </w:p>
    <w:p w14:paraId="7232F902">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 xml:space="preserve">磋商项目名称： </w:t>
      </w:r>
    </w:p>
    <w:tbl>
      <w:tblPr>
        <w:tblStyle w:val="5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2837"/>
        <w:gridCol w:w="2776"/>
        <w:gridCol w:w="2355"/>
      </w:tblGrid>
      <w:tr w14:paraId="2E509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10" w:type="dxa"/>
            <w:noWrap w:val="0"/>
            <w:vAlign w:val="center"/>
          </w:tcPr>
          <w:p w14:paraId="22BA2E57">
            <w:pPr>
              <w:snapToGrid w:val="0"/>
              <w:spacing w:line="360" w:lineRule="auto"/>
              <w:ind w:firstLine="465"/>
              <w:rPr>
                <w:rFonts w:hint="eastAsia" w:ascii="宋体" w:hAnsi="宋体" w:cs="宋体"/>
                <w:color w:val="auto"/>
                <w:sz w:val="21"/>
                <w:szCs w:val="24"/>
              </w:rPr>
            </w:pPr>
            <w:r>
              <w:rPr>
                <w:rFonts w:hint="eastAsia" w:ascii="宋体" w:hAnsi="宋体" w:cs="宋体"/>
                <w:color w:val="auto"/>
                <w:sz w:val="21"/>
                <w:szCs w:val="24"/>
              </w:rPr>
              <w:t>序号</w:t>
            </w:r>
          </w:p>
        </w:tc>
        <w:tc>
          <w:tcPr>
            <w:tcW w:w="2837" w:type="dxa"/>
            <w:noWrap w:val="0"/>
            <w:vAlign w:val="center"/>
          </w:tcPr>
          <w:p w14:paraId="13486BEA">
            <w:pPr>
              <w:tabs>
                <w:tab w:val="left" w:pos="6300"/>
              </w:tabs>
              <w:snapToGrid w:val="0"/>
              <w:spacing w:line="360" w:lineRule="auto"/>
              <w:jc w:val="center"/>
              <w:rPr>
                <w:rFonts w:hint="eastAsia" w:ascii="宋体" w:hAnsi="宋体" w:cs="宋体"/>
                <w:color w:val="auto"/>
                <w:sz w:val="21"/>
                <w:szCs w:val="24"/>
              </w:rPr>
            </w:pPr>
            <w:r>
              <w:rPr>
                <w:rFonts w:hint="eastAsia" w:ascii="宋体" w:hAnsi="宋体" w:cs="宋体"/>
                <w:color w:val="auto"/>
                <w:sz w:val="21"/>
                <w:szCs w:val="24"/>
              </w:rPr>
              <w:t>项目商务需求</w:t>
            </w:r>
          </w:p>
        </w:tc>
        <w:tc>
          <w:tcPr>
            <w:tcW w:w="2776" w:type="dxa"/>
            <w:noWrap w:val="0"/>
            <w:vAlign w:val="center"/>
          </w:tcPr>
          <w:p w14:paraId="5DD08E7F">
            <w:pPr>
              <w:tabs>
                <w:tab w:val="left" w:pos="6300"/>
              </w:tabs>
              <w:snapToGrid w:val="0"/>
              <w:spacing w:line="360" w:lineRule="auto"/>
              <w:jc w:val="center"/>
              <w:rPr>
                <w:rFonts w:hint="eastAsia" w:ascii="宋体" w:hAnsi="宋体" w:cs="宋体"/>
                <w:color w:val="auto"/>
                <w:sz w:val="21"/>
                <w:szCs w:val="24"/>
              </w:rPr>
            </w:pPr>
            <w:r>
              <w:rPr>
                <w:rFonts w:hint="eastAsia" w:ascii="宋体" w:hAnsi="宋体" w:cs="宋体"/>
                <w:color w:val="auto"/>
                <w:sz w:val="21"/>
                <w:szCs w:val="24"/>
              </w:rPr>
              <w:t>响应情况</w:t>
            </w:r>
          </w:p>
        </w:tc>
        <w:tc>
          <w:tcPr>
            <w:tcW w:w="2355" w:type="dxa"/>
            <w:noWrap w:val="0"/>
            <w:vAlign w:val="center"/>
          </w:tcPr>
          <w:p w14:paraId="2F937C1F">
            <w:pPr>
              <w:tabs>
                <w:tab w:val="left" w:pos="6300"/>
              </w:tabs>
              <w:snapToGrid w:val="0"/>
              <w:spacing w:line="360" w:lineRule="auto"/>
              <w:jc w:val="center"/>
              <w:rPr>
                <w:rFonts w:hint="eastAsia" w:ascii="宋体" w:hAnsi="宋体" w:cs="宋体"/>
                <w:color w:val="auto"/>
                <w:sz w:val="21"/>
                <w:szCs w:val="24"/>
              </w:rPr>
            </w:pPr>
            <w:r>
              <w:rPr>
                <w:rFonts w:hint="eastAsia" w:ascii="宋体" w:hAnsi="宋体" w:cs="宋体"/>
                <w:color w:val="auto"/>
                <w:sz w:val="21"/>
                <w:szCs w:val="24"/>
              </w:rPr>
              <w:t>差异说明</w:t>
            </w:r>
          </w:p>
        </w:tc>
      </w:tr>
      <w:tr w14:paraId="492F0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4BA789FE">
            <w:pPr>
              <w:tabs>
                <w:tab w:val="left" w:pos="6300"/>
              </w:tabs>
              <w:snapToGrid w:val="0"/>
              <w:spacing w:line="360" w:lineRule="auto"/>
              <w:jc w:val="center"/>
              <w:rPr>
                <w:rFonts w:hint="eastAsia" w:ascii="宋体" w:hAnsi="宋体" w:cs="宋体"/>
                <w:color w:val="auto"/>
                <w:sz w:val="21"/>
                <w:szCs w:val="24"/>
              </w:rPr>
            </w:pPr>
          </w:p>
        </w:tc>
        <w:tc>
          <w:tcPr>
            <w:tcW w:w="2837" w:type="dxa"/>
            <w:noWrap w:val="0"/>
            <w:vAlign w:val="center"/>
          </w:tcPr>
          <w:p w14:paraId="5071A8B0">
            <w:pPr>
              <w:tabs>
                <w:tab w:val="left" w:pos="6300"/>
              </w:tabs>
              <w:snapToGrid w:val="0"/>
              <w:spacing w:line="360" w:lineRule="auto"/>
              <w:jc w:val="center"/>
              <w:rPr>
                <w:rFonts w:hint="eastAsia" w:ascii="宋体" w:hAnsi="宋体" w:cs="宋体"/>
                <w:color w:val="auto"/>
                <w:sz w:val="21"/>
                <w:szCs w:val="24"/>
              </w:rPr>
            </w:pPr>
          </w:p>
        </w:tc>
        <w:tc>
          <w:tcPr>
            <w:tcW w:w="2776" w:type="dxa"/>
            <w:noWrap w:val="0"/>
            <w:vAlign w:val="center"/>
          </w:tcPr>
          <w:p w14:paraId="1BC5111D">
            <w:pPr>
              <w:tabs>
                <w:tab w:val="left" w:pos="6300"/>
              </w:tabs>
              <w:snapToGrid w:val="0"/>
              <w:spacing w:line="360" w:lineRule="auto"/>
              <w:jc w:val="center"/>
              <w:rPr>
                <w:rFonts w:hint="eastAsia" w:ascii="宋体" w:hAnsi="宋体" w:cs="宋体"/>
                <w:color w:val="auto"/>
                <w:sz w:val="21"/>
                <w:szCs w:val="24"/>
              </w:rPr>
            </w:pPr>
            <w:r>
              <w:rPr>
                <w:rFonts w:hint="eastAsia" w:ascii="宋体" w:hAnsi="宋体" w:cs="宋体"/>
                <w:color w:val="auto"/>
                <w:sz w:val="21"/>
                <w:szCs w:val="21"/>
              </w:rPr>
              <w:t>提醒：请注明具体内容以及响应文件中具体内容的位置（页码）</w:t>
            </w:r>
          </w:p>
        </w:tc>
        <w:tc>
          <w:tcPr>
            <w:tcW w:w="2355" w:type="dxa"/>
            <w:noWrap w:val="0"/>
            <w:vAlign w:val="center"/>
          </w:tcPr>
          <w:p w14:paraId="05F6AA9B">
            <w:pPr>
              <w:tabs>
                <w:tab w:val="left" w:pos="6300"/>
              </w:tabs>
              <w:snapToGrid w:val="0"/>
              <w:spacing w:line="360" w:lineRule="auto"/>
              <w:jc w:val="center"/>
              <w:rPr>
                <w:rFonts w:hint="eastAsia" w:ascii="宋体" w:hAnsi="宋体" w:cs="宋体"/>
                <w:color w:val="auto"/>
                <w:sz w:val="21"/>
                <w:szCs w:val="24"/>
              </w:rPr>
            </w:pPr>
          </w:p>
        </w:tc>
      </w:tr>
      <w:tr w14:paraId="0FA2C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2525D3B9">
            <w:pPr>
              <w:tabs>
                <w:tab w:val="left" w:pos="6300"/>
              </w:tabs>
              <w:snapToGrid w:val="0"/>
              <w:spacing w:line="360" w:lineRule="auto"/>
              <w:jc w:val="center"/>
              <w:rPr>
                <w:rFonts w:hint="eastAsia" w:ascii="宋体" w:hAnsi="宋体" w:cs="宋体"/>
                <w:color w:val="auto"/>
                <w:sz w:val="21"/>
                <w:szCs w:val="24"/>
              </w:rPr>
            </w:pPr>
          </w:p>
        </w:tc>
        <w:tc>
          <w:tcPr>
            <w:tcW w:w="2837" w:type="dxa"/>
            <w:noWrap w:val="0"/>
            <w:vAlign w:val="center"/>
          </w:tcPr>
          <w:p w14:paraId="17DD94E4">
            <w:pPr>
              <w:tabs>
                <w:tab w:val="left" w:pos="6300"/>
              </w:tabs>
              <w:snapToGrid w:val="0"/>
              <w:spacing w:line="360" w:lineRule="auto"/>
              <w:jc w:val="center"/>
              <w:rPr>
                <w:rFonts w:hint="eastAsia" w:ascii="宋体" w:hAnsi="宋体" w:cs="宋体"/>
                <w:color w:val="auto"/>
                <w:sz w:val="21"/>
                <w:szCs w:val="24"/>
              </w:rPr>
            </w:pPr>
          </w:p>
        </w:tc>
        <w:tc>
          <w:tcPr>
            <w:tcW w:w="2776" w:type="dxa"/>
            <w:noWrap w:val="0"/>
            <w:vAlign w:val="center"/>
          </w:tcPr>
          <w:p w14:paraId="0AF4E508">
            <w:pPr>
              <w:tabs>
                <w:tab w:val="left" w:pos="6300"/>
              </w:tabs>
              <w:snapToGrid w:val="0"/>
              <w:spacing w:line="360" w:lineRule="auto"/>
              <w:jc w:val="center"/>
              <w:rPr>
                <w:rFonts w:hint="eastAsia" w:ascii="宋体" w:hAnsi="宋体" w:cs="宋体"/>
                <w:color w:val="auto"/>
                <w:sz w:val="21"/>
                <w:szCs w:val="24"/>
              </w:rPr>
            </w:pPr>
          </w:p>
        </w:tc>
        <w:tc>
          <w:tcPr>
            <w:tcW w:w="2355" w:type="dxa"/>
            <w:noWrap w:val="0"/>
            <w:vAlign w:val="center"/>
          </w:tcPr>
          <w:p w14:paraId="49CBAB33">
            <w:pPr>
              <w:tabs>
                <w:tab w:val="left" w:pos="6300"/>
              </w:tabs>
              <w:snapToGrid w:val="0"/>
              <w:spacing w:line="360" w:lineRule="auto"/>
              <w:jc w:val="center"/>
              <w:rPr>
                <w:rFonts w:hint="eastAsia" w:ascii="宋体" w:hAnsi="宋体" w:cs="宋体"/>
                <w:color w:val="auto"/>
                <w:sz w:val="21"/>
                <w:szCs w:val="24"/>
              </w:rPr>
            </w:pPr>
          </w:p>
        </w:tc>
      </w:tr>
      <w:tr w14:paraId="78B31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1E31F615">
            <w:pPr>
              <w:tabs>
                <w:tab w:val="left" w:pos="6300"/>
              </w:tabs>
              <w:snapToGrid w:val="0"/>
              <w:spacing w:line="360" w:lineRule="auto"/>
              <w:jc w:val="center"/>
              <w:rPr>
                <w:rFonts w:hint="eastAsia" w:ascii="宋体" w:hAnsi="宋体" w:cs="宋体"/>
                <w:color w:val="auto"/>
                <w:sz w:val="21"/>
                <w:szCs w:val="24"/>
              </w:rPr>
            </w:pPr>
          </w:p>
        </w:tc>
        <w:tc>
          <w:tcPr>
            <w:tcW w:w="2837" w:type="dxa"/>
            <w:noWrap w:val="0"/>
            <w:vAlign w:val="center"/>
          </w:tcPr>
          <w:p w14:paraId="08E7C549">
            <w:pPr>
              <w:tabs>
                <w:tab w:val="left" w:pos="6300"/>
              </w:tabs>
              <w:snapToGrid w:val="0"/>
              <w:spacing w:line="360" w:lineRule="auto"/>
              <w:jc w:val="center"/>
              <w:rPr>
                <w:rFonts w:hint="eastAsia" w:ascii="宋体" w:hAnsi="宋体" w:cs="宋体"/>
                <w:color w:val="auto"/>
                <w:sz w:val="21"/>
                <w:szCs w:val="24"/>
              </w:rPr>
            </w:pPr>
          </w:p>
        </w:tc>
        <w:tc>
          <w:tcPr>
            <w:tcW w:w="2776" w:type="dxa"/>
            <w:noWrap w:val="0"/>
            <w:vAlign w:val="center"/>
          </w:tcPr>
          <w:p w14:paraId="445B74F9">
            <w:pPr>
              <w:tabs>
                <w:tab w:val="left" w:pos="6300"/>
              </w:tabs>
              <w:snapToGrid w:val="0"/>
              <w:spacing w:line="360" w:lineRule="auto"/>
              <w:jc w:val="center"/>
              <w:rPr>
                <w:rFonts w:hint="eastAsia" w:ascii="宋体" w:hAnsi="宋体" w:cs="宋体"/>
                <w:color w:val="auto"/>
                <w:sz w:val="21"/>
                <w:szCs w:val="24"/>
              </w:rPr>
            </w:pPr>
          </w:p>
        </w:tc>
        <w:tc>
          <w:tcPr>
            <w:tcW w:w="2355" w:type="dxa"/>
            <w:noWrap w:val="0"/>
            <w:vAlign w:val="center"/>
          </w:tcPr>
          <w:p w14:paraId="417913F8">
            <w:pPr>
              <w:tabs>
                <w:tab w:val="left" w:pos="6300"/>
              </w:tabs>
              <w:snapToGrid w:val="0"/>
              <w:spacing w:line="360" w:lineRule="auto"/>
              <w:jc w:val="center"/>
              <w:rPr>
                <w:rFonts w:hint="eastAsia" w:ascii="宋体" w:hAnsi="宋体" w:cs="宋体"/>
                <w:color w:val="auto"/>
                <w:sz w:val="21"/>
                <w:szCs w:val="24"/>
              </w:rPr>
            </w:pPr>
          </w:p>
        </w:tc>
      </w:tr>
      <w:tr w14:paraId="61B81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7ADD44A3">
            <w:pPr>
              <w:tabs>
                <w:tab w:val="left" w:pos="6300"/>
              </w:tabs>
              <w:snapToGrid w:val="0"/>
              <w:spacing w:line="360" w:lineRule="auto"/>
              <w:jc w:val="center"/>
              <w:rPr>
                <w:rFonts w:hint="eastAsia" w:ascii="宋体" w:hAnsi="宋体" w:cs="宋体"/>
                <w:color w:val="auto"/>
                <w:sz w:val="21"/>
                <w:szCs w:val="24"/>
              </w:rPr>
            </w:pPr>
          </w:p>
        </w:tc>
        <w:tc>
          <w:tcPr>
            <w:tcW w:w="2837" w:type="dxa"/>
            <w:noWrap w:val="0"/>
            <w:vAlign w:val="center"/>
          </w:tcPr>
          <w:p w14:paraId="3494E7C1">
            <w:pPr>
              <w:tabs>
                <w:tab w:val="left" w:pos="6300"/>
              </w:tabs>
              <w:snapToGrid w:val="0"/>
              <w:spacing w:line="360" w:lineRule="auto"/>
              <w:jc w:val="center"/>
              <w:rPr>
                <w:rFonts w:hint="eastAsia" w:ascii="宋体" w:hAnsi="宋体" w:cs="宋体"/>
                <w:color w:val="auto"/>
                <w:sz w:val="21"/>
                <w:szCs w:val="24"/>
              </w:rPr>
            </w:pPr>
          </w:p>
        </w:tc>
        <w:tc>
          <w:tcPr>
            <w:tcW w:w="2776" w:type="dxa"/>
            <w:noWrap w:val="0"/>
            <w:vAlign w:val="center"/>
          </w:tcPr>
          <w:p w14:paraId="0412DE31">
            <w:pPr>
              <w:tabs>
                <w:tab w:val="left" w:pos="6300"/>
              </w:tabs>
              <w:snapToGrid w:val="0"/>
              <w:spacing w:line="360" w:lineRule="auto"/>
              <w:jc w:val="center"/>
              <w:rPr>
                <w:rFonts w:hint="eastAsia" w:ascii="宋体" w:hAnsi="宋体" w:cs="宋体"/>
                <w:color w:val="auto"/>
                <w:sz w:val="21"/>
                <w:szCs w:val="24"/>
              </w:rPr>
            </w:pPr>
          </w:p>
        </w:tc>
        <w:tc>
          <w:tcPr>
            <w:tcW w:w="2355" w:type="dxa"/>
            <w:noWrap w:val="0"/>
            <w:vAlign w:val="center"/>
          </w:tcPr>
          <w:p w14:paraId="5145D420">
            <w:pPr>
              <w:tabs>
                <w:tab w:val="left" w:pos="6300"/>
              </w:tabs>
              <w:snapToGrid w:val="0"/>
              <w:spacing w:line="360" w:lineRule="auto"/>
              <w:jc w:val="center"/>
              <w:rPr>
                <w:rFonts w:hint="eastAsia" w:ascii="宋体" w:hAnsi="宋体" w:cs="宋体"/>
                <w:color w:val="auto"/>
                <w:sz w:val="21"/>
                <w:szCs w:val="24"/>
              </w:rPr>
            </w:pPr>
          </w:p>
        </w:tc>
      </w:tr>
      <w:tr w14:paraId="27710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6E2A2629">
            <w:pPr>
              <w:tabs>
                <w:tab w:val="left" w:pos="6300"/>
              </w:tabs>
              <w:snapToGrid w:val="0"/>
              <w:spacing w:line="360" w:lineRule="auto"/>
              <w:jc w:val="center"/>
              <w:rPr>
                <w:rFonts w:hint="eastAsia" w:ascii="宋体" w:hAnsi="宋体" w:cs="宋体"/>
                <w:color w:val="auto"/>
                <w:sz w:val="21"/>
                <w:szCs w:val="24"/>
              </w:rPr>
            </w:pPr>
          </w:p>
        </w:tc>
        <w:tc>
          <w:tcPr>
            <w:tcW w:w="2837" w:type="dxa"/>
            <w:noWrap w:val="0"/>
            <w:vAlign w:val="center"/>
          </w:tcPr>
          <w:p w14:paraId="0CA8E8CD">
            <w:pPr>
              <w:tabs>
                <w:tab w:val="left" w:pos="6300"/>
              </w:tabs>
              <w:snapToGrid w:val="0"/>
              <w:spacing w:line="360" w:lineRule="auto"/>
              <w:jc w:val="center"/>
              <w:rPr>
                <w:rFonts w:hint="eastAsia" w:ascii="宋体" w:hAnsi="宋体" w:cs="宋体"/>
                <w:color w:val="auto"/>
                <w:sz w:val="21"/>
                <w:szCs w:val="24"/>
              </w:rPr>
            </w:pPr>
          </w:p>
        </w:tc>
        <w:tc>
          <w:tcPr>
            <w:tcW w:w="2776" w:type="dxa"/>
            <w:noWrap w:val="0"/>
            <w:vAlign w:val="center"/>
          </w:tcPr>
          <w:p w14:paraId="0FDD9D43">
            <w:pPr>
              <w:tabs>
                <w:tab w:val="left" w:pos="6300"/>
              </w:tabs>
              <w:snapToGrid w:val="0"/>
              <w:spacing w:line="360" w:lineRule="auto"/>
              <w:jc w:val="center"/>
              <w:rPr>
                <w:rFonts w:hint="eastAsia" w:ascii="宋体" w:hAnsi="宋体" w:cs="宋体"/>
                <w:color w:val="auto"/>
                <w:sz w:val="21"/>
                <w:szCs w:val="24"/>
              </w:rPr>
            </w:pPr>
          </w:p>
        </w:tc>
        <w:tc>
          <w:tcPr>
            <w:tcW w:w="2355" w:type="dxa"/>
            <w:noWrap w:val="0"/>
            <w:vAlign w:val="center"/>
          </w:tcPr>
          <w:p w14:paraId="4F2BB460">
            <w:pPr>
              <w:tabs>
                <w:tab w:val="left" w:pos="6300"/>
              </w:tabs>
              <w:snapToGrid w:val="0"/>
              <w:spacing w:line="360" w:lineRule="auto"/>
              <w:jc w:val="center"/>
              <w:rPr>
                <w:rFonts w:hint="eastAsia" w:ascii="宋体" w:hAnsi="宋体" w:cs="宋体"/>
                <w:color w:val="auto"/>
                <w:sz w:val="21"/>
                <w:szCs w:val="24"/>
              </w:rPr>
            </w:pPr>
          </w:p>
        </w:tc>
      </w:tr>
      <w:tr w14:paraId="26903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noWrap w:val="0"/>
            <w:vAlign w:val="center"/>
          </w:tcPr>
          <w:p w14:paraId="2D81B931">
            <w:pPr>
              <w:tabs>
                <w:tab w:val="left" w:pos="6300"/>
              </w:tabs>
              <w:snapToGrid w:val="0"/>
              <w:spacing w:line="360" w:lineRule="auto"/>
              <w:jc w:val="center"/>
              <w:outlineLvl w:val="0"/>
              <w:rPr>
                <w:rFonts w:hint="eastAsia" w:ascii="宋体" w:hAnsi="宋体" w:cs="宋体"/>
                <w:color w:val="auto"/>
                <w:sz w:val="21"/>
                <w:szCs w:val="24"/>
              </w:rPr>
            </w:pPr>
          </w:p>
        </w:tc>
        <w:tc>
          <w:tcPr>
            <w:tcW w:w="2837" w:type="dxa"/>
            <w:noWrap w:val="0"/>
            <w:vAlign w:val="center"/>
          </w:tcPr>
          <w:p w14:paraId="2C61410F">
            <w:pPr>
              <w:tabs>
                <w:tab w:val="left" w:pos="6300"/>
              </w:tabs>
              <w:snapToGrid w:val="0"/>
              <w:spacing w:line="360" w:lineRule="auto"/>
              <w:jc w:val="center"/>
              <w:outlineLvl w:val="0"/>
              <w:rPr>
                <w:rFonts w:hint="eastAsia" w:ascii="宋体" w:hAnsi="宋体" w:cs="宋体"/>
                <w:color w:val="auto"/>
                <w:sz w:val="21"/>
                <w:szCs w:val="24"/>
              </w:rPr>
            </w:pPr>
          </w:p>
        </w:tc>
        <w:tc>
          <w:tcPr>
            <w:tcW w:w="2776" w:type="dxa"/>
            <w:noWrap w:val="0"/>
            <w:vAlign w:val="center"/>
          </w:tcPr>
          <w:p w14:paraId="66A49DBA">
            <w:pPr>
              <w:tabs>
                <w:tab w:val="left" w:pos="6300"/>
              </w:tabs>
              <w:snapToGrid w:val="0"/>
              <w:spacing w:line="360" w:lineRule="auto"/>
              <w:jc w:val="center"/>
              <w:outlineLvl w:val="0"/>
              <w:rPr>
                <w:rFonts w:hint="eastAsia" w:ascii="宋体" w:hAnsi="宋体" w:cs="宋体"/>
                <w:color w:val="auto"/>
                <w:sz w:val="21"/>
                <w:szCs w:val="24"/>
              </w:rPr>
            </w:pPr>
          </w:p>
        </w:tc>
        <w:tc>
          <w:tcPr>
            <w:tcW w:w="2355" w:type="dxa"/>
            <w:noWrap w:val="0"/>
            <w:vAlign w:val="center"/>
          </w:tcPr>
          <w:p w14:paraId="4CAEC6D2">
            <w:pPr>
              <w:tabs>
                <w:tab w:val="left" w:pos="6300"/>
              </w:tabs>
              <w:snapToGrid w:val="0"/>
              <w:spacing w:line="360" w:lineRule="auto"/>
              <w:jc w:val="center"/>
              <w:outlineLvl w:val="0"/>
              <w:rPr>
                <w:rFonts w:hint="eastAsia" w:ascii="宋体" w:hAnsi="宋体" w:cs="宋体"/>
                <w:color w:val="auto"/>
                <w:sz w:val="21"/>
                <w:szCs w:val="24"/>
              </w:rPr>
            </w:pPr>
          </w:p>
        </w:tc>
      </w:tr>
    </w:tbl>
    <w:p w14:paraId="19ADC41B">
      <w:pPr>
        <w:snapToGrid w:val="0"/>
        <w:spacing w:line="360" w:lineRule="auto"/>
        <w:ind w:firstLine="465"/>
        <w:rPr>
          <w:rFonts w:hint="eastAsia" w:ascii="宋体" w:hAnsi="宋体" w:cs="宋体"/>
          <w:color w:val="auto"/>
          <w:sz w:val="24"/>
          <w:szCs w:val="24"/>
        </w:rPr>
      </w:pPr>
    </w:p>
    <w:p w14:paraId="2EFDF0EF">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供应商：                            法定代表人（或其授权代表）或自然人：</w:t>
      </w:r>
    </w:p>
    <w:p w14:paraId="0A47537A">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 xml:space="preserve">    </w:t>
      </w:r>
    </w:p>
    <w:p w14:paraId="0339CBC1">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（供应商公章）                               （签署或盖章）</w:t>
      </w:r>
    </w:p>
    <w:p w14:paraId="496FDB20">
      <w:pPr>
        <w:tabs>
          <w:tab w:val="left" w:pos="6300"/>
        </w:tabs>
        <w:snapToGrid w:val="0"/>
        <w:spacing w:line="500" w:lineRule="exact"/>
        <w:ind w:firstLine="480" w:firstLineChars="200"/>
        <w:rPr>
          <w:rFonts w:ascii="宋体" w:hAnsi="宋体" w:cs="宋体"/>
          <w:sz w:val="24"/>
        </w:rPr>
      </w:pPr>
      <w:r>
        <w:rPr>
          <w:rFonts w:hint="eastAsia" w:ascii="宋体" w:hAnsi="宋体" w:cs="宋体"/>
          <w:sz w:val="24"/>
        </w:rPr>
        <w:t xml:space="preserve">                                              年     月     日</w:t>
      </w:r>
    </w:p>
    <w:p w14:paraId="3F4B2FBB">
      <w:pPr>
        <w:tabs>
          <w:tab w:val="left" w:pos="6300"/>
        </w:tabs>
        <w:snapToGrid w:val="0"/>
        <w:spacing w:line="500" w:lineRule="exact"/>
        <w:ind w:firstLine="570"/>
        <w:rPr>
          <w:rFonts w:hint="eastAsia" w:ascii="宋体" w:hAnsi="宋体" w:cs="宋体"/>
          <w:color w:val="auto"/>
          <w:sz w:val="24"/>
          <w:szCs w:val="28"/>
        </w:rPr>
      </w:pPr>
    </w:p>
    <w:p w14:paraId="1D4AF6CF">
      <w:pPr>
        <w:tabs>
          <w:tab w:val="left" w:pos="6300"/>
        </w:tabs>
        <w:snapToGrid w:val="0"/>
        <w:spacing w:line="500" w:lineRule="exact"/>
        <w:ind w:firstLine="570"/>
        <w:rPr>
          <w:rFonts w:hint="eastAsia" w:ascii="宋体" w:hAnsi="宋体" w:cs="宋体"/>
          <w:color w:val="auto"/>
          <w:sz w:val="24"/>
          <w:szCs w:val="28"/>
        </w:rPr>
      </w:pPr>
    </w:p>
    <w:p w14:paraId="40B31DCC">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注：</w:t>
      </w:r>
    </w:p>
    <w:p w14:paraId="233C28D3">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4"/>
        </w:rPr>
        <w:t>1</w:t>
      </w:r>
      <w:r>
        <w:rPr>
          <w:rFonts w:hint="eastAsia" w:ascii="宋体" w:hAnsi="宋体" w:cs="宋体"/>
          <w:color w:val="auto"/>
          <w:sz w:val="24"/>
        </w:rPr>
        <w:t>.本表即为对本项目“第三篇 项目商务需求”中所列条款进行比较和响应</w:t>
      </w:r>
      <w:r>
        <w:rPr>
          <w:rFonts w:hint="eastAsia" w:ascii="宋体" w:hAnsi="宋体" w:cs="宋体"/>
          <w:color w:val="auto"/>
          <w:sz w:val="24"/>
          <w:szCs w:val="24"/>
        </w:rPr>
        <w:t>；</w:t>
      </w:r>
    </w:p>
    <w:p w14:paraId="0E8E92F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2.本表可扩展。</w:t>
      </w:r>
    </w:p>
    <w:p w14:paraId="178AFB96">
      <w:pPr>
        <w:snapToGrid w:val="0"/>
        <w:spacing w:line="400" w:lineRule="exact"/>
        <w:ind w:firstLine="480" w:firstLineChars="200"/>
        <w:rPr>
          <w:rFonts w:hint="eastAsia" w:ascii="宋体" w:hAnsi="宋体" w:cs="宋体"/>
          <w:color w:val="auto"/>
          <w:sz w:val="24"/>
          <w:szCs w:val="24"/>
        </w:rPr>
        <w:sectPr>
          <w:pgSz w:w="11907" w:h="16840"/>
          <w:pgMar w:top="1134" w:right="1191" w:bottom="1134" w:left="1304" w:header="851" w:footer="992" w:gutter="0"/>
          <w:pgNumType w:fmt="numberInDash"/>
          <w:cols w:space="720" w:num="1"/>
          <w:docGrid w:linePitch="380" w:charSpace="-5735"/>
        </w:sectPr>
      </w:pPr>
    </w:p>
    <w:p w14:paraId="58B349EC">
      <w:pPr>
        <w:snapToGrid w:val="0"/>
        <w:spacing w:line="400" w:lineRule="exact"/>
        <w:ind w:firstLine="480" w:firstLineChars="200"/>
        <w:rPr>
          <w:rFonts w:hint="eastAsia" w:ascii="宋体" w:hAnsi="宋体" w:cs="宋体"/>
          <w:color w:val="auto"/>
          <w:sz w:val="24"/>
          <w:szCs w:val="24"/>
        </w:rPr>
      </w:pPr>
      <w:bookmarkStart w:id="704" w:name="_Toc283382459"/>
      <w:r>
        <w:rPr>
          <w:rFonts w:hint="eastAsia" w:ascii="宋体" w:hAnsi="宋体" w:cs="宋体"/>
          <w:color w:val="auto"/>
          <w:sz w:val="24"/>
          <w:szCs w:val="24"/>
        </w:rPr>
        <w:t>（二）其他优惠承诺（格式自定）</w:t>
      </w:r>
    </w:p>
    <w:p w14:paraId="1819BCB6">
      <w:pPr>
        <w:pStyle w:val="5"/>
        <w:adjustRightInd w:val="0"/>
        <w:snapToGrid w:val="0"/>
        <w:spacing w:before="0" w:after="0" w:line="400" w:lineRule="exact"/>
        <w:ind w:firstLine="482" w:firstLineChars="200"/>
        <w:rPr>
          <w:rFonts w:hint="eastAsia" w:ascii="宋体" w:hAnsi="宋体" w:cs="宋体"/>
          <w:color w:val="auto"/>
        </w:rPr>
      </w:pPr>
      <w:r>
        <w:rPr>
          <w:rFonts w:hint="eastAsia" w:ascii="宋体" w:hAnsi="宋体" w:cs="宋体"/>
          <w:color w:val="auto"/>
          <w:szCs w:val="24"/>
        </w:rPr>
        <w:br w:type="page"/>
      </w:r>
      <w:bookmarkEnd w:id="704"/>
      <w:bookmarkStart w:id="705" w:name="_Toc16600"/>
      <w:bookmarkStart w:id="706" w:name="_Toc313008359"/>
      <w:bookmarkStart w:id="707" w:name="_Toc22965"/>
      <w:bookmarkStart w:id="708" w:name="_Toc21375"/>
      <w:bookmarkStart w:id="709" w:name="_Toc4798"/>
      <w:bookmarkStart w:id="710" w:name="_Toc1351"/>
      <w:bookmarkStart w:id="711" w:name="_Toc12873"/>
      <w:bookmarkStart w:id="712" w:name="_Toc15499"/>
      <w:bookmarkStart w:id="713" w:name="_Toc3707"/>
      <w:bookmarkStart w:id="714" w:name="_Toc9336"/>
      <w:bookmarkStart w:id="715" w:name="_Toc2530"/>
      <w:bookmarkStart w:id="716" w:name="_Toc29528"/>
      <w:bookmarkStart w:id="717" w:name="_Toc21917"/>
      <w:bookmarkStart w:id="718" w:name="_Toc65662759"/>
      <w:bookmarkStart w:id="719" w:name="_Toc313888363"/>
      <w:bookmarkStart w:id="720" w:name="_Toc1452"/>
      <w:bookmarkStart w:id="721" w:name="_Toc11419"/>
      <w:bookmarkStart w:id="722" w:name="_Toc15247"/>
      <w:bookmarkStart w:id="723" w:name="_Toc4971"/>
      <w:bookmarkStart w:id="724" w:name="_Toc342913422"/>
      <w:bookmarkStart w:id="725" w:name="_Toc8400"/>
      <w:bookmarkStart w:id="726" w:name="_Toc11816"/>
      <w:r>
        <w:rPr>
          <w:rFonts w:hint="eastAsia" w:ascii="宋体" w:hAnsi="宋体" w:cs="宋体"/>
          <w:color w:val="auto"/>
        </w:rPr>
        <w:t>四、资格条件</w:t>
      </w:r>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p>
    <w:p w14:paraId="058E97C5">
      <w:pPr>
        <w:tabs>
          <w:tab w:val="left" w:pos="6300"/>
        </w:tabs>
        <w:snapToGrid w:val="0"/>
        <w:spacing w:line="500" w:lineRule="exact"/>
        <w:ind w:firstLine="570"/>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127264C8">
      <w:pPr>
        <w:tabs>
          <w:tab w:val="left" w:pos="6300"/>
        </w:tabs>
        <w:snapToGrid w:val="0"/>
        <w:spacing w:line="500" w:lineRule="exact"/>
        <w:ind w:firstLine="570"/>
        <w:rPr>
          <w:rFonts w:hint="eastAsia" w:ascii="宋体" w:hAnsi="宋体" w:cs="宋体"/>
          <w:color w:val="auto"/>
        </w:rPr>
      </w:pPr>
    </w:p>
    <w:p w14:paraId="7D5AA776">
      <w:pPr>
        <w:tabs>
          <w:tab w:val="left" w:pos="6300"/>
        </w:tabs>
        <w:snapToGrid w:val="0"/>
        <w:spacing w:line="500" w:lineRule="exact"/>
        <w:ind w:firstLine="570"/>
        <w:rPr>
          <w:rFonts w:hint="eastAsia" w:ascii="宋体" w:hAnsi="宋体" w:cs="宋体"/>
          <w:color w:val="auto"/>
        </w:rPr>
      </w:pPr>
    </w:p>
    <w:p w14:paraId="36C5BD37">
      <w:pPr>
        <w:tabs>
          <w:tab w:val="left" w:pos="6300"/>
        </w:tabs>
        <w:snapToGrid w:val="0"/>
        <w:spacing w:line="500" w:lineRule="exact"/>
        <w:ind w:firstLine="570"/>
        <w:rPr>
          <w:rFonts w:hint="eastAsia" w:ascii="宋体" w:hAnsi="宋体" w:cs="宋体"/>
          <w:color w:val="auto"/>
        </w:rPr>
      </w:pPr>
    </w:p>
    <w:p w14:paraId="47C5DBF4">
      <w:pPr>
        <w:tabs>
          <w:tab w:val="left" w:pos="6300"/>
        </w:tabs>
        <w:snapToGrid w:val="0"/>
        <w:spacing w:line="500" w:lineRule="exact"/>
        <w:ind w:firstLine="570"/>
        <w:rPr>
          <w:rFonts w:hint="eastAsia" w:ascii="宋体" w:hAnsi="宋体" w:cs="宋体"/>
          <w:color w:val="auto"/>
        </w:rPr>
      </w:pPr>
    </w:p>
    <w:p w14:paraId="073C9038">
      <w:pPr>
        <w:tabs>
          <w:tab w:val="left" w:pos="6300"/>
        </w:tabs>
        <w:snapToGrid w:val="0"/>
        <w:spacing w:line="500" w:lineRule="exact"/>
        <w:ind w:firstLine="570"/>
        <w:rPr>
          <w:rFonts w:hint="eastAsia" w:ascii="宋体" w:hAnsi="宋体" w:cs="宋体"/>
          <w:color w:val="auto"/>
        </w:rPr>
      </w:pPr>
    </w:p>
    <w:p w14:paraId="02DBF96C">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（二）法定代表人身份证明书（格式）</w:t>
      </w:r>
    </w:p>
    <w:p w14:paraId="489C5EDD">
      <w:pPr>
        <w:tabs>
          <w:tab w:val="left" w:pos="6300"/>
        </w:tabs>
        <w:snapToGrid w:val="0"/>
        <w:spacing w:line="500" w:lineRule="exact"/>
        <w:ind w:firstLine="570"/>
        <w:rPr>
          <w:rFonts w:hint="eastAsia" w:ascii="宋体" w:hAnsi="宋体" w:cs="宋体"/>
          <w:color w:val="auto"/>
          <w:sz w:val="24"/>
        </w:rPr>
      </w:pPr>
    </w:p>
    <w:p w14:paraId="6A2221B7">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磋商项目名称：</w:t>
      </w:r>
      <w:r>
        <w:rPr>
          <w:rFonts w:hint="eastAsia" w:ascii="宋体" w:hAnsi="宋体" w:cs="宋体"/>
          <w:color w:val="auto"/>
          <w:sz w:val="24"/>
          <w:u w:val="single"/>
        </w:rPr>
        <w:t xml:space="preserve">                                                </w:t>
      </w:r>
    </w:p>
    <w:p w14:paraId="3D597F6E">
      <w:pPr>
        <w:tabs>
          <w:tab w:val="left" w:pos="6300"/>
        </w:tabs>
        <w:snapToGrid w:val="0"/>
        <w:spacing w:line="500" w:lineRule="exact"/>
        <w:ind w:firstLine="570"/>
        <w:rPr>
          <w:rFonts w:hint="eastAsia" w:ascii="宋体" w:hAnsi="宋体" w:cs="宋体"/>
          <w:color w:val="auto"/>
          <w:sz w:val="24"/>
        </w:rPr>
      </w:pPr>
    </w:p>
    <w:p w14:paraId="35E7A7C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（采购代理机构名称）：</w:t>
      </w:r>
    </w:p>
    <w:p w14:paraId="173CADEA">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（供应商名称）任</w:t>
      </w:r>
      <w:r>
        <w:rPr>
          <w:rFonts w:hint="eastAsia" w:ascii="宋体" w:hAnsi="宋体" w:cs="宋体"/>
          <w:color w:val="auto"/>
          <w:sz w:val="24"/>
          <w:u w:val="single"/>
        </w:rPr>
        <w:t xml:space="preserve">    </w:t>
      </w:r>
      <w:r>
        <w:rPr>
          <w:rFonts w:hint="eastAsia" w:ascii="宋体" w:hAnsi="宋体" w:cs="宋体"/>
          <w:color w:val="auto"/>
          <w:sz w:val="24"/>
        </w:rPr>
        <w:t>（职务名称）职务，是（供应商名称）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1CB79852">
      <w:pPr>
        <w:tabs>
          <w:tab w:val="left" w:pos="6300"/>
        </w:tabs>
        <w:snapToGrid w:val="0"/>
        <w:spacing w:line="500" w:lineRule="exact"/>
        <w:ind w:firstLine="570"/>
        <w:rPr>
          <w:rFonts w:hint="eastAsia" w:ascii="宋体" w:hAnsi="宋体" w:cs="宋体"/>
          <w:color w:val="auto"/>
          <w:sz w:val="24"/>
        </w:rPr>
      </w:pPr>
    </w:p>
    <w:p w14:paraId="0F40D39C">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54E8083E">
      <w:pPr>
        <w:tabs>
          <w:tab w:val="left" w:pos="6300"/>
        </w:tabs>
        <w:snapToGrid w:val="0"/>
        <w:spacing w:line="500" w:lineRule="exact"/>
        <w:ind w:firstLine="570"/>
        <w:rPr>
          <w:rFonts w:hint="eastAsia" w:ascii="宋体" w:hAnsi="宋体" w:cs="宋体"/>
          <w:color w:val="auto"/>
          <w:sz w:val="24"/>
        </w:rPr>
      </w:pPr>
    </w:p>
    <w:p w14:paraId="04D7D26B">
      <w:pPr>
        <w:tabs>
          <w:tab w:val="left" w:pos="6300"/>
        </w:tabs>
        <w:snapToGrid w:val="0"/>
        <w:spacing w:line="500" w:lineRule="exact"/>
        <w:ind w:firstLine="570"/>
        <w:rPr>
          <w:rFonts w:hint="eastAsia" w:ascii="宋体" w:hAnsi="宋体" w:cs="宋体"/>
          <w:color w:val="auto"/>
          <w:sz w:val="24"/>
        </w:rPr>
      </w:pPr>
    </w:p>
    <w:p w14:paraId="42F4ECD8">
      <w:pPr>
        <w:tabs>
          <w:tab w:val="left" w:pos="6300"/>
        </w:tabs>
        <w:snapToGrid w:val="0"/>
        <w:spacing w:line="500" w:lineRule="exact"/>
        <w:ind w:firstLine="570"/>
        <w:rPr>
          <w:rFonts w:hint="eastAsia" w:ascii="宋体" w:hAnsi="宋体" w:cs="宋体"/>
          <w:color w:val="auto"/>
          <w:sz w:val="24"/>
        </w:rPr>
      </w:pPr>
    </w:p>
    <w:p w14:paraId="1AC429F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（供应商公章）</w:t>
      </w:r>
    </w:p>
    <w:p w14:paraId="5C006046">
      <w:pPr>
        <w:tabs>
          <w:tab w:val="left" w:pos="6300"/>
        </w:tabs>
        <w:snapToGrid w:val="0"/>
        <w:spacing w:line="500" w:lineRule="exact"/>
        <w:ind w:firstLine="570"/>
        <w:rPr>
          <w:rFonts w:hint="eastAsia" w:ascii="宋体" w:hAnsi="宋体" w:cs="宋体"/>
          <w:color w:val="auto"/>
          <w:sz w:val="24"/>
        </w:rPr>
      </w:pPr>
    </w:p>
    <w:p w14:paraId="55571D8C">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41250594">
      <w:pPr>
        <w:tabs>
          <w:tab w:val="left" w:pos="6300"/>
        </w:tabs>
        <w:snapToGrid w:val="0"/>
        <w:spacing w:line="500" w:lineRule="exact"/>
        <w:ind w:firstLine="570"/>
        <w:rPr>
          <w:rFonts w:hint="eastAsia" w:ascii="宋体" w:hAnsi="宋体" w:cs="宋体"/>
          <w:color w:val="auto"/>
          <w:sz w:val="24"/>
        </w:rPr>
      </w:pPr>
    </w:p>
    <w:p w14:paraId="790F848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法定代表人电话：XXXXXXX      电子邮箱：XXXXXX@XXXXX（若授权他人办理并签署响应文件的可不填写）</w:t>
      </w:r>
    </w:p>
    <w:p w14:paraId="4E1D9BA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03D02744">
      <w:pPr>
        <w:tabs>
          <w:tab w:val="left" w:pos="6300"/>
        </w:tabs>
        <w:snapToGrid w:val="0"/>
        <w:spacing w:line="500" w:lineRule="exact"/>
        <w:ind w:firstLine="570"/>
        <w:rPr>
          <w:rFonts w:hint="eastAsia" w:ascii="宋体" w:hAnsi="宋体" w:cs="宋体"/>
          <w:color w:val="auto"/>
          <w:sz w:val="24"/>
        </w:rPr>
      </w:pPr>
    </w:p>
    <w:p w14:paraId="1B82868A">
      <w:pPr>
        <w:tabs>
          <w:tab w:val="left" w:pos="6300"/>
        </w:tabs>
        <w:snapToGrid w:val="0"/>
        <w:spacing w:line="500" w:lineRule="exact"/>
        <w:ind w:firstLine="570"/>
        <w:rPr>
          <w:rFonts w:hint="eastAsia" w:ascii="宋体" w:hAnsi="宋体" w:cs="宋体"/>
          <w:color w:val="auto"/>
          <w:sz w:val="24"/>
        </w:rPr>
      </w:pPr>
    </w:p>
    <w:p w14:paraId="6B6A2857">
      <w:pPr>
        <w:tabs>
          <w:tab w:val="left" w:pos="6300"/>
        </w:tabs>
        <w:snapToGrid w:val="0"/>
        <w:spacing w:line="500" w:lineRule="exact"/>
        <w:ind w:firstLine="570"/>
        <w:rPr>
          <w:rFonts w:hint="eastAsia" w:ascii="宋体" w:hAnsi="宋体" w:cs="宋体"/>
          <w:color w:val="auto"/>
          <w:sz w:val="24"/>
        </w:rPr>
      </w:pPr>
    </w:p>
    <w:p w14:paraId="713F8D4A">
      <w:pPr>
        <w:tabs>
          <w:tab w:val="left" w:pos="6300"/>
        </w:tabs>
        <w:snapToGrid w:val="0"/>
        <w:spacing w:line="500" w:lineRule="exact"/>
        <w:ind w:firstLine="570"/>
        <w:rPr>
          <w:rFonts w:hint="eastAsia" w:ascii="宋体" w:hAnsi="宋体" w:cs="宋体"/>
          <w:color w:val="auto"/>
          <w:sz w:val="24"/>
        </w:rPr>
      </w:pPr>
    </w:p>
    <w:p w14:paraId="0E913FEA">
      <w:pPr>
        <w:tabs>
          <w:tab w:val="left" w:pos="6300"/>
        </w:tabs>
        <w:snapToGrid w:val="0"/>
        <w:spacing w:line="500" w:lineRule="exact"/>
        <w:ind w:firstLine="570"/>
        <w:rPr>
          <w:rFonts w:hint="eastAsia" w:ascii="宋体" w:hAnsi="宋体" w:cs="宋体"/>
          <w:color w:val="auto"/>
          <w:sz w:val="24"/>
        </w:rPr>
      </w:pPr>
    </w:p>
    <w:p w14:paraId="41C9B63C">
      <w:pPr>
        <w:tabs>
          <w:tab w:val="left" w:pos="6300"/>
        </w:tabs>
        <w:snapToGrid w:val="0"/>
        <w:spacing w:line="500" w:lineRule="exact"/>
        <w:ind w:firstLine="570"/>
        <w:rPr>
          <w:rFonts w:hint="eastAsia" w:ascii="宋体" w:hAnsi="宋体" w:cs="宋体"/>
          <w:color w:val="auto"/>
          <w:sz w:val="24"/>
        </w:rPr>
      </w:pPr>
    </w:p>
    <w:p w14:paraId="512C8589">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column"/>
      </w:r>
      <w:r>
        <w:rPr>
          <w:rFonts w:hint="eastAsia" w:ascii="宋体" w:hAnsi="宋体" w:cs="宋体"/>
          <w:color w:val="auto"/>
          <w:sz w:val="24"/>
          <w:szCs w:val="24"/>
        </w:rPr>
        <w:t>（三）法定代表人授权委托书（格式）</w:t>
      </w:r>
    </w:p>
    <w:p w14:paraId="50A0D5FE">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7940ED33">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磋商项目名称</w:t>
      </w:r>
      <w:r>
        <w:rPr>
          <w:rFonts w:hint="eastAsia" w:ascii="宋体" w:hAnsi="宋体" w:cs="宋体"/>
          <w:color w:val="auto"/>
          <w:sz w:val="24"/>
        </w:rPr>
        <w:t>：</w:t>
      </w:r>
      <w:r>
        <w:rPr>
          <w:rFonts w:hint="eastAsia" w:ascii="宋体" w:hAnsi="宋体" w:cs="宋体"/>
          <w:color w:val="auto"/>
          <w:sz w:val="24"/>
          <w:u w:val="single"/>
        </w:rPr>
        <w:t xml:space="preserve">                                                </w:t>
      </w:r>
    </w:p>
    <w:p w14:paraId="370CFD82">
      <w:pPr>
        <w:tabs>
          <w:tab w:val="left" w:pos="6300"/>
        </w:tabs>
        <w:snapToGrid w:val="0"/>
        <w:spacing w:line="500" w:lineRule="exact"/>
        <w:ind w:firstLine="570"/>
        <w:rPr>
          <w:rFonts w:hint="eastAsia" w:ascii="宋体" w:hAnsi="宋体" w:cs="宋体"/>
          <w:color w:val="auto"/>
          <w:sz w:val="24"/>
        </w:rPr>
      </w:pPr>
    </w:p>
    <w:p w14:paraId="0BB63EAD">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（采购代理机构名称）：</w:t>
      </w:r>
    </w:p>
    <w:p w14:paraId="48E0C796">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（供应商法定代表人名称）是</w:t>
      </w:r>
      <w:r>
        <w:rPr>
          <w:rFonts w:hint="eastAsia" w:ascii="宋体" w:hAnsi="宋体" w:cs="宋体"/>
          <w:color w:val="auto"/>
          <w:sz w:val="24"/>
          <w:u w:val="single"/>
        </w:rPr>
        <w:t xml:space="preserve">                    </w:t>
      </w:r>
      <w:r>
        <w:rPr>
          <w:rFonts w:hint="eastAsia" w:ascii="宋体" w:hAnsi="宋体" w:cs="宋体"/>
          <w:color w:val="auto"/>
          <w:sz w:val="24"/>
        </w:rPr>
        <w:t>（供应商名称）的法定代表人，特授权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（被授权人姓名及身份证代码）代表我单位全权办理上述项目的磋商、签约等具体工作，并签署全部有关文件、协议及合同。</w:t>
      </w:r>
    </w:p>
    <w:p w14:paraId="4134BDD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w:t>
      </w:r>
      <w:r>
        <w:rPr>
          <w:rFonts w:hint="eastAsia" w:ascii="宋体" w:hAnsi="宋体" w:cs="宋体"/>
          <w:color w:val="auto"/>
          <w:sz w:val="24"/>
          <w:szCs w:val="28"/>
        </w:rPr>
        <w:t>签署</w:t>
      </w:r>
      <w:r>
        <w:rPr>
          <w:rFonts w:hint="eastAsia" w:ascii="宋体" w:hAnsi="宋体" w:cs="宋体"/>
          <w:color w:val="auto"/>
          <w:sz w:val="24"/>
        </w:rPr>
        <w:t>负全部责任。</w:t>
      </w:r>
    </w:p>
    <w:p w14:paraId="1529E469">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6C85A38">
      <w:pPr>
        <w:tabs>
          <w:tab w:val="left" w:pos="6300"/>
        </w:tabs>
        <w:snapToGrid w:val="0"/>
        <w:spacing w:line="500" w:lineRule="exact"/>
        <w:ind w:firstLine="570"/>
        <w:rPr>
          <w:rFonts w:hint="eastAsia" w:ascii="宋体" w:hAnsi="宋体" w:cs="宋体"/>
          <w:color w:val="auto"/>
          <w:sz w:val="24"/>
        </w:rPr>
      </w:pPr>
    </w:p>
    <w:p w14:paraId="0905EC6A">
      <w:pPr>
        <w:tabs>
          <w:tab w:val="left" w:pos="6300"/>
        </w:tabs>
        <w:snapToGrid w:val="0"/>
        <w:spacing w:line="500" w:lineRule="exact"/>
        <w:ind w:firstLine="570"/>
        <w:rPr>
          <w:rFonts w:hint="eastAsia" w:ascii="宋体" w:hAnsi="宋体" w:cs="宋体"/>
          <w:color w:val="auto"/>
          <w:sz w:val="24"/>
        </w:rPr>
      </w:pPr>
    </w:p>
    <w:p w14:paraId="362767B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供应商法定代表人：</w:t>
      </w:r>
    </w:p>
    <w:p w14:paraId="4B960DB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B224413">
      <w:pPr>
        <w:tabs>
          <w:tab w:val="left" w:pos="6300"/>
        </w:tabs>
        <w:snapToGrid w:val="0"/>
        <w:spacing w:line="500" w:lineRule="exact"/>
        <w:ind w:firstLine="570"/>
        <w:rPr>
          <w:rFonts w:hint="eastAsia" w:ascii="宋体" w:hAnsi="宋体" w:cs="宋体"/>
          <w:color w:val="auto"/>
          <w:sz w:val="24"/>
          <w:szCs w:val="28"/>
        </w:rPr>
      </w:pPr>
    </w:p>
    <w:p w14:paraId="230A6CB6">
      <w:pPr>
        <w:tabs>
          <w:tab w:val="left" w:pos="6300"/>
        </w:tabs>
        <w:snapToGrid w:val="0"/>
        <w:spacing w:line="500" w:lineRule="exact"/>
        <w:ind w:firstLine="570"/>
        <w:rPr>
          <w:rFonts w:hint="eastAsia" w:ascii="宋体" w:hAnsi="宋体" w:cs="宋体"/>
          <w:color w:val="auto"/>
          <w:sz w:val="24"/>
        </w:rPr>
      </w:pPr>
    </w:p>
    <w:p w14:paraId="4DC5748A">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2C78C98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7B0D8D80">
      <w:pPr>
        <w:tabs>
          <w:tab w:val="left" w:pos="6300"/>
        </w:tabs>
        <w:snapToGrid w:val="0"/>
        <w:spacing w:line="500" w:lineRule="exact"/>
        <w:ind w:firstLine="570"/>
        <w:rPr>
          <w:rFonts w:hint="eastAsia" w:ascii="宋体" w:hAnsi="宋体" w:cs="宋体"/>
          <w:color w:val="auto"/>
          <w:sz w:val="24"/>
        </w:rPr>
      </w:pPr>
    </w:p>
    <w:p w14:paraId="7B9737C6">
      <w:pPr>
        <w:tabs>
          <w:tab w:val="left" w:pos="6300"/>
        </w:tabs>
        <w:snapToGrid w:val="0"/>
        <w:spacing w:line="500" w:lineRule="exact"/>
        <w:ind w:firstLine="570"/>
        <w:rPr>
          <w:rFonts w:hint="eastAsia" w:ascii="宋体" w:hAnsi="宋体" w:cs="宋体"/>
          <w:color w:val="auto"/>
          <w:sz w:val="24"/>
        </w:rPr>
      </w:pPr>
    </w:p>
    <w:p w14:paraId="2FB4CB0A">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（供应商公章）</w:t>
      </w:r>
    </w:p>
    <w:p w14:paraId="1B9CF0B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7F158475">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被授权人电话：XXXXXXX     电子邮箱：XXXXXX@XXXXX（若法定代表人办理并签署响应文件的可不填写）</w:t>
      </w:r>
    </w:p>
    <w:p w14:paraId="2C4C0E9D">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注：若为法定代表人办理并签署响应文件的，不提供此文件。</w:t>
      </w:r>
    </w:p>
    <w:p w14:paraId="56E1BBE4">
      <w:pPr>
        <w:tabs>
          <w:tab w:val="left" w:pos="6300"/>
        </w:tabs>
        <w:snapToGrid w:val="0"/>
        <w:spacing w:line="500" w:lineRule="exact"/>
        <w:ind w:firstLine="570"/>
        <w:rPr>
          <w:rFonts w:hint="eastAsia" w:ascii="宋体" w:hAnsi="宋体" w:cs="宋体"/>
          <w:color w:val="auto"/>
          <w:sz w:val="24"/>
        </w:rPr>
      </w:pPr>
    </w:p>
    <w:p w14:paraId="7192B4AB">
      <w:pPr>
        <w:tabs>
          <w:tab w:val="left" w:pos="6300"/>
        </w:tabs>
        <w:snapToGrid w:val="0"/>
        <w:spacing w:line="400" w:lineRule="exact"/>
        <w:ind w:firstLine="573"/>
        <w:rPr>
          <w:rFonts w:hint="eastAsia" w:ascii="宋体" w:hAnsi="宋体" w:cs="宋体"/>
          <w:color w:val="auto"/>
          <w:sz w:val="24"/>
          <w:szCs w:val="24"/>
        </w:rPr>
      </w:pPr>
      <w:r>
        <w:rPr>
          <w:rFonts w:hint="eastAsia" w:ascii="宋体" w:hAnsi="宋体" w:cs="宋体"/>
          <w:color w:val="auto"/>
        </w:rPr>
        <w:br w:type="column"/>
      </w:r>
      <w:r>
        <w:rPr>
          <w:rFonts w:hint="eastAsia" w:ascii="宋体" w:hAnsi="宋体" w:cs="宋体"/>
          <w:color w:val="auto"/>
          <w:sz w:val="24"/>
          <w:szCs w:val="24"/>
        </w:rPr>
        <w:t>（四）基本资格条件承诺函</w:t>
      </w:r>
    </w:p>
    <w:p w14:paraId="53B31616">
      <w:pPr>
        <w:tabs>
          <w:tab w:val="left" w:pos="6300"/>
        </w:tabs>
        <w:snapToGrid w:val="0"/>
        <w:spacing w:line="500" w:lineRule="exact"/>
        <w:ind w:firstLine="570"/>
        <w:jc w:val="center"/>
        <w:rPr>
          <w:rFonts w:hint="eastAsia" w:ascii="宋体" w:hAnsi="宋体" w:cs="宋体"/>
          <w:b/>
          <w:bCs/>
          <w:color w:val="auto"/>
          <w:sz w:val="30"/>
          <w:szCs w:val="30"/>
        </w:rPr>
      </w:pPr>
      <w:r>
        <w:rPr>
          <w:rFonts w:hint="eastAsia" w:ascii="宋体" w:hAnsi="宋体" w:cs="宋体"/>
          <w:b/>
          <w:bCs/>
          <w:color w:val="auto"/>
          <w:sz w:val="30"/>
          <w:szCs w:val="30"/>
        </w:rPr>
        <w:t>基本资格条件承诺函</w:t>
      </w:r>
    </w:p>
    <w:p w14:paraId="69F70A3E">
      <w:pPr>
        <w:tabs>
          <w:tab w:val="left" w:pos="6300"/>
        </w:tabs>
        <w:snapToGrid w:val="0"/>
        <w:spacing w:line="530" w:lineRule="exact"/>
        <w:rPr>
          <w:rFonts w:hint="eastAsia" w:ascii="宋体" w:hAnsi="宋体" w:cs="宋体"/>
          <w:color w:val="auto"/>
          <w:sz w:val="24"/>
        </w:rPr>
      </w:pPr>
    </w:p>
    <w:p w14:paraId="45B16690">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（采购代理机构名称）：</w:t>
      </w:r>
    </w:p>
    <w:p w14:paraId="4E868A57">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（供应商名称）郑重承诺：</w:t>
      </w:r>
    </w:p>
    <w:p w14:paraId="3B34BA8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2AA85034">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7F28B55C">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3.我方在采购项目评审（评标）环节结束后，随时接受采购人、采购代理机构的检查验证，配合提供相关证明材料，证明符合《中华人民共和国政府采购法》规定的供应商基本资格条件。</w:t>
      </w:r>
    </w:p>
    <w:p w14:paraId="33827054">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7A4A2D0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7BA10B7">
      <w:pPr>
        <w:tabs>
          <w:tab w:val="left" w:pos="6300"/>
        </w:tabs>
        <w:snapToGrid w:val="0"/>
        <w:spacing w:line="530" w:lineRule="exact"/>
        <w:rPr>
          <w:rFonts w:hint="eastAsia" w:ascii="宋体" w:hAnsi="宋体" w:cs="宋体"/>
          <w:color w:val="auto"/>
          <w:sz w:val="24"/>
          <w:szCs w:val="24"/>
        </w:rPr>
      </w:pPr>
    </w:p>
    <w:p w14:paraId="4C0C2882">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（供应商公章）</w:t>
      </w:r>
    </w:p>
    <w:p w14:paraId="19C89A62">
      <w:pPr>
        <w:tabs>
          <w:tab w:val="left" w:pos="6300"/>
        </w:tabs>
        <w:snapToGrid w:val="0"/>
        <w:spacing w:line="400" w:lineRule="exact"/>
        <w:ind w:firstLine="7440" w:firstLineChars="3100"/>
        <w:rPr>
          <w:rFonts w:hint="eastAsia" w:ascii="宋体" w:hAnsi="宋体" w:cs="宋体"/>
          <w:color w:val="auto"/>
          <w:sz w:val="24"/>
          <w:szCs w:val="24"/>
        </w:rPr>
      </w:pPr>
      <w:r>
        <w:rPr>
          <w:rFonts w:hint="eastAsia" w:ascii="宋体" w:hAnsi="宋体" w:cs="宋体"/>
          <w:color w:val="auto"/>
          <w:sz w:val="24"/>
          <w:szCs w:val="24"/>
        </w:rPr>
        <w:t>年   月   日</w:t>
      </w:r>
    </w:p>
    <w:p w14:paraId="709B4D63">
      <w:pPr>
        <w:snapToGrid w:val="0"/>
        <w:spacing w:line="400" w:lineRule="exact"/>
        <w:ind w:firstLine="480" w:firstLineChars="200"/>
        <w:rPr>
          <w:rFonts w:hint="eastAsia" w:ascii="宋体" w:hAnsi="宋体" w:cs="宋体"/>
          <w:color w:val="auto"/>
          <w:sz w:val="24"/>
          <w:szCs w:val="24"/>
        </w:rPr>
      </w:pPr>
    </w:p>
    <w:p w14:paraId="0F2450FA">
      <w:pPr>
        <w:pStyle w:val="5"/>
        <w:adjustRightInd w:val="0"/>
        <w:snapToGrid w:val="0"/>
        <w:spacing w:before="0" w:after="0" w:line="400" w:lineRule="exact"/>
        <w:ind w:firstLine="560" w:firstLineChars="200"/>
        <w:rPr>
          <w:rFonts w:hint="eastAsia" w:ascii="宋体" w:hAnsi="宋体" w:cs="宋体"/>
          <w:color w:val="auto"/>
        </w:rPr>
      </w:pPr>
      <w:bookmarkStart w:id="727" w:name="_Toc14422"/>
      <w:r>
        <w:rPr>
          <w:rFonts w:hint="eastAsia" w:ascii="宋体" w:hAnsi="宋体" w:cs="宋体"/>
          <w:b w:val="0"/>
          <w:color w:val="auto"/>
          <w:sz w:val="28"/>
        </w:rPr>
        <w:br w:type="page"/>
      </w:r>
      <w:bookmarkStart w:id="728" w:name="_Toc13992"/>
      <w:bookmarkStart w:id="729" w:name="_Toc5526"/>
      <w:bookmarkStart w:id="730" w:name="_Toc1402"/>
      <w:bookmarkStart w:id="731" w:name="_Toc9239"/>
      <w:bookmarkStart w:id="732" w:name="_Toc1651"/>
      <w:bookmarkStart w:id="733" w:name="_Toc12643"/>
      <w:bookmarkStart w:id="734" w:name="_Toc18826"/>
      <w:bookmarkStart w:id="735" w:name="_Toc22273"/>
      <w:bookmarkStart w:id="736" w:name="_Toc24328"/>
      <w:bookmarkStart w:id="737" w:name="_Toc14458"/>
      <w:bookmarkStart w:id="738" w:name="_Toc4505"/>
      <w:bookmarkStart w:id="739" w:name="_Toc23590"/>
      <w:bookmarkStart w:id="740" w:name="_Toc3628"/>
      <w:bookmarkStart w:id="741" w:name="_Toc8145"/>
      <w:bookmarkStart w:id="742" w:name="_Toc3214"/>
      <w:bookmarkStart w:id="743" w:name="_Toc65662760"/>
      <w:bookmarkStart w:id="744" w:name="_Toc21494"/>
      <w:bookmarkStart w:id="745" w:name="_Toc7756"/>
      <w:bookmarkStart w:id="746" w:name="_Toc27965"/>
      <w:r>
        <w:rPr>
          <w:rFonts w:hint="eastAsia" w:ascii="宋体" w:hAnsi="宋体" w:cs="宋体"/>
          <w:color w:val="auto"/>
        </w:rPr>
        <w:t>五、其他资料</w:t>
      </w:r>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p>
    <w:p w14:paraId="107C712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（一）中小企业声明函、监狱企业证明文件、残疾人福利性单位声明函</w:t>
      </w:r>
    </w:p>
    <w:p w14:paraId="6AE57E61">
      <w:pPr>
        <w:tabs>
          <w:tab w:val="left" w:pos="6300"/>
        </w:tabs>
        <w:snapToGrid w:val="0"/>
        <w:spacing w:line="500" w:lineRule="exact"/>
        <w:ind w:firstLine="560" w:firstLineChars="200"/>
        <w:jc w:val="center"/>
        <w:rPr>
          <w:rFonts w:hint="eastAsia" w:ascii="宋体" w:hAnsi="宋体" w:cs="宋体"/>
          <w:color w:val="auto"/>
        </w:rPr>
      </w:pPr>
      <w:r>
        <w:rPr>
          <w:rFonts w:hint="eastAsia" w:ascii="宋体" w:hAnsi="宋体" w:cs="宋体"/>
          <w:color w:val="auto"/>
        </w:rPr>
        <w:t>中小企业声明函</w:t>
      </w:r>
    </w:p>
    <w:p w14:paraId="44DD5D56">
      <w:pPr>
        <w:tabs>
          <w:tab w:val="left" w:pos="6300"/>
        </w:tabs>
        <w:snapToGrid w:val="0"/>
        <w:spacing w:line="500" w:lineRule="exact"/>
        <w:ind w:firstLine="480" w:firstLineChars="200"/>
        <w:rPr>
          <w:rFonts w:ascii="宋体" w:hAnsi="宋体"/>
          <w:color w:val="auto"/>
          <w:sz w:val="24"/>
          <w:szCs w:val="28"/>
        </w:rPr>
      </w:pPr>
      <w:r>
        <w:rPr>
          <w:rFonts w:hint="eastAsia" w:ascii="宋体" w:hAnsi="宋体"/>
          <w:color w:val="auto"/>
          <w:sz w:val="24"/>
          <w:szCs w:val="28"/>
        </w:rPr>
        <w:t>本公司（联合体）郑重声明，根据《政府采购促进中小企业发展管理办法》（</w:t>
      </w:r>
      <w:r>
        <w:rPr>
          <w:rFonts w:hint="eastAsia" w:ascii="宋体" w:hAnsi="宋体"/>
          <w:color w:val="auto"/>
          <w:sz w:val="24"/>
          <w:szCs w:val="24"/>
        </w:rPr>
        <w:t>财库〔2020〕46号</w:t>
      </w:r>
      <w:r>
        <w:rPr>
          <w:rFonts w:hint="eastAsia" w:ascii="宋体" w:hAnsi="宋体"/>
          <w:color w:val="auto"/>
          <w:sz w:val="24"/>
          <w:szCs w:val="28"/>
        </w:rPr>
        <w:t>）的规定，本公司（联合体）参加</w:t>
      </w:r>
      <w:r>
        <w:rPr>
          <w:rFonts w:hint="eastAsia" w:ascii="宋体" w:hAnsi="宋体"/>
          <w:i/>
          <w:color w:val="auto"/>
          <w:sz w:val="24"/>
          <w:szCs w:val="28"/>
          <w:u w:val="single"/>
        </w:rPr>
        <w:t>（单位名称）</w:t>
      </w:r>
      <w:r>
        <w:rPr>
          <w:rFonts w:hint="eastAsia" w:ascii="宋体" w:hAnsi="宋体"/>
          <w:color w:val="auto"/>
          <w:sz w:val="24"/>
          <w:szCs w:val="28"/>
        </w:rPr>
        <w:t>的</w:t>
      </w:r>
      <w:r>
        <w:rPr>
          <w:rFonts w:hint="eastAsia" w:ascii="宋体" w:hAnsi="宋体"/>
          <w:i/>
          <w:color w:val="auto"/>
          <w:sz w:val="24"/>
          <w:szCs w:val="28"/>
          <w:u w:val="single"/>
        </w:rPr>
        <w:t>（项目名称）</w:t>
      </w:r>
      <w:r>
        <w:rPr>
          <w:rFonts w:hint="eastAsia" w:ascii="宋体" w:hAnsi="宋体"/>
          <w:color w:val="auto"/>
          <w:sz w:val="24"/>
          <w:szCs w:val="28"/>
        </w:rPr>
        <w:t>采购活动，服务全部由符合政策要求的中小企业承接。相关企业（含联合体中的中小企业、签订分包意向协议的中小企业）的具体情况如下：</w:t>
      </w:r>
    </w:p>
    <w:p w14:paraId="2809EE12">
      <w:pPr>
        <w:tabs>
          <w:tab w:val="left" w:pos="6300"/>
        </w:tabs>
        <w:snapToGrid w:val="0"/>
        <w:spacing w:line="500" w:lineRule="exact"/>
        <w:ind w:firstLine="480" w:firstLineChars="200"/>
        <w:rPr>
          <w:rFonts w:ascii="宋体" w:hAnsi="宋体"/>
          <w:color w:val="auto"/>
          <w:sz w:val="24"/>
          <w:szCs w:val="24"/>
        </w:rPr>
      </w:pPr>
      <w:r>
        <w:rPr>
          <w:rFonts w:hint="eastAsia" w:ascii="宋体" w:hAnsi="宋体"/>
          <w:i/>
          <w:color w:val="auto"/>
          <w:sz w:val="24"/>
          <w:szCs w:val="24"/>
          <w:u w:val="single"/>
        </w:rPr>
        <w:t>（标的名称）</w:t>
      </w:r>
      <w:r>
        <w:rPr>
          <w:rFonts w:hint="eastAsia" w:ascii="宋体" w:hAnsi="宋体"/>
          <w:color w:val="auto"/>
          <w:sz w:val="24"/>
          <w:szCs w:val="24"/>
        </w:rPr>
        <w:t>，属于</w:t>
      </w:r>
      <w:r>
        <w:rPr>
          <w:rFonts w:hint="eastAsia" w:ascii="宋体" w:hAnsi="宋体"/>
          <w:i/>
          <w:color w:val="auto"/>
          <w:sz w:val="24"/>
          <w:szCs w:val="24"/>
          <w:u w:val="single"/>
        </w:rPr>
        <w:t>（采购文件中明确的所属行业）</w:t>
      </w:r>
      <w:r>
        <w:rPr>
          <w:rFonts w:hint="eastAsia" w:ascii="宋体" w:hAnsi="宋体"/>
          <w:color w:val="auto"/>
          <w:sz w:val="24"/>
          <w:szCs w:val="24"/>
        </w:rPr>
        <w:t>；承接企业为</w:t>
      </w:r>
      <w:r>
        <w:rPr>
          <w:rFonts w:hint="eastAsia" w:ascii="宋体" w:hAnsi="宋体"/>
          <w:i/>
          <w:color w:val="auto"/>
          <w:sz w:val="24"/>
          <w:szCs w:val="24"/>
          <w:u w:val="single"/>
        </w:rPr>
        <w:t>（企业名称）</w:t>
      </w:r>
      <w:r>
        <w:rPr>
          <w:rFonts w:hint="eastAsia" w:ascii="宋体" w:hAnsi="宋体"/>
          <w:color w:val="auto"/>
          <w:sz w:val="24"/>
          <w:szCs w:val="24"/>
        </w:rPr>
        <w:t>，从业人员</w:t>
      </w:r>
      <w:r>
        <w:rPr>
          <w:rFonts w:hint="eastAsia" w:ascii="宋体" w:hAnsi="宋体"/>
          <w:color w:val="auto"/>
          <w:sz w:val="24"/>
          <w:szCs w:val="24"/>
          <w:u w:val="single"/>
        </w:rPr>
        <w:t xml:space="preserve">   </w:t>
      </w:r>
      <w:r>
        <w:rPr>
          <w:rFonts w:hint="eastAsia" w:ascii="宋体" w:hAnsi="宋体"/>
          <w:color w:val="auto"/>
          <w:sz w:val="24"/>
          <w:szCs w:val="24"/>
        </w:rPr>
        <w:t>人，营业收入为</w:t>
      </w:r>
      <w:r>
        <w:rPr>
          <w:rFonts w:hint="eastAsia" w:ascii="宋体" w:hAnsi="宋体"/>
          <w:color w:val="auto"/>
          <w:sz w:val="24"/>
          <w:szCs w:val="24"/>
          <w:u w:val="single"/>
        </w:rPr>
        <w:t xml:space="preserve">   </w:t>
      </w:r>
      <w:r>
        <w:rPr>
          <w:rFonts w:hint="eastAsia" w:ascii="宋体" w:hAnsi="宋体"/>
          <w:color w:val="auto"/>
          <w:sz w:val="24"/>
          <w:szCs w:val="24"/>
        </w:rPr>
        <w:t>万元，资产总额为</w:t>
      </w:r>
      <w:r>
        <w:rPr>
          <w:rFonts w:hint="eastAsia" w:ascii="宋体" w:hAnsi="宋体"/>
          <w:color w:val="auto"/>
          <w:sz w:val="24"/>
          <w:szCs w:val="24"/>
          <w:u w:val="single"/>
        </w:rPr>
        <w:t xml:space="preserve">     </w:t>
      </w:r>
      <w:r>
        <w:rPr>
          <w:rFonts w:hint="eastAsia" w:ascii="宋体" w:hAnsi="宋体"/>
          <w:color w:val="auto"/>
          <w:sz w:val="24"/>
          <w:szCs w:val="24"/>
        </w:rPr>
        <w:t>万元，属于</w:t>
      </w:r>
      <w:r>
        <w:rPr>
          <w:rFonts w:hint="eastAsia" w:ascii="宋体" w:hAnsi="宋体"/>
          <w:i/>
          <w:color w:val="auto"/>
          <w:sz w:val="24"/>
          <w:szCs w:val="24"/>
          <w:u w:val="single"/>
        </w:rPr>
        <w:t>（中型企业、小型企业、微型企业）</w:t>
      </w:r>
      <w:r>
        <w:rPr>
          <w:rFonts w:hint="eastAsia" w:ascii="宋体" w:hAnsi="宋体"/>
          <w:color w:val="auto"/>
          <w:sz w:val="24"/>
          <w:szCs w:val="24"/>
        </w:rPr>
        <w:t>；</w:t>
      </w:r>
    </w:p>
    <w:p w14:paraId="5B1FE4CC">
      <w:pPr>
        <w:tabs>
          <w:tab w:val="left" w:pos="6300"/>
        </w:tabs>
        <w:snapToGrid w:val="0"/>
        <w:spacing w:line="500" w:lineRule="exact"/>
        <w:ind w:firstLine="480" w:firstLineChars="200"/>
        <w:rPr>
          <w:rFonts w:ascii="宋体" w:hAnsi="宋体"/>
          <w:color w:val="auto"/>
          <w:sz w:val="24"/>
          <w:szCs w:val="28"/>
        </w:rPr>
      </w:pPr>
      <w:r>
        <w:rPr>
          <w:rFonts w:hint="eastAsia" w:ascii="宋体" w:hAnsi="宋体"/>
          <w:color w:val="auto"/>
          <w:sz w:val="24"/>
          <w:szCs w:val="24"/>
        </w:rPr>
        <w:t>为本标的提供的服务人员</w:t>
      </w:r>
      <w:r>
        <w:rPr>
          <w:rFonts w:hint="eastAsia" w:ascii="宋体" w:hAnsi="宋体"/>
          <w:color w:val="auto"/>
          <w:sz w:val="24"/>
          <w:szCs w:val="24"/>
          <w:u w:val="single"/>
        </w:rPr>
        <w:t xml:space="preserve">   </w:t>
      </w:r>
      <w:r>
        <w:rPr>
          <w:rFonts w:hint="eastAsia" w:ascii="宋体" w:hAnsi="宋体"/>
          <w:color w:val="auto"/>
          <w:sz w:val="24"/>
          <w:szCs w:val="24"/>
        </w:rPr>
        <w:t>人，其中与本企业签订劳动合同</w:t>
      </w:r>
      <w:r>
        <w:rPr>
          <w:rFonts w:hint="eastAsia" w:ascii="宋体" w:hAnsi="宋体"/>
          <w:color w:val="auto"/>
          <w:sz w:val="24"/>
          <w:szCs w:val="24"/>
          <w:u w:val="single"/>
        </w:rPr>
        <w:t xml:space="preserve">   </w:t>
      </w:r>
      <w:r>
        <w:rPr>
          <w:rFonts w:hint="eastAsia" w:ascii="宋体" w:hAnsi="宋体"/>
          <w:color w:val="auto"/>
          <w:sz w:val="24"/>
          <w:szCs w:val="24"/>
        </w:rPr>
        <w:t>人，其他人员</w:t>
      </w:r>
      <w:r>
        <w:rPr>
          <w:rFonts w:hint="eastAsia" w:ascii="宋体" w:hAnsi="宋体"/>
          <w:color w:val="auto"/>
          <w:sz w:val="24"/>
          <w:szCs w:val="24"/>
          <w:u w:val="single"/>
        </w:rPr>
        <w:t xml:space="preserve">   </w:t>
      </w:r>
      <w:r>
        <w:rPr>
          <w:rFonts w:hint="eastAsia" w:ascii="宋体" w:hAnsi="宋体"/>
          <w:color w:val="auto"/>
          <w:sz w:val="24"/>
          <w:szCs w:val="24"/>
        </w:rPr>
        <w:t>人。</w:t>
      </w:r>
      <w:r>
        <w:rPr>
          <w:rFonts w:hint="eastAsia" w:ascii="宋体" w:hAnsi="宋体"/>
          <w:b/>
          <w:color w:val="auto"/>
          <w:sz w:val="24"/>
          <w:szCs w:val="24"/>
        </w:rPr>
        <w:t>有其他人员的不符合中小企业扶持政策</w:t>
      </w:r>
      <w:r>
        <w:rPr>
          <w:rFonts w:hint="eastAsia" w:ascii="宋体" w:hAnsi="宋体"/>
          <w:color w:val="auto"/>
          <w:sz w:val="24"/>
          <w:szCs w:val="24"/>
        </w:rPr>
        <w:t>。</w:t>
      </w:r>
    </w:p>
    <w:p w14:paraId="7B836CC6">
      <w:pPr>
        <w:tabs>
          <w:tab w:val="left" w:pos="6300"/>
        </w:tabs>
        <w:snapToGrid w:val="0"/>
        <w:spacing w:line="500" w:lineRule="exact"/>
        <w:ind w:right="782" w:firstLine="480" w:firstLineChars="200"/>
        <w:rPr>
          <w:rFonts w:ascii="宋体" w:hAnsi="宋体"/>
          <w:color w:val="auto"/>
          <w:sz w:val="24"/>
        </w:rPr>
      </w:pPr>
      <w:r>
        <w:rPr>
          <w:rFonts w:ascii="宋体" w:hAnsi="宋体"/>
          <w:color w:val="auto"/>
          <w:sz w:val="24"/>
        </w:rPr>
        <w:t>……</w:t>
      </w:r>
    </w:p>
    <w:p w14:paraId="50C04486">
      <w:pPr>
        <w:tabs>
          <w:tab w:val="left" w:pos="6300"/>
        </w:tabs>
        <w:snapToGrid w:val="0"/>
        <w:spacing w:line="500" w:lineRule="exact"/>
        <w:ind w:firstLine="480" w:firstLineChars="200"/>
        <w:rPr>
          <w:rFonts w:ascii="宋体" w:hAnsi="宋体"/>
          <w:color w:val="auto"/>
          <w:sz w:val="24"/>
          <w:szCs w:val="28"/>
        </w:rPr>
      </w:pPr>
      <w:r>
        <w:rPr>
          <w:rFonts w:hint="eastAsia" w:ascii="宋体" w:hAnsi="宋体"/>
          <w:color w:val="auto"/>
          <w:sz w:val="24"/>
          <w:szCs w:val="28"/>
        </w:rPr>
        <w:t>以上企业，不属于大企业的分支机构，不存在控股股东为大企业的情形，也不存在与大企业的负责人为同一人的情形。</w:t>
      </w:r>
    </w:p>
    <w:p w14:paraId="34B7DBDD">
      <w:pPr>
        <w:tabs>
          <w:tab w:val="left" w:pos="6300"/>
        </w:tabs>
        <w:snapToGrid w:val="0"/>
        <w:spacing w:line="500" w:lineRule="exact"/>
        <w:ind w:firstLine="480" w:firstLineChars="200"/>
        <w:rPr>
          <w:rFonts w:ascii="宋体" w:hAnsi="宋体"/>
          <w:color w:val="auto"/>
          <w:sz w:val="24"/>
          <w:szCs w:val="28"/>
        </w:rPr>
      </w:pPr>
      <w:r>
        <w:rPr>
          <w:rFonts w:hint="eastAsia" w:ascii="宋体" w:hAnsi="宋体"/>
          <w:color w:val="auto"/>
          <w:sz w:val="24"/>
          <w:szCs w:val="28"/>
        </w:rPr>
        <w:t>本企业对上述声明内容的真实性负责。如有虚假，将依法承担相应责任。</w:t>
      </w:r>
    </w:p>
    <w:p w14:paraId="79212688">
      <w:pPr>
        <w:tabs>
          <w:tab w:val="left" w:pos="6300"/>
        </w:tabs>
        <w:snapToGrid w:val="0"/>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 xml:space="preserve">                                                    </w:t>
      </w:r>
    </w:p>
    <w:p w14:paraId="2A78E3AC">
      <w:pPr>
        <w:tabs>
          <w:tab w:val="left" w:pos="6300"/>
        </w:tabs>
        <w:snapToGrid w:val="0"/>
        <w:spacing w:line="500" w:lineRule="exact"/>
        <w:ind w:firstLine="6120" w:firstLineChars="2550"/>
        <w:rPr>
          <w:rFonts w:hint="eastAsia" w:ascii="宋体" w:hAnsi="宋体" w:cs="宋体"/>
          <w:color w:val="auto"/>
          <w:sz w:val="24"/>
          <w:szCs w:val="28"/>
        </w:rPr>
      </w:pPr>
      <w:r>
        <w:rPr>
          <w:rFonts w:hint="eastAsia" w:ascii="宋体" w:hAnsi="宋体" w:cs="宋体"/>
          <w:color w:val="auto"/>
          <w:sz w:val="24"/>
          <w:szCs w:val="28"/>
        </w:rPr>
        <w:t xml:space="preserve">企业名称（盖章）： </w:t>
      </w:r>
    </w:p>
    <w:p w14:paraId="3EEE4658">
      <w:pPr>
        <w:tabs>
          <w:tab w:val="left" w:pos="6300"/>
        </w:tabs>
        <w:snapToGrid w:val="0"/>
        <w:spacing w:line="500" w:lineRule="exact"/>
        <w:ind w:right="784" w:firstLine="6120" w:firstLineChars="2550"/>
        <w:rPr>
          <w:rFonts w:hint="eastAsia" w:ascii="宋体" w:hAnsi="宋体" w:cs="宋体"/>
          <w:color w:val="auto"/>
          <w:sz w:val="24"/>
          <w:szCs w:val="28"/>
        </w:rPr>
      </w:pPr>
      <w:r>
        <w:rPr>
          <w:rFonts w:hint="eastAsia" w:ascii="宋体" w:hAnsi="宋体" w:cs="宋体"/>
          <w:color w:val="auto"/>
          <w:sz w:val="24"/>
          <w:szCs w:val="28"/>
        </w:rPr>
        <w:t>日期：</w:t>
      </w:r>
    </w:p>
    <w:p w14:paraId="0BF3EA59">
      <w:pPr>
        <w:tabs>
          <w:tab w:val="left" w:pos="6300"/>
        </w:tabs>
        <w:snapToGrid w:val="0"/>
        <w:rPr>
          <w:rFonts w:hint="eastAsia" w:ascii="宋体" w:hAnsi="宋体" w:cs="宋体"/>
          <w:color w:val="auto"/>
          <w:kern w:val="0"/>
          <w:sz w:val="21"/>
          <w:szCs w:val="21"/>
        </w:rPr>
      </w:pPr>
      <w:r>
        <w:rPr>
          <w:rFonts w:hint="eastAsia" w:ascii="宋体" w:hAnsi="宋体" w:cs="宋体"/>
          <w:color w:val="auto"/>
          <w:kern w:val="0"/>
          <w:sz w:val="21"/>
          <w:szCs w:val="21"/>
        </w:rPr>
        <w:t>填写时应注意以下事项：</w:t>
      </w:r>
    </w:p>
    <w:p w14:paraId="0ADEA314">
      <w:pPr>
        <w:tabs>
          <w:tab w:val="left" w:pos="6300"/>
        </w:tabs>
        <w:snapToGrid w:val="0"/>
        <w:ind w:firstLine="420" w:firstLineChars="200"/>
        <w:rPr>
          <w:rFonts w:hint="eastAsia" w:ascii="宋体" w:hAnsi="宋体" w:cs="宋体"/>
          <w:color w:val="auto"/>
          <w:kern w:val="0"/>
          <w:sz w:val="21"/>
          <w:szCs w:val="21"/>
        </w:rPr>
      </w:pPr>
      <w:r>
        <w:rPr>
          <w:rFonts w:hint="eastAsia" w:ascii="宋体" w:hAnsi="宋体" w:cs="宋体"/>
          <w:color w:val="auto"/>
          <w:kern w:val="0"/>
          <w:sz w:val="21"/>
          <w:szCs w:val="21"/>
        </w:rPr>
        <w:t>1.从业人员、营业收入、资产总额填报上一年度数据，无上一年度数据的新成立企业可不填报。</w:t>
      </w:r>
    </w:p>
    <w:p w14:paraId="5AE464A8">
      <w:pPr>
        <w:tabs>
          <w:tab w:val="left" w:pos="6300"/>
        </w:tabs>
        <w:snapToGrid w:val="0"/>
        <w:ind w:firstLine="422" w:firstLineChars="200"/>
        <w:rPr>
          <w:rFonts w:hint="eastAsia" w:ascii="宋体" w:hAnsi="宋体" w:cs="宋体"/>
          <w:b/>
          <w:color w:val="auto"/>
          <w:kern w:val="0"/>
          <w:sz w:val="21"/>
          <w:szCs w:val="21"/>
        </w:rPr>
      </w:pPr>
      <w:r>
        <w:rPr>
          <w:rFonts w:hint="eastAsia" w:ascii="宋体" w:hAnsi="宋体" w:cs="宋体"/>
          <w:b/>
          <w:color w:val="auto"/>
          <w:kern w:val="0"/>
          <w:sz w:val="21"/>
          <w:szCs w:val="21"/>
        </w:rPr>
        <w:t>2.中小企业应当按照《中小企业划型标准规定》（工信部联企业〔2011〕300号），如实填写并提交《中小企业声明函》。</w:t>
      </w:r>
    </w:p>
    <w:p w14:paraId="0C8A733B">
      <w:pPr>
        <w:tabs>
          <w:tab w:val="left" w:pos="6300"/>
        </w:tabs>
        <w:snapToGrid w:val="0"/>
        <w:ind w:firstLine="422" w:firstLineChars="200"/>
        <w:rPr>
          <w:rFonts w:hint="eastAsia" w:ascii="宋体" w:hAnsi="宋体" w:cs="宋体"/>
          <w:b/>
          <w:color w:val="auto"/>
          <w:kern w:val="0"/>
          <w:sz w:val="21"/>
          <w:szCs w:val="21"/>
        </w:rPr>
      </w:pPr>
      <w:r>
        <w:rPr>
          <w:rFonts w:hint="eastAsia" w:ascii="宋体" w:hAnsi="宋体" w:cs="宋体"/>
          <w:b/>
          <w:color w:val="auto"/>
          <w:kern w:val="0"/>
          <w:sz w:val="21"/>
          <w:szCs w:val="21"/>
        </w:rPr>
        <w:t>3.供应商填写《中小企业声明函》中所属行业时，应与采购文件第一篇“采购标的对应的中小企业划分标准所属行业”中填写的所属行业一致。</w:t>
      </w:r>
    </w:p>
    <w:p w14:paraId="347E168B">
      <w:pPr>
        <w:tabs>
          <w:tab w:val="left" w:pos="6300"/>
        </w:tabs>
        <w:snapToGrid w:val="0"/>
        <w:ind w:firstLine="422" w:firstLineChars="200"/>
        <w:rPr>
          <w:rFonts w:hint="eastAsia" w:ascii="宋体" w:hAnsi="宋体" w:cs="宋体"/>
          <w:b/>
          <w:color w:val="auto"/>
          <w:kern w:val="0"/>
          <w:sz w:val="21"/>
          <w:szCs w:val="21"/>
        </w:rPr>
      </w:pPr>
      <w:r>
        <w:rPr>
          <w:rFonts w:hint="eastAsia" w:ascii="宋体" w:hAnsi="宋体" w:cs="宋体"/>
          <w:b/>
          <w:color w:val="auto"/>
          <w:kern w:val="0"/>
          <w:sz w:val="21"/>
          <w:szCs w:val="21"/>
        </w:rPr>
        <w:t>4.</w:t>
      </w:r>
      <w:r>
        <w:rPr>
          <w:rFonts w:hint="eastAsia" w:ascii="宋体" w:hAnsi="宋体" w:cs="宋体"/>
          <w:b/>
          <w:color w:val="auto"/>
          <w:kern w:val="0"/>
          <w:sz w:val="21"/>
          <w:szCs w:val="21"/>
          <w:u w:val="single"/>
        </w:rPr>
        <w:t>本声明函“企业名称（盖章）”处为参加磋商的供应商盖章。</w:t>
      </w:r>
    </w:p>
    <w:p w14:paraId="35C12FE8">
      <w:pPr>
        <w:tabs>
          <w:tab w:val="left" w:pos="6300"/>
        </w:tabs>
        <w:snapToGrid w:val="0"/>
        <w:ind w:firstLine="420" w:firstLineChars="200"/>
        <w:rPr>
          <w:rFonts w:hint="eastAsia" w:ascii="宋体" w:hAnsi="宋体" w:cs="宋体"/>
          <w:color w:val="auto"/>
          <w:kern w:val="0"/>
          <w:sz w:val="21"/>
          <w:szCs w:val="21"/>
        </w:rPr>
      </w:pPr>
      <w:r>
        <w:rPr>
          <w:rFonts w:hint="eastAsia" w:ascii="宋体" w:hAnsi="宋体" w:cs="宋体"/>
          <w:color w:val="auto"/>
          <w:kern w:val="0"/>
          <w:sz w:val="21"/>
          <w:szCs w:val="21"/>
        </w:rPr>
        <w:t>注：各行业划型标准：</w:t>
      </w:r>
    </w:p>
    <w:p w14:paraId="598A6964">
      <w:pPr>
        <w:tabs>
          <w:tab w:val="left" w:pos="6300"/>
        </w:tabs>
        <w:snapToGrid w:val="0"/>
        <w:ind w:firstLine="420" w:firstLineChars="200"/>
        <w:rPr>
          <w:rFonts w:hint="eastAsia" w:ascii="宋体" w:hAnsi="宋体" w:cs="宋体"/>
          <w:color w:val="auto"/>
          <w:kern w:val="0"/>
          <w:sz w:val="21"/>
          <w:szCs w:val="21"/>
        </w:rPr>
      </w:pPr>
      <w:r>
        <w:rPr>
          <w:rFonts w:hint="eastAsia" w:ascii="宋体" w:hAnsi="宋体" w:cs="宋体"/>
          <w:color w:val="auto"/>
          <w:kern w:val="0"/>
          <w:sz w:val="21"/>
          <w:szCs w:val="21"/>
        </w:rPr>
        <w:t>（一）农、林、牧、渔业。营业收入20000万元以下的为中小微型企业。其中，营业收入500万元及以上的为中型企业，营业收入50万元及以上的为小型企业，营业收入50万元以下的为微型企业。</w:t>
      </w:r>
    </w:p>
    <w:p w14:paraId="2A02660D">
      <w:pPr>
        <w:tabs>
          <w:tab w:val="left" w:pos="6300"/>
        </w:tabs>
        <w:snapToGrid w:val="0"/>
        <w:ind w:firstLine="420" w:firstLineChars="200"/>
        <w:rPr>
          <w:rFonts w:hint="eastAsia" w:ascii="宋体" w:hAnsi="宋体" w:cs="宋体"/>
          <w:color w:val="auto"/>
          <w:kern w:val="0"/>
          <w:sz w:val="21"/>
          <w:szCs w:val="21"/>
        </w:rPr>
      </w:pPr>
      <w:r>
        <w:rPr>
          <w:rFonts w:hint="eastAsia" w:ascii="宋体" w:hAnsi="宋体" w:cs="宋体"/>
          <w:color w:val="auto"/>
          <w:kern w:val="0"/>
          <w:sz w:val="21"/>
          <w:szCs w:val="21"/>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AD6C0A2">
      <w:pPr>
        <w:tabs>
          <w:tab w:val="left" w:pos="6300"/>
        </w:tabs>
        <w:snapToGrid w:val="0"/>
        <w:ind w:firstLine="420" w:firstLineChars="200"/>
        <w:rPr>
          <w:rFonts w:hint="eastAsia" w:ascii="宋体" w:hAnsi="宋体" w:cs="宋体"/>
          <w:color w:val="auto"/>
          <w:kern w:val="0"/>
          <w:sz w:val="21"/>
          <w:szCs w:val="21"/>
        </w:rPr>
      </w:pPr>
      <w:r>
        <w:rPr>
          <w:rFonts w:hint="eastAsia" w:ascii="宋体" w:hAnsi="宋体" w:cs="宋体"/>
          <w:color w:val="auto"/>
          <w:kern w:val="0"/>
          <w:sz w:val="21"/>
          <w:szCs w:val="21"/>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13C6E514">
      <w:pPr>
        <w:tabs>
          <w:tab w:val="left" w:pos="6300"/>
        </w:tabs>
        <w:snapToGrid w:val="0"/>
        <w:ind w:firstLine="420" w:firstLineChars="200"/>
        <w:rPr>
          <w:rFonts w:hint="eastAsia" w:ascii="宋体" w:hAnsi="宋体" w:cs="宋体"/>
          <w:color w:val="auto"/>
          <w:kern w:val="0"/>
          <w:sz w:val="21"/>
          <w:szCs w:val="21"/>
        </w:rPr>
      </w:pPr>
      <w:r>
        <w:rPr>
          <w:rFonts w:hint="eastAsia" w:ascii="宋体" w:hAnsi="宋体" w:cs="宋体"/>
          <w:color w:val="auto"/>
          <w:kern w:val="0"/>
          <w:sz w:val="21"/>
          <w:szCs w:val="21"/>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3BA986B5">
      <w:pPr>
        <w:tabs>
          <w:tab w:val="left" w:pos="6300"/>
        </w:tabs>
        <w:snapToGrid w:val="0"/>
        <w:ind w:firstLine="420" w:firstLineChars="200"/>
        <w:rPr>
          <w:rFonts w:hint="eastAsia" w:ascii="宋体" w:hAnsi="宋体" w:cs="宋体"/>
          <w:color w:val="auto"/>
          <w:kern w:val="0"/>
          <w:sz w:val="21"/>
          <w:szCs w:val="21"/>
        </w:rPr>
      </w:pPr>
      <w:r>
        <w:rPr>
          <w:rFonts w:hint="eastAsia" w:ascii="宋体" w:hAnsi="宋体" w:cs="宋体"/>
          <w:color w:val="auto"/>
          <w:kern w:val="0"/>
          <w:sz w:val="21"/>
          <w:szCs w:val="21"/>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309C3C2F">
      <w:pPr>
        <w:tabs>
          <w:tab w:val="left" w:pos="6300"/>
        </w:tabs>
        <w:snapToGrid w:val="0"/>
        <w:ind w:firstLine="420" w:firstLineChars="200"/>
        <w:rPr>
          <w:rFonts w:hint="eastAsia" w:ascii="宋体" w:hAnsi="宋体" w:cs="宋体"/>
          <w:color w:val="auto"/>
          <w:kern w:val="0"/>
          <w:sz w:val="21"/>
          <w:szCs w:val="21"/>
        </w:rPr>
      </w:pPr>
      <w:r>
        <w:rPr>
          <w:rFonts w:hint="eastAsia" w:ascii="宋体" w:hAnsi="宋体" w:cs="宋体"/>
          <w:color w:val="auto"/>
          <w:kern w:val="0"/>
          <w:sz w:val="21"/>
          <w:szCs w:val="21"/>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599DED21">
      <w:pPr>
        <w:tabs>
          <w:tab w:val="left" w:pos="6300"/>
        </w:tabs>
        <w:snapToGrid w:val="0"/>
        <w:ind w:firstLine="420" w:firstLineChars="200"/>
        <w:rPr>
          <w:rFonts w:hint="eastAsia" w:ascii="宋体" w:hAnsi="宋体" w:cs="宋体"/>
          <w:color w:val="auto"/>
          <w:kern w:val="0"/>
          <w:sz w:val="21"/>
          <w:szCs w:val="21"/>
        </w:rPr>
      </w:pPr>
      <w:r>
        <w:rPr>
          <w:rFonts w:hint="eastAsia" w:ascii="宋体" w:hAnsi="宋体" w:cs="宋体"/>
          <w:color w:val="auto"/>
          <w:kern w:val="0"/>
          <w:sz w:val="21"/>
          <w:szCs w:val="21"/>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00B79C8C">
      <w:pPr>
        <w:tabs>
          <w:tab w:val="left" w:pos="6300"/>
        </w:tabs>
        <w:snapToGrid w:val="0"/>
        <w:ind w:firstLine="420" w:firstLineChars="200"/>
        <w:rPr>
          <w:rFonts w:hint="eastAsia" w:ascii="宋体" w:hAnsi="宋体" w:cs="宋体"/>
          <w:color w:val="auto"/>
          <w:kern w:val="0"/>
          <w:sz w:val="21"/>
          <w:szCs w:val="21"/>
        </w:rPr>
      </w:pPr>
      <w:r>
        <w:rPr>
          <w:rFonts w:hint="eastAsia" w:ascii="宋体" w:hAnsi="宋体" w:cs="宋体"/>
          <w:color w:val="auto"/>
          <w:kern w:val="0"/>
          <w:sz w:val="21"/>
          <w:szCs w:val="21"/>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2CECAE25">
      <w:pPr>
        <w:tabs>
          <w:tab w:val="left" w:pos="6300"/>
        </w:tabs>
        <w:snapToGrid w:val="0"/>
        <w:ind w:firstLine="420" w:firstLineChars="200"/>
        <w:rPr>
          <w:rFonts w:hint="eastAsia" w:ascii="宋体" w:hAnsi="宋体" w:cs="宋体"/>
          <w:color w:val="auto"/>
          <w:kern w:val="0"/>
          <w:sz w:val="21"/>
          <w:szCs w:val="21"/>
        </w:rPr>
      </w:pPr>
      <w:r>
        <w:rPr>
          <w:rFonts w:hint="eastAsia" w:ascii="宋体" w:hAnsi="宋体" w:cs="宋体"/>
          <w:color w:val="auto"/>
          <w:kern w:val="0"/>
          <w:sz w:val="21"/>
          <w:szCs w:val="21"/>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0B4FA885">
      <w:pPr>
        <w:tabs>
          <w:tab w:val="left" w:pos="6300"/>
        </w:tabs>
        <w:snapToGrid w:val="0"/>
        <w:ind w:firstLine="420" w:firstLineChars="200"/>
        <w:rPr>
          <w:rFonts w:hint="eastAsia" w:ascii="宋体" w:hAnsi="宋体" w:cs="宋体"/>
          <w:color w:val="auto"/>
          <w:kern w:val="0"/>
          <w:sz w:val="21"/>
          <w:szCs w:val="21"/>
        </w:rPr>
      </w:pPr>
      <w:r>
        <w:rPr>
          <w:rFonts w:hint="eastAsia" w:ascii="宋体" w:hAnsi="宋体" w:cs="宋体"/>
          <w:color w:val="auto"/>
          <w:kern w:val="0"/>
          <w:sz w:val="21"/>
          <w:szCs w:val="21"/>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022A5BA8">
      <w:pPr>
        <w:tabs>
          <w:tab w:val="left" w:pos="6300"/>
        </w:tabs>
        <w:snapToGrid w:val="0"/>
        <w:ind w:firstLine="420" w:firstLineChars="200"/>
        <w:rPr>
          <w:rFonts w:hint="eastAsia" w:ascii="宋体" w:hAnsi="宋体" w:cs="宋体"/>
          <w:color w:val="auto"/>
          <w:kern w:val="0"/>
          <w:sz w:val="21"/>
          <w:szCs w:val="21"/>
        </w:rPr>
      </w:pPr>
      <w:r>
        <w:rPr>
          <w:rFonts w:hint="eastAsia" w:ascii="宋体" w:hAnsi="宋体" w:cs="宋体"/>
          <w:color w:val="auto"/>
          <w:kern w:val="0"/>
          <w:sz w:val="21"/>
          <w:szCs w:val="21"/>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40FDB434">
      <w:pPr>
        <w:tabs>
          <w:tab w:val="left" w:pos="6300"/>
        </w:tabs>
        <w:snapToGrid w:val="0"/>
        <w:ind w:firstLine="420" w:firstLineChars="200"/>
        <w:rPr>
          <w:rFonts w:hint="eastAsia" w:ascii="宋体" w:hAnsi="宋体" w:cs="宋体"/>
          <w:color w:val="auto"/>
          <w:kern w:val="0"/>
          <w:sz w:val="21"/>
          <w:szCs w:val="21"/>
        </w:rPr>
      </w:pPr>
      <w:r>
        <w:rPr>
          <w:rFonts w:hint="eastAsia" w:ascii="宋体" w:hAnsi="宋体" w:cs="宋体"/>
          <w:color w:val="auto"/>
          <w:kern w:val="0"/>
          <w:sz w:val="21"/>
          <w:szCs w:val="21"/>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3CC72518">
      <w:pPr>
        <w:tabs>
          <w:tab w:val="left" w:pos="6300"/>
        </w:tabs>
        <w:snapToGrid w:val="0"/>
        <w:ind w:firstLine="420" w:firstLineChars="200"/>
        <w:rPr>
          <w:rFonts w:hint="eastAsia" w:ascii="宋体" w:hAnsi="宋体" w:cs="宋体"/>
          <w:color w:val="auto"/>
          <w:kern w:val="0"/>
          <w:sz w:val="21"/>
          <w:szCs w:val="21"/>
        </w:rPr>
      </w:pPr>
      <w:r>
        <w:rPr>
          <w:rFonts w:hint="eastAsia" w:ascii="宋体" w:hAnsi="宋体" w:cs="宋体"/>
          <w:color w:val="auto"/>
          <w:kern w:val="0"/>
          <w:sz w:val="21"/>
          <w:szCs w:val="21"/>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792A6A3C">
      <w:pPr>
        <w:tabs>
          <w:tab w:val="left" w:pos="6300"/>
        </w:tabs>
        <w:snapToGrid w:val="0"/>
        <w:ind w:firstLine="420" w:firstLineChars="200"/>
        <w:rPr>
          <w:rFonts w:hint="eastAsia" w:ascii="宋体" w:hAnsi="宋体" w:cs="宋体"/>
          <w:color w:val="auto"/>
          <w:kern w:val="0"/>
          <w:sz w:val="21"/>
          <w:szCs w:val="21"/>
        </w:rPr>
      </w:pPr>
      <w:r>
        <w:rPr>
          <w:rFonts w:hint="eastAsia" w:ascii="宋体" w:hAnsi="宋体" w:cs="宋体"/>
          <w:color w:val="auto"/>
          <w:kern w:val="0"/>
          <w:sz w:val="21"/>
          <w:szCs w:val="21"/>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47CB10E9">
      <w:pPr>
        <w:tabs>
          <w:tab w:val="left" w:pos="6300"/>
        </w:tabs>
        <w:snapToGrid w:val="0"/>
        <w:ind w:firstLine="420" w:firstLineChars="200"/>
        <w:rPr>
          <w:rFonts w:hint="eastAsia" w:ascii="宋体" w:hAnsi="宋体" w:cs="宋体"/>
          <w:color w:val="auto"/>
          <w:kern w:val="0"/>
          <w:sz w:val="21"/>
          <w:szCs w:val="21"/>
        </w:rPr>
      </w:pPr>
      <w:r>
        <w:rPr>
          <w:rFonts w:hint="eastAsia" w:ascii="宋体" w:hAnsi="宋体" w:cs="宋体"/>
          <w:color w:val="auto"/>
          <w:kern w:val="0"/>
          <w:sz w:val="21"/>
          <w:szCs w:val="21"/>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45E65E94">
      <w:pPr>
        <w:tabs>
          <w:tab w:val="left" w:pos="6300"/>
        </w:tabs>
        <w:snapToGrid w:val="0"/>
        <w:ind w:firstLine="420" w:firstLineChars="200"/>
        <w:rPr>
          <w:rFonts w:hint="eastAsia" w:ascii="宋体" w:hAnsi="宋体" w:cs="宋体"/>
          <w:color w:val="auto"/>
          <w:kern w:val="0"/>
          <w:sz w:val="21"/>
          <w:szCs w:val="21"/>
        </w:rPr>
      </w:pPr>
      <w:r>
        <w:rPr>
          <w:rFonts w:hint="eastAsia" w:ascii="宋体" w:hAnsi="宋体" w:cs="宋体"/>
          <w:color w:val="auto"/>
          <w:kern w:val="0"/>
          <w:sz w:val="21"/>
          <w:szCs w:val="21"/>
        </w:rPr>
        <w:t>（十六）其他未列明行业。从业人员300人以下的为中小微型企业。其中，从业人员100人及以上的为中型企业；从业人员10人及以上的为小型企业；从业人员10人以下的为微型企业。</w:t>
      </w:r>
    </w:p>
    <w:p w14:paraId="23B12DEB">
      <w:pPr>
        <w:tabs>
          <w:tab w:val="left" w:pos="6300"/>
        </w:tabs>
        <w:snapToGrid w:val="0"/>
        <w:spacing w:line="400" w:lineRule="exact"/>
        <w:ind w:firstLine="480" w:firstLineChars="200"/>
        <w:jc w:val="center"/>
        <w:rPr>
          <w:rFonts w:hint="eastAsia" w:ascii="宋体" w:hAnsi="宋体" w:cs="宋体"/>
          <w:color w:val="auto"/>
        </w:rPr>
      </w:pPr>
      <w:r>
        <w:rPr>
          <w:rFonts w:hint="eastAsia" w:ascii="宋体" w:hAnsi="宋体" w:cs="宋体"/>
          <w:color w:val="auto"/>
          <w:sz w:val="24"/>
          <w:szCs w:val="24"/>
        </w:rPr>
        <w:br w:type="page"/>
      </w:r>
      <w:r>
        <w:rPr>
          <w:rFonts w:hint="eastAsia" w:ascii="宋体" w:hAnsi="宋体" w:cs="宋体"/>
          <w:color w:val="auto"/>
        </w:rPr>
        <w:t>监狱企业证明文件</w:t>
      </w:r>
    </w:p>
    <w:p w14:paraId="7AB041C4">
      <w:pPr>
        <w:tabs>
          <w:tab w:val="left" w:pos="6300"/>
        </w:tabs>
        <w:snapToGrid w:val="0"/>
        <w:spacing w:line="400" w:lineRule="exact"/>
        <w:ind w:firstLine="480" w:firstLineChars="200"/>
        <w:rPr>
          <w:rFonts w:hint="eastAsia" w:ascii="宋体" w:hAnsi="宋体" w:cs="宋体"/>
          <w:color w:val="auto"/>
          <w:sz w:val="24"/>
        </w:rPr>
      </w:pPr>
      <w:r>
        <w:rPr>
          <w:rFonts w:hint="eastAsia" w:ascii="宋体" w:hAnsi="宋体" w:cs="宋体"/>
          <w:color w:val="auto"/>
          <w:sz w:val="24"/>
        </w:rPr>
        <w:t>以省级以上监狱管理局、戒毒管理局（含新疆生产建设兵团）出具的属于监狱企业的证明文件为准。</w:t>
      </w:r>
    </w:p>
    <w:p w14:paraId="7ADC748A">
      <w:pPr>
        <w:tabs>
          <w:tab w:val="left" w:pos="6300"/>
        </w:tabs>
        <w:snapToGrid w:val="0"/>
        <w:spacing w:line="500" w:lineRule="exact"/>
        <w:ind w:firstLine="480" w:firstLineChars="200"/>
        <w:jc w:val="center"/>
        <w:rPr>
          <w:rFonts w:hint="eastAsia" w:ascii="宋体" w:hAnsi="宋体" w:cs="宋体"/>
          <w:color w:val="auto"/>
        </w:rPr>
      </w:pPr>
      <w:r>
        <w:rPr>
          <w:rFonts w:hint="eastAsia" w:ascii="宋体" w:hAnsi="宋体" w:cs="宋体"/>
          <w:color w:val="auto"/>
          <w:sz w:val="24"/>
        </w:rPr>
        <w:br w:type="page"/>
      </w:r>
      <w:r>
        <w:rPr>
          <w:rFonts w:hint="eastAsia" w:ascii="宋体" w:hAnsi="宋体" w:cs="宋体"/>
          <w:color w:val="auto"/>
        </w:rPr>
        <w:t>残疾人福利性单位声明函</w:t>
      </w:r>
    </w:p>
    <w:p w14:paraId="0A7F6C1A">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E1942B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本单位对上述声明的真实性负责。如有虚假，将依法承担相应责任。</w:t>
      </w:r>
    </w:p>
    <w:p w14:paraId="5C33F868">
      <w:pPr>
        <w:tabs>
          <w:tab w:val="left" w:pos="6300"/>
        </w:tabs>
        <w:snapToGrid w:val="0"/>
        <w:spacing w:line="500" w:lineRule="exact"/>
        <w:ind w:firstLine="480" w:firstLineChars="200"/>
        <w:rPr>
          <w:rFonts w:hint="eastAsia" w:ascii="宋体" w:hAnsi="宋体" w:cs="宋体"/>
          <w:color w:val="auto"/>
          <w:sz w:val="24"/>
        </w:rPr>
      </w:pPr>
    </w:p>
    <w:p w14:paraId="7392EC2E">
      <w:pPr>
        <w:tabs>
          <w:tab w:val="left" w:pos="6300"/>
        </w:tabs>
        <w:snapToGrid w:val="0"/>
        <w:spacing w:line="500" w:lineRule="exact"/>
        <w:ind w:firstLine="480" w:firstLineChars="200"/>
        <w:rPr>
          <w:rFonts w:hint="eastAsia" w:ascii="宋体" w:hAnsi="宋体" w:cs="宋体"/>
          <w:color w:val="auto"/>
          <w:sz w:val="24"/>
        </w:rPr>
      </w:pPr>
    </w:p>
    <w:p w14:paraId="5367ACC0">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 xml:space="preserve">                                           残疾人福利性单位名称（盖章）：</w:t>
      </w:r>
    </w:p>
    <w:p w14:paraId="59783BDF">
      <w:pPr>
        <w:snapToGrid w:val="0"/>
        <w:spacing w:line="440" w:lineRule="exact"/>
        <w:ind w:firstLine="480" w:firstLineChars="200"/>
        <w:rPr>
          <w:rFonts w:hint="eastAsia" w:ascii="宋体" w:hAnsi="宋体" w:cs="宋体"/>
          <w:color w:val="auto"/>
          <w:sz w:val="24"/>
        </w:rPr>
      </w:pPr>
      <w:r>
        <w:rPr>
          <w:rFonts w:hint="eastAsia" w:ascii="宋体" w:hAnsi="宋体" w:cs="宋体"/>
          <w:color w:val="auto"/>
          <w:sz w:val="24"/>
        </w:rPr>
        <w:t xml:space="preserve">                                                  日  期：</w:t>
      </w:r>
    </w:p>
    <w:p w14:paraId="0E940086">
      <w:pPr>
        <w:snapToGrid w:val="0"/>
        <w:spacing w:line="440" w:lineRule="exact"/>
        <w:ind w:firstLine="480" w:firstLineChars="200"/>
        <w:rPr>
          <w:rFonts w:hint="eastAsia" w:ascii="宋体" w:hAnsi="宋体" w:cs="宋体"/>
          <w:color w:val="auto"/>
          <w:sz w:val="24"/>
        </w:rPr>
      </w:pPr>
    </w:p>
    <w:p w14:paraId="7A6B6104">
      <w:pPr>
        <w:snapToGrid w:val="0"/>
        <w:spacing w:line="440" w:lineRule="exact"/>
        <w:ind w:firstLine="480" w:firstLineChars="200"/>
        <w:rPr>
          <w:rFonts w:hint="eastAsia" w:ascii="宋体" w:hAnsi="宋体" w:cs="宋体"/>
          <w:color w:val="auto"/>
          <w:sz w:val="24"/>
        </w:rPr>
      </w:pPr>
    </w:p>
    <w:p w14:paraId="2A0379C9">
      <w:pPr>
        <w:snapToGrid w:val="0"/>
        <w:spacing w:line="440" w:lineRule="exact"/>
        <w:ind w:firstLine="480" w:firstLineChars="200"/>
        <w:rPr>
          <w:rFonts w:hint="eastAsia" w:ascii="宋体" w:hAnsi="宋体" w:cs="宋体"/>
          <w:color w:val="auto"/>
          <w:sz w:val="24"/>
        </w:rPr>
      </w:pPr>
    </w:p>
    <w:p w14:paraId="57B8312F">
      <w:pPr>
        <w:snapToGrid w:val="0"/>
        <w:spacing w:line="440" w:lineRule="exact"/>
        <w:ind w:firstLine="480" w:firstLineChars="200"/>
        <w:rPr>
          <w:rFonts w:hint="eastAsia" w:ascii="宋体" w:hAnsi="宋体" w:cs="宋体"/>
          <w:color w:val="auto"/>
          <w:sz w:val="24"/>
        </w:rPr>
      </w:pPr>
    </w:p>
    <w:p w14:paraId="434603C9">
      <w:pPr>
        <w:snapToGrid w:val="0"/>
        <w:spacing w:line="440" w:lineRule="exact"/>
        <w:ind w:firstLine="480" w:firstLineChars="200"/>
        <w:rPr>
          <w:rFonts w:hint="eastAsia" w:ascii="宋体" w:hAnsi="宋体" w:cs="宋体"/>
          <w:color w:val="auto"/>
          <w:sz w:val="24"/>
        </w:rPr>
      </w:pPr>
    </w:p>
    <w:p w14:paraId="6E4E7312">
      <w:pPr>
        <w:snapToGrid w:val="0"/>
        <w:spacing w:line="440" w:lineRule="exact"/>
        <w:ind w:firstLine="480" w:firstLineChars="200"/>
        <w:rPr>
          <w:rFonts w:hint="eastAsia" w:ascii="宋体" w:hAnsi="宋体" w:cs="宋体"/>
          <w:color w:val="auto"/>
          <w:sz w:val="24"/>
        </w:rPr>
      </w:pPr>
    </w:p>
    <w:p w14:paraId="19047837">
      <w:pPr>
        <w:snapToGrid w:val="0"/>
        <w:spacing w:line="440" w:lineRule="exact"/>
        <w:ind w:firstLine="480" w:firstLineChars="200"/>
        <w:rPr>
          <w:rFonts w:hint="eastAsia" w:ascii="宋体" w:hAnsi="宋体" w:cs="宋体"/>
          <w:color w:val="auto"/>
          <w:sz w:val="24"/>
        </w:rPr>
      </w:pPr>
    </w:p>
    <w:p w14:paraId="2C97302D">
      <w:pPr>
        <w:snapToGrid w:val="0"/>
        <w:spacing w:line="440" w:lineRule="exact"/>
        <w:ind w:firstLine="480" w:firstLineChars="200"/>
        <w:rPr>
          <w:rFonts w:hint="eastAsia" w:ascii="宋体" w:hAnsi="宋体" w:cs="宋体"/>
          <w:color w:val="auto"/>
          <w:sz w:val="24"/>
        </w:rPr>
      </w:pPr>
    </w:p>
    <w:p w14:paraId="50B999DC">
      <w:pPr>
        <w:snapToGrid w:val="0"/>
        <w:spacing w:line="440" w:lineRule="exact"/>
        <w:ind w:firstLine="480" w:firstLineChars="200"/>
        <w:rPr>
          <w:rFonts w:hint="eastAsia" w:ascii="宋体" w:hAnsi="宋体" w:cs="宋体"/>
          <w:color w:val="auto"/>
          <w:sz w:val="24"/>
        </w:rPr>
      </w:pPr>
    </w:p>
    <w:p w14:paraId="56956CAC">
      <w:pPr>
        <w:snapToGrid w:val="0"/>
        <w:spacing w:line="440" w:lineRule="exact"/>
        <w:ind w:firstLine="480" w:firstLineChars="200"/>
        <w:rPr>
          <w:rFonts w:hint="eastAsia" w:ascii="宋体" w:hAnsi="宋体" w:cs="宋体"/>
          <w:color w:val="auto"/>
          <w:sz w:val="24"/>
        </w:rPr>
      </w:pPr>
    </w:p>
    <w:p w14:paraId="78CEB0F8">
      <w:pPr>
        <w:snapToGrid w:val="0"/>
        <w:spacing w:line="440" w:lineRule="exact"/>
        <w:ind w:firstLine="480" w:firstLineChars="200"/>
        <w:rPr>
          <w:rFonts w:hint="eastAsia" w:ascii="宋体" w:hAnsi="宋体" w:cs="宋体"/>
          <w:color w:val="auto"/>
          <w:sz w:val="24"/>
        </w:rPr>
      </w:pPr>
    </w:p>
    <w:p w14:paraId="2EE30DE5">
      <w:pPr>
        <w:snapToGrid w:val="0"/>
        <w:spacing w:line="440" w:lineRule="exact"/>
        <w:ind w:firstLine="480" w:firstLineChars="200"/>
        <w:rPr>
          <w:rFonts w:hint="eastAsia" w:ascii="宋体" w:hAnsi="宋体" w:cs="宋体"/>
          <w:color w:val="auto"/>
          <w:sz w:val="24"/>
        </w:rPr>
      </w:pPr>
    </w:p>
    <w:p w14:paraId="7F8B6065">
      <w:pPr>
        <w:snapToGrid w:val="0"/>
        <w:spacing w:line="440" w:lineRule="exact"/>
        <w:ind w:firstLine="480" w:firstLineChars="200"/>
        <w:rPr>
          <w:rFonts w:hint="eastAsia" w:ascii="宋体" w:hAnsi="宋体" w:cs="宋体"/>
          <w:color w:val="auto"/>
          <w:sz w:val="24"/>
        </w:rPr>
      </w:pPr>
    </w:p>
    <w:p w14:paraId="31286A4C">
      <w:pPr>
        <w:snapToGrid w:val="0"/>
        <w:spacing w:line="440" w:lineRule="exact"/>
        <w:ind w:firstLine="480" w:firstLineChars="200"/>
        <w:rPr>
          <w:rFonts w:hint="eastAsia" w:ascii="宋体" w:hAnsi="宋体" w:cs="宋体"/>
          <w:color w:val="auto"/>
          <w:sz w:val="24"/>
        </w:rPr>
      </w:pPr>
    </w:p>
    <w:p w14:paraId="7BB0E0A9">
      <w:pPr>
        <w:snapToGrid w:val="0"/>
        <w:spacing w:line="440" w:lineRule="exact"/>
        <w:ind w:firstLine="480" w:firstLineChars="200"/>
        <w:rPr>
          <w:rFonts w:hint="eastAsia" w:ascii="宋体" w:hAnsi="宋体" w:cs="宋体"/>
          <w:color w:val="auto"/>
          <w:sz w:val="24"/>
        </w:rPr>
      </w:pPr>
    </w:p>
    <w:p w14:paraId="5C77FF45">
      <w:pPr>
        <w:snapToGrid w:val="0"/>
        <w:spacing w:line="440" w:lineRule="exact"/>
        <w:rPr>
          <w:rFonts w:hint="eastAsia" w:ascii="宋体" w:hAnsi="宋体" w:cs="宋体"/>
          <w:color w:val="auto"/>
          <w:sz w:val="24"/>
        </w:rPr>
      </w:pPr>
    </w:p>
    <w:p w14:paraId="67899D4E">
      <w:pPr>
        <w:snapToGrid w:val="0"/>
        <w:spacing w:line="440" w:lineRule="exact"/>
        <w:ind w:firstLine="480" w:firstLineChars="200"/>
        <w:rPr>
          <w:rFonts w:hint="eastAsia" w:ascii="宋体" w:hAnsi="宋体" w:cs="宋体"/>
          <w:color w:val="auto"/>
          <w:sz w:val="24"/>
        </w:rPr>
      </w:pPr>
    </w:p>
    <w:p w14:paraId="1F8A4727">
      <w:pPr>
        <w:snapToGrid w:val="0"/>
        <w:spacing w:line="440" w:lineRule="exact"/>
        <w:ind w:firstLine="480" w:firstLineChars="200"/>
        <w:rPr>
          <w:rFonts w:hint="eastAsia" w:ascii="宋体" w:hAnsi="宋体" w:cs="宋体"/>
          <w:color w:val="auto"/>
          <w:sz w:val="24"/>
        </w:rPr>
      </w:pPr>
    </w:p>
    <w:p w14:paraId="6B9F55DF">
      <w:pPr>
        <w:snapToGrid w:val="0"/>
        <w:spacing w:line="440" w:lineRule="exact"/>
        <w:ind w:firstLine="480" w:firstLineChars="200"/>
        <w:rPr>
          <w:rFonts w:hint="eastAsia" w:ascii="宋体" w:hAnsi="宋体" w:cs="宋体"/>
          <w:color w:val="auto"/>
          <w:sz w:val="24"/>
          <w:szCs w:val="24"/>
        </w:rPr>
      </w:pPr>
      <w:r>
        <w:rPr>
          <w:rFonts w:hint="eastAsia" w:ascii="宋体" w:hAnsi="宋体" w:cs="宋体"/>
          <w:color w:val="auto"/>
          <w:kern w:val="0"/>
          <w:sz w:val="24"/>
        </w:rPr>
        <w:t>若成交供应商为残疾人福利性单位的，将在结果公告时公告其《残疾人福利性单位声明函》。</w:t>
      </w:r>
    </w:p>
    <w:p w14:paraId="41319BFB">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（二）其他与项目有关的资料</w:t>
      </w:r>
    </w:p>
    <w:p w14:paraId="7B121A0F">
      <w:pPr>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其他与项目有关的资料（自附）：供应商总体情况介绍、其他与本项目有关的资料等。</w:t>
      </w:r>
    </w:p>
    <w:p w14:paraId="4A698C19">
      <w:pPr>
        <w:spacing w:line="360" w:lineRule="auto"/>
        <w:ind w:firstLine="480" w:firstLineChars="200"/>
        <w:rPr>
          <w:rFonts w:hint="eastAsia" w:ascii="宋体" w:hAnsi="宋体" w:cs="宋体"/>
          <w:color w:val="auto"/>
          <w:sz w:val="24"/>
          <w:szCs w:val="24"/>
        </w:rPr>
      </w:pPr>
    </w:p>
    <w:p w14:paraId="1BADDFCE">
      <w:pPr>
        <w:spacing w:line="360" w:lineRule="auto"/>
        <w:ind w:firstLine="480" w:firstLineChars="200"/>
        <w:jc w:val="center"/>
        <w:rPr>
          <w:rFonts w:hint="eastAsia" w:ascii="宋体" w:hAnsi="宋体" w:cs="宋体"/>
          <w:color w:val="auto"/>
          <w:sz w:val="24"/>
          <w:szCs w:val="24"/>
        </w:rPr>
      </w:pPr>
    </w:p>
    <w:p w14:paraId="052C89FD">
      <w:pPr>
        <w:spacing w:line="360" w:lineRule="auto"/>
        <w:ind w:firstLine="480" w:firstLineChars="200"/>
        <w:jc w:val="center"/>
        <w:rPr>
          <w:rFonts w:hint="eastAsia" w:ascii="宋体" w:hAnsi="宋体" w:cs="宋体"/>
          <w:color w:val="auto"/>
          <w:sz w:val="24"/>
          <w:szCs w:val="24"/>
        </w:rPr>
      </w:pPr>
    </w:p>
    <w:p w14:paraId="2EFD19D7">
      <w:pPr>
        <w:spacing w:line="360" w:lineRule="auto"/>
        <w:ind w:firstLine="480" w:firstLineChars="200"/>
        <w:jc w:val="center"/>
        <w:rPr>
          <w:rFonts w:hint="eastAsia" w:ascii="宋体" w:hAnsi="宋体" w:cs="宋体"/>
          <w:color w:val="auto"/>
          <w:sz w:val="24"/>
          <w:szCs w:val="24"/>
        </w:rPr>
      </w:pPr>
    </w:p>
    <w:p w14:paraId="0936457D">
      <w:pPr>
        <w:spacing w:line="360" w:lineRule="auto"/>
        <w:ind w:firstLine="480" w:firstLineChars="200"/>
        <w:jc w:val="center"/>
        <w:rPr>
          <w:rFonts w:hint="eastAsia" w:ascii="宋体" w:hAnsi="宋体" w:cs="宋体"/>
          <w:color w:val="auto"/>
          <w:sz w:val="24"/>
          <w:szCs w:val="24"/>
        </w:rPr>
      </w:pPr>
    </w:p>
    <w:p w14:paraId="6C39141F">
      <w:pPr>
        <w:spacing w:line="360" w:lineRule="auto"/>
        <w:ind w:firstLine="480" w:firstLineChars="200"/>
        <w:jc w:val="center"/>
        <w:rPr>
          <w:rFonts w:hint="eastAsia" w:ascii="宋体" w:hAnsi="宋体" w:cs="宋体"/>
          <w:color w:val="auto"/>
          <w:sz w:val="24"/>
          <w:szCs w:val="24"/>
        </w:rPr>
      </w:pPr>
    </w:p>
    <w:p w14:paraId="4070CD3E">
      <w:pPr>
        <w:spacing w:line="360" w:lineRule="auto"/>
        <w:ind w:firstLine="480" w:firstLineChars="200"/>
        <w:jc w:val="center"/>
        <w:rPr>
          <w:rFonts w:hint="eastAsia" w:ascii="宋体" w:hAnsi="宋体" w:cs="宋体"/>
          <w:color w:val="auto"/>
          <w:sz w:val="24"/>
          <w:szCs w:val="24"/>
        </w:rPr>
      </w:pPr>
    </w:p>
    <w:p w14:paraId="7B2C5FF0">
      <w:pPr>
        <w:spacing w:line="360" w:lineRule="auto"/>
        <w:ind w:firstLine="480" w:firstLineChars="200"/>
        <w:jc w:val="center"/>
        <w:rPr>
          <w:rFonts w:hint="eastAsia" w:ascii="宋体" w:hAnsi="宋体" w:cs="宋体"/>
          <w:color w:val="auto"/>
          <w:sz w:val="24"/>
          <w:szCs w:val="24"/>
        </w:rPr>
      </w:pPr>
    </w:p>
    <w:p w14:paraId="722E8BB3">
      <w:pPr>
        <w:spacing w:line="360" w:lineRule="auto"/>
        <w:ind w:firstLine="480" w:firstLineChars="200"/>
        <w:jc w:val="center"/>
        <w:rPr>
          <w:rFonts w:hint="eastAsia" w:ascii="宋体" w:hAnsi="宋体" w:cs="宋体"/>
          <w:color w:val="auto"/>
          <w:sz w:val="24"/>
          <w:szCs w:val="24"/>
        </w:rPr>
      </w:pPr>
    </w:p>
    <w:p w14:paraId="62A269AB">
      <w:pPr>
        <w:spacing w:line="360" w:lineRule="auto"/>
        <w:ind w:firstLine="480" w:firstLineChars="200"/>
        <w:jc w:val="center"/>
        <w:rPr>
          <w:rFonts w:hint="eastAsia" w:ascii="宋体" w:hAnsi="宋体" w:cs="宋体"/>
          <w:color w:val="auto"/>
          <w:sz w:val="24"/>
          <w:szCs w:val="24"/>
        </w:rPr>
      </w:pPr>
    </w:p>
    <w:p w14:paraId="48CF9559">
      <w:pPr>
        <w:spacing w:line="360" w:lineRule="auto"/>
        <w:ind w:firstLine="480" w:firstLineChars="200"/>
        <w:jc w:val="center"/>
        <w:rPr>
          <w:rFonts w:hint="eastAsia" w:ascii="宋体" w:hAnsi="宋体" w:cs="宋体"/>
          <w:color w:val="auto"/>
          <w:sz w:val="24"/>
          <w:szCs w:val="24"/>
        </w:rPr>
      </w:pPr>
    </w:p>
    <w:p w14:paraId="7C777A35">
      <w:pPr>
        <w:spacing w:line="360" w:lineRule="auto"/>
        <w:ind w:firstLine="480" w:firstLineChars="200"/>
        <w:jc w:val="center"/>
        <w:rPr>
          <w:rFonts w:hint="eastAsia" w:ascii="宋体" w:hAnsi="宋体" w:cs="宋体"/>
          <w:color w:val="auto"/>
          <w:sz w:val="24"/>
          <w:szCs w:val="24"/>
        </w:rPr>
      </w:pPr>
    </w:p>
    <w:p w14:paraId="759720D3">
      <w:pPr>
        <w:spacing w:line="360" w:lineRule="auto"/>
        <w:ind w:firstLine="480" w:firstLineChars="200"/>
        <w:jc w:val="center"/>
        <w:rPr>
          <w:rFonts w:hint="eastAsia" w:ascii="宋体" w:hAnsi="宋体" w:cs="宋体"/>
          <w:color w:val="auto"/>
          <w:sz w:val="24"/>
          <w:szCs w:val="24"/>
        </w:rPr>
      </w:pPr>
    </w:p>
    <w:p w14:paraId="7A36F0BD">
      <w:pPr>
        <w:spacing w:line="360" w:lineRule="auto"/>
        <w:ind w:firstLine="480" w:firstLineChars="200"/>
        <w:jc w:val="center"/>
        <w:rPr>
          <w:rFonts w:hint="eastAsia" w:ascii="宋体" w:hAnsi="宋体" w:cs="宋体"/>
          <w:color w:val="auto"/>
          <w:sz w:val="24"/>
          <w:szCs w:val="24"/>
        </w:rPr>
      </w:pPr>
    </w:p>
    <w:p w14:paraId="61E43D75">
      <w:pPr>
        <w:spacing w:line="360" w:lineRule="auto"/>
        <w:ind w:firstLine="480" w:firstLineChars="200"/>
        <w:jc w:val="center"/>
        <w:rPr>
          <w:rFonts w:hint="eastAsia" w:ascii="宋体" w:hAnsi="宋体" w:cs="宋体"/>
          <w:color w:val="auto"/>
          <w:sz w:val="24"/>
          <w:szCs w:val="24"/>
        </w:rPr>
      </w:pPr>
    </w:p>
    <w:p w14:paraId="414481D0">
      <w:pPr>
        <w:spacing w:line="360" w:lineRule="auto"/>
        <w:ind w:firstLine="480" w:firstLineChars="200"/>
        <w:jc w:val="center"/>
        <w:rPr>
          <w:rFonts w:hint="eastAsia" w:ascii="宋体" w:hAnsi="宋体" w:cs="宋体"/>
          <w:color w:val="auto"/>
          <w:sz w:val="24"/>
          <w:szCs w:val="24"/>
        </w:rPr>
      </w:pPr>
    </w:p>
    <w:p w14:paraId="26A7881D">
      <w:pPr>
        <w:spacing w:line="360" w:lineRule="auto"/>
        <w:ind w:firstLine="480" w:firstLineChars="200"/>
        <w:jc w:val="center"/>
        <w:rPr>
          <w:rFonts w:hint="eastAsia" w:ascii="宋体" w:hAnsi="宋体" w:cs="宋体"/>
          <w:color w:val="auto"/>
        </w:rPr>
      </w:pPr>
      <w:r>
        <w:rPr>
          <w:rFonts w:hint="eastAsia" w:ascii="宋体" w:hAnsi="宋体" w:cs="宋体"/>
          <w:color w:val="auto"/>
          <w:sz w:val="24"/>
          <w:szCs w:val="24"/>
        </w:rPr>
        <w:t>（结束）</w:t>
      </w:r>
    </w:p>
    <w:p w14:paraId="4D665E83">
      <w:pPr>
        <w:spacing w:line="360" w:lineRule="auto"/>
        <w:ind w:firstLine="560" w:firstLineChars="200"/>
        <w:jc w:val="center"/>
        <w:rPr>
          <w:rFonts w:hint="eastAsia" w:ascii="宋体" w:hAnsi="宋体" w:cs="宋体"/>
          <w:color w:val="auto"/>
        </w:rPr>
      </w:pPr>
    </w:p>
    <w:sectPr>
      <w:headerReference r:id="rId10" w:type="default"/>
      <w:pgSz w:w="11907" w:h="16840"/>
      <w:pgMar w:top="1134" w:right="1191" w:bottom="1134" w:left="1304" w:header="851"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E1DE613-21F0-4946-95E6-2144E2D92B9C}"/>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_x000B__x000C_">
    <w:altName w:val="微软雅黑"/>
    <w:panose1 w:val="00000000000000000000"/>
    <w:charset w:val="00"/>
    <w:family w:val="roman"/>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文鼎粗黑">
    <w:altName w:val="黑体"/>
    <w:panose1 w:val="00000000000000000000"/>
    <w:charset w:val="86"/>
    <w:family w:val="modern"/>
    <w:pitch w:val="default"/>
    <w:sig w:usb0="00000000" w:usb1="00000000" w:usb2="00000010" w:usb3="00000000" w:csb0="00040000" w:csb1="00000000"/>
  </w:font>
  <w:font w:name="Arial Narrow">
    <w:panose1 w:val="020B0606020202030204"/>
    <w:charset w:val="00"/>
    <w:family w:val="swiss"/>
    <w:pitch w:val="default"/>
    <w:sig w:usb0="00000287" w:usb1="00000800" w:usb2="00000000" w:usb3="00000000" w:csb0="2000009F" w:csb1="DFD7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方正仿宋_GBK">
    <w:panose1 w:val="02000000000000000000"/>
    <w:charset w:val="86"/>
    <w:family w:val="auto"/>
    <w:pitch w:val="default"/>
    <w:sig w:usb0="A00002BF" w:usb1="38CF7CFA" w:usb2="00082016" w:usb3="00000000" w:csb0="00040001" w:csb1="00000000"/>
    <w:embedRegular r:id="rId2" w:fontKey="{602C138F-8FAF-45FE-B11F-2F2DD921A8A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325C2">
    <w:pPr>
      <w:pStyle w:val="37"/>
      <w:framePr w:wrap="around" w:vAnchor="text" w:hAnchor="margin" w:xAlign="center" w:y="1"/>
      <w:jc w:val="center"/>
      <w:rPr>
        <w:rStyle w:val="63"/>
        <w:rFonts w:hint="eastAsia" w:ascii="宋体"/>
        <w:sz w:val="21"/>
        <w:szCs w:val="21"/>
      </w:rPr>
    </w:pPr>
    <w:r>
      <w:rPr>
        <w:rFonts w:ascii="宋体"/>
        <w:sz w:val="21"/>
        <w:szCs w:val="21"/>
      </w:rPr>
      <w:fldChar w:fldCharType="begin"/>
    </w:r>
    <w:r>
      <w:rPr>
        <w:rStyle w:val="63"/>
        <w:rFonts w:ascii="宋体"/>
        <w:sz w:val="21"/>
        <w:szCs w:val="21"/>
      </w:rPr>
      <w:instrText xml:space="preserve">PAGE  </w:instrText>
    </w:r>
    <w:r>
      <w:rPr>
        <w:rFonts w:ascii="宋体"/>
        <w:sz w:val="21"/>
        <w:szCs w:val="21"/>
      </w:rPr>
      <w:fldChar w:fldCharType="separate"/>
    </w:r>
    <w:r>
      <w:rPr>
        <w:rStyle w:val="63"/>
        <w:rFonts w:ascii="宋体"/>
        <w:sz w:val="21"/>
        <w:szCs w:val="21"/>
      </w:rPr>
      <w:t>- 4 -</w:t>
    </w:r>
    <w:r>
      <w:rPr>
        <w:rFonts w:ascii="宋体"/>
        <w:sz w:val="21"/>
        <w:szCs w:val="21"/>
      </w:rPr>
      <w:fldChar w:fldCharType="end"/>
    </w:r>
  </w:p>
  <w:p w14:paraId="01EEFE0D">
    <w:pPr>
      <w:pStyle w:val="3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D2F19">
    <w:pPr>
      <w:pStyle w:val="37"/>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C350867">
    <w:pPr>
      <w:pStyle w:val="3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015DB">
    <w:pPr>
      <w:pStyle w:val="37"/>
      <w:framePr w:wrap="around" w:vAnchor="text" w:hAnchor="margin" w:xAlign="center" w:y="1"/>
      <w:rPr>
        <w:rStyle w:val="63"/>
      </w:rPr>
    </w:pPr>
  </w:p>
  <w:p w14:paraId="17077B9F">
    <w:pPr>
      <w:pStyle w:val="37"/>
      <w:jc w:val="center"/>
      <w:rPr>
        <w:rFonts w:hint="eastAsia" w:ascii="宋体" w:hAnsi="宋体"/>
        <w:sz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2F1F6">
    <w:pPr>
      <w:pStyle w:val="37"/>
      <w:jc w:val="center"/>
      <w:rPr>
        <w:rFonts w:hint="eastAsia" w:ascii="宋体" w:hAnsi="宋体"/>
        <w:sz w:val="21"/>
        <w:szCs w:val="21"/>
      </w:rPr>
    </w:pPr>
    <w:r>
      <w:rPr>
        <w:rFonts w:ascii="宋体" w:hAnsi="宋体"/>
        <w:sz w:val="21"/>
        <w:szCs w:val="21"/>
      </w:rPr>
      <w:fldChar w:fldCharType="begin"/>
    </w:r>
    <w:r>
      <w:rPr>
        <w:rStyle w:val="63"/>
        <w:rFonts w:ascii="宋体" w:hAnsi="宋体"/>
        <w:sz w:val="21"/>
        <w:szCs w:val="21"/>
      </w:rPr>
      <w:instrText xml:space="preserve"> PAGE </w:instrText>
    </w:r>
    <w:r>
      <w:rPr>
        <w:rFonts w:ascii="宋体" w:hAnsi="宋体"/>
        <w:sz w:val="21"/>
        <w:szCs w:val="21"/>
      </w:rPr>
      <w:fldChar w:fldCharType="separate"/>
    </w:r>
    <w:r>
      <w:rPr>
        <w:rStyle w:val="63"/>
        <w:rFonts w:ascii="宋体" w:hAnsi="宋体"/>
        <w:sz w:val="21"/>
        <w:szCs w:val="21"/>
      </w:rPr>
      <w:t>- 13 -</w:t>
    </w:r>
    <w:r>
      <w:rPr>
        <w:rFonts w:ascii="宋体" w:hAnsi="宋体"/>
        <w:sz w:val="21"/>
        <w:szCs w:val="21"/>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85A00">
    <w:pPr>
      <w:pStyle w:val="38"/>
      <w:jc w:val="both"/>
      <w:rPr>
        <w:rFonts w:hint="eastAsia" w:ascii="宋体" w:hAnsi="宋体" w:cs="宋体"/>
        <w:sz w:val="21"/>
        <w:szCs w:val="21"/>
      </w:rPr>
    </w:pPr>
    <w:r>
      <w:rPr>
        <w:rFonts w:hint="eastAsia" w:ascii="方正仿宋_GBK" w:eastAsia="方正仿宋_GBK"/>
        <w:sz w:val="21"/>
        <w:szCs w:val="24"/>
      </w:rPr>
      <w:t xml:space="preserve"> </w:t>
    </w:r>
    <w:r>
      <w:rPr>
        <w:rFonts w:hint="eastAsia" w:ascii="宋体" w:hAnsi="宋体" w:cs="宋体"/>
        <w:color w:val="auto"/>
        <w:sz w:val="24"/>
        <w:szCs w:val="24"/>
        <w:lang w:val="en-US" w:eastAsia="zh-CN"/>
      </w:rPr>
      <w:t>重庆希维招标代理有限公司</w:t>
    </w:r>
    <w:r>
      <w:rPr>
        <w:rFonts w:hint="eastAsia" w:ascii="宋体" w:hAnsi="宋体" w:cs="宋体"/>
        <w:sz w:val="21"/>
        <w:szCs w:val="21"/>
      </w:rPr>
      <w:t xml:space="preserve">                                      </w:t>
    </w:r>
    <w:r>
      <w:rPr>
        <w:rFonts w:hint="eastAsia" w:ascii="宋体" w:hAnsi="宋体" w:cs="宋体"/>
        <w:sz w:val="21"/>
        <w:szCs w:val="21"/>
        <w:lang w:val="en-US" w:eastAsia="zh-CN"/>
      </w:rPr>
      <w:t xml:space="preserve">    </w:t>
    </w:r>
    <w:r>
      <w:rPr>
        <w:rFonts w:hint="eastAsia" w:ascii="宋体" w:hAnsi="宋体" w:cs="宋体"/>
        <w:sz w:val="21"/>
        <w:szCs w:val="21"/>
      </w:rPr>
      <w:t>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5862B">
    <w:pPr>
      <w:pStyle w:val="38"/>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590DD">
    <w:pPr>
      <w:pStyle w:val="38"/>
      <w:jc w:val="both"/>
      <w:rPr>
        <w:rFonts w:hint="eastAsia" w:ascii="方正仿宋_GBK" w:eastAsia="方正仿宋_GBK"/>
        <w:sz w:val="21"/>
        <w:szCs w:val="21"/>
      </w:rPr>
    </w:pPr>
    <w:r>
      <w:rPr>
        <w:rFonts w:hint="eastAsia" w:ascii="方正仿宋_GBK" w:eastAsia="方正仿宋_GBK"/>
        <w:sz w:val="21"/>
        <w:szCs w:val="21"/>
        <w:lang w:val="en-US" w:eastAsia="zh-CN"/>
      </w:rPr>
      <w:t>重庆希维招标代理有限公司</w:t>
    </w:r>
    <w:r>
      <w:rPr>
        <w:rFonts w:hint="eastAsia" w:ascii="方正仿宋_GBK" w:eastAsia="方正仿宋_GBK"/>
        <w:sz w:val="21"/>
        <w:szCs w:val="21"/>
      </w:rPr>
      <w:t xml:space="preserve">                                                 竞争性磋商文件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F63A3">
    <w:pPr>
      <w:pStyle w:val="38"/>
      <w:rPr>
        <w:rFonts w:hint="eastAsia"/>
        <w:sz w:val="21"/>
        <w:szCs w:val="21"/>
      </w:rPr>
    </w:pPr>
    <w:r>
      <w:rPr>
        <w:rFonts w:hint="eastAsia"/>
        <w:sz w:val="21"/>
        <w:szCs w:val="21"/>
        <w:lang w:val="en-US" w:eastAsia="zh-CN"/>
      </w:rPr>
      <w:t>重庆希维招标代理有限公司</w:t>
    </w:r>
    <w:r>
      <w:rPr>
        <w:rFonts w:hint="eastAsia"/>
        <w:sz w:val="21"/>
        <w:szCs w:val="21"/>
      </w:rPr>
      <w:t xml:space="preserve">                                                  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upperLetter"/>
      <w:pStyle w:val="172"/>
      <w:suff w:val="nothing"/>
      <w:lvlText w:val="附　录　%1"/>
      <w:lvlJc w:val="left"/>
      <w:pPr>
        <w:ind w:left="0" w:firstLine="0"/>
      </w:pPr>
      <w:rPr>
        <w:rFonts w:hint="eastAsia" w:ascii="黑体" w:hAnsi="Times New Roman" w:eastAsia="黑体"/>
        <w:b w:val="0"/>
        <w:i w:val="0"/>
        <w:sz w:val="21"/>
      </w:rPr>
    </w:lvl>
    <w:lvl w:ilvl="1" w:tentative="0">
      <w:start w:val="1"/>
      <w:numFmt w:val="decimal"/>
      <w:pStyle w:val="123"/>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000000A"/>
    <w:multiLevelType w:val="multilevel"/>
    <w:tmpl w:val="0000000A"/>
    <w:lvl w:ilvl="0" w:tentative="0">
      <w:start w:val="1"/>
      <w:numFmt w:val="bullet"/>
      <w:pStyle w:val="155"/>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B"/>
    <w:multiLevelType w:val="singleLevel"/>
    <w:tmpl w:val="0000000B"/>
    <w:lvl w:ilvl="0" w:tentative="0">
      <w:start w:val="1"/>
      <w:numFmt w:val="bullet"/>
      <w:pStyle w:val="128"/>
      <w:lvlText w:val=""/>
      <w:lvlJc w:val="left"/>
      <w:pPr>
        <w:tabs>
          <w:tab w:val="left" w:pos="360"/>
        </w:tabs>
        <w:ind w:left="360" w:hanging="360"/>
      </w:pPr>
      <w:rPr>
        <w:rFonts w:hint="default" w:ascii="Wingdings" w:hAnsi="Wingdings"/>
      </w:rPr>
    </w:lvl>
  </w:abstractNum>
  <w:abstractNum w:abstractNumId="3">
    <w:nsid w:val="0000000D"/>
    <w:multiLevelType w:val="singleLevel"/>
    <w:tmpl w:val="0000000D"/>
    <w:lvl w:ilvl="0" w:tentative="0">
      <w:start w:val="1"/>
      <w:numFmt w:val="bullet"/>
      <w:pStyle w:val="23"/>
      <w:lvlText w:val=""/>
      <w:lvlJc w:val="left"/>
      <w:pPr>
        <w:tabs>
          <w:tab w:val="left" w:pos="1200"/>
        </w:tabs>
        <w:ind w:left="1200" w:hanging="360"/>
      </w:pPr>
      <w:rPr>
        <w:rFonts w:hint="default" w:ascii="Wingdings" w:hAnsi="Wingdings"/>
      </w:rPr>
    </w:lvl>
  </w:abstractNum>
  <w:abstractNum w:abstractNumId="4">
    <w:nsid w:val="0000000E"/>
    <w:multiLevelType w:val="multilevel"/>
    <w:tmpl w:val="0000000E"/>
    <w:lvl w:ilvl="0" w:tentative="0">
      <w:start w:val="1"/>
      <w:numFmt w:val="bullet"/>
      <w:pStyle w:val="140"/>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5">
    <w:nsid w:val="00000010"/>
    <w:multiLevelType w:val="singleLevel"/>
    <w:tmpl w:val="00000010"/>
    <w:lvl w:ilvl="0" w:tentative="0">
      <w:start w:val="1"/>
      <w:numFmt w:val="bullet"/>
      <w:pStyle w:val="201"/>
      <w:lvlText w:val=""/>
      <w:lvlJc w:val="left"/>
      <w:pPr>
        <w:tabs>
          <w:tab w:val="left" w:pos="1620"/>
        </w:tabs>
        <w:ind w:left="1620" w:hanging="360"/>
      </w:pPr>
      <w:rPr>
        <w:rFonts w:hint="default" w:ascii="Wingdings" w:hAnsi="Wingdings"/>
      </w:rPr>
    </w:lvl>
  </w:abstractNum>
  <w:abstractNum w:abstractNumId="6">
    <w:nsid w:val="00000011"/>
    <w:multiLevelType w:val="multilevel"/>
    <w:tmpl w:val="00000011"/>
    <w:lvl w:ilvl="0" w:tentative="0">
      <w:start w:val="1"/>
      <w:numFmt w:val="decimal"/>
      <w:pStyle w:val="193"/>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2"/>
    <w:multiLevelType w:val="multilevel"/>
    <w:tmpl w:val="00000012"/>
    <w:lvl w:ilvl="0" w:tentative="0">
      <w:start w:val="1"/>
      <w:numFmt w:val="bullet"/>
      <w:pStyle w:val="153"/>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00000013"/>
    <w:multiLevelType w:val="singleLevel"/>
    <w:tmpl w:val="00000013"/>
    <w:lvl w:ilvl="0" w:tentative="0">
      <w:start w:val="1"/>
      <w:numFmt w:val="decimal"/>
      <w:pStyle w:val="15"/>
      <w:lvlText w:val="%1."/>
      <w:lvlJc w:val="left"/>
      <w:pPr>
        <w:tabs>
          <w:tab w:val="left" w:pos="425"/>
        </w:tabs>
        <w:ind w:left="425" w:hanging="425"/>
      </w:pPr>
      <w:rPr>
        <w:rFonts w:hint="default"/>
      </w:rPr>
    </w:lvl>
  </w:abstractNum>
  <w:abstractNum w:abstractNumId="9">
    <w:nsid w:val="00000014"/>
    <w:multiLevelType w:val="singleLevel"/>
    <w:tmpl w:val="00000014"/>
    <w:lvl w:ilvl="0" w:tentative="0">
      <w:start w:val="1"/>
      <w:numFmt w:val="bullet"/>
      <w:pStyle w:val="29"/>
      <w:lvlText w:val=""/>
      <w:lvlJc w:val="left"/>
      <w:pPr>
        <w:tabs>
          <w:tab w:val="left" w:pos="780"/>
        </w:tabs>
        <w:ind w:left="780" w:hanging="360"/>
      </w:pPr>
      <w:rPr>
        <w:rFonts w:hint="default" w:ascii="Wingdings" w:hAnsi="Wingdings"/>
      </w:rPr>
    </w:lvl>
  </w:abstractNum>
  <w:abstractNum w:abstractNumId="10">
    <w:nsid w:val="00000016"/>
    <w:multiLevelType w:val="singleLevel"/>
    <w:tmpl w:val="00000016"/>
    <w:lvl w:ilvl="0" w:tentative="0">
      <w:start w:val="1"/>
      <w:numFmt w:val="decimal"/>
      <w:pStyle w:val="168"/>
      <w:lvlText w:val="%1)"/>
      <w:lvlJc w:val="left"/>
      <w:pPr>
        <w:tabs>
          <w:tab w:val="left" w:pos="425"/>
        </w:tabs>
        <w:ind w:left="425" w:hanging="425"/>
      </w:pPr>
      <w:rPr>
        <w:rFonts w:hint="eastAsia"/>
      </w:rPr>
    </w:lvl>
  </w:abstractNum>
  <w:abstractNum w:abstractNumId="11">
    <w:nsid w:val="00000017"/>
    <w:multiLevelType w:val="multilevel"/>
    <w:tmpl w:val="00000017"/>
    <w:lvl w:ilvl="0" w:tentative="0">
      <w:start w:val="1"/>
      <w:numFmt w:val="chineseCountingThousand"/>
      <w:pStyle w:val="199"/>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8"/>
  </w:num>
  <w:num w:numId="2">
    <w:abstractNumId w:val="5"/>
  </w:num>
  <w:num w:numId="3">
    <w:abstractNumId w:val="3"/>
  </w:num>
  <w:num w:numId="4">
    <w:abstractNumId w:val="9"/>
  </w:num>
  <w:num w:numId="5">
    <w:abstractNumId w:val="0"/>
  </w:num>
  <w:num w:numId="6">
    <w:abstractNumId w:val="2"/>
  </w:num>
  <w:num w:numId="7">
    <w:abstractNumId w:val="4"/>
  </w:num>
  <w:num w:numId="8">
    <w:abstractNumId w:val="7"/>
  </w:num>
  <w:num w:numId="9">
    <w:abstractNumId w:val="1"/>
  </w:num>
  <w:num w:numId="10">
    <w:abstractNumId w:val="10"/>
  </w:num>
  <w:num w:numId="11">
    <w:abstractNumId w:val="6"/>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iOWY2NTFhYjQ5ZjM4YTZkYzc4NDY3MTMwNzg0YjIifQ=="/>
  </w:docVars>
  <w:rsids>
    <w:rsidRoot w:val="00172A27"/>
    <w:rsid w:val="00003626"/>
    <w:rsid w:val="00003AFD"/>
    <w:rsid w:val="000040DE"/>
    <w:rsid w:val="0000481D"/>
    <w:rsid w:val="000075E8"/>
    <w:rsid w:val="00011561"/>
    <w:rsid w:val="00011B4B"/>
    <w:rsid w:val="00016B79"/>
    <w:rsid w:val="00017816"/>
    <w:rsid w:val="00031A6A"/>
    <w:rsid w:val="0003285C"/>
    <w:rsid w:val="00032ACA"/>
    <w:rsid w:val="0003632F"/>
    <w:rsid w:val="0004739C"/>
    <w:rsid w:val="000523C9"/>
    <w:rsid w:val="0005298B"/>
    <w:rsid w:val="0005417C"/>
    <w:rsid w:val="00055887"/>
    <w:rsid w:val="0005634B"/>
    <w:rsid w:val="000576E1"/>
    <w:rsid w:val="00061A7C"/>
    <w:rsid w:val="00063981"/>
    <w:rsid w:val="00076671"/>
    <w:rsid w:val="00090C5A"/>
    <w:rsid w:val="00091B1C"/>
    <w:rsid w:val="00091D22"/>
    <w:rsid w:val="00093044"/>
    <w:rsid w:val="00094E88"/>
    <w:rsid w:val="00096F49"/>
    <w:rsid w:val="000A164E"/>
    <w:rsid w:val="000A1C47"/>
    <w:rsid w:val="000A3057"/>
    <w:rsid w:val="000A4BE2"/>
    <w:rsid w:val="000B057D"/>
    <w:rsid w:val="000B1068"/>
    <w:rsid w:val="000B42F4"/>
    <w:rsid w:val="000B6828"/>
    <w:rsid w:val="000B6BDE"/>
    <w:rsid w:val="000B7377"/>
    <w:rsid w:val="000B7EE9"/>
    <w:rsid w:val="000B7F54"/>
    <w:rsid w:val="000C08C1"/>
    <w:rsid w:val="000C20E6"/>
    <w:rsid w:val="000C6D89"/>
    <w:rsid w:val="000D632E"/>
    <w:rsid w:val="000D776F"/>
    <w:rsid w:val="000E00F0"/>
    <w:rsid w:val="000E01C9"/>
    <w:rsid w:val="000E0DD7"/>
    <w:rsid w:val="000E3259"/>
    <w:rsid w:val="000E4835"/>
    <w:rsid w:val="000E7725"/>
    <w:rsid w:val="000F2486"/>
    <w:rsid w:val="000F43D4"/>
    <w:rsid w:val="000F7DBF"/>
    <w:rsid w:val="0010014A"/>
    <w:rsid w:val="00100485"/>
    <w:rsid w:val="00100639"/>
    <w:rsid w:val="0010088E"/>
    <w:rsid w:val="00101143"/>
    <w:rsid w:val="001028FD"/>
    <w:rsid w:val="00105638"/>
    <w:rsid w:val="00106E94"/>
    <w:rsid w:val="00114CFE"/>
    <w:rsid w:val="00114D63"/>
    <w:rsid w:val="00115337"/>
    <w:rsid w:val="0011683E"/>
    <w:rsid w:val="00116856"/>
    <w:rsid w:val="00116C42"/>
    <w:rsid w:val="0011780F"/>
    <w:rsid w:val="00117B26"/>
    <w:rsid w:val="00120259"/>
    <w:rsid w:val="00122F9D"/>
    <w:rsid w:val="001266BF"/>
    <w:rsid w:val="001273E6"/>
    <w:rsid w:val="00133789"/>
    <w:rsid w:val="00133D16"/>
    <w:rsid w:val="00134037"/>
    <w:rsid w:val="001342AC"/>
    <w:rsid w:val="0013446C"/>
    <w:rsid w:val="0013582A"/>
    <w:rsid w:val="00135CE3"/>
    <w:rsid w:val="00136BDF"/>
    <w:rsid w:val="001468CF"/>
    <w:rsid w:val="00147FB4"/>
    <w:rsid w:val="0015011C"/>
    <w:rsid w:val="0015033B"/>
    <w:rsid w:val="00150429"/>
    <w:rsid w:val="001523C5"/>
    <w:rsid w:val="00152B00"/>
    <w:rsid w:val="00160A71"/>
    <w:rsid w:val="00161587"/>
    <w:rsid w:val="00171883"/>
    <w:rsid w:val="00171E05"/>
    <w:rsid w:val="00174F5A"/>
    <w:rsid w:val="00180ACB"/>
    <w:rsid w:val="00181A6C"/>
    <w:rsid w:val="00183B60"/>
    <w:rsid w:val="00186623"/>
    <w:rsid w:val="0018673D"/>
    <w:rsid w:val="0018687C"/>
    <w:rsid w:val="001879FD"/>
    <w:rsid w:val="00191806"/>
    <w:rsid w:val="001939E1"/>
    <w:rsid w:val="00195635"/>
    <w:rsid w:val="0019571D"/>
    <w:rsid w:val="001A363C"/>
    <w:rsid w:val="001A43FF"/>
    <w:rsid w:val="001A64A1"/>
    <w:rsid w:val="001A6DCC"/>
    <w:rsid w:val="001B0396"/>
    <w:rsid w:val="001B0FE5"/>
    <w:rsid w:val="001B1400"/>
    <w:rsid w:val="001B230C"/>
    <w:rsid w:val="001B3DBD"/>
    <w:rsid w:val="001B4377"/>
    <w:rsid w:val="001B582E"/>
    <w:rsid w:val="001C6387"/>
    <w:rsid w:val="001D0DF7"/>
    <w:rsid w:val="001D2321"/>
    <w:rsid w:val="001D2DCD"/>
    <w:rsid w:val="001D5055"/>
    <w:rsid w:val="001D630C"/>
    <w:rsid w:val="001E1A2F"/>
    <w:rsid w:val="001E201B"/>
    <w:rsid w:val="001E5CAC"/>
    <w:rsid w:val="001E64A9"/>
    <w:rsid w:val="001E6841"/>
    <w:rsid w:val="001E725F"/>
    <w:rsid w:val="001F0CC7"/>
    <w:rsid w:val="001F1AF7"/>
    <w:rsid w:val="001F4964"/>
    <w:rsid w:val="001F4A96"/>
    <w:rsid w:val="001F7063"/>
    <w:rsid w:val="00202B04"/>
    <w:rsid w:val="00203052"/>
    <w:rsid w:val="00204936"/>
    <w:rsid w:val="00206AE4"/>
    <w:rsid w:val="002100EE"/>
    <w:rsid w:val="00212A06"/>
    <w:rsid w:val="00215DEE"/>
    <w:rsid w:val="0021704D"/>
    <w:rsid w:val="00222097"/>
    <w:rsid w:val="002227DB"/>
    <w:rsid w:val="00223CA8"/>
    <w:rsid w:val="00227202"/>
    <w:rsid w:val="00227377"/>
    <w:rsid w:val="00227851"/>
    <w:rsid w:val="00234257"/>
    <w:rsid w:val="002348E0"/>
    <w:rsid w:val="00240DB6"/>
    <w:rsid w:val="00241760"/>
    <w:rsid w:val="00256BF0"/>
    <w:rsid w:val="00257145"/>
    <w:rsid w:val="00262555"/>
    <w:rsid w:val="002643C1"/>
    <w:rsid w:val="00265203"/>
    <w:rsid w:val="0027199E"/>
    <w:rsid w:val="00271D47"/>
    <w:rsid w:val="002721EA"/>
    <w:rsid w:val="00273468"/>
    <w:rsid w:val="00276AA9"/>
    <w:rsid w:val="0027791A"/>
    <w:rsid w:val="00280E8A"/>
    <w:rsid w:val="002812DD"/>
    <w:rsid w:val="002845D9"/>
    <w:rsid w:val="00285164"/>
    <w:rsid w:val="002876C2"/>
    <w:rsid w:val="00295673"/>
    <w:rsid w:val="00295FA5"/>
    <w:rsid w:val="00296EEF"/>
    <w:rsid w:val="002A07B8"/>
    <w:rsid w:val="002A08A1"/>
    <w:rsid w:val="002A4956"/>
    <w:rsid w:val="002A562C"/>
    <w:rsid w:val="002A6710"/>
    <w:rsid w:val="002A7778"/>
    <w:rsid w:val="002B1FDA"/>
    <w:rsid w:val="002B20D7"/>
    <w:rsid w:val="002B3340"/>
    <w:rsid w:val="002B578B"/>
    <w:rsid w:val="002B5ECC"/>
    <w:rsid w:val="002B7904"/>
    <w:rsid w:val="002C2507"/>
    <w:rsid w:val="002C2E6E"/>
    <w:rsid w:val="002C7927"/>
    <w:rsid w:val="002D41FF"/>
    <w:rsid w:val="002D4DD1"/>
    <w:rsid w:val="002D6353"/>
    <w:rsid w:val="002D7053"/>
    <w:rsid w:val="002D7725"/>
    <w:rsid w:val="002E0CC2"/>
    <w:rsid w:val="002E299A"/>
    <w:rsid w:val="002E3527"/>
    <w:rsid w:val="002F0ED3"/>
    <w:rsid w:val="002F1236"/>
    <w:rsid w:val="002F3DE3"/>
    <w:rsid w:val="002F4114"/>
    <w:rsid w:val="002F632E"/>
    <w:rsid w:val="00301A8E"/>
    <w:rsid w:val="003021BC"/>
    <w:rsid w:val="003025A7"/>
    <w:rsid w:val="00302F31"/>
    <w:rsid w:val="00303CD7"/>
    <w:rsid w:val="00310AF9"/>
    <w:rsid w:val="00310DAA"/>
    <w:rsid w:val="003110F1"/>
    <w:rsid w:val="0031465E"/>
    <w:rsid w:val="00315742"/>
    <w:rsid w:val="003163B3"/>
    <w:rsid w:val="00322A7A"/>
    <w:rsid w:val="00326C5B"/>
    <w:rsid w:val="00326D22"/>
    <w:rsid w:val="003333BC"/>
    <w:rsid w:val="003333E0"/>
    <w:rsid w:val="0033363B"/>
    <w:rsid w:val="0033663D"/>
    <w:rsid w:val="00340777"/>
    <w:rsid w:val="00341DEB"/>
    <w:rsid w:val="00346333"/>
    <w:rsid w:val="00346A3D"/>
    <w:rsid w:val="00350510"/>
    <w:rsid w:val="00350C20"/>
    <w:rsid w:val="003548FA"/>
    <w:rsid w:val="00355A74"/>
    <w:rsid w:val="00361427"/>
    <w:rsid w:val="00362825"/>
    <w:rsid w:val="00363702"/>
    <w:rsid w:val="0036458B"/>
    <w:rsid w:val="00371D2F"/>
    <w:rsid w:val="00373122"/>
    <w:rsid w:val="003754AC"/>
    <w:rsid w:val="0037612E"/>
    <w:rsid w:val="0038033A"/>
    <w:rsid w:val="003816ED"/>
    <w:rsid w:val="00384161"/>
    <w:rsid w:val="00387610"/>
    <w:rsid w:val="00395C2F"/>
    <w:rsid w:val="003973D3"/>
    <w:rsid w:val="00397F89"/>
    <w:rsid w:val="003A0892"/>
    <w:rsid w:val="003A23B5"/>
    <w:rsid w:val="003A422B"/>
    <w:rsid w:val="003A449E"/>
    <w:rsid w:val="003A71F3"/>
    <w:rsid w:val="003B19F5"/>
    <w:rsid w:val="003D0891"/>
    <w:rsid w:val="003D0E0A"/>
    <w:rsid w:val="003D3B22"/>
    <w:rsid w:val="003D3B6B"/>
    <w:rsid w:val="003D77F8"/>
    <w:rsid w:val="003D7B3D"/>
    <w:rsid w:val="003E1EE1"/>
    <w:rsid w:val="003E25BF"/>
    <w:rsid w:val="003F182F"/>
    <w:rsid w:val="003F451E"/>
    <w:rsid w:val="003F4939"/>
    <w:rsid w:val="003F626F"/>
    <w:rsid w:val="00402B32"/>
    <w:rsid w:val="0040519F"/>
    <w:rsid w:val="00405FAC"/>
    <w:rsid w:val="0040624F"/>
    <w:rsid w:val="0040781E"/>
    <w:rsid w:val="00407FB2"/>
    <w:rsid w:val="00410C93"/>
    <w:rsid w:val="00411B4A"/>
    <w:rsid w:val="0041258C"/>
    <w:rsid w:val="004134DD"/>
    <w:rsid w:val="00417E99"/>
    <w:rsid w:val="00421507"/>
    <w:rsid w:val="00422707"/>
    <w:rsid w:val="00424D02"/>
    <w:rsid w:val="0042525A"/>
    <w:rsid w:val="0043336B"/>
    <w:rsid w:val="00434074"/>
    <w:rsid w:val="0044185A"/>
    <w:rsid w:val="0044193A"/>
    <w:rsid w:val="00453B8F"/>
    <w:rsid w:val="004570BD"/>
    <w:rsid w:val="00460489"/>
    <w:rsid w:val="004608C7"/>
    <w:rsid w:val="004621E4"/>
    <w:rsid w:val="00462878"/>
    <w:rsid w:val="004655B8"/>
    <w:rsid w:val="00465B7A"/>
    <w:rsid w:val="00466A28"/>
    <w:rsid w:val="00470775"/>
    <w:rsid w:val="00470E41"/>
    <w:rsid w:val="00472AA2"/>
    <w:rsid w:val="00473B39"/>
    <w:rsid w:val="00481309"/>
    <w:rsid w:val="0049082F"/>
    <w:rsid w:val="004928A2"/>
    <w:rsid w:val="00492E33"/>
    <w:rsid w:val="004937CD"/>
    <w:rsid w:val="004953EC"/>
    <w:rsid w:val="004A093B"/>
    <w:rsid w:val="004A0D29"/>
    <w:rsid w:val="004A0DE1"/>
    <w:rsid w:val="004A2410"/>
    <w:rsid w:val="004A27AC"/>
    <w:rsid w:val="004A3995"/>
    <w:rsid w:val="004A5005"/>
    <w:rsid w:val="004A7940"/>
    <w:rsid w:val="004B2004"/>
    <w:rsid w:val="004B493B"/>
    <w:rsid w:val="004B72BD"/>
    <w:rsid w:val="004C1DD0"/>
    <w:rsid w:val="004C2685"/>
    <w:rsid w:val="004C5FC7"/>
    <w:rsid w:val="004C64E4"/>
    <w:rsid w:val="004D2334"/>
    <w:rsid w:val="004E156F"/>
    <w:rsid w:val="004E550E"/>
    <w:rsid w:val="004E55DB"/>
    <w:rsid w:val="004E61D6"/>
    <w:rsid w:val="004E67C6"/>
    <w:rsid w:val="004F511B"/>
    <w:rsid w:val="00502B2F"/>
    <w:rsid w:val="00506468"/>
    <w:rsid w:val="00507775"/>
    <w:rsid w:val="00512ABE"/>
    <w:rsid w:val="00512D00"/>
    <w:rsid w:val="0051381C"/>
    <w:rsid w:val="00513844"/>
    <w:rsid w:val="00514179"/>
    <w:rsid w:val="0051461C"/>
    <w:rsid w:val="005154E0"/>
    <w:rsid w:val="00516243"/>
    <w:rsid w:val="005164D4"/>
    <w:rsid w:val="00523284"/>
    <w:rsid w:val="00524F77"/>
    <w:rsid w:val="00530056"/>
    <w:rsid w:val="00540E03"/>
    <w:rsid w:val="00541D5F"/>
    <w:rsid w:val="00544419"/>
    <w:rsid w:val="00544BEA"/>
    <w:rsid w:val="005460D5"/>
    <w:rsid w:val="00550909"/>
    <w:rsid w:val="00551B03"/>
    <w:rsid w:val="00553CF0"/>
    <w:rsid w:val="00557C75"/>
    <w:rsid w:val="00561889"/>
    <w:rsid w:val="00566A85"/>
    <w:rsid w:val="00570C78"/>
    <w:rsid w:val="00570ED2"/>
    <w:rsid w:val="00573AE3"/>
    <w:rsid w:val="00583690"/>
    <w:rsid w:val="005842CD"/>
    <w:rsid w:val="005902D9"/>
    <w:rsid w:val="00590F61"/>
    <w:rsid w:val="00592C83"/>
    <w:rsid w:val="00596AB7"/>
    <w:rsid w:val="00597AB1"/>
    <w:rsid w:val="005A1B5C"/>
    <w:rsid w:val="005A1EA7"/>
    <w:rsid w:val="005A501A"/>
    <w:rsid w:val="005B0724"/>
    <w:rsid w:val="005B1E46"/>
    <w:rsid w:val="005B5AA4"/>
    <w:rsid w:val="005C3BFA"/>
    <w:rsid w:val="005C3F4B"/>
    <w:rsid w:val="005C42AC"/>
    <w:rsid w:val="005C47CC"/>
    <w:rsid w:val="005C4EFF"/>
    <w:rsid w:val="005C4F84"/>
    <w:rsid w:val="005D37D0"/>
    <w:rsid w:val="005D703E"/>
    <w:rsid w:val="005E35E9"/>
    <w:rsid w:val="005E5525"/>
    <w:rsid w:val="005E6546"/>
    <w:rsid w:val="005E7748"/>
    <w:rsid w:val="005F51AC"/>
    <w:rsid w:val="005F5F27"/>
    <w:rsid w:val="0060003E"/>
    <w:rsid w:val="0060315D"/>
    <w:rsid w:val="00605396"/>
    <w:rsid w:val="00606FEB"/>
    <w:rsid w:val="00611295"/>
    <w:rsid w:val="00613410"/>
    <w:rsid w:val="0061380A"/>
    <w:rsid w:val="00617986"/>
    <w:rsid w:val="006207B8"/>
    <w:rsid w:val="00621457"/>
    <w:rsid w:val="006256CA"/>
    <w:rsid w:val="0062582C"/>
    <w:rsid w:val="00627729"/>
    <w:rsid w:val="00627F21"/>
    <w:rsid w:val="00630A2B"/>
    <w:rsid w:val="00630C76"/>
    <w:rsid w:val="006325DB"/>
    <w:rsid w:val="00632BE7"/>
    <w:rsid w:val="00642A10"/>
    <w:rsid w:val="0064583B"/>
    <w:rsid w:val="00651127"/>
    <w:rsid w:val="0065190C"/>
    <w:rsid w:val="006542F1"/>
    <w:rsid w:val="00654A48"/>
    <w:rsid w:val="0065651B"/>
    <w:rsid w:val="00664607"/>
    <w:rsid w:val="00666197"/>
    <w:rsid w:val="00666544"/>
    <w:rsid w:val="00667748"/>
    <w:rsid w:val="00670089"/>
    <w:rsid w:val="00670C89"/>
    <w:rsid w:val="00671233"/>
    <w:rsid w:val="006763DC"/>
    <w:rsid w:val="00680AE4"/>
    <w:rsid w:val="00682205"/>
    <w:rsid w:val="00684E51"/>
    <w:rsid w:val="0068793C"/>
    <w:rsid w:val="00692A95"/>
    <w:rsid w:val="006A100B"/>
    <w:rsid w:val="006A143A"/>
    <w:rsid w:val="006A198C"/>
    <w:rsid w:val="006A3285"/>
    <w:rsid w:val="006A4C56"/>
    <w:rsid w:val="006B0567"/>
    <w:rsid w:val="006B3521"/>
    <w:rsid w:val="006B3761"/>
    <w:rsid w:val="006B37BC"/>
    <w:rsid w:val="006B4535"/>
    <w:rsid w:val="006B5495"/>
    <w:rsid w:val="006B72DE"/>
    <w:rsid w:val="006B75CB"/>
    <w:rsid w:val="006C5FC1"/>
    <w:rsid w:val="006D2E86"/>
    <w:rsid w:val="006D44E1"/>
    <w:rsid w:val="006D6662"/>
    <w:rsid w:val="006D6C15"/>
    <w:rsid w:val="006D75C7"/>
    <w:rsid w:val="006E0AE4"/>
    <w:rsid w:val="006E21FA"/>
    <w:rsid w:val="006E477D"/>
    <w:rsid w:val="006E6D5F"/>
    <w:rsid w:val="006F0FB7"/>
    <w:rsid w:val="006F1445"/>
    <w:rsid w:val="006F5925"/>
    <w:rsid w:val="006F5E40"/>
    <w:rsid w:val="0070176F"/>
    <w:rsid w:val="00704E5D"/>
    <w:rsid w:val="00705739"/>
    <w:rsid w:val="00710AE5"/>
    <w:rsid w:val="00712E83"/>
    <w:rsid w:val="00714BF1"/>
    <w:rsid w:val="00714F6B"/>
    <w:rsid w:val="00715FB5"/>
    <w:rsid w:val="007171A6"/>
    <w:rsid w:val="0071799D"/>
    <w:rsid w:val="00723F90"/>
    <w:rsid w:val="00726088"/>
    <w:rsid w:val="00730B6A"/>
    <w:rsid w:val="00730F77"/>
    <w:rsid w:val="00736D88"/>
    <w:rsid w:val="00736DD2"/>
    <w:rsid w:val="00737DED"/>
    <w:rsid w:val="0074681C"/>
    <w:rsid w:val="00746EC2"/>
    <w:rsid w:val="00747881"/>
    <w:rsid w:val="0076087B"/>
    <w:rsid w:val="00761E4F"/>
    <w:rsid w:val="007669CB"/>
    <w:rsid w:val="00766BF9"/>
    <w:rsid w:val="00767EE6"/>
    <w:rsid w:val="0077408E"/>
    <w:rsid w:val="00781AD3"/>
    <w:rsid w:val="00781BFB"/>
    <w:rsid w:val="00786FA7"/>
    <w:rsid w:val="007910A6"/>
    <w:rsid w:val="00794382"/>
    <w:rsid w:val="007959AC"/>
    <w:rsid w:val="007A20E0"/>
    <w:rsid w:val="007A381C"/>
    <w:rsid w:val="007A38F2"/>
    <w:rsid w:val="007B0201"/>
    <w:rsid w:val="007B050B"/>
    <w:rsid w:val="007B1770"/>
    <w:rsid w:val="007B2204"/>
    <w:rsid w:val="007B4B60"/>
    <w:rsid w:val="007B7278"/>
    <w:rsid w:val="007C05B6"/>
    <w:rsid w:val="007C6B0F"/>
    <w:rsid w:val="007D433B"/>
    <w:rsid w:val="007D7A44"/>
    <w:rsid w:val="007D7E65"/>
    <w:rsid w:val="007E19E0"/>
    <w:rsid w:val="007F3EC9"/>
    <w:rsid w:val="007F556A"/>
    <w:rsid w:val="007F6769"/>
    <w:rsid w:val="00800F48"/>
    <w:rsid w:val="008041D4"/>
    <w:rsid w:val="00807818"/>
    <w:rsid w:val="0081121F"/>
    <w:rsid w:val="0081156A"/>
    <w:rsid w:val="00827398"/>
    <w:rsid w:val="0083653E"/>
    <w:rsid w:val="00842974"/>
    <w:rsid w:val="00842F87"/>
    <w:rsid w:val="00843725"/>
    <w:rsid w:val="00843D2E"/>
    <w:rsid w:val="00847370"/>
    <w:rsid w:val="0085550A"/>
    <w:rsid w:val="0086146F"/>
    <w:rsid w:val="008616EF"/>
    <w:rsid w:val="00863C25"/>
    <w:rsid w:val="008641B7"/>
    <w:rsid w:val="00864D80"/>
    <w:rsid w:val="00864DC1"/>
    <w:rsid w:val="008655F0"/>
    <w:rsid w:val="008705BC"/>
    <w:rsid w:val="00871999"/>
    <w:rsid w:val="00872E27"/>
    <w:rsid w:val="00875A42"/>
    <w:rsid w:val="00882105"/>
    <w:rsid w:val="0088381E"/>
    <w:rsid w:val="008838A9"/>
    <w:rsid w:val="008904A8"/>
    <w:rsid w:val="008912BC"/>
    <w:rsid w:val="00891D94"/>
    <w:rsid w:val="008A19AF"/>
    <w:rsid w:val="008A20FB"/>
    <w:rsid w:val="008A4D88"/>
    <w:rsid w:val="008B0528"/>
    <w:rsid w:val="008B146A"/>
    <w:rsid w:val="008C1B22"/>
    <w:rsid w:val="008C4C84"/>
    <w:rsid w:val="008C510F"/>
    <w:rsid w:val="008C5943"/>
    <w:rsid w:val="008C63F7"/>
    <w:rsid w:val="008C6F97"/>
    <w:rsid w:val="008D067F"/>
    <w:rsid w:val="008D3283"/>
    <w:rsid w:val="008D36D4"/>
    <w:rsid w:val="008D4284"/>
    <w:rsid w:val="008E437B"/>
    <w:rsid w:val="008E45D5"/>
    <w:rsid w:val="008E4D3F"/>
    <w:rsid w:val="008E66B8"/>
    <w:rsid w:val="008E7CE2"/>
    <w:rsid w:val="008F0A2E"/>
    <w:rsid w:val="008F1988"/>
    <w:rsid w:val="008F285B"/>
    <w:rsid w:val="008F28DB"/>
    <w:rsid w:val="008F28F9"/>
    <w:rsid w:val="008F2B05"/>
    <w:rsid w:val="008F5E76"/>
    <w:rsid w:val="008F6252"/>
    <w:rsid w:val="009023F3"/>
    <w:rsid w:val="0090383C"/>
    <w:rsid w:val="00905D85"/>
    <w:rsid w:val="00912132"/>
    <w:rsid w:val="00912D41"/>
    <w:rsid w:val="009138D3"/>
    <w:rsid w:val="00913CAA"/>
    <w:rsid w:val="00917ACE"/>
    <w:rsid w:val="009226D2"/>
    <w:rsid w:val="00922FAD"/>
    <w:rsid w:val="00924F0A"/>
    <w:rsid w:val="00925082"/>
    <w:rsid w:val="00925726"/>
    <w:rsid w:val="00925A48"/>
    <w:rsid w:val="0092708B"/>
    <w:rsid w:val="0093049D"/>
    <w:rsid w:val="00937713"/>
    <w:rsid w:val="00942697"/>
    <w:rsid w:val="0094759E"/>
    <w:rsid w:val="00947BD4"/>
    <w:rsid w:val="00952C13"/>
    <w:rsid w:val="00953051"/>
    <w:rsid w:val="009540C4"/>
    <w:rsid w:val="0095622A"/>
    <w:rsid w:val="00962BF1"/>
    <w:rsid w:val="00966820"/>
    <w:rsid w:val="00971CF3"/>
    <w:rsid w:val="00971E57"/>
    <w:rsid w:val="009723CF"/>
    <w:rsid w:val="00973D3A"/>
    <w:rsid w:val="009741DC"/>
    <w:rsid w:val="0097652A"/>
    <w:rsid w:val="00980037"/>
    <w:rsid w:val="00983AC5"/>
    <w:rsid w:val="00983B43"/>
    <w:rsid w:val="00984742"/>
    <w:rsid w:val="00991B37"/>
    <w:rsid w:val="009953B8"/>
    <w:rsid w:val="009A1CE5"/>
    <w:rsid w:val="009A2366"/>
    <w:rsid w:val="009A5C48"/>
    <w:rsid w:val="009A6513"/>
    <w:rsid w:val="009B6208"/>
    <w:rsid w:val="009C2F04"/>
    <w:rsid w:val="009C3034"/>
    <w:rsid w:val="009C4BFF"/>
    <w:rsid w:val="009C7522"/>
    <w:rsid w:val="009D0FDD"/>
    <w:rsid w:val="009D2BC0"/>
    <w:rsid w:val="009D3162"/>
    <w:rsid w:val="009D3181"/>
    <w:rsid w:val="009D72E7"/>
    <w:rsid w:val="009D7B9B"/>
    <w:rsid w:val="009E4ABA"/>
    <w:rsid w:val="009E717E"/>
    <w:rsid w:val="009E737D"/>
    <w:rsid w:val="009E7637"/>
    <w:rsid w:val="009F18FA"/>
    <w:rsid w:val="00A03977"/>
    <w:rsid w:val="00A04BE8"/>
    <w:rsid w:val="00A07E20"/>
    <w:rsid w:val="00A11952"/>
    <w:rsid w:val="00A137CA"/>
    <w:rsid w:val="00A14BB7"/>
    <w:rsid w:val="00A15FBF"/>
    <w:rsid w:val="00A1616D"/>
    <w:rsid w:val="00A165D7"/>
    <w:rsid w:val="00A1783B"/>
    <w:rsid w:val="00A21C04"/>
    <w:rsid w:val="00A22941"/>
    <w:rsid w:val="00A2477E"/>
    <w:rsid w:val="00A26FF7"/>
    <w:rsid w:val="00A37A20"/>
    <w:rsid w:val="00A445DC"/>
    <w:rsid w:val="00A44BEA"/>
    <w:rsid w:val="00A47C22"/>
    <w:rsid w:val="00A47FE4"/>
    <w:rsid w:val="00A52087"/>
    <w:rsid w:val="00A55B14"/>
    <w:rsid w:val="00A5689C"/>
    <w:rsid w:val="00A569E8"/>
    <w:rsid w:val="00A57FAF"/>
    <w:rsid w:val="00A601C4"/>
    <w:rsid w:val="00A61A12"/>
    <w:rsid w:val="00A61D6E"/>
    <w:rsid w:val="00A64DF0"/>
    <w:rsid w:val="00A711C6"/>
    <w:rsid w:val="00A730F3"/>
    <w:rsid w:val="00A81673"/>
    <w:rsid w:val="00A84863"/>
    <w:rsid w:val="00A91750"/>
    <w:rsid w:val="00A91B03"/>
    <w:rsid w:val="00A91EFF"/>
    <w:rsid w:val="00A95D95"/>
    <w:rsid w:val="00A977EC"/>
    <w:rsid w:val="00AA00FB"/>
    <w:rsid w:val="00AA3FD1"/>
    <w:rsid w:val="00AA52DE"/>
    <w:rsid w:val="00AB11B3"/>
    <w:rsid w:val="00AB5ED3"/>
    <w:rsid w:val="00AB6B0C"/>
    <w:rsid w:val="00AB70CD"/>
    <w:rsid w:val="00AB7800"/>
    <w:rsid w:val="00AC0BF9"/>
    <w:rsid w:val="00AC1860"/>
    <w:rsid w:val="00AC4898"/>
    <w:rsid w:val="00AC48B3"/>
    <w:rsid w:val="00AC7AC9"/>
    <w:rsid w:val="00AD3EAC"/>
    <w:rsid w:val="00AD4E14"/>
    <w:rsid w:val="00AE1920"/>
    <w:rsid w:val="00AE47E9"/>
    <w:rsid w:val="00AF01B3"/>
    <w:rsid w:val="00AF0F13"/>
    <w:rsid w:val="00AF3B85"/>
    <w:rsid w:val="00AF7399"/>
    <w:rsid w:val="00AF7992"/>
    <w:rsid w:val="00AF7CDD"/>
    <w:rsid w:val="00B00AB3"/>
    <w:rsid w:val="00B04C04"/>
    <w:rsid w:val="00B14C52"/>
    <w:rsid w:val="00B15880"/>
    <w:rsid w:val="00B200AA"/>
    <w:rsid w:val="00B21224"/>
    <w:rsid w:val="00B229A5"/>
    <w:rsid w:val="00B237B8"/>
    <w:rsid w:val="00B2488E"/>
    <w:rsid w:val="00B25EB3"/>
    <w:rsid w:val="00B356C1"/>
    <w:rsid w:val="00B412B8"/>
    <w:rsid w:val="00B42056"/>
    <w:rsid w:val="00B478C3"/>
    <w:rsid w:val="00B52715"/>
    <w:rsid w:val="00B61348"/>
    <w:rsid w:val="00B6263F"/>
    <w:rsid w:val="00B6488A"/>
    <w:rsid w:val="00B67114"/>
    <w:rsid w:val="00B7097C"/>
    <w:rsid w:val="00B75449"/>
    <w:rsid w:val="00B77DAB"/>
    <w:rsid w:val="00B81284"/>
    <w:rsid w:val="00B86DA1"/>
    <w:rsid w:val="00B87401"/>
    <w:rsid w:val="00BA527C"/>
    <w:rsid w:val="00BA6FB3"/>
    <w:rsid w:val="00BA7D51"/>
    <w:rsid w:val="00BA7F31"/>
    <w:rsid w:val="00BB7494"/>
    <w:rsid w:val="00BB76A5"/>
    <w:rsid w:val="00BC183F"/>
    <w:rsid w:val="00BC1C37"/>
    <w:rsid w:val="00BC2390"/>
    <w:rsid w:val="00BC7649"/>
    <w:rsid w:val="00BC775D"/>
    <w:rsid w:val="00BD5A75"/>
    <w:rsid w:val="00BD692B"/>
    <w:rsid w:val="00BE07A9"/>
    <w:rsid w:val="00BE1700"/>
    <w:rsid w:val="00BE2E36"/>
    <w:rsid w:val="00BE4D8F"/>
    <w:rsid w:val="00BF0A3E"/>
    <w:rsid w:val="00BF46A7"/>
    <w:rsid w:val="00BF5230"/>
    <w:rsid w:val="00BF6DA8"/>
    <w:rsid w:val="00C00289"/>
    <w:rsid w:val="00C0244B"/>
    <w:rsid w:val="00C1090C"/>
    <w:rsid w:val="00C1280C"/>
    <w:rsid w:val="00C15215"/>
    <w:rsid w:val="00C201FC"/>
    <w:rsid w:val="00C240C8"/>
    <w:rsid w:val="00C26513"/>
    <w:rsid w:val="00C27452"/>
    <w:rsid w:val="00C31F60"/>
    <w:rsid w:val="00C328C9"/>
    <w:rsid w:val="00C339ED"/>
    <w:rsid w:val="00C35BA8"/>
    <w:rsid w:val="00C37F72"/>
    <w:rsid w:val="00C420C1"/>
    <w:rsid w:val="00C43FEE"/>
    <w:rsid w:val="00C45963"/>
    <w:rsid w:val="00C472B8"/>
    <w:rsid w:val="00C50723"/>
    <w:rsid w:val="00C529FD"/>
    <w:rsid w:val="00C53124"/>
    <w:rsid w:val="00C53B2E"/>
    <w:rsid w:val="00C5473A"/>
    <w:rsid w:val="00C6160A"/>
    <w:rsid w:val="00C65711"/>
    <w:rsid w:val="00C72DF0"/>
    <w:rsid w:val="00C76ECD"/>
    <w:rsid w:val="00C83213"/>
    <w:rsid w:val="00C84B63"/>
    <w:rsid w:val="00C84E04"/>
    <w:rsid w:val="00C85220"/>
    <w:rsid w:val="00C85A91"/>
    <w:rsid w:val="00C910BE"/>
    <w:rsid w:val="00C922BE"/>
    <w:rsid w:val="00CA14F4"/>
    <w:rsid w:val="00CA583F"/>
    <w:rsid w:val="00CA5844"/>
    <w:rsid w:val="00CA7415"/>
    <w:rsid w:val="00CB11F6"/>
    <w:rsid w:val="00CB265C"/>
    <w:rsid w:val="00CB32BC"/>
    <w:rsid w:val="00CB4540"/>
    <w:rsid w:val="00CB4951"/>
    <w:rsid w:val="00CB7A07"/>
    <w:rsid w:val="00CB7C1B"/>
    <w:rsid w:val="00CC5783"/>
    <w:rsid w:val="00CC59BB"/>
    <w:rsid w:val="00CD1222"/>
    <w:rsid w:val="00CD1B93"/>
    <w:rsid w:val="00CD3BD4"/>
    <w:rsid w:val="00CD3CC8"/>
    <w:rsid w:val="00CD635D"/>
    <w:rsid w:val="00CD6DEE"/>
    <w:rsid w:val="00CD7C5B"/>
    <w:rsid w:val="00CD7CED"/>
    <w:rsid w:val="00CE04C7"/>
    <w:rsid w:val="00CE2AFE"/>
    <w:rsid w:val="00CE2BDD"/>
    <w:rsid w:val="00CE4DBF"/>
    <w:rsid w:val="00CE5908"/>
    <w:rsid w:val="00CF156B"/>
    <w:rsid w:val="00CF1E02"/>
    <w:rsid w:val="00CF4BD6"/>
    <w:rsid w:val="00CF597A"/>
    <w:rsid w:val="00D00DA0"/>
    <w:rsid w:val="00D0103F"/>
    <w:rsid w:val="00D0381E"/>
    <w:rsid w:val="00D05BAA"/>
    <w:rsid w:val="00D07F26"/>
    <w:rsid w:val="00D11A09"/>
    <w:rsid w:val="00D11BCD"/>
    <w:rsid w:val="00D1248B"/>
    <w:rsid w:val="00D13B7A"/>
    <w:rsid w:val="00D17FD1"/>
    <w:rsid w:val="00D22C4B"/>
    <w:rsid w:val="00D230C7"/>
    <w:rsid w:val="00D23E7D"/>
    <w:rsid w:val="00D2405F"/>
    <w:rsid w:val="00D26C71"/>
    <w:rsid w:val="00D30C7F"/>
    <w:rsid w:val="00D3147C"/>
    <w:rsid w:val="00D32DFB"/>
    <w:rsid w:val="00D3384D"/>
    <w:rsid w:val="00D41998"/>
    <w:rsid w:val="00D41BA9"/>
    <w:rsid w:val="00D44059"/>
    <w:rsid w:val="00D4511A"/>
    <w:rsid w:val="00D52376"/>
    <w:rsid w:val="00D5691F"/>
    <w:rsid w:val="00D609A9"/>
    <w:rsid w:val="00D612C2"/>
    <w:rsid w:val="00D64C0A"/>
    <w:rsid w:val="00D64D38"/>
    <w:rsid w:val="00D67B30"/>
    <w:rsid w:val="00D745E0"/>
    <w:rsid w:val="00D7642D"/>
    <w:rsid w:val="00D76AA3"/>
    <w:rsid w:val="00D80604"/>
    <w:rsid w:val="00D819EE"/>
    <w:rsid w:val="00D86529"/>
    <w:rsid w:val="00D86A86"/>
    <w:rsid w:val="00D8791E"/>
    <w:rsid w:val="00D92438"/>
    <w:rsid w:val="00D97A39"/>
    <w:rsid w:val="00D97B2E"/>
    <w:rsid w:val="00DA0040"/>
    <w:rsid w:val="00DA086B"/>
    <w:rsid w:val="00DA1D7A"/>
    <w:rsid w:val="00DA365C"/>
    <w:rsid w:val="00DA5E0A"/>
    <w:rsid w:val="00DA6834"/>
    <w:rsid w:val="00DA7145"/>
    <w:rsid w:val="00DA7E05"/>
    <w:rsid w:val="00DB4794"/>
    <w:rsid w:val="00DB5C3E"/>
    <w:rsid w:val="00DB628E"/>
    <w:rsid w:val="00DC2854"/>
    <w:rsid w:val="00DC4070"/>
    <w:rsid w:val="00DD2BF4"/>
    <w:rsid w:val="00DD4D95"/>
    <w:rsid w:val="00DD6DDF"/>
    <w:rsid w:val="00DE1DE6"/>
    <w:rsid w:val="00DE1E39"/>
    <w:rsid w:val="00DE4B4D"/>
    <w:rsid w:val="00DE513D"/>
    <w:rsid w:val="00DE62DB"/>
    <w:rsid w:val="00DF235C"/>
    <w:rsid w:val="00DF47D6"/>
    <w:rsid w:val="00DF4D5A"/>
    <w:rsid w:val="00DF5425"/>
    <w:rsid w:val="00DF782C"/>
    <w:rsid w:val="00E030A0"/>
    <w:rsid w:val="00E04F16"/>
    <w:rsid w:val="00E075A1"/>
    <w:rsid w:val="00E11D5D"/>
    <w:rsid w:val="00E124E3"/>
    <w:rsid w:val="00E12556"/>
    <w:rsid w:val="00E12F81"/>
    <w:rsid w:val="00E13287"/>
    <w:rsid w:val="00E14812"/>
    <w:rsid w:val="00E14B47"/>
    <w:rsid w:val="00E15231"/>
    <w:rsid w:val="00E15DDE"/>
    <w:rsid w:val="00E2339E"/>
    <w:rsid w:val="00E323B5"/>
    <w:rsid w:val="00E3245B"/>
    <w:rsid w:val="00E32DCD"/>
    <w:rsid w:val="00E3707B"/>
    <w:rsid w:val="00E50685"/>
    <w:rsid w:val="00E54D10"/>
    <w:rsid w:val="00E5683E"/>
    <w:rsid w:val="00E57F6B"/>
    <w:rsid w:val="00E609CE"/>
    <w:rsid w:val="00E6234F"/>
    <w:rsid w:val="00E67AC7"/>
    <w:rsid w:val="00E7134F"/>
    <w:rsid w:val="00E7342C"/>
    <w:rsid w:val="00E76363"/>
    <w:rsid w:val="00E8008B"/>
    <w:rsid w:val="00E901FC"/>
    <w:rsid w:val="00E90BE3"/>
    <w:rsid w:val="00E91D81"/>
    <w:rsid w:val="00E926B4"/>
    <w:rsid w:val="00E92755"/>
    <w:rsid w:val="00E92BC2"/>
    <w:rsid w:val="00EA010E"/>
    <w:rsid w:val="00EA44FB"/>
    <w:rsid w:val="00EA5C2D"/>
    <w:rsid w:val="00EA7433"/>
    <w:rsid w:val="00EB1E33"/>
    <w:rsid w:val="00EB4DA6"/>
    <w:rsid w:val="00EB7B0A"/>
    <w:rsid w:val="00EC0881"/>
    <w:rsid w:val="00EC5427"/>
    <w:rsid w:val="00ED2843"/>
    <w:rsid w:val="00ED2F55"/>
    <w:rsid w:val="00ED5ED8"/>
    <w:rsid w:val="00EE0C95"/>
    <w:rsid w:val="00EE0DD9"/>
    <w:rsid w:val="00EE3F0F"/>
    <w:rsid w:val="00EF0199"/>
    <w:rsid w:val="00EF5CE8"/>
    <w:rsid w:val="00F055C7"/>
    <w:rsid w:val="00F07266"/>
    <w:rsid w:val="00F16313"/>
    <w:rsid w:val="00F1700E"/>
    <w:rsid w:val="00F20FF1"/>
    <w:rsid w:val="00F21F71"/>
    <w:rsid w:val="00F230D6"/>
    <w:rsid w:val="00F24317"/>
    <w:rsid w:val="00F27AC7"/>
    <w:rsid w:val="00F301FA"/>
    <w:rsid w:val="00F3247B"/>
    <w:rsid w:val="00F32641"/>
    <w:rsid w:val="00F33846"/>
    <w:rsid w:val="00F34974"/>
    <w:rsid w:val="00F35457"/>
    <w:rsid w:val="00F3595B"/>
    <w:rsid w:val="00F359C7"/>
    <w:rsid w:val="00F363CE"/>
    <w:rsid w:val="00F367F3"/>
    <w:rsid w:val="00F36A26"/>
    <w:rsid w:val="00F41F54"/>
    <w:rsid w:val="00F426A6"/>
    <w:rsid w:val="00F429FD"/>
    <w:rsid w:val="00F4623C"/>
    <w:rsid w:val="00F51BDD"/>
    <w:rsid w:val="00F56399"/>
    <w:rsid w:val="00F609BA"/>
    <w:rsid w:val="00F66FF8"/>
    <w:rsid w:val="00F746E3"/>
    <w:rsid w:val="00F7709C"/>
    <w:rsid w:val="00F7750A"/>
    <w:rsid w:val="00F80006"/>
    <w:rsid w:val="00F80084"/>
    <w:rsid w:val="00F83601"/>
    <w:rsid w:val="00F94407"/>
    <w:rsid w:val="00F95676"/>
    <w:rsid w:val="00F96401"/>
    <w:rsid w:val="00FA3F8B"/>
    <w:rsid w:val="00FA490A"/>
    <w:rsid w:val="00FA767D"/>
    <w:rsid w:val="00FA7EFC"/>
    <w:rsid w:val="00FB286F"/>
    <w:rsid w:val="00FB61DD"/>
    <w:rsid w:val="00FB693B"/>
    <w:rsid w:val="00FC019C"/>
    <w:rsid w:val="00FC04CF"/>
    <w:rsid w:val="00FC2B9B"/>
    <w:rsid w:val="00FC3C96"/>
    <w:rsid w:val="00FC51A4"/>
    <w:rsid w:val="00FD0834"/>
    <w:rsid w:val="00FD2470"/>
    <w:rsid w:val="00FD5823"/>
    <w:rsid w:val="00FD747C"/>
    <w:rsid w:val="00FD7BE0"/>
    <w:rsid w:val="00FE1BB7"/>
    <w:rsid w:val="00FE1C27"/>
    <w:rsid w:val="00FE5C31"/>
    <w:rsid w:val="00FF1B0E"/>
    <w:rsid w:val="00FF1F70"/>
    <w:rsid w:val="00FF268A"/>
    <w:rsid w:val="00FF748B"/>
    <w:rsid w:val="01141165"/>
    <w:rsid w:val="013409C6"/>
    <w:rsid w:val="01566FF9"/>
    <w:rsid w:val="017D4F5C"/>
    <w:rsid w:val="017D69CF"/>
    <w:rsid w:val="018067FB"/>
    <w:rsid w:val="01933F50"/>
    <w:rsid w:val="019978BC"/>
    <w:rsid w:val="020E2058"/>
    <w:rsid w:val="024A0BB7"/>
    <w:rsid w:val="026C6D7F"/>
    <w:rsid w:val="0295275B"/>
    <w:rsid w:val="029A1B3E"/>
    <w:rsid w:val="02AC666D"/>
    <w:rsid w:val="03096FF4"/>
    <w:rsid w:val="032633D2"/>
    <w:rsid w:val="03B7227C"/>
    <w:rsid w:val="03C52BEB"/>
    <w:rsid w:val="03E17E35"/>
    <w:rsid w:val="046B19E4"/>
    <w:rsid w:val="05685DCD"/>
    <w:rsid w:val="05C80C71"/>
    <w:rsid w:val="05CA44E8"/>
    <w:rsid w:val="05E80ABB"/>
    <w:rsid w:val="060379FA"/>
    <w:rsid w:val="06A44D16"/>
    <w:rsid w:val="06CA61FC"/>
    <w:rsid w:val="070B4DB8"/>
    <w:rsid w:val="073D0CEA"/>
    <w:rsid w:val="07AD2313"/>
    <w:rsid w:val="07E8411E"/>
    <w:rsid w:val="08E375DA"/>
    <w:rsid w:val="08E65D86"/>
    <w:rsid w:val="090B10A0"/>
    <w:rsid w:val="09423441"/>
    <w:rsid w:val="095D29FB"/>
    <w:rsid w:val="0A03621B"/>
    <w:rsid w:val="0A171CC6"/>
    <w:rsid w:val="0A7669ED"/>
    <w:rsid w:val="0A781D6B"/>
    <w:rsid w:val="0A79028B"/>
    <w:rsid w:val="0A7B2255"/>
    <w:rsid w:val="0AEB2AE8"/>
    <w:rsid w:val="0B1526A9"/>
    <w:rsid w:val="0B7A0E93"/>
    <w:rsid w:val="0C0B2B4E"/>
    <w:rsid w:val="0C2F452F"/>
    <w:rsid w:val="0C61547A"/>
    <w:rsid w:val="0CAF4438"/>
    <w:rsid w:val="0CF37C3C"/>
    <w:rsid w:val="0D0F3C6E"/>
    <w:rsid w:val="0D63594E"/>
    <w:rsid w:val="0DBE0DD6"/>
    <w:rsid w:val="0DC55C9B"/>
    <w:rsid w:val="0DC7755F"/>
    <w:rsid w:val="0E01080E"/>
    <w:rsid w:val="0E320E7D"/>
    <w:rsid w:val="0EBF2140"/>
    <w:rsid w:val="0ED1275A"/>
    <w:rsid w:val="0ED65CAC"/>
    <w:rsid w:val="0EE61FFF"/>
    <w:rsid w:val="0EFE5203"/>
    <w:rsid w:val="0F014A8A"/>
    <w:rsid w:val="0F023425"/>
    <w:rsid w:val="0F56503F"/>
    <w:rsid w:val="0F76748F"/>
    <w:rsid w:val="0F8C0A60"/>
    <w:rsid w:val="0FB32491"/>
    <w:rsid w:val="0FD13453"/>
    <w:rsid w:val="0FD51400"/>
    <w:rsid w:val="0FF02D9D"/>
    <w:rsid w:val="10437371"/>
    <w:rsid w:val="10BF5108"/>
    <w:rsid w:val="10CE4C59"/>
    <w:rsid w:val="11290C5D"/>
    <w:rsid w:val="11300DDB"/>
    <w:rsid w:val="11310623"/>
    <w:rsid w:val="11484FD0"/>
    <w:rsid w:val="11CC3396"/>
    <w:rsid w:val="11D51019"/>
    <w:rsid w:val="12152F8F"/>
    <w:rsid w:val="12386C7D"/>
    <w:rsid w:val="124F02AF"/>
    <w:rsid w:val="124F4830"/>
    <w:rsid w:val="12843C71"/>
    <w:rsid w:val="13453400"/>
    <w:rsid w:val="13826402"/>
    <w:rsid w:val="13FC13D9"/>
    <w:rsid w:val="14270D58"/>
    <w:rsid w:val="147A5E14"/>
    <w:rsid w:val="14863CD0"/>
    <w:rsid w:val="14C471B1"/>
    <w:rsid w:val="14C8078D"/>
    <w:rsid w:val="14D750FA"/>
    <w:rsid w:val="150855B1"/>
    <w:rsid w:val="151237B6"/>
    <w:rsid w:val="15512530"/>
    <w:rsid w:val="158E72E0"/>
    <w:rsid w:val="15A22D8C"/>
    <w:rsid w:val="15EB451F"/>
    <w:rsid w:val="15EF277A"/>
    <w:rsid w:val="15F555B1"/>
    <w:rsid w:val="16565924"/>
    <w:rsid w:val="16FE22EB"/>
    <w:rsid w:val="170968FD"/>
    <w:rsid w:val="17111674"/>
    <w:rsid w:val="17143815"/>
    <w:rsid w:val="17614581"/>
    <w:rsid w:val="176D73C9"/>
    <w:rsid w:val="17A74689"/>
    <w:rsid w:val="17DB2585"/>
    <w:rsid w:val="18025D64"/>
    <w:rsid w:val="18ED7A84"/>
    <w:rsid w:val="194525BF"/>
    <w:rsid w:val="19706CFD"/>
    <w:rsid w:val="19940C3D"/>
    <w:rsid w:val="199944A6"/>
    <w:rsid w:val="1A43466D"/>
    <w:rsid w:val="1A730712"/>
    <w:rsid w:val="1A7B1681"/>
    <w:rsid w:val="1B1B1CEB"/>
    <w:rsid w:val="1B7A29B3"/>
    <w:rsid w:val="1BB11F7A"/>
    <w:rsid w:val="1BC37700"/>
    <w:rsid w:val="1C1C4F1A"/>
    <w:rsid w:val="1C2A6854"/>
    <w:rsid w:val="1C4F52EF"/>
    <w:rsid w:val="1CBF06C7"/>
    <w:rsid w:val="1CE819CC"/>
    <w:rsid w:val="1CF96C29"/>
    <w:rsid w:val="1D097731"/>
    <w:rsid w:val="1D2E3157"/>
    <w:rsid w:val="1D314D53"/>
    <w:rsid w:val="1D4B3D09"/>
    <w:rsid w:val="1DC00253"/>
    <w:rsid w:val="1E40093E"/>
    <w:rsid w:val="1E401394"/>
    <w:rsid w:val="1E4B1042"/>
    <w:rsid w:val="1E8F5E77"/>
    <w:rsid w:val="1FE92D77"/>
    <w:rsid w:val="1FF95355"/>
    <w:rsid w:val="202F4B2A"/>
    <w:rsid w:val="204A02A8"/>
    <w:rsid w:val="20554282"/>
    <w:rsid w:val="20A43E5C"/>
    <w:rsid w:val="20B35E4D"/>
    <w:rsid w:val="20D530B0"/>
    <w:rsid w:val="20EF0E4F"/>
    <w:rsid w:val="215717E2"/>
    <w:rsid w:val="21D02A2F"/>
    <w:rsid w:val="220E3B6B"/>
    <w:rsid w:val="22433200"/>
    <w:rsid w:val="22772A4F"/>
    <w:rsid w:val="22A30143"/>
    <w:rsid w:val="22BA66C0"/>
    <w:rsid w:val="22C7461F"/>
    <w:rsid w:val="22EE2F2C"/>
    <w:rsid w:val="231A0405"/>
    <w:rsid w:val="2342170A"/>
    <w:rsid w:val="235002CB"/>
    <w:rsid w:val="23A521D4"/>
    <w:rsid w:val="23A7180F"/>
    <w:rsid w:val="23CE6516"/>
    <w:rsid w:val="23D85ABF"/>
    <w:rsid w:val="23DA18EB"/>
    <w:rsid w:val="24133AFA"/>
    <w:rsid w:val="249441E7"/>
    <w:rsid w:val="24DC62DC"/>
    <w:rsid w:val="251946ED"/>
    <w:rsid w:val="25457290"/>
    <w:rsid w:val="25C41651"/>
    <w:rsid w:val="25E116AE"/>
    <w:rsid w:val="26066771"/>
    <w:rsid w:val="26F47656"/>
    <w:rsid w:val="26FB22FC"/>
    <w:rsid w:val="27165388"/>
    <w:rsid w:val="277126BA"/>
    <w:rsid w:val="278A18D2"/>
    <w:rsid w:val="278C389C"/>
    <w:rsid w:val="27AA5AD0"/>
    <w:rsid w:val="283F26BC"/>
    <w:rsid w:val="285D08F3"/>
    <w:rsid w:val="28C52BC1"/>
    <w:rsid w:val="290731DA"/>
    <w:rsid w:val="29686D5C"/>
    <w:rsid w:val="2976210D"/>
    <w:rsid w:val="29822FDF"/>
    <w:rsid w:val="29A46C7B"/>
    <w:rsid w:val="29CE5AA6"/>
    <w:rsid w:val="2A0B31D8"/>
    <w:rsid w:val="2AA01F44"/>
    <w:rsid w:val="2B1260B3"/>
    <w:rsid w:val="2B894E2A"/>
    <w:rsid w:val="2BC76C50"/>
    <w:rsid w:val="2C0559CB"/>
    <w:rsid w:val="2C81240B"/>
    <w:rsid w:val="2C884632"/>
    <w:rsid w:val="2CCA0DF7"/>
    <w:rsid w:val="2CED6B8B"/>
    <w:rsid w:val="2CFA4E04"/>
    <w:rsid w:val="2D050128"/>
    <w:rsid w:val="2D432EB5"/>
    <w:rsid w:val="2D917516"/>
    <w:rsid w:val="2E426A62"/>
    <w:rsid w:val="2E6E3CFB"/>
    <w:rsid w:val="2EF37D5C"/>
    <w:rsid w:val="2F1D3B88"/>
    <w:rsid w:val="2F974B8C"/>
    <w:rsid w:val="2FDA602C"/>
    <w:rsid w:val="30087837"/>
    <w:rsid w:val="30313232"/>
    <w:rsid w:val="308E5F8F"/>
    <w:rsid w:val="30C10CC4"/>
    <w:rsid w:val="30D37E45"/>
    <w:rsid w:val="30D53BBD"/>
    <w:rsid w:val="310040FB"/>
    <w:rsid w:val="31232B7B"/>
    <w:rsid w:val="318628AA"/>
    <w:rsid w:val="31B963BE"/>
    <w:rsid w:val="31D16A7B"/>
    <w:rsid w:val="32072A59"/>
    <w:rsid w:val="32137611"/>
    <w:rsid w:val="323068E5"/>
    <w:rsid w:val="32326DEE"/>
    <w:rsid w:val="33385513"/>
    <w:rsid w:val="33C817B8"/>
    <w:rsid w:val="340123CF"/>
    <w:rsid w:val="342C2C63"/>
    <w:rsid w:val="342E1F62"/>
    <w:rsid w:val="34745E56"/>
    <w:rsid w:val="3529272A"/>
    <w:rsid w:val="352E3084"/>
    <w:rsid w:val="357D4824"/>
    <w:rsid w:val="35977693"/>
    <w:rsid w:val="35C0308E"/>
    <w:rsid w:val="36301896"/>
    <w:rsid w:val="36653C36"/>
    <w:rsid w:val="36783969"/>
    <w:rsid w:val="36C7044C"/>
    <w:rsid w:val="36D70BCD"/>
    <w:rsid w:val="370C40B1"/>
    <w:rsid w:val="374675C3"/>
    <w:rsid w:val="37D1414F"/>
    <w:rsid w:val="38284F1B"/>
    <w:rsid w:val="38376F0C"/>
    <w:rsid w:val="383E64EC"/>
    <w:rsid w:val="38614258"/>
    <w:rsid w:val="38675A43"/>
    <w:rsid w:val="389E51DD"/>
    <w:rsid w:val="38EA0422"/>
    <w:rsid w:val="38EE1CC0"/>
    <w:rsid w:val="397924F9"/>
    <w:rsid w:val="39E84962"/>
    <w:rsid w:val="3AA768BE"/>
    <w:rsid w:val="3AFD443D"/>
    <w:rsid w:val="3BA311CB"/>
    <w:rsid w:val="3C2022F0"/>
    <w:rsid w:val="3C7516B8"/>
    <w:rsid w:val="3C9C66B4"/>
    <w:rsid w:val="3CB925E5"/>
    <w:rsid w:val="3CD61C4C"/>
    <w:rsid w:val="3D6A1B31"/>
    <w:rsid w:val="3DF77869"/>
    <w:rsid w:val="3E137EE5"/>
    <w:rsid w:val="3E543AB5"/>
    <w:rsid w:val="3E7A3FF6"/>
    <w:rsid w:val="3E9055C8"/>
    <w:rsid w:val="3F277CDA"/>
    <w:rsid w:val="3F54375B"/>
    <w:rsid w:val="3F7B2570"/>
    <w:rsid w:val="3FB157F6"/>
    <w:rsid w:val="401F2C47"/>
    <w:rsid w:val="40844CB8"/>
    <w:rsid w:val="408467AF"/>
    <w:rsid w:val="40A11D0E"/>
    <w:rsid w:val="40B80168"/>
    <w:rsid w:val="41277C3D"/>
    <w:rsid w:val="412D48FF"/>
    <w:rsid w:val="412F7F5C"/>
    <w:rsid w:val="42905B96"/>
    <w:rsid w:val="42E63A08"/>
    <w:rsid w:val="42EA49AB"/>
    <w:rsid w:val="432C1EEB"/>
    <w:rsid w:val="433C7ACC"/>
    <w:rsid w:val="43842CD9"/>
    <w:rsid w:val="43BD6E5F"/>
    <w:rsid w:val="43C162A3"/>
    <w:rsid w:val="43C17E5A"/>
    <w:rsid w:val="43D61CCF"/>
    <w:rsid w:val="44373A33"/>
    <w:rsid w:val="44692B43"/>
    <w:rsid w:val="44705C7F"/>
    <w:rsid w:val="44F3787E"/>
    <w:rsid w:val="455F7AA2"/>
    <w:rsid w:val="457C6B0D"/>
    <w:rsid w:val="45BB12AD"/>
    <w:rsid w:val="45FF608A"/>
    <w:rsid w:val="467A116E"/>
    <w:rsid w:val="47152B0E"/>
    <w:rsid w:val="47280A93"/>
    <w:rsid w:val="473A4323"/>
    <w:rsid w:val="474B26C1"/>
    <w:rsid w:val="47501D98"/>
    <w:rsid w:val="47D46525"/>
    <w:rsid w:val="47E32C0C"/>
    <w:rsid w:val="480D1A37"/>
    <w:rsid w:val="48B979EC"/>
    <w:rsid w:val="48E54127"/>
    <w:rsid w:val="48F7250A"/>
    <w:rsid w:val="491325C4"/>
    <w:rsid w:val="497624B9"/>
    <w:rsid w:val="49973CAE"/>
    <w:rsid w:val="49B17E7B"/>
    <w:rsid w:val="49BB4089"/>
    <w:rsid w:val="49D46C7C"/>
    <w:rsid w:val="4A2A5361"/>
    <w:rsid w:val="4A407EA2"/>
    <w:rsid w:val="4A8C0D42"/>
    <w:rsid w:val="4A8C13C1"/>
    <w:rsid w:val="4A9A115A"/>
    <w:rsid w:val="4AB32D6A"/>
    <w:rsid w:val="4AC24D5B"/>
    <w:rsid w:val="4B2D12E0"/>
    <w:rsid w:val="4BB73A6B"/>
    <w:rsid w:val="4C2D08FA"/>
    <w:rsid w:val="4C7C718B"/>
    <w:rsid w:val="4CD314A1"/>
    <w:rsid w:val="4CE7544F"/>
    <w:rsid w:val="4D13189E"/>
    <w:rsid w:val="4D247757"/>
    <w:rsid w:val="4D3A1520"/>
    <w:rsid w:val="4DA647D8"/>
    <w:rsid w:val="4DEE6977"/>
    <w:rsid w:val="4E846CE7"/>
    <w:rsid w:val="4EA34EA3"/>
    <w:rsid w:val="4EDF13E6"/>
    <w:rsid w:val="4F0911AA"/>
    <w:rsid w:val="4F764366"/>
    <w:rsid w:val="50503260"/>
    <w:rsid w:val="50B61691"/>
    <w:rsid w:val="5118261C"/>
    <w:rsid w:val="516F3877"/>
    <w:rsid w:val="51A229D8"/>
    <w:rsid w:val="51E951E6"/>
    <w:rsid w:val="51EE6435"/>
    <w:rsid w:val="520C2D5F"/>
    <w:rsid w:val="5248023B"/>
    <w:rsid w:val="525D03A9"/>
    <w:rsid w:val="528A054C"/>
    <w:rsid w:val="52D92ACB"/>
    <w:rsid w:val="52F43F1F"/>
    <w:rsid w:val="5301063F"/>
    <w:rsid w:val="530A4A55"/>
    <w:rsid w:val="53656BCB"/>
    <w:rsid w:val="537310FE"/>
    <w:rsid w:val="53B84F4D"/>
    <w:rsid w:val="53C02053"/>
    <w:rsid w:val="53CB1124"/>
    <w:rsid w:val="53DD5EB2"/>
    <w:rsid w:val="53E06252"/>
    <w:rsid w:val="54BE6593"/>
    <w:rsid w:val="54D656E7"/>
    <w:rsid w:val="54F613CB"/>
    <w:rsid w:val="5503044A"/>
    <w:rsid w:val="55045603"/>
    <w:rsid w:val="551E7032"/>
    <w:rsid w:val="55805F3E"/>
    <w:rsid w:val="55A57753"/>
    <w:rsid w:val="55E55DA1"/>
    <w:rsid w:val="562F3EBC"/>
    <w:rsid w:val="56451A40"/>
    <w:rsid w:val="56D26326"/>
    <w:rsid w:val="56D42311"/>
    <w:rsid w:val="5774562F"/>
    <w:rsid w:val="57891E2B"/>
    <w:rsid w:val="57A34C3E"/>
    <w:rsid w:val="57CA68D2"/>
    <w:rsid w:val="57E42CC0"/>
    <w:rsid w:val="589F66DB"/>
    <w:rsid w:val="58A84C3B"/>
    <w:rsid w:val="59935280"/>
    <w:rsid w:val="59DA4872"/>
    <w:rsid w:val="59E6430E"/>
    <w:rsid w:val="5A843DDB"/>
    <w:rsid w:val="5B6E0AA1"/>
    <w:rsid w:val="5B835E40"/>
    <w:rsid w:val="5BCE70BB"/>
    <w:rsid w:val="5C2F5FC8"/>
    <w:rsid w:val="5C5E04D2"/>
    <w:rsid w:val="5CBD6A4B"/>
    <w:rsid w:val="5CE84AF5"/>
    <w:rsid w:val="5D5029F6"/>
    <w:rsid w:val="5D755C5D"/>
    <w:rsid w:val="5DBF4D04"/>
    <w:rsid w:val="5DDE7F7E"/>
    <w:rsid w:val="5DE03A1E"/>
    <w:rsid w:val="5DF74E99"/>
    <w:rsid w:val="5E9B16F3"/>
    <w:rsid w:val="5EB629D1"/>
    <w:rsid w:val="5ECA1FD8"/>
    <w:rsid w:val="5EF8303D"/>
    <w:rsid w:val="5EFC6636"/>
    <w:rsid w:val="5F102686"/>
    <w:rsid w:val="5F451392"/>
    <w:rsid w:val="5F473629"/>
    <w:rsid w:val="5FA10F8B"/>
    <w:rsid w:val="5FA33CB0"/>
    <w:rsid w:val="5FDC0E1C"/>
    <w:rsid w:val="5FDD0E56"/>
    <w:rsid w:val="605129B1"/>
    <w:rsid w:val="60617FE8"/>
    <w:rsid w:val="60706CE7"/>
    <w:rsid w:val="608368E3"/>
    <w:rsid w:val="6085124A"/>
    <w:rsid w:val="61834DEC"/>
    <w:rsid w:val="62BF5AD8"/>
    <w:rsid w:val="62C31218"/>
    <w:rsid w:val="632748A9"/>
    <w:rsid w:val="634B5C56"/>
    <w:rsid w:val="63663E61"/>
    <w:rsid w:val="63D571E5"/>
    <w:rsid w:val="63E8362C"/>
    <w:rsid w:val="63F71F10"/>
    <w:rsid w:val="640F0BB9"/>
    <w:rsid w:val="64216B3E"/>
    <w:rsid w:val="64411C10"/>
    <w:rsid w:val="64850E7B"/>
    <w:rsid w:val="64AA77E6"/>
    <w:rsid w:val="64D140C0"/>
    <w:rsid w:val="64F1206D"/>
    <w:rsid w:val="650C72A8"/>
    <w:rsid w:val="65586590"/>
    <w:rsid w:val="65AB66C0"/>
    <w:rsid w:val="65DA6FA5"/>
    <w:rsid w:val="65F21F2B"/>
    <w:rsid w:val="660E3933"/>
    <w:rsid w:val="66482160"/>
    <w:rsid w:val="6760172C"/>
    <w:rsid w:val="67662BB9"/>
    <w:rsid w:val="67E45EB9"/>
    <w:rsid w:val="68004BEA"/>
    <w:rsid w:val="683D0D6B"/>
    <w:rsid w:val="68D0468F"/>
    <w:rsid w:val="69817238"/>
    <w:rsid w:val="69C60993"/>
    <w:rsid w:val="69F148BD"/>
    <w:rsid w:val="69FD3262"/>
    <w:rsid w:val="6A627569"/>
    <w:rsid w:val="6A681023"/>
    <w:rsid w:val="6AD05F43"/>
    <w:rsid w:val="6B064398"/>
    <w:rsid w:val="6BBB5226"/>
    <w:rsid w:val="6BC30A36"/>
    <w:rsid w:val="6BE4292B"/>
    <w:rsid w:val="6BFE355F"/>
    <w:rsid w:val="6C094140"/>
    <w:rsid w:val="6C534C88"/>
    <w:rsid w:val="6C575ED6"/>
    <w:rsid w:val="6C586E75"/>
    <w:rsid w:val="6CD546C0"/>
    <w:rsid w:val="6D6D6950"/>
    <w:rsid w:val="6D9C5A29"/>
    <w:rsid w:val="6DF40E20"/>
    <w:rsid w:val="6E3901AC"/>
    <w:rsid w:val="6E647D53"/>
    <w:rsid w:val="6E9F2B3A"/>
    <w:rsid w:val="6EDE16AE"/>
    <w:rsid w:val="6EF974AF"/>
    <w:rsid w:val="6F2B6AC3"/>
    <w:rsid w:val="6F8A5598"/>
    <w:rsid w:val="6F9D4AB4"/>
    <w:rsid w:val="6FCC5BB0"/>
    <w:rsid w:val="6FE969BF"/>
    <w:rsid w:val="6FFE32A4"/>
    <w:rsid w:val="704F058F"/>
    <w:rsid w:val="70CA2E8C"/>
    <w:rsid w:val="711B279E"/>
    <w:rsid w:val="71504CD6"/>
    <w:rsid w:val="7152603A"/>
    <w:rsid w:val="72B1108D"/>
    <w:rsid w:val="72E27499"/>
    <w:rsid w:val="731735E6"/>
    <w:rsid w:val="736B748E"/>
    <w:rsid w:val="73810E18"/>
    <w:rsid w:val="73B4486B"/>
    <w:rsid w:val="73B47087"/>
    <w:rsid w:val="73E31CE5"/>
    <w:rsid w:val="74455F31"/>
    <w:rsid w:val="74FF5BA2"/>
    <w:rsid w:val="75554E1D"/>
    <w:rsid w:val="75843115"/>
    <w:rsid w:val="75C43867"/>
    <w:rsid w:val="75D73A7B"/>
    <w:rsid w:val="75D94B83"/>
    <w:rsid w:val="768768FB"/>
    <w:rsid w:val="76B727CC"/>
    <w:rsid w:val="77A64208"/>
    <w:rsid w:val="77ED166F"/>
    <w:rsid w:val="789F3DA6"/>
    <w:rsid w:val="78B35B5F"/>
    <w:rsid w:val="78C310C0"/>
    <w:rsid w:val="792B2E6E"/>
    <w:rsid w:val="79403AAB"/>
    <w:rsid w:val="79A1537C"/>
    <w:rsid w:val="79AA2517"/>
    <w:rsid w:val="79AA3C58"/>
    <w:rsid w:val="7A4D5F33"/>
    <w:rsid w:val="7A6B408F"/>
    <w:rsid w:val="7AAF1E3A"/>
    <w:rsid w:val="7B06349B"/>
    <w:rsid w:val="7B2C1BF9"/>
    <w:rsid w:val="7B4231CA"/>
    <w:rsid w:val="7BB924C5"/>
    <w:rsid w:val="7BE2675B"/>
    <w:rsid w:val="7C4116D4"/>
    <w:rsid w:val="7C441EAA"/>
    <w:rsid w:val="7C484232"/>
    <w:rsid w:val="7CBC4CC6"/>
    <w:rsid w:val="7CC540B3"/>
    <w:rsid w:val="7CF95B0B"/>
    <w:rsid w:val="7D2A74A0"/>
    <w:rsid w:val="7D511DEB"/>
    <w:rsid w:val="7E0A1153"/>
    <w:rsid w:val="7E290672"/>
    <w:rsid w:val="7E5971A9"/>
    <w:rsid w:val="7E6815D7"/>
    <w:rsid w:val="7E6A79E2"/>
    <w:rsid w:val="7E8835EA"/>
    <w:rsid w:val="7EE10F4C"/>
    <w:rsid w:val="7FC22B2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link w:val="70"/>
    <w:qFormat/>
    <w:uiPriority w:val="0"/>
    <w:pPr>
      <w:keepNext/>
      <w:snapToGrid w:val="0"/>
      <w:spacing w:line="360" w:lineRule="atLeast"/>
      <w:jc w:val="center"/>
      <w:outlineLvl w:val="0"/>
    </w:pPr>
    <w:rPr>
      <w:rFonts w:ascii="宋体" w:hAnsi="宋体"/>
      <w:b/>
      <w:kern w:val="0"/>
      <w:sz w:val="36"/>
    </w:rPr>
  </w:style>
  <w:style w:type="paragraph" w:styleId="5">
    <w:name w:val="heading 2"/>
    <w:basedOn w:val="1"/>
    <w:next w:val="1"/>
    <w:link w:val="71"/>
    <w:qFormat/>
    <w:uiPriority w:val="0"/>
    <w:pPr>
      <w:keepNext/>
      <w:keepLines/>
      <w:spacing w:before="260" w:beforeLines="0" w:beforeAutospacing="0" w:after="260" w:afterLines="0" w:afterAutospacing="0" w:line="413" w:lineRule="auto"/>
      <w:jc w:val="left"/>
      <w:outlineLvl w:val="1"/>
    </w:pPr>
    <w:rPr>
      <w:rFonts w:ascii="Arial" w:hAnsi="Arial"/>
      <w:b/>
      <w:sz w:val="24"/>
    </w:rPr>
  </w:style>
  <w:style w:type="paragraph" w:styleId="6">
    <w:name w:val="heading 3"/>
    <w:basedOn w:val="1"/>
    <w:next w:val="1"/>
    <w:link w:val="72"/>
    <w:autoRedefine/>
    <w:qFormat/>
    <w:uiPriority w:val="9"/>
    <w:pPr>
      <w:keepNext/>
      <w:keepLines/>
      <w:spacing w:before="260" w:beforeLines="0" w:beforeAutospacing="0" w:after="260" w:afterLines="0" w:afterAutospacing="0" w:line="413" w:lineRule="auto"/>
      <w:outlineLvl w:val="2"/>
    </w:pPr>
    <w:rPr>
      <w:b/>
      <w:sz w:val="32"/>
    </w:rPr>
  </w:style>
  <w:style w:type="paragraph" w:styleId="7">
    <w:name w:val="heading 4"/>
    <w:basedOn w:val="1"/>
    <w:next w:val="1"/>
    <w:qFormat/>
    <w:uiPriority w:val="0"/>
    <w:pPr>
      <w:keepNext/>
      <w:keepLines/>
      <w:spacing w:before="280" w:beforeLines="0" w:beforeAutospacing="0" w:after="290" w:afterLines="0" w:afterAutospacing="0" w:line="372" w:lineRule="auto"/>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autoRedefine/>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semiHidden/>
    <w:qFormat/>
    <w:uiPriority w:val="0"/>
    <w:tblPr>
      <w:tblCellMar>
        <w:top w:w="0" w:type="dxa"/>
        <w:left w:w="108" w:type="dxa"/>
        <w:bottom w:w="0" w:type="dxa"/>
        <w:right w:w="108" w:type="dxa"/>
      </w:tblCellMar>
    </w:tblPr>
  </w:style>
  <w:style w:type="paragraph" w:customStyle="1" w:styleId="2">
    <w:name w:val="BodyText"/>
    <w:basedOn w:val="1"/>
    <w:next w:val="3"/>
    <w:autoRedefine/>
    <w:qFormat/>
    <w:uiPriority w:val="0"/>
    <w:pPr>
      <w:textAlignment w:val="baseline"/>
    </w:pPr>
    <w:rPr>
      <w:rFonts w:ascii="仿宋_GB2312" w:eastAsia="仿宋_GB2312"/>
      <w:sz w:val="32"/>
    </w:rPr>
  </w:style>
  <w:style w:type="paragraph" w:customStyle="1" w:styleId="3">
    <w:name w:val="BodyTextIndent"/>
    <w:basedOn w:val="1"/>
    <w:qFormat/>
    <w:uiPriority w:val="0"/>
    <w:pPr>
      <w:spacing w:line="700" w:lineRule="exact"/>
      <w:ind w:left="960"/>
      <w:textAlignment w:val="baseline"/>
    </w:pPr>
    <w:rPr>
      <w:sz w:val="44"/>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numPr>
        <w:ilvl w:val="0"/>
        <w:numId w:val="1"/>
      </w:numPr>
      <w:tabs>
        <w:tab w:val="left" w:pos="780"/>
        <w:tab w:val="clear" w:pos="425"/>
      </w:tabs>
      <w:spacing w:line="360" w:lineRule="auto"/>
    </w:pPr>
    <w:rPr>
      <w:sz w:val="24"/>
    </w:rPr>
  </w:style>
  <w:style w:type="paragraph" w:styleId="16">
    <w:name w:val="List Bullet 4"/>
    <w:basedOn w:val="1"/>
    <w:autoRedefine/>
    <w:qFormat/>
    <w:uiPriority w:val="0"/>
    <w:pPr>
      <w:widowControl/>
      <w:numPr>
        <w:ilvl w:val="0"/>
        <w:numId w:val="2"/>
      </w:numPr>
      <w:tabs>
        <w:tab w:val="left" w:pos="1134"/>
        <w:tab w:val="clear" w:pos="1620"/>
      </w:tabs>
      <w:adjustRightInd w:val="0"/>
      <w:snapToGrid w:val="0"/>
      <w:spacing w:before="120" w:beforeLines="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autoRedefine/>
    <w:qFormat/>
    <w:uiPriority w:val="0"/>
    <w:pPr>
      <w:shd w:val="clear" w:color="auto" w:fill="000080"/>
    </w:pPr>
  </w:style>
  <w:style w:type="paragraph" w:styleId="20">
    <w:name w:val="toa heading"/>
    <w:basedOn w:val="1"/>
    <w:next w:val="1"/>
    <w:qFormat/>
    <w:uiPriority w:val="0"/>
    <w:pPr>
      <w:spacing w:before="120" w:beforeLines="0"/>
    </w:pPr>
    <w:rPr>
      <w:rFonts w:ascii="Arial" w:hAnsi="Arial"/>
      <w:sz w:val="24"/>
    </w:rPr>
  </w:style>
  <w:style w:type="paragraph" w:styleId="21">
    <w:name w:val="annotation text"/>
    <w:basedOn w:val="1"/>
    <w:link w:val="73"/>
    <w:autoRedefine/>
    <w:qFormat/>
    <w:uiPriority w:val="0"/>
    <w:pPr>
      <w:adjustRightInd w:val="0"/>
      <w:spacing w:line="360" w:lineRule="atLeast"/>
      <w:jc w:val="left"/>
      <w:textAlignment w:val="baseline"/>
    </w:pPr>
    <w:rPr>
      <w:kern w:val="0"/>
      <w:sz w:val="24"/>
    </w:rPr>
  </w:style>
  <w:style w:type="paragraph" w:styleId="22">
    <w:name w:val="Body Text 3"/>
    <w:basedOn w:val="1"/>
    <w:autoRedefine/>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numPr>
        <w:ilvl w:val="0"/>
        <w:numId w:val="3"/>
      </w:numPr>
      <w:adjustRightInd w:val="0"/>
      <w:snapToGrid w:val="0"/>
      <w:spacing w:line="360" w:lineRule="auto"/>
    </w:pPr>
    <w:rPr>
      <w:sz w:val="24"/>
    </w:rPr>
  </w:style>
  <w:style w:type="paragraph" w:styleId="24">
    <w:name w:val="Body Text"/>
    <w:basedOn w:val="1"/>
    <w:autoRedefine/>
    <w:qFormat/>
    <w:uiPriority w:val="0"/>
    <w:rPr>
      <w:rFonts w:ascii="仿宋_GB2312" w:eastAsia="仿宋_GB2312"/>
      <w:sz w:val="32"/>
    </w:rPr>
  </w:style>
  <w:style w:type="paragraph" w:styleId="25">
    <w:name w:val="Body Text Indent"/>
    <w:basedOn w:val="1"/>
    <w:link w:val="74"/>
    <w:autoRedefine/>
    <w:qFormat/>
    <w:uiPriority w:val="0"/>
    <w:pPr>
      <w:spacing w:line="700" w:lineRule="exact"/>
      <w:ind w:left="960"/>
    </w:pPr>
    <w:rPr>
      <w:sz w:val="44"/>
    </w:rPr>
  </w:style>
  <w:style w:type="paragraph" w:styleId="26">
    <w:name w:val="List Number 3"/>
    <w:basedOn w:val="1"/>
    <w:autoRedefine/>
    <w:qFormat/>
    <w:uiPriority w:val="0"/>
    <w:pPr>
      <w:tabs>
        <w:tab w:val="left" w:pos="2120"/>
      </w:tabs>
      <w:adjustRightInd w:val="0"/>
      <w:snapToGrid w:val="0"/>
      <w:spacing w:line="360" w:lineRule="auto"/>
      <w:ind w:left="2120" w:hanging="720"/>
    </w:pPr>
    <w:rPr>
      <w:sz w:val="24"/>
    </w:rPr>
  </w:style>
  <w:style w:type="paragraph" w:styleId="27">
    <w:name w:val="List 2"/>
    <w:basedOn w:val="1"/>
    <w:autoRedefine/>
    <w:qFormat/>
    <w:uiPriority w:val="0"/>
    <w:pPr>
      <w:adjustRightInd w:val="0"/>
      <w:snapToGrid w:val="0"/>
      <w:spacing w:line="360" w:lineRule="auto"/>
      <w:ind w:left="100" w:leftChars="200" w:hanging="200" w:hangingChars="200"/>
    </w:pPr>
    <w:rPr>
      <w:sz w:val="24"/>
    </w:rPr>
  </w:style>
  <w:style w:type="paragraph" w:styleId="28">
    <w:name w:val="List Continue"/>
    <w:basedOn w:val="1"/>
    <w:qFormat/>
    <w:uiPriority w:val="0"/>
    <w:pPr>
      <w:adjustRightInd w:val="0"/>
      <w:snapToGrid w:val="0"/>
      <w:spacing w:after="120" w:afterLines="0" w:afterAutospacing="0" w:line="360" w:lineRule="auto"/>
      <w:ind w:left="420" w:leftChars="200"/>
    </w:pPr>
    <w:rPr>
      <w:sz w:val="24"/>
    </w:rPr>
  </w:style>
  <w:style w:type="paragraph" w:styleId="29">
    <w:name w:val="List Bullet 2"/>
    <w:basedOn w:val="1"/>
    <w:autoRedefine/>
    <w:qFormat/>
    <w:uiPriority w:val="0"/>
    <w:pPr>
      <w:numPr>
        <w:ilvl w:val="0"/>
        <w:numId w:val="4"/>
      </w:numPr>
      <w:adjustRightInd w:val="0"/>
      <w:snapToGrid w:val="0"/>
      <w:spacing w:line="360" w:lineRule="auto"/>
    </w:pPr>
    <w:rPr>
      <w:sz w:val="24"/>
    </w:rPr>
  </w:style>
  <w:style w:type="paragraph" w:styleId="30">
    <w:name w:val="toc 5"/>
    <w:basedOn w:val="1"/>
    <w:next w:val="1"/>
    <w:qFormat/>
    <w:uiPriority w:val="0"/>
    <w:pPr>
      <w:ind w:left="1680" w:leftChars="800"/>
    </w:pPr>
  </w:style>
  <w:style w:type="paragraph" w:styleId="31">
    <w:name w:val="toc 3"/>
    <w:basedOn w:val="1"/>
    <w:next w:val="1"/>
    <w:qFormat/>
    <w:uiPriority w:val="39"/>
    <w:pPr>
      <w:ind w:left="840" w:leftChars="400"/>
    </w:pPr>
  </w:style>
  <w:style w:type="paragraph" w:styleId="32">
    <w:name w:val="Plain Text"/>
    <w:basedOn w:val="1"/>
    <w:next w:val="1"/>
    <w:qFormat/>
    <w:uiPriority w:val="0"/>
    <w:rPr>
      <w:rFonts w:ascii="宋体" w:hAnsi="Courier New"/>
      <w:sz w:val="21"/>
    </w:rPr>
  </w:style>
  <w:style w:type="paragraph" w:styleId="33">
    <w:name w:val="toc 8"/>
    <w:basedOn w:val="1"/>
    <w:next w:val="1"/>
    <w:qFormat/>
    <w:uiPriority w:val="0"/>
    <w:pPr>
      <w:ind w:left="2940" w:leftChars="1400"/>
    </w:pPr>
  </w:style>
  <w:style w:type="paragraph" w:styleId="34">
    <w:name w:val="Date"/>
    <w:basedOn w:val="1"/>
    <w:next w:val="1"/>
    <w:link w:val="75"/>
    <w:autoRedefine/>
    <w:qFormat/>
    <w:uiPriority w:val="0"/>
  </w:style>
  <w:style w:type="paragraph" w:styleId="35">
    <w:name w:val="Body Text Indent 2"/>
    <w:basedOn w:val="1"/>
    <w:link w:val="76"/>
    <w:autoRedefine/>
    <w:qFormat/>
    <w:uiPriority w:val="0"/>
    <w:pPr>
      <w:snapToGrid w:val="0"/>
      <w:spacing w:line="560" w:lineRule="atLeast"/>
      <w:ind w:firstLine="540"/>
    </w:pPr>
  </w:style>
  <w:style w:type="paragraph" w:styleId="36">
    <w:name w:val="Balloon Text"/>
    <w:basedOn w:val="1"/>
    <w:autoRedefine/>
    <w:qFormat/>
    <w:uiPriority w:val="0"/>
    <w:rPr>
      <w:sz w:val="18"/>
    </w:rPr>
  </w:style>
  <w:style w:type="paragraph" w:styleId="37">
    <w:name w:val="footer"/>
    <w:basedOn w:val="1"/>
    <w:autoRedefine/>
    <w:qFormat/>
    <w:uiPriority w:val="0"/>
    <w:pPr>
      <w:tabs>
        <w:tab w:val="center" w:pos="4153"/>
        <w:tab w:val="right" w:pos="8306"/>
      </w:tabs>
      <w:snapToGrid w:val="0"/>
      <w:jc w:val="left"/>
    </w:pPr>
    <w:rPr>
      <w:sz w:val="18"/>
    </w:rPr>
  </w:style>
  <w:style w:type="paragraph" w:styleId="38">
    <w:name w:val="header"/>
    <w:basedOn w:val="1"/>
    <w:autoRedefine/>
    <w:qFormat/>
    <w:uiPriority w:val="0"/>
    <w:pPr>
      <w:pBdr>
        <w:bottom w:val="single" w:color="auto" w:sz="6" w:space="1"/>
      </w:pBdr>
      <w:tabs>
        <w:tab w:val="center" w:pos="4153"/>
        <w:tab w:val="right" w:pos="8306"/>
      </w:tabs>
      <w:snapToGrid w:val="0"/>
      <w:jc w:val="center"/>
    </w:pPr>
    <w:rPr>
      <w:sz w:val="18"/>
    </w:rPr>
  </w:style>
  <w:style w:type="paragraph" w:styleId="39">
    <w:name w:val="toc 1"/>
    <w:basedOn w:val="1"/>
    <w:next w:val="1"/>
    <w:link w:val="77"/>
    <w:autoRedefine/>
    <w:qFormat/>
    <w:uiPriority w:val="39"/>
    <w:pPr>
      <w:spacing w:line="360" w:lineRule="auto"/>
      <w:jc w:val="left"/>
    </w:pPr>
    <w:rPr>
      <w:b/>
      <w:kern w:val="0"/>
      <w:sz w:val="24"/>
    </w:rPr>
  </w:style>
  <w:style w:type="paragraph" w:styleId="40">
    <w:name w:val="List Continue 4"/>
    <w:basedOn w:val="1"/>
    <w:autoRedefine/>
    <w:qFormat/>
    <w:uiPriority w:val="0"/>
    <w:pPr>
      <w:adjustRightInd w:val="0"/>
      <w:snapToGrid w:val="0"/>
      <w:spacing w:after="120" w:afterLines="0" w:afterAutospacing="0" w:line="360" w:lineRule="auto"/>
      <w:ind w:left="1680" w:leftChars="800"/>
    </w:pPr>
    <w:rPr>
      <w:sz w:val="24"/>
    </w:rPr>
  </w:style>
  <w:style w:type="paragraph" w:styleId="41">
    <w:name w:val="toc 4"/>
    <w:basedOn w:val="1"/>
    <w:next w:val="1"/>
    <w:autoRedefine/>
    <w:qFormat/>
    <w:uiPriority w:val="0"/>
    <w:pPr>
      <w:ind w:left="1260" w:leftChars="600"/>
    </w:pPr>
  </w:style>
  <w:style w:type="paragraph" w:styleId="42">
    <w:name w:val="footnote text"/>
    <w:basedOn w:val="1"/>
    <w:link w:val="78"/>
    <w:autoRedefine/>
    <w:qFormat/>
    <w:uiPriority w:val="0"/>
    <w:pPr>
      <w:spacing w:line="360" w:lineRule="auto"/>
    </w:pPr>
    <w:rPr>
      <w:sz w:val="18"/>
    </w:rPr>
  </w:style>
  <w:style w:type="paragraph" w:styleId="43">
    <w:name w:val="toc 6"/>
    <w:basedOn w:val="1"/>
    <w:next w:val="1"/>
    <w:autoRedefine/>
    <w:qFormat/>
    <w:uiPriority w:val="0"/>
    <w:pPr>
      <w:ind w:left="2100" w:leftChars="1000"/>
    </w:pPr>
  </w:style>
  <w:style w:type="paragraph" w:styleId="44">
    <w:name w:val="List 5"/>
    <w:basedOn w:val="1"/>
    <w:autoRedefine/>
    <w:qFormat/>
    <w:uiPriority w:val="0"/>
    <w:pPr>
      <w:adjustRightInd w:val="0"/>
      <w:snapToGrid w:val="0"/>
      <w:spacing w:line="360" w:lineRule="auto"/>
      <w:ind w:left="100" w:leftChars="800" w:hanging="200" w:hangingChars="200"/>
    </w:pPr>
    <w:rPr>
      <w:sz w:val="24"/>
    </w:rPr>
  </w:style>
  <w:style w:type="paragraph" w:styleId="45">
    <w:name w:val="Body Text Indent 3"/>
    <w:basedOn w:val="1"/>
    <w:autoRedefine/>
    <w:qFormat/>
    <w:uiPriority w:val="0"/>
    <w:pPr>
      <w:spacing w:line="360" w:lineRule="auto"/>
      <w:ind w:firstLine="632"/>
    </w:pPr>
    <w:rPr>
      <w:rFonts w:ascii="黑体" w:eastAsia="黑体"/>
    </w:rPr>
  </w:style>
  <w:style w:type="paragraph" w:styleId="46">
    <w:name w:val="table of figures"/>
    <w:basedOn w:val="1"/>
    <w:next w:val="1"/>
    <w:autoRedefine/>
    <w:qFormat/>
    <w:uiPriority w:val="0"/>
    <w:pPr>
      <w:tabs>
        <w:tab w:val="right" w:leader="dot" w:pos="8640"/>
      </w:tabs>
      <w:spacing w:line="360" w:lineRule="auto"/>
      <w:ind w:left="400" w:hanging="400"/>
    </w:pPr>
    <w:rPr>
      <w:sz w:val="24"/>
    </w:rPr>
  </w:style>
  <w:style w:type="paragraph" w:styleId="47">
    <w:name w:val="toc 2"/>
    <w:basedOn w:val="1"/>
    <w:next w:val="1"/>
    <w:autoRedefine/>
    <w:qFormat/>
    <w:uiPriority w:val="39"/>
    <w:pPr>
      <w:spacing w:line="360" w:lineRule="auto"/>
      <w:ind w:left="0" w:leftChars="0" w:firstLine="560" w:firstLineChars="200"/>
    </w:pPr>
    <w:rPr>
      <w:rFonts w:ascii="Times New Roman" w:hAnsi="Times New Roman" w:eastAsia="宋体"/>
      <w:sz w:val="24"/>
    </w:rPr>
  </w:style>
  <w:style w:type="paragraph" w:styleId="48">
    <w:name w:val="toc 9"/>
    <w:basedOn w:val="1"/>
    <w:next w:val="1"/>
    <w:autoRedefine/>
    <w:qFormat/>
    <w:uiPriority w:val="0"/>
    <w:pPr>
      <w:ind w:left="3360" w:leftChars="1600"/>
    </w:pPr>
  </w:style>
  <w:style w:type="paragraph" w:styleId="49">
    <w:name w:val="Body Text 2"/>
    <w:basedOn w:val="1"/>
    <w:qFormat/>
    <w:uiPriority w:val="0"/>
    <w:pPr>
      <w:adjustRightInd w:val="0"/>
      <w:snapToGrid w:val="0"/>
      <w:spacing w:after="120" w:afterLines="0" w:afterAutospacing="0" w:line="480" w:lineRule="auto"/>
    </w:pPr>
    <w:rPr>
      <w:sz w:val="24"/>
    </w:rPr>
  </w:style>
  <w:style w:type="paragraph" w:styleId="50">
    <w:name w:val="List 4"/>
    <w:basedOn w:val="1"/>
    <w:autoRedefine/>
    <w:qFormat/>
    <w:uiPriority w:val="0"/>
    <w:pPr>
      <w:adjustRightInd w:val="0"/>
      <w:snapToGrid w:val="0"/>
      <w:spacing w:line="360" w:lineRule="auto"/>
      <w:ind w:left="100" w:leftChars="600" w:hanging="200" w:hangingChars="200"/>
    </w:pPr>
    <w:rPr>
      <w:sz w:val="24"/>
    </w:rPr>
  </w:style>
  <w:style w:type="paragraph" w:styleId="51">
    <w:name w:val="List Continue 2"/>
    <w:basedOn w:val="1"/>
    <w:autoRedefine/>
    <w:qFormat/>
    <w:uiPriority w:val="0"/>
    <w:pPr>
      <w:adjustRightInd w:val="0"/>
      <w:snapToGrid w:val="0"/>
      <w:spacing w:after="120" w:afterLines="0" w:afterAutospacing="0" w:line="360" w:lineRule="auto"/>
      <w:ind w:left="840" w:leftChars="400"/>
    </w:pPr>
    <w:rPr>
      <w:sz w:val="24"/>
    </w:rPr>
  </w:style>
  <w:style w:type="paragraph" w:styleId="52">
    <w:name w:val="Normal (Web)"/>
    <w:basedOn w:val="1"/>
    <w:autoRedefine/>
    <w:qFormat/>
    <w:uiPriority w:val="0"/>
    <w:pPr>
      <w:widowControl/>
      <w:spacing w:before="100" w:beforeLines="0" w:beforeAutospacing="1" w:after="100" w:afterLines="0" w:afterAutospacing="1"/>
      <w:jc w:val="left"/>
    </w:pPr>
    <w:rPr>
      <w:rFonts w:ascii="宋体" w:hAnsi="宋体"/>
      <w:kern w:val="0"/>
      <w:sz w:val="24"/>
    </w:rPr>
  </w:style>
  <w:style w:type="paragraph" w:styleId="53">
    <w:name w:val="List Continue 3"/>
    <w:basedOn w:val="1"/>
    <w:autoRedefine/>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autoRedefine/>
    <w:qFormat/>
    <w:uiPriority w:val="0"/>
    <w:pPr>
      <w:adjustRightInd w:val="0"/>
      <w:spacing w:line="240" w:lineRule="atLeast"/>
      <w:textAlignment w:val="baseline"/>
    </w:pPr>
    <w:rPr>
      <w:rFonts w:ascii="宋体"/>
      <w:kern w:val="0"/>
      <w:sz w:val="21"/>
    </w:rPr>
  </w:style>
  <w:style w:type="paragraph" w:styleId="55">
    <w:name w:val="Title"/>
    <w:basedOn w:val="1"/>
    <w:autoRedefine/>
    <w:qFormat/>
    <w:uiPriority w:val="0"/>
    <w:pPr>
      <w:widowControl/>
      <w:spacing w:after="240" w:afterLines="0" w:afterAutospacing="0" w:line="360" w:lineRule="auto"/>
      <w:jc w:val="center"/>
    </w:pPr>
    <w:rPr>
      <w:rFonts w:ascii="Arial" w:hAnsi="Arial"/>
      <w:b/>
      <w:smallCaps/>
      <w:kern w:val="28"/>
      <w:sz w:val="36"/>
      <w:lang w:eastAsia="en-US"/>
    </w:rPr>
  </w:style>
  <w:style w:type="paragraph" w:styleId="56">
    <w:name w:val="annotation subject"/>
    <w:basedOn w:val="21"/>
    <w:next w:val="21"/>
    <w:link w:val="79"/>
    <w:autoRedefine/>
    <w:qFormat/>
    <w:uiPriority w:val="0"/>
    <w:pPr>
      <w:adjustRightInd/>
      <w:spacing w:line="240" w:lineRule="auto"/>
      <w:textAlignment w:val="auto"/>
    </w:pPr>
  </w:style>
  <w:style w:type="paragraph" w:styleId="57">
    <w:name w:val="Body Text First Indent"/>
    <w:basedOn w:val="1"/>
    <w:autoRedefine/>
    <w:qFormat/>
    <w:uiPriority w:val="0"/>
    <w:pPr>
      <w:spacing w:line="360" w:lineRule="auto"/>
      <w:ind w:firstLine="420"/>
    </w:pPr>
    <w:rPr>
      <w:rFonts w:ascii="宋体" w:hAnsi="宋体"/>
      <w:sz w:val="24"/>
    </w:rPr>
  </w:style>
  <w:style w:type="paragraph" w:styleId="58">
    <w:name w:val="Body Text First Indent 2"/>
    <w:basedOn w:val="25"/>
    <w:next w:val="1"/>
    <w:link w:val="80"/>
    <w:autoRedefine/>
    <w:qFormat/>
    <w:uiPriority w:val="0"/>
    <w:pPr>
      <w:spacing w:after="120" w:afterLines="0" w:line="240" w:lineRule="auto"/>
      <w:ind w:left="420" w:leftChars="200" w:firstLine="420" w:firstLineChars="200"/>
    </w:pPr>
  </w:style>
  <w:style w:type="table" w:styleId="60">
    <w:name w:val="Table Grid"/>
    <w:basedOn w:val="59"/>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autoRedefine/>
    <w:qFormat/>
    <w:uiPriority w:val="22"/>
    <w:rPr>
      <w:b/>
    </w:rPr>
  </w:style>
  <w:style w:type="character" w:styleId="63">
    <w:name w:val="page number"/>
    <w:autoRedefine/>
    <w:qFormat/>
    <w:uiPriority w:val="0"/>
  </w:style>
  <w:style w:type="character" w:styleId="64">
    <w:name w:val="FollowedHyperlink"/>
    <w:autoRedefine/>
    <w:qFormat/>
    <w:uiPriority w:val="0"/>
    <w:rPr>
      <w:color w:val="800080"/>
      <w:u w:val="single"/>
    </w:rPr>
  </w:style>
  <w:style w:type="character" w:styleId="65">
    <w:name w:val="Emphasis"/>
    <w:autoRedefine/>
    <w:qFormat/>
    <w:uiPriority w:val="0"/>
    <w:rPr>
      <w:i/>
    </w:rPr>
  </w:style>
  <w:style w:type="character" w:styleId="66">
    <w:name w:val="Hyperlink"/>
    <w:autoRedefine/>
    <w:qFormat/>
    <w:uiPriority w:val="99"/>
    <w:rPr>
      <w:color w:val="0000FF"/>
      <w:u w:val="single"/>
    </w:rPr>
  </w:style>
  <w:style w:type="character" w:styleId="67">
    <w:name w:val="annotation reference"/>
    <w:basedOn w:val="61"/>
    <w:autoRedefine/>
    <w:qFormat/>
    <w:uiPriority w:val="0"/>
    <w:rPr>
      <w:sz w:val="21"/>
      <w:szCs w:val="21"/>
    </w:rPr>
  </w:style>
  <w:style w:type="character" w:styleId="68">
    <w:name w:val="footnote reference"/>
    <w:autoRedefine/>
    <w:qFormat/>
    <w:uiPriority w:val="0"/>
    <w:rPr>
      <w:position w:val="6"/>
      <w:sz w:val="14"/>
      <w:vertAlign w:val="superscript"/>
    </w:rPr>
  </w:style>
  <w:style w:type="paragraph" w:customStyle="1" w:styleId="69">
    <w:name w:val="Quote"/>
    <w:basedOn w:val="1"/>
    <w:next w:val="1"/>
    <w:autoRedefine/>
    <w:qFormat/>
    <w:uiPriority w:val="0"/>
    <w:pPr>
      <w:wordWrap w:val="0"/>
      <w:spacing w:before="200" w:after="160"/>
      <w:ind w:left="864" w:right="864"/>
      <w:jc w:val="center"/>
    </w:pPr>
    <w:rPr>
      <w:i/>
      <w:sz w:val="21"/>
      <w:szCs w:val="22"/>
      <w:lang w:val="en-US" w:eastAsia="zh-CN" w:bidi="ar-SA"/>
    </w:rPr>
  </w:style>
  <w:style w:type="character" w:customStyle="1" w:styleId="70">
    <w:name w:val="标题 1 字符"/>
    <w:link w:val="4"/>
    <w:autoRedefine/>
    <w:qFormat/>
    <w:uiPriority w:val="0"/>
    <w:rPr>
      <w:rFonts w:ascii="宋体" w:hAnsi="宋体" w:eastAsia="宋体"/>
      <w:b/>
      <w:sz w:val="36"/>
    </w:rPr>
  </w:style>
  <w:style w:type="character" w:customStyle="1" w:styleId="71">
    <w:name w:val="标题 2 字符"/>
    <w:link w:val="5"/>
    <w:autoRedefine/>
    <w:qFormat/>
    <w:uiPriority w:val="0"/>
    <w:rPr>
      <w:rFonts w:ascii="Arial" w:hAnsi="Arial" w:eastAsia="宋体"/>
      <w:b/>
      <w:kern w:val="2"/>
      <w:sz w:val="24"/>
    </w:rPr>
  </w:style>
  <w:style w:type="character" w:customStyle="1" w:styleId="72">
    <w:name w:val="标题 3 字符"/>
    <w:link w:val="6"/>
    <w:autoRedefine/>
    <w:qFormat/>
    <w:uiPriority w:val="9"/>
    <w:rPr>
      <w:rFonts w:eastAsia="宋体"/>
      <w:b/>
      <w:kern w:val="2"/>
      <w:sz w:val="32"/>
      <w:lang w:val="en-US" w:eastAsia="zh-CN"/>
    </w:rPr>
  </w:style>
  <w:style w:type="character" w:customStyle="1" w:styleId="73">
    <w:name w:val="批注文字 字符"/>
    <w:link w:val="21"/>
    <w:autoRedefine/>
    <w:qFormat/>
    <w:uiPriority w:val="0"/>
    <w:rPr>
      <w:sz w:val="24"/>
    </w:rPr>
  </w:style>
  <w:style w:type="character" w:customStyle="1" w:styleId="74">
    <w:name w:val="正文文本缩进 字符"/>
    <w:link w:val="25"/>
    <w:autoRedefine/>
    <w:qFormat/>
    <w:uiPriority w:val="0"/>
    <w:rPr>
      <w:kern w:val="2"/>
      <w:sz w:val="44"/>
    </w:rPr>
  </w:style>
  <w:style w:type="character" w:customStyle="1" w:styleId="75">
    <w:name w:val="日期 字符"/>
    <w:link w:val="34"/>
    <w:autoRedefine/>
    <w:qFormat/>
    <w:uiPriority w:val="0"/>
    <w:rPr>
      <w:kern w:val="2"/>
      <w:sz w:val="28"/>
    </w:rPr>
  </w:style>
  <w:style w:type="character" w:customStyle="1" w:styleId="76">
    <w:name w:val="正文文本缩进 2 字符"/>
    <w:link w:val="35"/>
    <w:autoRedefine/>
    <w:qFormat/>
    <w:uiPriority w:val="0"/>
    <w:rPr>
      <w:kern w:val="2"/>
      <w:sz w:val="28"/>
    </w:rPr>
  </w:style>
  <w:style w:type="character" w:customStyle="1" w:styleId="77">
    <w:name w:val="TOC 1 字符"/>
    <w:link w:val="39"/>
    <w:autoRedefine/>
    <w:qFormat/>
    <w:uiPriority w:val="0"/>
    <w:rPr>
      <w:rFonts w:ascii="Times New Roman" w:hAnsi="Times New Roman" w:eastAsia="宋体"/>
      <w:b/>
      <w:sz w:val="24"/>
    </w:rPr>
  </w:style>
  <w:style w:type="character" w:customStyle="1" w:styleId="78">
    <w:name w:val="脚注文本 字符"/>
    <w:link w:val="42"/>
    <w:autoRedefine/>
    <w:qFormat/>
    <w:uiPriority w:val="0"/>
    <w:rPr>
      <w:kern w:val="2"/>
      <w:sz w:val="18"/>
    </w:rPr>
  </w:style>
  <w:style w:type="character" w:customStyle="1" w:styleId="79">
    <w:name w:val="批注主题 字符"/>
    <w:link w:val="56"/>
    <w:autoRedefine/>
    <w:qFormat/>
    <w:uiPriority w:val="0"/>
  </w:style>
  <w:style w:type="character" w:customStyle="1" w:styleId="80">
    <w:name w:val="正文文本首行缩进 2 字符"/>
    <w:link w:val="58"/>
    <w:autoRedefine/>
    <w:qFormat/>
    <w:uiPriority w:val="0"/>
  </w:style>
  <w:style w:type="character" w:customStyle="1" w:styleId="81">
    <w:name w:val=" Char Char2"/>
    <w:autoRedefine/>
    <w:qFormat/>
    <w:uiPriority w:val="0"/>
    <w:rPr>
      <w:rFonts w:eastAsia="宋体"/>
      <w:kern w:val="2"/>
      <w:sz w:val="18"/>
      <w:lang w:val="en-US" w:eastAsia="zh-CN"/>
    </w:rPr>
  </w:style>
  <w:style w:type="character" w:customStyle="1" w:styleId="82">
    <w:name w:val=" Char Char"/>
    <w:autoRedefine/>
    <w:qFormat/>
    <w:uiPriority w:val="0"/>
    <w:rPr>
      <w:rFonts w:ascii="宋体" w:hAnsi="宋体" w:eastAsia="宋体"/>
      <w:kern w:val="2"/>
      <w:sz w:val="24"/>
      <w:lang w:val="en-US" w:eastAsia="zh-CN" w:bidi="ar-SA"/>
    </w:rPr>
  </w:style>
  <w:style w:type="character" w:customStyle="1" w:styleId="83">
    <w:name w:val="未命名11"/>
    <w:autoRedefine/>
    <w:qFormat/>
    <w:uiPriority w:val="0"/>
    <w:rPr>
      <w:color w:val="77FFFF"/>
      <w:sz w:val="24"/>
    </w:rPr>
  </w:style>
  <w:style w:type="character" w:customStyle="1" w:styleId="84">
    <w:name w:val="Table Text Char Char Char Char"/>
    <w:link w:val="85"/>
    <w:autoRedefine/>
    <w:qFormat/>
    <w:uiPriority w:val="0"/>
    <w:rPr>
      <w:rFonts w:ascii="Arial" w:hAnsi="Arial"/>
      <w:kern w:val="2"/>
      <w:sz w:val="18"/>
      <w:lang w:val="en-US" w:eastAsia="zh-CN" w:bidi="ar-SA"/>
    </w:rPr>
  </w:style>
  <w:style w:type="paragraph" w:customStyle="1" w:styleId="85">
    <w:name w:val="Table Text Char Char Char"/>
    <w:link w:val="84"/>
    <w:autoRedefine/>
    <w:qFormat/>
    <w:uiPriority w:val="0"/>
    <w:pPr>
      <w:snapToGrid w:val="0"/>
      <w:spacing w:before="80" w:after="80"/>
    </w:pPr>
    <w:rPr>
      <w:rFonts w:ascii="Arial" w:hAnsi="Arial" w:eastAsia="宋体" w:cs="Times New Roman"/>
      <w:kern w:val="2"/>
      <w:sz w:val="18"/>
      <w:lang w:val="en-US" w:eastAsia="zh-CN" w:bidi="ar-SA"/>
    </w:rPr>
  </w:style>
  <w:style w:type="character" w:customStyle="1" w:styleId="86">
    <w:name w:val="crowed11"/>
    <w:autoRedefine/>
    <w:qFormat/>
    <w:uiPriority w:val="0"/>
    <w:rPr>
      <w:rFonts w:hint="default" w:ascii="_x000B__x000C_" w:hAnsi="_x000B__x000C_"/>
      <w:sz w:val="24"/>
    </w:rPr>
  </w:style>
  <w:style w:type="character" w:customStyle="1" w:styleId="87">
    <w:name w:val=" Char Char7"/>
    <w:autoRedefine/>
    <w:qFormat/>
    <w:uiPriority w:val="0"/>
    <w:rPr>
      <w:rFonts w:ascii="宋体" w:hAnsi="宋体" w:eastAsia="宋体"/>
      <w:kern w:val="2"/>
      <w:sz w:val="28"/>
    </w:rPr>
  </w:style>
  <w:style w:type="character" w:customStyle="1" w:styleId="88">
    <w:name w:val="H2 Char"/>
    <w:autoRedefine/>
    <w:qFormat/>
    <w:uiPriority w:val="0"/>
    <w:rPr>
      <w:rFonts w:ascii="Arial" w:hAnsi="Arial" w:eastAsia="宋体"/>
      <w:kern w:val="2"/>
      <w:sz w:val="28"/>
      <w:lang w:val="en-US" w:eastAsia="zh-CN"/>
    </w:rPr>
  </w:style>
  <w:style w:type="character" w:customStyle="1" w:styleId="89">
    <w:name w:val="font1"/>
    <w:autoRedefine/>
    <w:qFormat/>
    <w:uiPriority w:val="0"/>
    <w:rPr>
      <w:color w:val="000000"/>
      <w:sz w:val="18"/>
    </w:rPr>
  </w:style>
  <w:style w:type="character" w:customStyle="1" w:styleId="90">
    <w:name w:val="Table Text Char"/>
    <w:link w:val="91"/>
    <w:autoRedefine/>
    <w:qFormat/>
    <w:uiPriority w:val="0"/>
    <w:rPr>
      <w:rFonts w:ascii="Arial" w:hAnsi="Arial"/>
      <w:kern w:val="2"/>
      <w:sz w:val="18"/>
      <w:lang w:val="en-US" w:eastAsia="zh-CN" w:bidi="ar-SA"/>
    </w:rPr>
  </w:style>
  <w:style w:type="paragraph" w:customStyle="1" w:styleId="91">
    <w:name w:val="Table Text"/>
    <w:link w:val="90"/>
    <w:autoRedefine/>
    <w:qFormat/>
    <w:uiPriority w:val="0"/>
    <w:pPr>
      <w:snapToGrid w:val="0"/>
      <w:spacing w:before="80" w:after="80"/>
    </w:pPr>
    <w:rPr>
      <w:rFonts w:ascii="Arial" w:hAnsi="Arial" w:eastAsia="宋体" w:cs="Times New Roman"/>
      <w:kern w:val="2"/>
      <w:sz w:val="18"/>
      <w:lang w:val="en-US" w:eastAsia="zh-CN" w:bidi="ar-SA"/>
    </w:rPr>
  </w:style>
  <w:style w:type="character" w:customStyle="1" w:styleId="92">
    <w:name w:val="正文 + 三号 Char"/>
    <w:autoRedefine/>
    <w:qFormat/>
    <w:uiPriority w:val="0"/>
    <w:rPr>
      <w:rFonts w:eastAsia="宋体"/>
      <w:kern w:val="2"/>
      <w:sz w:val="21"/>
      <w:lang w:val="en-US" w:eastAsia="zh-CN"/>
    </w:rPr>
  </w:style>
  <w:style w:type="character" w:customStyle="1" w:styleId="93">
    <w:name w:val="content-white1"/>
    <w:autoRedefine/>
    <w:qFormat/>
    <w:uiPriority w:val="0"/>
    <w:rPr>
      <w:rFonts w:ascii="_x000B__x000C_" w:hAnsi="_x000B__x000C_"/>
      <w:color w:val="auto"/>
      <w:sz w:val="18"/>
      <w:u w:val="none"/>
    </w:rPr>
  </w:style>
  <w:style w:type="character" w:customStyle="1" w:styleId="94">
    <w:name w:val="样式 宋体"/>
    <w:autoRedefine/>
    <w:qFormat/>
    <w:uiPriority w:val="0"/>
    <w:rPr>
      <w:rFonts w:ascii="宋体" w:hAnsi="宋体" w:eastAsia="宋体"/>
      <w:sz w:val="28"/>
    </w:rPr>
  </w:style>
  <w:style w:type="character" w:customStyle="1" w:styleId="95">
    <w:name w:val=" Char Char4"/>
    <w:autoRedefine/>
    <w:qFormat/>
    <w:uiPriority w:val="0"/>
    <w:rPr>
      <w:rFonts w:eastAsia="宋体"/>
      <w:b/>
      <w:kern w:val="2"/>
      <w:sz w:val="21"/>
      <w:lang w:val="en-US" w:eastAsia="zh-CN"/>
    </w:rPr>
  </w:style>
  <w:style w:type="character" w:customStyle="1" w:styleId="96">
    <w:name w:val=" Char Char5"/>
    <w:autoRedefine/>
    <w:qFormat/>
    <w:uiPriority w:val="0"/>
    <w:rPr>
      <w:rFonts w:ascii="Arial" w:hAnsi="Arial" w:eastAsia="宋体"/>
      <w:b/>
      <w:smallCaps/>
      <w:kern w:val="28"/>
      <w:sz w:val="36"/>
      <w:lang w:val="en-US" w:eastAsia="en-US"/>
    </w:rPr>
  </w:style>
  <w:style w:type="character" w:customStyle="1" w:styleId="97">
    <w:name w:val="Table Text Char1 Char"/>
    <w:qFormat/>
    <w:uiPriority w:val="0"/>
    <w:rPr>
      <w:rFonts w:ascii="Arial" w:hAnsi="Arial"/>
      <w:kern w:val="2"/>
      <w:sz w:val="18"/>
      <w:lang w:val="en-US" w:eastAsia="zh-CN" w:bidi="ar-SA"/>
    </w:rPr>
  </w:style>
  <w:style w:type="character" w:customStyle="1" w:styleId="98">
    <w:name w:val="title_emph1"/>
    <w:autoRedefine/>
    <w:qFormat/>
    <w:uiPriority w:val="0"/>
    <w:rPr>
      <w:rFonts w:hint="default" w:ascii="Arial" w:hAnsi="Arial"/>
      <w:b/>
      <w:sz w:val="20"/>
    </w:rPr>
  </w:style>
  <w:style w:type="character" w:customStyle="1" w:styleId="99">
    <w:name w:val="top-det1"/>
    <w:autoRedefine/>
    <w:qFormat/>
    <w:uiPriority w:val="0"/>
    <w:rPr>
      <w:b/>
      <w:color w:val="000000"/>
    </w:rPr>
  </w:style>
  <w:style w:type="character" w:customStyle="1" w:styleId="100">
    <w:name w:val="Table Heading Char Char"/>
    <w:autoRedefine/>
    <w:qFormat/>
    <w:uiPriority w:val="0"/>
    <w:rPr>
      <w:rFonts w:ascii="Arial" w:hAnsi="Arial" w:eastAsia="黑体"/>
      <w:kern w:val="2"/>
      <w:sz w:val="18"/>
      <w:lang w:val="en-US" w:eastAsia="zh-CN"/>
    </w:rPr>
  </w:style>
  <w:style w:type="character" w:customStyle="1" w:styleId="101">
    <w:name w:val="小 Char"/>
    <w:autoRedefine/>
    <w:qFormat/>
    <w:uiPriority w:val="0"/>
    <w:rPr>
      <w:rFonts w:ascii="宋体" w:hAnsi="Courier New" w:eastAsia="宋体"/>
      <w:kern w:val="2"/>
      <w:sz w:val="21"/>
      <w:lang w:val="en-US" w:eastAsia="zh-CN" w:bidi="ar-SA"/>
    </w:rPr>
  </w:style>
  <w:style w:type="character" w:customStyle="1" w:styleId="102">
    <w:name w:val=" Char Char3"/>
    <w:autoRedefine/>
    <w:qFormat/>
    <w:uiPriority w:val="0"/>
    <w:rPr>
      <w:rFonts w:eastAsia="宋体"/>
      <w:kern w:val="2"/>
      <w:sz w:val="18"/>
      <w:lang w:val="en-US" w:eastAsia="zh-CN"/>
    </w:rPr>
  </w:style>
  <w:style w:type="character" w:customStyle="1" w:styleId="103">
    <w:name w:val="标书正文:  0.74 厘米 Char1"/>
    <w:autoRedefine/>
    <w:qFormat/>
    <w:uiPriority w:val="0"/>
    <w:rPr>
      <w:rFonts w:eastAsia="宋体"/>
      <w:kern w:val="2"/>
      <w:sz w:val="24"/>
      <w:lang w:val="en-US" w:eastAsia="zh-CN"/>
    </w:rPr>
  </w:style>
  <w:style w:type="character" w:customStyle="1" w:styleId="104">
    <w:name w:val="文字 Char"/>
    <w:link w:val="105"/>
    <w:autoRedefine/>
    <w:qFormat/>
    <w:uiPriority w:val="0"/>
    <w:rPr>
      <w:rFonts w:ascii="宋体"/>
      <w:kern w:val="2"/>
      <w:sz w:val="28"/>
    </w:rPr>
  </w:style>
  <w:style w:type="paragraph" w:customStyle="1" w:styleId="105">
    <w:name w:val="文字"/>
    <w:basedOn w:val="1"/>
    <w:link w:val="104"/>
    <w:autoRedefine/>
    <w:qFormat/>
    <w:uiPriority w:val="0"/>
    <w:pPr>
      <w:tabs>
        <w:tab w:val="left" w:pos="8520"/>
      </w:tabs>
      <w:spacing w:line="312" w:lineRule="auto"/>
      <w:ind w:right="-210" w:firstLine="556"/>
    </w:pPr>
    <w:rPr>
      <w:rFonts w:ascii="宋体"/>
    </w:rPr>
  </w:style>
  <w:style w:type="character" w:customStyle="1" w:styleId="106">
    <w:name w:val=" Char Char6"/>
    <w:autoRedefine/>
    <w:qFormat/>
    <w:uiPriority w:val="0"/>
    <w:rPr>
      <w:rFonts w:ascii="仿宋_GB2312" w:eastAsia="仿宋_GB2312"/>
      <w:kern w:val="2"/>
      <w:sz w:val="32"/>
    </w:rPr>
  </w:style>
  <w:style w:type="character" w:customStyle="1" w:styleId="107">
    <w:name w:val=" Char Char11"/>
    <w:autoRedefine/>
    <w:qFormat/>
    <w:uiPriority w:val="0"/>
    <w:rPr>
      <w:rFonts w:ascii="宋体"/>
      <w:kern w:val="2"/>
      <w:sz w:val="28"/>
    </w:rPr>
  </w:style>
  <w:style w:type="character" w:customStyle="1" w:styleId="108">
    <w:name w:val="v151"/>
    <w:autoRedefine/>
    <w:qFormat/>
    <w:uiPriority w:val="0"/>
    <w:rPr>
      <w:sz w:val="18"/>
    </w:rPr>
  </w:style>
  <w:style w:type="paragraph" w:styleId="109">
    <w:name w:val="List Paragraph"/>
    <w:basedOn w:val="1"/>
    <w:qFormat/>
    <w:uiPriority w:val="99"/>
    <w:pPr>
      <w:ind w:firstLine="420" w:firstLineChars="200"/>
    </w:pPr>
  </w:style>
  <w:style w:type="paragraph" w:customStyle="1" w:styleId="110">
    <w:name w:val="附录1"/>
    <w:basedOn w:val="1"/>
    <w:next w:val="1"/>
    <w:autoRedefine/>
    <w:qFormat/>
    <w:uiPriority w:val="0"/>
    <w:pPr>
      <w:tabs>
        <w:tab w:val="left" w:pos="1304"/>
      </w:tabs>
      <w:ind w:left="425" w:hanging="425"/>
      <w:outlineLvl w:val="0"/>
    </w:pPr>
    <w:rPr>
      <w:rFonts w:ascii="黑体" w:hAnsi="黑体" w:eastAsia="黑体"/>
      <w:b/>
      <w:sz w:val="44"/>
    </w:rPr>
  </w:style>
  <w:style w:type="paragraph" w:customStyle="1" w:styleId="111">
    <w:name w:val="首行缩进 1"/>
    <w:basedOn w:val="1"/>
    <w:qFormat/>
    <w:uiPriority w:val="0"/>
    <w:pPr>
      <w:spacing w:after="120" w:afterLines="0" w:afterAutospacing="0" w:line="360" w:lineRule="auto"/>
      <w:ind w:firstLine="200" w:firstLineChars="200"/>
    </w:pPr>
    <w:rPr>
      <w:sz w:val="24"/>
    </w:rPr>
  </w:style>
  <w:style w:type="paragraph" w:customStyle="1" w:styleId="112">
    <w:name w:val="style1"/>
    <w:basedOn w:val="1"/>
    <w:autoRedefine/>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3">
    <w:name w:val="样式 样式 正文首行缩进 2 + 左  0 字符 + 首行缩进:  2.57 字符"/>
    <w:basedOn w:val="1"/>
    <w:next w:val="1"/>
    <w:autoRedefine/>
    <w:qFormat/>
    <w:uiPriority w:val="0"/>
    <w:pPr>
      <w:adjustRightInd w:val="0"/>
      <w:snapToGrid w:val="0"/>
      <w:spacing w:after="120" w:afterLines="0" w:afterAutospacing="0"/>
      <w:ind w:firstLine="540" w:firstLineChars="257"/>
    </w:pPr>
    <w:rPr>
      <w:sz w:val="21"/>
    </w:rPr>
  </w:style>
  <w:style w:type="paragraph" w:customStyle="1" w:styleId="114">
    <w:name w:val="No Spacing1"/>
    <w:basedOn w:val="1"/>
    <w:autoRedefine/>
    <w:qFormat/>
    <w:uiPriority w:val="0"/>
    <w:pPr>
      <w:widowControl/>
      <w:jc w:val="left"/>
    </w:pPr>
    <w:rPr>
      <w:rFonts w:ascii="Times New Roman" w:hAnsi="Times New Roman" w:eastAsia="宋体" w:cs="Times New Roman"/>
      <w:kern w:val="0"/>
      <w:sz w:val="22"/>
      <w:szCs w:val="22"/>
    </w:rPr>
  </w:style>
  <w:style w:type="paragraph" w:customStyle="1" w:styleId="115">
    <w:name w:val="表头样式"/>
    <w:basedOn w:val="1"/>
    <w:autoRedefine/>
    <w:qFormat/>
    <w:uiPriority w:val="0"/>
    <w:pPr>
      <w:autoSpaceDE w:val="0"/>
      <w:autoSpaceDN w:val="0"/>
      <w:adjustRightInd w:val="0"/>
      <w:spacing w:line="360" w:lineRule="auto"/>
      <w:jc w:val="left"/>
    </w:pPr>
    <w:rPr>
      <w:b/>
      <w:kern w:val="0"/>
      <w:sz w:val="21"/>
    </w:rPr>
  </w:style>
  <w:style w:type="paragraph" w:customStyle="1" w:styleId="116">
    <w:name w:val="样式 标题 1章标题Heading 0Section HeadPIM 1H1h11st levell11H1..."/>
    <w:basedOn w:val="4"/>
    <w:autoRedefine/>
    <w:qFormat/>
    <w:uiPriority w:val="0"/>
    <w:pPr>
      <w:keepLines/>
      <w:pageBreakBefore/>
      <w:tabs>
        <w:tab w:val="left" w:pos="432"/>
      </w:tabs>
      <w:autoSpaceDE w:val="0"/>
      <w:autoSpaceDN w:val="0"/>
      <w:adjustRightInd w:val="0"/>
      <w:spacing w:before="340" w:beforeLines="0" w:beforeAutospacing="0" w:after="330" w:afterLines="0" w:afterAutospacing="0" w:line="578" w:lineRule="atLeast"/>
      <w:textAlignment w:val="bottom"/>
    </w:pPr>
    <w:rPr>
      <w:rFonts w:hAnsi="宋体" w:eastAsia="黑体"/>
      <w:b w:val="0"/>
      <w:kern w:val="44"/>
      <w:sz w:val="36"/>
    </w:rPr>
  </w:style>
  <w:style w:type="paragraph" w:customStyle="1" w:styleId="117">
    <w:name w:val="Table Heading"/>
    <w:autoRedefine/>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18">
    <w:name w:val="_Style 117"/>
    <w:autoRedefine/>
    <w:qFormat/>
    <w:uiPriority w:val="0"/>
    <w:rPr>
      <w:rFonts w:ascii="Times New Roman" w:hAnsi="Times New Roman" w:eastAsia="宋体" w:cs="Times New Roman"/>
      <w:kern w:val="2"/>
      <w:sz w:val="21"/>
      <w:lang w:val="en-US" w:eastAsia="zh-CN" w:bidi="ar-SA"/>
    </w:rPr>
  </w:style>
  <w:style w:type="paragraph" w:styleId="119">
    <w:name w:val="No Spacing"/>
    <w:autoRedefine/>
    <w:qFormat/>
    <w:uiPriority w:val="1"/>
    <w:pPr>
      <w:widowControl w:val="0"/>
      <w:jc w:val="both"/>
    </w:pPr>
    <w:rPr>
      <w:rFonts w:ascii="Times New Roman" w:hAnsi="Times New Roman" w:eastAsia="宋体" w:cs="Times New Roman"/>
      <w:kern w:val="2"/>
      <w:sz w:val="28"/>
      <w:lang w:val="en-US" w:eastAsia="zh-CN" w:bidi="ar-SA"/>
    </w:rPr>
  </w:style>
  <w:style w:type="paragraph" w:customStyle="1" w:styleId="120">
    <w:name w:val="关键词"/>
    <w:basedOn w:val="1"/>
    <w:next w:val="1"/>
    <w:autoRedefine/>
    <w:qFormat/>
    <w:uiPriority w:val="0"/>
    <w:pPr>
      <w:spacing w:line="360" w:lineRule="auto"/>
    </w:pPr>
    <w:rPr>
      <w:rFonts w:eastAsia="黑体"/>
      <w:sz w:val="20"/>
    </w:rPr>
  </w:style>
  <w:style w:type="paragraph" w:customStyle="1" w:styleId="121">
    <w:name w:val=" Char1"/>
    <w:basedOn w:val="1"/>
    <w:autoRedefine/>
    <w:qFormat/>
    <w:uiPriority w:val="0"/>
    <w:rPr>
      <w:sz w:val="21"/>
    </w:rPr>
  </w:style>
  <w:style w:type="paragraph" w:customStyle="1" w:styleId="122">
    <w:name w:val="正文1"/>
    <w:basedOn w:val="1"/>
    <w:autoRedefine/>
    <w:qFormat/>
    <w:uiPriority w:val="0"/>
    <w:pPr>
      <w:spacing w:line="300" w:lineRule="auto"/>
      <w:ind w:firstLine="200" w:firstLineChars="200"/>
    </w:pPr>
    <w:rPr>
      <w:sz w:val="24"/>
    </w:rPr>
  </w:style>
  <w:style w:type="paragraph" w:customStyle="1" w:styleId="123">
    <w:name w:val="章标题"/>
    <w:next w:val="1"/>
    <w:autoRedefine/>
    <w:qFormat/>
    <w:uiPriority w:val="0"/>
    <w:pPr>
      <w:numPr>
        <w:ilvl w:val="1"/>
        <w:numId w:val="5"/>
      </w:numPr>
      <w:spacing w:before="156" w:beforeLines="50" w:after="156" w:afterLines="50"/>
      <w:ind w:left="0"/>
      <w:jc w:val="both"/>
      <w:outlineLvl w:val="1"/>
    </w:pPr>
    <w:rPr>
      <w:rFonts w:ascii="黑体" w:hAnsi="Times New Roman" w:eastAsia="黑体" w:cs="Times New Roman"/>
      <w:sz w:val="24"/>
      <w:lang w:val="en-US" w:eastAsia="zh-CN" w:bidi="ar-SA"/>
    </w:rPr>
  </w:style>
  <w:style w:type="paragraph" w:customStyle="1" w:styleId="124">
    <w:name w:val="È±Ê¡ÎÄ±¾"/>
    <w:basedOn w:val="1"/>
    <w:autoRedefine/>
    <w:qFormat/>
    <w:uiPriority w:val="0"/>
    <w:pPr>
      <w:widowControl/>
      <w:overflowPunct w:val="0"/>
      <w:autoSpaceDE w:val="0"/>
      <w:autoSpaceDN w:val="0"/>
      <w:adjustRightInd w:val="0"/>
      <w:jc w:val="left"/>
      <w:textAlignment w:val="baseline"/>
    </w:pPr>
    <w:rPr>
      <w:kern w:val="0"/>
      <w:sz w:val="24"/>
    </w:rPr>
  </w:style>
  <w:style w:type="paragraph" w:customStyle="1" w:styleId="125">
    <w:name w:val="NormalIndent"/>
    <w:basedOn w:val="1"/>
    <w:next w:val="1"/>
    <w:autoRedefine/>
    <w:qFormat/>
    <w:uiPriority w:val="0"/>
    <w:pPr>
      <w:ind w:firstLine="200" w:firstLineChars="200"/>
      <w:jc w:val="both"/>
      <w:textAlignment w:val="baseline"/>
    </w:pPr>
  </w:style>
  <w:style w:type="paragraph" w:customStyle="1" w:styleId="126">
    <w:name w:val="Item Step"/>
    <w:autoRedefine/>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27">
    <w:name w:val=" Char Char1 Char"/>
    <w:basedOn w:val="1"/>
    <w:autoRedefine/>
    <w:qFormat/>
    <w:uiPriority w:val="0"/>
    <w:rPr>
      <w:rFonts w:ascii="Tahoma" w:hAnsi="Tahoma"/>
      <w:sz w:val="24"/>
      <w:szCs w:val="24"/>
    </w:rPr>
  </w:style>
  <w:style w:type="paragraph" w:customStyle="1" w:styleId="128">
    <w:name w:val="表号"/>
    <w:basedOn w:val="1"/>
    <w:autoRedefine/>
    <w:qFormat/>
    <w:uiPriority w:val="0"/>
    <w:pPr>
      <w:numPr>
        <w:ilvl w:val="0"/>
        <w:numId w:val="6"/>
      </w:numPr>
      <w:tabs>
        <w:tab w:val="left" w:pos="648"/>
        <w:tab w:val="clear" w:pos="360"/>
      </w:tabs>
      <w:autoSpaceDE w:val="0"/>
      <w:autoSpaceDN w:val="0"/>
      <w:adjustRightInd w:val="0"/>
      <w:spacing w:before="210" w:beforeLines="0" w:after="210" w:afterLines="0"/>
      <w:ind w:left="425" w:hanging="137"/>
      <w:jc w:val="center"/>
    </w:pPr>
    <w:rPr>
      <w:kern w:val="0"/>
      <w:sz w:val="21"/>
      <w:lang w:eastAsia="en-US"/>
    </w:rPr>
  </w:style>
  <w:style w:type="paragraph" w:customStyle="1" w:styleId="129">
    <w:name w:val="图片文字"/>
    <w:basedOn w:val="1"/>
    <w:autoRedefine/>
    <w:qFormat/>
    <w:uiPriority w:val="0"/>
    <w:pPr>
      <w:spacing w:line="240" w:lineRule="atLeast"/>
      <w:jc w:val="center"/>
    </w:pPr>
    <w:rPr>
      <w:sz w:val="21"/>
    </w:rPr>
  </w:style>
  <w:style w:type="paragraph" w:customStyle="1" w:styleId="130">
    <w:name w:val="小标题 1"/>
    <w:basedOn w:val="1"/>
    <w:autoRedefine/>
    <w:qFormat/>
    <w:uiPriority w:val="0"/>
    <w:pPr>
      <w:autoSpaceDE w:val="0"/>
      <w:autoSpaceDN w:val="0"/>
      <w:adjustRightInd w:val="0"/>
      <w:spacing w:line="360" w:lineRule="atLeast"/>
    </w:pPr>
    <w:rPr>
      <w:rFonts w:ascii="文鼎粗黑" w:eastAsia="文鼎粗黑"/>
      <w:kern w:val="0"/>
      <w:sz w:val="22"/>
    </w:rPr>
  </w:style>
  <w:style w:type="paragraph" w:customStyle="1" w:styleId="131">
    <w:name w:val="图标"/>
    <w:basedOn w:val="1"/>
    <w:next w:val="1"/>
    <w:autoRedefine/>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32">
    <w:name w:val="段 Char"/>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33">
    <w:name w:val="content"/>
    <w:basedOn w:val="1"/>
    <w:autoRedefine/>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4">
    <w:name w:val="司法正文"/>
    <w:autoRedefine/>
    <w:qFormat/>
    <w:uiPriority w:val="0"/>
    <w:pPr>
      <w:widowControl w:val="0"/>
      <w:ind w:firstLine="200" w:firstLineChars="200"/>
      <w:jc w:val="both"/>
    </w:pPr>
    <w:rPr>
      <w:rFonts w:ascii="Times New Roman" w:hAnsi="Times New Roman" w:eastAsia="仿宋_GB2312" w:cs="Times New Roman"/>
      <w:sz w:val="32"/>
      <w:lang w:val="en-US" w:eastAsia="zh-CN" w:bidi="ar-SA"/>
    </w:rPr>
  </w:style>
  <w:style w:type="paragraph" w:customStyle="1" w:styleId="135">
    <w:name w:val=" Char1 Char Char Char"/>
    <w:basedOn w:val="1"/>
    <w:autoRedefine/>
    <w:qFormat/>
    <w:uiPriority w:val="0"/>
    <w:rPr>
      <w:rFonts w:ascii="Tahoma" w:hAnsi="Tahoma"/>
      <w:sz w:val="24"/>
    </w:rPr>
  </w:style>
  <w:style w:type="paragraph" w:customStyle="1" w:styleId="136">
    <w:name w:val="Body Text Indent 2"/>
    <w:basedOn w:val="1"/>
    <w:autoRedefine/>
    <w:qFormat/>
    <w:uiPriority w:val="0"/>
    <w:pPr>
      <w:adjustRightInd w:val="0"/>
      <w:spacing w:before="120" w:beforeLines="0" w:beforeAutospacing="0"/>
      <w:ind w:firstLine="420"/>
      <w:textAlignment w:val="baseline"/>
    </w:pPr>
    <w:rPr>
      <w:sz w:val="24"/>
    </w:rPr>
  </w:style>
  <w:style w:type="paragraph" w:customStyle="1" w:styleId="137">
    <w:name w:val="标书正文:  0.74 厘米"/>
    <w:basedOn w:val="1"/>
    <w:autoRedefine/>
    <w:qFormat/>
    <w:uiPriority w:val="0"/>
    <w:pPr>
      <w:snapToGrid w:val="0"/>
      <w:spacing w:line="360" w:lineRule="auto"/>
      <w:ind w:firstLine="420"/>
    </w:pPr>
    <w:rPr>
      <w:sz w:val="24"/>
    </w:rPr>
  </w:style>
  <w:style w:type="paragraph" w:customStyle="1" w:styleId="138">
    <w:name w:val="Char Char Char Char Char Char Char"/>
    <w:basedOn w:val="19"/>
    <w:autoRedefine/>
    <w:qFormat/>
    <w:uiPriority w:val="0"/>
    <w:rPr>
      <w:rFonts w:ascii="宋体" w:hAnsi="Tahoma"/>
    </w:rPr>
  </w:style>
  <w:style w:type="paragraph" w:customStyle="1" w:styleId="139">
    <w:name w:val=" Char Char Char"/>
    <w:basedOn w:val="1"/>
    <w:autoRedefine/>
    <w:qFormat/>
    <w:uiPriority w:val="0"/>
    <w:rPr>
      <w:rFonts w:ascii="Tahoma" w:hAnsi="Tahoma"/>
      <w:sz w:val="24"/>
    </w:rPr>
  </w:style>
  <w:style w:type="paragraph" w:customStyle="1" w:styleId="140">
    <w:name w:val="首行缩进"/>
    <w:basedOn w:val="1"/>
    <w:autoRedefine/>
    <w:qFormat/>
    <w:uiPriority w:val="0"/>
    <w:pPr>
      <w:numPr>
        <w:ilvl w:val="0"/>
        <w:numId w:val="7"/>
      </w:numPr>
      <w:spacing w:line="360" w:lineRule="auto"/>
    </w:pPr>
    <w:rPr>
      <w:rFonts w:eastAsia="仿宋_GB2312"/>
    </w:rPr>
  </w:style>
  <w:style w:type="paragraph" w:customStyle="1" w:styleId="141">
    <w:name w:val="文档正文 Char Char Char Char"/>
    <w:basedOn w:val="1"/>
    <w:autoRedefine/>
    <w:qFormat/>
    <w:uiPriority w:val="0"/>
    <w:pPr>
      <w:adjustRightInd w:val="0"/>
      <w:spacing w:line="440" w:lineRule="exact"/>
      <w:ind w:firstLine="420"/>
      <w:textAlignment w:val="baseline"/>
    </w:pPr>
    <w:rPr>
      <w:rFonts w:ascii="Arial Narrow" w:hAnsi="Arial Narrow"/>
      <w:kern w:val="0"/>
      <w:sz w:val="24"/>
    </w:rPr>
  </w:style>
  <w:style w:type="paragraph" w:customStyle="1" w:styleId="142">
    <w:name w:val="样式3"/>
    <w:basedOn w:val="4"/>
    <w:next w:val="4"/>
    <w:autoRedefine/>
    <w:qFormat/>
    <w:uiPriority w:val="0"/>
    <w:pPr>
      <w:keepLines/>
      <w:adjustRightInd w:val="0"/>
      <w:spacing w:before="340" w:beforeLines="0" w:beforeAutospacing="0" w:after="330" w:afterLines="0" w:afterAutospacing="0" w:line="576" w:lineRule="auto"/>
    </w:pPr>
    <w:rPr>
      <w:rFonts w:ascii="Times New Roman" w:eastAsia="黑体"/>
      <w:b w:val="0"/>
      <w:kern w:val="44"/>
      <w:sz w:val="44"/>
    </w:rPr>
  </w:style>
  <w:style w:type="paragraph" w:customStyle="1" w:styleId="143">
    <w:name w:val="样式 行距: 1.5 倍行距1"/>
    <w:basedOn w:val="1"/>
    <w:autoRedefine/>
    <w:qFormat/>
    <w:uiPriority w:val="0"/>
    <w:pPr>
      <w:snapToGrid w:val="0"/>
    </w:pPr>
    <w:rPr>
      <w:sz w:val="21"/>
    </w:rPr>
  </w:style>
  <w:style w:type="paragraph" w:customStyle="1" w:styleId="144">
    <w:name w:val="正文4"/>
    <w:basedOn w:val="1"/>
    <w:autoRedefine/>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45">
    <w:name w:val="附录4"/>
    <w:basedOn w:val="1"/>
    <w:next w:val="1"/>
    <w:autoRedefine/>
    <w:qFormat/>
    <w:uiPriority w:val="0"/>
    <w:pPr>
      <w:widowControl/>
      <w:numPr>
        <w:ilvl w:val="0"/>
        <w:numId w:val="0"/>
      </w:numPr>
      <w:tabs>
        <w:tab w:val="left" w:pos="1134"/>
      </w:tabs>
      <w:spacing w:line="300" w:lineRule="auto"/>
      <w:ind w:left="1361" w:hanging="1361"/>
      <w:outlineLvl w:val="3"/>
    </w:pPr>
    <w:rPr>
      <w:rFonts w:ascii="Arial" w:hAnsi="Arial" w:eastAsia="黑体"/>
      <w:kern w:val="0"/>
    </w:rPr>
  </w:style>
  <w:style w:type="paragraph" w:customStyle="1" w:styleId="146">
    <w:name w:val="_paragraph_5yh6i_2"/>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147">
    <w:name w:val="正文格式"/>
    <w:basedOn w:val="1"/>
    <w:autoRedefine/>
    <w:qFormat/>
    <w:uiPriority w:val="0"/>
    <w:pPr>
      <w:widowControl/>
      <w:adjustRightInd w:val="0"/>
      <w:snapToGrid w:val="0"/>
      <w:spacing w:before="60" w:beforeLines="0" w:beforeAutospacing="0" w:line="360" w:lineRule="auto"/>
      <w:ind w:firstLine="480" w:firstLineChars="200"/>
      <w:jc w:val="left"/>
      <w:textAlignment w:val="baseline"/>
    </w:pPr>
    <w:rPr>
      <w:rFonts w:ascii="宋体" w:hAnsi="宋体"/>
      <w:color w:val="000000"/>
      <w:kern w:val="0"/>
      <w:sz w:val="24"/>
    </w:rPr>
  </w:style>
  <w:style w:type="paragraph" w:customStyle="1" w:styleId="148">
    <w:name w:val=" Char Char14 Char Char"/>
    <w:basedOn w:val="1"/>
    <w:autoRedefine/>
    <w:qFormat/>
    <w:uiPriority w:val="0"/>
    <w:rPr>
      <w:sz w:val="21"/>
      <w:szCs w:val="24"/>
    </w:rPr>
  </w:style>
  <w:style w:type="paragraph" w:customStyle="1" w:styleId="149">
    <w:name w:val="_"/>
    <w:basedOn w:val="1"/>
    <w:autoRedefine/>
    <w:qFormat/>
    <w:uiPriority w:val="0"/>
    <w:pPr>
      <w:adjustRightInd w:val="0"/>
      <w:spacing w:line="360" w:lineRule="auto"/>
      <w:ind w:left="480" w:firstLine="200" w:firstLineChars="200"/>
      <w:textAlignment w:val="baseline"/>
    </w:pPr>
    <w:rPr>
      <w:kern w:val="0"/>
      <w:sz w:val="24"/>
    </w:rPr>
  </w:style>
  <w:style w:type="paragraph" w:customStyle="1" w:styleId="150">
    <w:name w:val="可研正文"/>
    <w:basedOn w:val="24"/>
    <w:autoRedefine/>
    <w:qFormat/>
    <w:uiPriority w:val="0"/>
    <w:pPr>
      <w:adjustRightInd w:val="0"/>
      <w:snapToGrid w:val="0"/>
      <w:spacing w:line="440" w:lineRule="exact"/>
      <w:ind w:firstLine="567"/>
    </w:pPr>
    <w:rPr>
      <w:sz w:val="28"/>
    </w:rPr>
  </w:style>
  <w:style w:type="paragraph" w:customStyle="1" w:styleId="151">
    <w:name w:val=" Char Char Char Char Char Char Char"/>
    <w:basedOn w:val="1"/>
    <w:autoRedefine/>
    <w:qFormat/>
    <w:uiPriority w:val="0"/>
    <w:rPr>
      <w:rFonts w:ascii="Tahoma" w:hAnsi="Tahoma"/>
      <w:sz w:val="24"/>
    </w:rPr>
  </w:style>
  <w:style w:type="paragraph" w:customStyle="1" w:styleId="152">
    <w:name w:val="表文字"/>
    <w:autoRedefine/>
    <w:qFormat/>
    <w:uiPriority w:val="0"/>
    <w:rPr>
      <w:rFonts w:ascii="宋体" w:hAnsi="Times New Roman" w:eastAsia="宋体" w:cs="Times New Roman"/>
      <w:kern w:val="2"/>
      <w:lang w:val="en-US" w:eastAsia="zh-CN" w:bidi="ar-SA"/>
    </w:rPr>
  </w:style>
  <w:style w:type="paragraph" w:customStyle="1" w:styleId="153">
    <w:name w:val="Item List"/>
    <w:autoRedefine/>
    <w:qFormat/>
    <w:uiPriority w:val="0"/>
    <w:pPr>
      <w:numPr>
        <w:ilvl w:val="0"/>
        <w:numId w:val="8"/>
      </w:numPr>
      <w:spacing w:line="300" w:lineRule="auto"/>
      <w:jc w:val="both"/>
    </w:pPr>
    <w:rPr>
      <w:rFonts w:ascii="Arial" w:hAnsi="Arial" w:eastAsia="宋体" w:cs="Times New Roman"/>
      <w:sz w:val="21"/>
      <w:lang w:val="en-US" w:eastAsia="zh-CN" w:bidi="ar-SA"/>
    </w:rPr>
  </w:style>
  <w:style w:type="paragraph" w:customStyle="1" w:styleId="154">
    <w:name w:val="样式 宋体 五号 行距: 单倍行距"/>
    <w:basedOn w:val="1"/>
    <w:autoRedefine/>
    <w:qFormat/>
    <w:uiPriority w:val="0"/>
    <w:pPr>
      <w:adjustRightInd w:val="0"/>
      <w:jc w:val="left"/>
    </w:pPr>
    <w:rPr>
      <w:rFonts w:ascii="宋体" w:hAnsi="宋体"/>
      <w:kern w:val="0"/>
      <w:sz w:val="21"/>
    </w:rPr>
  </w:style>
  <w:style w:type="paragraph" w:customStyle="1" w:styleId="155">
    <w:name w:val="样式 正文首行缩进 2 + 首行缩进:  2 字符"/>
    <w:basedOn w:val="1"/>
    <w:autoRedefine/>
    <w:qFormat/>
    <w:uiPriority w:val="0"/>
    <w:pPr>
      <w:numPr>
        <w:ilvl w:val="0"/>
        <w:numId w:val="9"/>
      </w:numPr>
      <w:adjustRightInd w:val="0"/>
      <w:snapToGrid w:val="0"/>
      <w:spacing w:line="360" w:lineRule="auto"/>
    </w:pPr>
    <w:rPr>
      <w:rFonts w:ascii="Arial" w:hAnsi="Arial"/>
      <w:b/>
      <w:sz w:val="24"/>
    </w:rPr>
  </w:style>
  <w:style w:type="paragraph" w:customStyle="1" w:styleId="156">
    <w:name w:val="Table Description"/>
    <w:next w:val="1"/>
    <w:autoRedefine/>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57">
    <w:name w:val="编号正文"/>
    <w:basedOn w:val="158"/>
    <w:autoRedefine/>
    <w:qFormat/>
    <w:uiPriority w:val="0"/>
    <w:pPr>
      <w:snapToGrid/>
      <w:spacing w:line="360" w:lineRule="auto"/>
      <w:ind w:left="1407" w:hanging="1047"/>
      <w:jc w:val="left"/>
    </w:pPr>
    <w:rPr>
      <w:rFonts w:eastAsia="仿宋_GB2312"/>
    </w:rPr>
  </w:style>
  <w:style w:type="paragraph" w:customStyle="1" w:styleId="158">
    <w:name w:val="文档正文"/>
    <w:basedOn w:val="1"/>
    <w:autoRedefine/>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59">
    <w:name w:val="IN Feature"/>
    <w:next w:val="160"/>
    <w:autoRedefine/>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160">
    <w:name w:val="IN Step"/>
    <w:basedOn w:val="1"/>
    <w:autoRedefine/>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61">
    <w:name w:val="简单回函地址"/>
    <w:basedOn w:val="1"/>
    <w:autoRedefine/>
    <w:qFormat/>
    <w:uiPriority w:val="0"/>
    <w:pPr>
      <w:adjustRightInd w:val="0"/>
      <w:snapToGrid w:val="0"/>
      <w:spacing w:line="360" w:lineRule="auto"/>
    </w:pPr>
    <w:rPr>
      <w:sz w:val="24"/>
    </w:rPr>
  </w:style>
  <w:style w:type="paragraph" w:customStyle="1" w:styleId="162">
    <w:name w:val="xl27"/>
    <w:basedOn w:val="1"/>
    <w:autoRedefine/>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63">
    <w:name w:val="样式 首行缩进:  0.74 厘米"/>
    <w:basedOn w:val="1"/>
    <w:autoRedefine/>
    <w:qFormat/>
    <w:uiPriority w:val="0"/>
    <w:pPr>
      <w:spacing w:line="360" w:lineRule="auto"/>
      <w:ind w:firstLine="420"/>
    </w:pPr>
    <w:rPr>
      <w:sz w:val="24"/>
    </w:rPr>
  </w:style>
  <w:style w:type="paragraph" w:customStyle="1" w:styleId="164">
    <w:name w:val="默认段落字体 Para Char Char Char Char Char Char Char Char Char1 Char Char Char Char"/>
    <w:basedOn w:val="1"/>
    <w:autoRedefine/>
    <w:qFormat/>
    <w:uiPriority w:val="0"/>
    <w:rPr>
      <w:rFonts w:ascii="Tahoma" w:hAnsi="Tahoma"/>
      <w:sz w:val="24"/>
    </w:rPr>
  </w:style>
  <w:style w:type="paragraph" w:customStyle="1" w:styleId="165">
    <w:name w:val="AA Numbering"/>
    <w:basedOn w:val="1"/>
    <w:autoRedefine/>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166">
    <w:name w:val="正文格式 Char"/>
    <w:basedOn w:val="1"/>
    <w:autoRedefine/>
    <w:qFormat/>
    <w:uiPriority w:val="0"/>
    <w:pPr>
      <w:widowControl/>
      <w:adjustRightInd w:val="0"/>
      <w:spacing w:line="440" w:lineRule="atLeast"/>
      <w:ind w:firstLine="510"/>
      <w:textAlignment w:val="baseline"/>
    </w:pPr>
    <w:rPr>
      <w:kern w:val="0"/>
      <w:sz w:val="24"/>
    </w:rPr>
  </w:style>
  <w:style w:type="paragraph" w:customStyle="1" w:styleId="167">
    <w:name w:val="xl53"/>
    <w:basedOn w:val="1"/>
    <w:autoRedefine/>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68">
    <w:name w:val="操作步骤"/>
    <w:basedOn w:val="1"/>
    <w:autoRedefine/>
    <w:qFormat/>
    <w:uiPriority w:val="0"/>
    <w:pPr>
      <w:numPr>
        <w:ilvl w:val="0"/>
        <w:numId w:val="10"/>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169">
    <w:name w:val="00"/>
    <w:basedOn w:val="1"/>
    <w:autoRedefine/>
    <w:qFormat/>
    <w:uiPriority w:val="0"/>
    <w:pPr>
      <w:autoSpaceDE w:val="0"/>
      <w:autoSpaceDN w:val="0"/>
      <w:adjustRightInd w:val="0"/>
      <w:jc w:val="left"/>
    </w:pPr>
    <w:rPr>
      <w:rFonts w:ascii="黑体" w:eastAsia="黑体"/>
      <w:b/>
      <w:kern w:val="0"/>
      <w:sz w:val="20"/>
    </w:rPr>
  </w:style>
  <w:style w:type="paragraph" w:customStyle="1" w:styleId="170">
    <w:name w:val="内容标题"/>
    <w:basedOn w:val="19"/>
    <w:autoRedefine/>
    <w:qFormat/>
    <w:uiPriority w:val="0"/>
    <w:rPr>
      <w:rFonts w:ascii="Tahoma" w:hAnsi="Tahoma"/>
      <w:sz w:val="24"/>
    </w:rPr>
  </w:style>
  <w:style w:type="paragraph" w:customStyle="1" w:styleId="171">
    <w:name w:val="文档正文 Char Char Char Char Char"/>
    <w:basedOn w:val="1"/>
    <w:autoRedefine/>
    <w:qFormat/>
    <w:uiPriority w:val="0"/>
    <w:pPr>
      <w:adjustRightInd w:val="0"/>
      <w:spacing w:line="440" w:lineRule="exact"/>
      <w:ind w:firstLine="420"/>
      <w:textAlignment w:val="baseline"/>
    </w:pPr>
    <w:rPr>
      <w:rFonts w:ascii="Arial Narrow" w:hAnsi="Arial Narrow"/>
      <w:kern w:val="0"/>
      <w:sz w:val="24"/>
    </w:rPr>
  </w:style>
  <w:style w:type="paragraph" w:customStyle="1" w:styleId="172">
    <w:name w:val="Item Step in Table"/>
    <w:autoRedefine/>
    <w:qFormat/>
    <w:uiPriority w:val="0"/>
    <w:pPr>
      <w:numPr>
        <w:ilvl w:val="0"/>
        <w:numId w:val="5"/>
      </w:numPr>
      <w:tabs>
        <w:tab w:val="left" w:pos="397"/>
      </w:tabs>
      <w:spacing w:before="40" w:after="40"/>
      <w:jc w:val="both"/>
    </w:pPr>
    <w:rPr>
      <w:rFonts w:ascii="Arial" w:hAnsi="Arial" w:eastAsia="宋体" w:cs="Times New Roman"/>
      <w:sz w:val="18"/>
      <w:lang w:val="en-US" w:eastAsia="zh-CN" w:bidi="ar-SA"/>
    </w:rPr>
  </w:style>
  <w:style w:type="paragraph" w:customStyle="1" w:styleId="173">
    <w:name w:val="列表项目"/>
    <w:basedOn w:val="1"/>
    <w:autoRedefine/>
    <w:qFormat/>
    <w:uiPriority w:val="0"/>
    <w:pPr>
      <w:numPr>
        <w:ilvl w:val="0"/>
        <w:numId w:val="3"/>
      </w:numPr>
      <w:tabs>
        <w:tab w:val="left" w:pos="420"/>
        <w:tab w:val="clear" w:pos="1200"/>
      </w:tabs>
      <w:spacing w:line="288" w:lineRule="auto"/>
      <w:ind w:left="840" w:leftChars="200" w:hanging="420" w:hangingChars="200"/>
    </w:pPr>
    <w:rPr>
      <w:sz w:val="21"/>
    </w:rPr>
  </w:style>
  <w:style w:type="paragraph" w:customStyle="1" w:styleId="174">
    <w:name w:val="Figure Description"/>
    <w:next w:val="1"/>
    <w:autoRedefine/>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75">
    <w:name w:val="Char1 Char Char Char"/>
    <w:basedOn w:val="1"/>
    <w:autoRedefine/>
    <w:qFormat/>
    <w:uiPriority w:val="0"/>
    <w:rPr>
      <w:rFonts w:ascii="Tahoma" w:hAnsi="Tahoma"/>
      <w:sz w:val="30"/>
    </w:rPr>
  </w:style>
  <w:style w:type="paragraph" w:customStyle="1" w:styleId="176">
    <w:name w:val="1"/>
    <w:basedOn w:val="1"/>
    <w:next w:val="32"/>
    <w:autoRedefine/>
    <w:qFormat/>
    <w:uiPriority w:val="0"/>
    <w:rPr>
      <w:rFonts w:ascii="宋体" w:hAnsi="Courier New"/>
      <w:sz w:val="21"/>
    </w:rPr>
  </w:style>
  <w:style w:type="paragraph" w:customStyle="1" w:styleId="177">
    <w:name w:val="Style Heading 3h3Heading 3 - oldLevel 3 HeadH3level_3PIM 3se..."/>
    <w:basedOn w:val="6"/>
    <w:autoRedefine/>
    <w:qFormat/>
    <w:uiPriority w:val="0"/>
    <w:pPr>
      <w:numPr>
        <w:ilvl w:val="2"/>
        <w:numId w:val="2"/>
      </w:numPr>
      <w:tabs>
        <w:tab w:val="left" w:pos="709"/>
        <w:tab w:val="left" w:pos="1620"/>
      </w:tabs>
      <w:spacing w:line="413" w:lineRule="auto"/>
    </w:pPr>
  </w:style>
  <w:style w:type="paragraph" w:customStyle="1" w:styleId="178">
    <w:name w:val="bt"/>
    <w:basedOn w:val="1"/>
    <w:next w:val="24"/>
    <w:autoRedefine/>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79">
    <w:name w:val="二级列表"/>
    <w:basedOn w:val="180"/>
    <w:next w:val="180"/>
    <w:autoRedefine/>
    <w:qFormat/>
    <w:uiPriority w:val="0"/>
    <w:pPr>
      <w:tabs>
        <w:tab w:val="left" w:pos="2120"/>
      </w:tabs>
      <w:ind w:firstLine="0" w:firstLineChars="0"/>
    </w:pPr>
    <w:rPr>
      <w:b/>
    </w:rPr>
  </w:style>
  <w:style w:type="paragraph" w:customStyle="1" w:styleId="180">
    <w:name w:val="段落正文"/>
    <w:basedOn w:val="1"/>
    <w:autoRedefine/>
    <w:qFormat/>
    <w:uiPriority w:val="0"/>
    <w:pPr>
      <w:spacing w:before="156" w:beforeLines="50" w:beforeAutospacing="0" w:line="360" w:lineRule="auto"/>
      <w:ind w:firstLine="200" w:firstLineChars="200"/>
    </w:pPr>
    <w:rPr>
      <w:spacing w:val="2"/>
      <w:sz w:val="24"/>
    </w:rPr>
  </w:style>
  <w:style w:type="paragraph" w:customStyle="1" w:styleId="181">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82">
    <w:name w:val="没有缩进（为图形使用）"/>
    <w:basedOn w:val="1"/>
    <w:autoRedefine/>
    <w:qFormat/>
    <w:uiPriority w:val="0"/>
    <w:pPr>
      <w:spacing w:before="120" w:beforeLines="0" w:beforeAutospacing="0" w:after="120" w:afterLines="0" w:afterAutospacing="0" w:line="360" w:lineRule="auto"/>
    </w:pPr>
    <w:rPr>
      <w:sz w:val="24"/>
    </w:rPr>
  </w:style>
  <w:style w:type="paragraph" w:customStyle="1" w:styleId="183">
    <w:name w:val="Default"/>
    <w:autoRedefine/>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184">
    <w:name w:val="表格内文字"/>
    <w:basedOn w:val="32"/>
    <w:autoRedefine/>
    <w:qFormat/>
    <w:uiPriority w:val="0"/>
    <w:pPr>
      <w:adjustRightInd w:val="0"/>
    </w:pPr>
    <w:rPr>
      <w:color w:val="000000"/>
      <w:lang w:val="en-GB"/>
    </w:rPr>
  </w:style>
  <w:style w:type="paragraph" w:customStyle="1" w:styleId="185">
    <w:name w:val="样式1"/>
    <w:basedOn w:val="7"/>
    <w:autoRedefine/>
    <w:qFormat/>
    <w:uiPriority w:val="0"/>
    <w:pPr>
      <w:tabs>
        <w:tab w:val="left" w:pos="720"/>
      </w:tabs>
      <w:spacing w:before="500" w:beforeLines="0" w:beforeAutospacing="0" w:after="260" w:afterLines="0" w:afterAutospacing="0" w:line="560" w:lineRule="atLeast"/>
      <w:ind w:left="420" w:hanging="420"/>
    </w:pPr>
  </w:style>
  <w:style w:type="paragraph" w:customStyle="1" w:styleId="186">
    <w:name w:val=" Char Char Char Char Char Char Char Char Char Char Char Char Char Char Char Char"/>
    <w:basedOn w:val="1"/>
    <w:autoRedefine/>
    <w:qFormat/>
    <w:uiPriority w:val="0"/>
    <w:pPr>
      <w:tabs>
        <w:tab w:val="left" w:pos="360"/>
      </w:tabs>
    </w:pPr>
    <w:rPr>
      <w:sz w:val="24"/>
    </w:rPr>
  </w:style>
  <w:style w:type="paragraph" w:customStyle="1" w:styleId="187">
    <w:name w:val="Char"/>
    <w:basedOn w:val="1"/>
    <w:autoRedefine/>
    <w:qFormat/>
    <w:uiPriority w:val="0"/>
    <w:pPr>
      <w:spacing w:line="240" w:lineRule="atLeast"/>
      <w:ind w:left="420" w:firstLine="420"/>
    </w:pPr>
    <w:rPr>
      <w:kern w:val="0"/>
      <w:sz w:val="21"/>
    </w:rPr>
  </w:style>
  <w:style w:type="paragraph" w:customStyle="1" w:styleId="188">
    <w:name w:val="文章正文"/>
    <w:basedOn w:val="1"/>
    <w:autoRedefine/>
    <w:qFormat/>
    <w:uiPriority w:val="0"/>
    <w:pPr>
      <w:ind w:firstLine="560" w:firstLineChars="200"/>
    </w:pPr>
    <w:rPr>
      <w:rFonts w:ascii="仿宋_GB2312" w:hAnsi="宋体" w:eastAsia="仿宋_GB2312"/>
      <w:color w:val="000000"/>
    </w:rPr>
  </w:style>
  <w:style w:type="paragraph" w:customStyle="1" w:styleId="189">
    <w:name w:val="附录3"/>
    <w:basedOn w:val="1"/>
    <w:next w:val="1"/>
    <w:autoRedefine/>
    <w:qFormat/>
    <w:uiPriority w:val="0"/>
    <w:pPr>
      <w:numPr>
        <w:ilvl w:val="0"/>
        <w:numId w:val="0"/>
      </w:numPr>
      <w:tabs>
        <w:tab w:val="left" w:pos="851"/>
      </w:tabs>
      <w:ind w:left="425" w:hanging="425"/>
      <w:outlineLvl w:val="2"/>
    </w:pPr>
    <w:rPr>
      <w:rFonts w:eastAsia="黑体"/>
      <w:b/>
      <w:sz w:val="32"/>
    </w:rPr>
  </w:style>
  <w:style w:type="paragraph" w:customStyle="1" w:styleId="190">
    <w:name w:val="缺省文本"/>
    <w:basedOn w:val="1"/>
    <w:autoRedefine/>
    <w:qFormat/>
    <w:uiPriority w:val="0"/>
    <w:pPr>
      <w:tabs>
        <w:tab w:val="left" w:pos="1260"/>
      </w:tabs>
      <w:autoSpaceDE w:val="0"/>
      <w:autoSpaceDN w:val="0"/>
      <w:adjustRightInd w:val="0"/>
      <w:spacing w:line="360" w:lineRule="auto"/>
      <w:jc w:val="left"/>
    </w:pPr>
    <w:rPr>
      <w:kern w:val="0"/>
      <w:sz w:val="24"/>
    </w:rPr>
  </w:style>
  <w:style w:type="paragraph" w:customStyle="1" w:styleId="191">
    <w:name w:val=" Char Char Char Char Char Char Char Char Char Char Char Char Char"/>
    <w:basedOn w:val="1"/>
    <w:autoRedefine/>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2">
    <w:name w:val="图例"/>
    <w:basedOn w:val="1"/>
    <w:autoRedefine/>
    <w:qFormat/>
    <w:uiPriority w:val="0"/>
    <w:pPr>
      <w:spacing w:before="120" w:beforeLines="0" w:beforeAutospacing="0" w:after="120" w:afterLines="0" w:afterAutospacing="0" w:line="360" w:lineRule="auto"/>
      <w:jc w:val="center"/>
    </w:pPr>
    <w:rPr>
      <w:rFonts w:eastAsia="仿宋_GB2312"/>
      <w:b/>
      <w:sz w:val="24"/>
    </w:rPr>
  </w:style>
  <w:style w:type="paragraph" w:customStyle="1" w:styleId="193">
    <w:name w:val="样式 样式 首行缩进:  2 字符 + 首行缩进:  2 字符"/>
    <w:basedOn w:val="1"/>
    <w:autoRedefine/>
    <w:qFormat/>
    <w:uiPriority w:val="0"/>
    <w:pPr>
      <w:numPr>
        <w:ilvl w:val="0"/>
        <w:numId w:val="11"/>
      </w:numPr>
      <w:tabs>
        <w:tab w:val="clear" w:pos="1230"/>
      </w:tabs>
      <w:spacing w:line="360" w:lineRule="auto"/>
      <w:ind w:firstLine="480" w:firstLineChars="200"/>
    </w:pPr>
    <w:rPr>
      <w:sz w:val="24"/>
    </w:rPr>
  </w:style>
  <w:style w:type="paragraph" w:customStyle="1" w:styleId="194">
    <w:name w:val="Title - Revision"/>
    <w:basedOn w:val="55"/>
    <w:autoRedefine/>
    <w:qFormat/>
    <w:uiPriority w:val="0"/>
    <w:pPr>
      <w:spacing w:before="720" w:beforeLines="0" w:beforeAutospacing="0"/>
    </w:pPr>
  </w:style>
  <w:style w:type="paragraph" w:customStyle="1" w:styleId="195">
    <w:name w:val="正文表格"/>
    <w:basedOn w:val="1"/>
    <w:autoRedefine/>
    <w:qFormat/>
    <w:uiPriority w:val="0"/>
    <w:pPr>
      <w:adjustRightInd w:val="0"/>
      <w:spacing w:before="40" w:beforeLines="0" w:beforeAutospacing="0" w:after="40" w:afterLines="0" w:afterAutospacing="0"/>
    </w:pPr>
    <w:rPr>
      <w:sz w:val="24"/>
    </w:rPr>
  </w:style>
  <w:style w:type="paragraph" w:customStyle="1" w:styleId="196">
    <w:name w:val=" Char Char1 Char Char Char Char Char Char Char Char Char Char Char Char Char Char"/>
    <w:basedOn w:val="1"/>
    <w:autoRedefine/>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97">
    <w:name w:val="样式 正文缩进正文（首行缩进两字）表正文正文非缩进特点标题4段1 + 首行缩进:  2 字符"/>
    <w:basedOn w:val="17"/>
    <w:autoRedefine/>
    <w:qFormat/>
    <w:uiPriority w:val="0"/>
    <w:pPr>
      <w:ind w:firstLine="480" w:firstLineChars="200"/>
    </w:pPr>
  </w:style>
  <w:style w:type="paragraph" w:customStyle="1" w:styleId="198">
    <w:name w:val=" Char2 Char Char Char Char Char Char"/>
    <w:basedOn w:val="1"/>
    <w:autoRedefine/>
    <w:qFormat/>
    <w:uiPriority w:val="0"/>
    <w:rPr>
      <w:rFonts w:ascii="仿宋_GB2312"/>
      <w:b/>
      <w:sz w:val="30"/>
    </w:rPr>
  </w:style>
  <w:style w:type="paragraph" w:customStyle="1" w:styleId="199">
    <w:name w:val="样式2"/>
    <w:basedOn w:val="7"/>
    <w:autoRedefine/>
    <w:qFormat/>
    <w:uiPriority w:val="0"/>
    <w:pPr>
      <w:numPr>
        <w:ilvl w:val="0"/>
        <w:numId w:val="12"/>
      </w:numPr>
      <w:spacing w:before="560" w:beforeLines="0" w:line="400" w:lineRule="exact"/>
      <w:jc w:val="center"/>
      <w:outlineLvl w:val="0"/>
    </w:pPr>
    <w:rPr>
      <w:b w:val="0"/>
      <w:sz w:val="44"/>
    </w:rPr>
  </w:style>
  <w:style w:type="paragraph" w:customStyle="1" w:styleId="200">
    <w:name w:val="Pull Quote"/>
    <w:basedOn w:val="1"/>
    <w:autoRedefine/>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201">
    <w:name w:val=" Char Char Char Char Char"/>
    <w:basedOn w:val="1"/>
    <w:autoRedefine/>
    <w:qFormat/>
    <w:uiPriority w:val="0"/>
    <w:pPr>
      <w:numPr>
        <w:ilvl w:val="0"/>
        <w:numId w:val="2"/>
      </w:numPr>
      <w:tabs>
        <w:tab w:val="left" w:pos="425"/>
        <w:tab w:val="clear" w:pos="1620"/>
      </w:tabs>
    </w:pPr>
    <w:rPr>
      <w:rFonts w:ascii="Tahoma" w:hAnsi="Tahoma"/>
      <w:sz w:val="24"/>
    </w:rPr>
  </w:style>
  <w:style w:type="paragraph" w:customStyle="1" w:styleId="202">
    <w:name w:val="Note"/>
    <w:basedOn w:val="1"/>
    <w:autoRedefine/>
    <w:qFormat/>
    <w:uiPriority w:val="0"/>
    <w:pPr>
      <w:pBdr>
        <w:top w:val="single" w:color="auto" w:sz="12" w:space="3"/>
        <w:bottom w:val="single" w:color="auto" w:sz="12" w:space="3"/>
      </w:pBdr>
      <w:spacing w:line="360" w:lineRule="auto"/>
    </w:pPr>
    <w:rPr>
      <w:sz w:val="24"/>
    </w:rPr>
  </w:style>
  <w:style w:type="paragraph" w:customStyle="1" w:styleId="203">
    <w:name w:val="标题无"/>
    <w:basedOn w:val="1"/>
    <w:autoRedefine/>
    <w:qFormat/>
    <w:uiPriority w:val="0"/>
    <w:pPr>
      <w:spacing w:line="360" w:lineRule="auto"/>
    </w:pPr>
    <w:rPr>
      <w:sz w:val="24"/>
    </w:rPr>
  </w:style>
  <w:style w:type="paragraph" w:customStyle="1" w:styleId="204">
    <w:name w:val="文本框样式1"/>
    <w:basedOn w:val="1"/>
    <w:autoRedefine/>
    <w:qFormat/>
    <w:uiPriority w:val="0"/>
    <w:pPr>
      <w:adjustRightInd w:val="0"/>
      <w:snapToGrid w:val="0"/>
      <w:spacing w:before="60" w:beforeLines="0" w:beforeAutospacing="0" w:line="180" w:lineRule="exact"/>
      <w:jc w:val="center"/>
    </w:pPr>
    <w:rPr>
      <w:sz w:val="21"/>
    </w:rPr>
  </w:style>
  <w:style w:type="paragraph" w:customStyle="1" w:styleId="205">
    <w:name w:val="tabletext"/>
    <w:basedOn w:val="1"/>
    <w:autoRedefine/>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6">
    <w:name w:val="正文（首行不缩进）"/>
    <w:basedOn w:val="1"/>
    <w:autoRedefine/>
    <w:qFormat/>
    <w:uiPriority w:val="0"/>
    <w:pPr>
      <w:autoSpaceDE w:val="0"/>
      <w:autoSpaceDN w:val="0"/>
      <w:adjustRightInd w:val="0"/>
      <w:spacing w:line="360" w:lineRule="auto"/>
      <w:jc w:val="left"/>
    </w:pPr>
    <w:rPr>
      <w:kern w:val="0"/>
      <w:sz w:val="21"/>
    </w:rPr>
  </w:style>
  <w:style w:type="paragraph" w:customStyle="1" w:styleId="207">
    <w:name w:val="xl23"/>
    <w:basedOn w:val="1"/>
    <w:autoRedefine/>
    <w:qFormat/>
    <w:uiPriority w:val="0"/>
    <w:pPr>
      <w:widowControl/>
      <w:spacing w:before="100" w:beforeLines="0" w:beforeAutospacing="1" w:after="100" w:afterLines="0" w:afterAutospacing="1" w:line="360" w:lineRule="auto"/>
      <w:textAlignment w:val="top"/>
    </w:pPr>
    <w:rPr>
      <w:kern w:val="0"/>
      <w:sz w:val="24"/>
    </w:rPr>
  </w:style>
  <w:style w:type="paragraph" w:customStyle="1" w:styleId="208">
    <w:name w:val="样式 仿宋_GB2312 首行缩进:  2 字符"/>
    <w:basedOn w:val="1"/>
    <w:autoRedefine/>
    <w:qFormat/>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209">
    <w:name w:val="正文 + 三号"/>
    <w:basedOn w:val="1"/>
    <w:autoRedefine/>
    <w:qFormat/>
    <w:uiPriority w:val="0"/>
    <w:rPr>
      <w:sz w:val="21"/>
    </w:rPr>
  </w:style>
  <w:style w:type="paragraph" w:customStyle="1" w:styleId="210">
    <w:name w:val=" Char Char Char Char Char Char1 Char"/>
    <w:basedOn w:val="1"/>
    <w:autoRedefine/>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211">
    <w:name w:val="标题3——2"/>
    <w:basedOn w:val="6"/>
    <w:next w:val="57"/>
    <w:autoRedefine/>
    <w:qFormat/>
    <w:uiPriority w:val="0"/>
    <w:pPr>
      <w:tabs>
        <w:tab w:val="left" w:pos="1280"/>
        <w:tab w:val="right" w:leader="dot" w:pos="8777"/>
      </w:tabs>
      <w:spacing w:before="312" w:beforeLines="100" w:beforeAutospacing="0" w:after="0" w:afterLines="0" w:afterAutospacing="0" w:line="240" w:lineRule="auto"/>
      <w:ind w:left="851" w:hanging="851"/>
      <w:outlineLvl w:val="9"/>
    </w:pPr>
    <w:rPr>
      <w:rFonts w:ascii="黑体" w:hAnsi="宋体" w:eastAsia="黑体"/>
      <w:sz w:val="30"/>
    </w:rPr>
  </w:style>
  <w:style w:type="paragraph" w:customStyle="1" w:styleId="212">
    <w:name w:val="摘要"/>
    <w:basedOn w:val="1"/>
    <w:next w:val="5"/>
    <w:autoRedefine/>
    <w:qFormat/>
    <w:uiPriority w:val="0"/>
    <w:pPr>
      <w:spacing w:line="360" w:lineRule="auto"/>
    </w:pPr>
    <w:rPr>
      <w:rFonts w:eastAsia="黑体"/>
      <w:sz w:val="20"/>
    </w:rPr>
  </w:style>
  <w:style w:type="paragraph" w:customStyle="1" w:styleId="213">
    <w:name w:val="样式 宋体 五号 两端对齐 行距: 单倍行距"/>
    <w:basedOn w:val="1"/>
    <w:autoRedefine/>
    <w:qFormat/>
    <w:uiPriority w:val="0"/>
    <w:pPr>
      <w:adjustRightInd w:val="0"/>
      <w:textAlignment w:val="baseline"/>
    </w:pPr>
    <w:rPr>
      <w:rFonts w:ascii="宋体" w:hAnsi="宋体"/>
      <w:kern w:val="0"/>
      <w:sz w:val="21"/>
    </w:rPr>
  </w:style>
  <w:style w:type="paragraph" w:customStyle="1" w:styleId="214">
    <w:name w:val="标题2"/>
    <w:basedOn w:val="5"/>
    <w:autoRedefine/>
    <w:qFormat/>
    <w:uiPriority w:val="0"/>
    <w:pPr>
      <w:keepNext w:val="0"/>
      <w:keepLines w:val="0"/>
      <w:adjustRightInd w:val="0"/>
      <w:snapToGrid w:val="0"/>
      <w:spacing w:before="0" w:beforeLines="0" w:after="0" w:afterLines="0" w:line="360" w:lineRule="auto"/>
      <w:ind w:firstLine="574" w:firstLineChars="196"/>
      <w:outlineLvl w:val="9"/>
    </w:pPr>
    <w:rPr>
      <w:rFonts w:ascii="宋体" w:hAnsi="宋体" w:eastAsia="宋体"/>
      <w:spacing w:val="6"/>
      <w:sz w:val="28"/>
      <w:u w:val="single"/>
    </w:rPr>
  </w:style>
  <w:style w:type="paragraph" w:customStyle="1" w:styleId="215">
    <w:name w:val="普通正文"/>
    <w:basedOn w:val="1"/>
    <w:autoRedefine/>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216">
    <w:name w:val="样式1xz"/>
    <w:basedOn w:val="1"/>
    <w:autoRedefine/>
    <w:qFormat/>
    <w:uiPriority w:val="0"/>
    <w:pPr>
      <w:tabs>
        <w:tab w:val="left" w:pos="1050"/>
        <w:tab w:val="right" w:leader="dot" w:pos="8296"/>
      </w:tabs>
    </w:pPr>
    <w:rPr>
      <w:caps/>
      <w:spacing w:val="20"/>
      <w:sz w:val="24"/>
    </w:rPr>
  </w:style>
  <w:style w:type="paragraph" w:customStyle="1" w:styleId="217">
    <w:name w:val="二级条标题"/>
    <w:basedOn w:val="218"/>
    <w:next w:val="181"/>
    <w:autoRedefine/>
    <w:qFormat/>
    <w:uiPriority w:val="0"/>
    <w:pPr>
      <w:ind w:left="840"/>
      <w:outlineLvl w:val="3"/>
    </w:pPr>
  </w:style>
  <w:style w:type="paragraph" w:customStyle="1" w:styleId="218">
    <w:name w:val="一级条标题"/>
    <w:basedOn w:val="123"/>
    <w:next w:val="181"/>
    <w:autoRedefine/>
    <w:qFormat/>
    <w:uiPriority w:val="0"/>
    <w:pPr>
      <w:numPr>
        <w:ilvl w:val="1"/>
        <w:numId w:val="0"/>
      </w:numPr>
      <w:spacing w:before="0" w:beforeLines="0" w:beforeAutospacing="0" w:after="0" w:afterLines="0" w:afterAutospacing="0"/>
      <w:ind w:left="525"/>
      <w:outlineLvl w:val="2"/>
    </w:pPr>
    <w:rPr>
      <w:sz w:val="21"/>
    </w:rPr>
  </w:style>
  <w:style w:type="paragraph" w:customStyle="1" w:styleId="219">
    <w:name w:val="Body Text 2"/>
    <w:basedOn w:val="1"/>
    <w:autoRedefine/>
    <w:qFormat/>
    <w:uiPriority w:val="0"/>
    <w:pPr>
      <w:adjustRightInd w:val="0"/>
      <w:spacing w:before="120" w:beforeLines="0" w:beforeAutospacing="0" w:line="360" w:lineRule="auto"/>
      <w:ind w:firstLine="480"/>
      <w:textAlignment w:val="baseline"/>
    </w:pPr>
    <w:rPr>
      <w:sz w:val="24"/>
    </w:rPr>
  </w:style>
  <w:style w:type="paragraph" w:customStyle="1" w:styleId="220">
    <w:name w:val=" Char Char 字元 字元 字元 Char Char Char Char"/>
    <w:basedOn w:val="1"/>
    <w:autoRedefine/>
    <w:qFormat/>
    <w:uiPriority w:val="0"/>
    <w:pPr>
      <w:adjustRightInd w:val="0"/>
      <w:spacing w:line="360" w:lineRule="auto"/>
    </w:pPr>
    <w:rPr>
      <w:kern w:val="0"/>
      <w:sz w:val="24"/>
    </w:rPr>
  </w:style>
  <w:style w:type="paragraph" w:customStyle="1" w:styleId="221">
    <w:name w:val="Char Char Char Char"/>
    <w:basedOn w:val="1"/>
    <w:autoRedefine/>
    <w:qFormat/>
    <w:uiPriority w:val="0"/>
    <w:pPr>
      <w:pageBreakBefore/>
      <w:widowControl/>
      <w:spacing w:after="160" w:afterLines="0" w:line="240" w:lineRule="exact"/>
      <w:jc w:val="left"/>
    </w:pPr>
    <w:rPr>
      <w:rFonts w:ascii="Verdana" w:hAnsi="Verdana"/>
      <w:kern w:val="0"/>
      <w:sz w:val="20"/>
      <w:lang w:eastAsia="en-US"/>
    </w:rPr>
  </w:style>
  <w:style w:type="paragraph" w:customStyle="1" w:styleId="222">
    <w:name w:val="样式 标题 1 + 居中 段前: 6 磅 段后: 6 磅 行距: 1.5 倍行距"/>
    <w:basedOn w:val="4"/>
    <w:autoRedefine/>
    <w:qFormat/>
    <w:uiPriority w:val="0"/>
    <w:pPr>
      <w:keepLines/>
      <w:adjustRightInd w:val="0"/>
      <w:spacing w:before="120" w:beforeLines="0" w:beforeAutospacing="0" w:after="120" w:afterLines="0" w:afterAutospacing="0" w:line="360" w:lineRule="auto"/>
      <w:jc w:val="center"/>
    </w:pPr>
    <w:rPr>
      <w:rFonts w:ascii="Times New Roman"/>
      <w:b w:val="0"/>
      <w:kern w:val="44"/>
      <w:sz w:val="32"/>
    </w:rPr>
  </w:style>
  <w:style w:type="paragraph" w:customStyle="1" w:styleId="223">
    <w:name w:val="标准正文"/>
    <w:basedOn w:val="25"/>
    <w:autoRedefine/>
    <w:qFormat/>
    <w:uiPriority w:val="0"/>
    <w:pPr>
      <w:spacing w:before="60" w:beforeLines="0" w:after="60" w:afterLines="0" w:line="360" w:lineRule="auto"/>
      <w:ind w:left="0" w:firstLine="482"/>
    </w:pPr>
    <w:rPr>
      <w:rFonts w:ascii="Arial" w:hAnsi="Arial"/>
      <w:sz w:val="24"/>
    </w:rPr>
  </w:style>
  <w:style w:type="paragraph" w:customStyle="1" w:styleId="224">
    <w:name w:val="Title - Date"/>
    <w:basedOn w:val="55"/>
    <w:next w:val="1"/>
    <w:autoRedefine/>
    <w:qFormat/>
    <w:uiPriority w:val="0"/>
    <w:pPr>
      <w:spacing w:before="240" w:beforeLines="0" w:beforeAutospacing="0" w:after="720" w:afterLines="0" w:afterAutospacing="0"/>
    </w:pPr>
    <w:rPr>
      <w:sz w:val="28"/>
    </w:rPr>
  </w:style>
  <w:style w:type="paragraph" w:customStyle="1" w:styleId="225">
    <w:name w:val="af"/>
    <w:basedOn w:val="1"/>
    <w:autoRedefine/>
    <w:qFormat/>
    <w:uiPriority w:val="0"/>
    <w:pPr>
      <w:widowControl/>
      <w:spacing w:line="300" w:lineRule="atLeast"/>
      <w:jc w:val="left"/>
    </w:pPr>
    <w:rPr>
      <w:rFonts w:ascii="宋体" w:hAnsi="宋体"/>
      <w:kern w:val="0"/>
      <w:sz w:val="18"/>
    </w:rPr>
  </w:style>
  <w:style w:type="paragraph" w:customStyle="1" w:styleId="226">
    <w:name w:val="标题5"/>
    <w:basedOn w:val="1"/>
    <w:autoRedefine/>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227">
    <w:name w:val="1.正文"/>
    <w:basedOn w:val="1"/>
    <w:autoRedefine/>
    <w:qFormat/>
    <w:uiPriority w:val="0"/>
    <w:pPr>
      <w:spacing w:line="360" w:lineRule="auto"/>
      <w:ind w:left="540" w:leftChars="225" w:firstLine="540" w:firstLineChars="225"/>
    </w:pPr>
    <w:rPr>
      <w:sz w:val="24"/>
    </w:rPr>
  </w:style>
  <w:style w:type="paragraph" w:customStyle="1" w:styleId="228">
    <w:name w:val=" Char"/>
    <w:basedOn w:val="1"/>
    <w:autoRedefine/>
    <w:qFormat/>
    <w:uiPriority w:val="0"/>
    <w:pPr>
      <w:spacing w:line="240" w:lineRule="atLeast"/>
      <w:ind w:left="420" w:firstLine="420"/>
    </w:pPr>
    <w:rPr>
      <w:kern w:val="0"/>
      <w:sz w:val="21"/>
    </w:rPr>
  </w:style>
  <w:style w:type="paragraph" w:customStyle="1" w:styleId="229">
    <w:name w:val="CSS1级正文 Char"/>
    <w:basedOn w:val="24"/>
    <w:autoRedefine/>
    <w:qFormat/>
    <w:uiPriority w:val="0"/>
    <w:pPr>
      <w:adjustRightInd w:val="0"/>
      <w:snapToGrid w:val="0"/>
      <w:spacing w:line="360" w:lineRule="auto"/>
      <w:ind w:firstLine="480"/>
    </w:pPr>
    <w:rPr>
      <w:rFonts w:ascii="Times New Roman" w:eastAsia="宋体"/>
      <w:sz w:val="24"/>
    </w:rPr>
  </w:style>
  <w:style w:type="paragraph" w:customStyle="1" w:styleId="230">
    <w:name w:val="项目"/>
    <w:basedOn w:val="1"/>
    <w:autoRedefine/>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231">
    <w:name w:val="默认段落字体 Para Char Char Char Char Char Char Char"/>
    <w:basedOn w:val="1"/>
    <w:autoRedefine/>
    <w:qFormat/>
    <w:uiPriority w:val="0"/>
    <w:rPr>
      <w:rFonts w:ascii="Tahoma" w:hAnsi="Tahoma"/>
      <w:sz w:val="24"/>
    </w:rPr>
  </w:style>
  <w:style w:type="paragraph" w:customStyle="1" w:styleId="232">
    <w:name w:val=" Char Char1"/>
    <w:basedOn w:val="1"/>
    <w:autoRedefine/>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233">
    <w:name w:val="Table Text Char1"/>
    <w:autoRedefine/>
    <w:qFormat/>
    <w:uiPriority w:val="0"/>
    <w:pPr>
      <w:snapToGrid w:val="0"/>
      <w:spacing w:before="80" w:after="80"/>
    </w:pPr>
    <w:rPr>
      <w:rFonts w:ascii="Arial" w:hAnsi="Arial" w:eastAsia="宋体" w:cs="Times New Roman"/>
      <w:kern w:val="2"/>
      <w:sz w:val="18"/>
      <w:lang w:val="en-US" w:eastAsia="zh-CN" w:bidi="ar-SA"/>
    </w:rPr>
  </w:style>
  <w:style w:type="paragraph" w:customStyle="1" w:styleId="234">
    <w:name w:val=" Char Char Char1 Char Char Char Char Char Char Char Char Char Char Char Char Char"/>
    <w:basedOn w:val="1"/>
    <w:autoRedefine/>
    <w:qFormat/>
    <w:uiPriority w:val="0"/>
    <w:pPr>
      <w:widowControl/>
      <w:spacing w:after="160" w:afterLines="0" w:line="240" w:lineRule="exact"/>
      <w:jc w:val="left"/>
    </w:pPr>
    <w:rPr>
      <w:rFonts w:ascii="Verdana" w:hAnsi="Verdana"/>
      <w:kern w:val="0"/>
      <w:sz w:val="18"/>
      <w:lang w:eastAsia="en-US"/>
    </w:rPr>
  </w:style>
  <w:style w:type="paragraph" w:customStyle="1" w:styleId="235">
    <w:name w:val="正文字缩2字"/>
    <w:basedOn w:val="1"/>
    <w:autoRedefine/>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236">
    <w:name w:val="表格文本"/>
    <w:autoRedefine/>
    <w:qFormat/>
    <w:uiPriority w:val="0"/>
    <w:pPr>
      <w:tabs>
        <w:tab w:val="decimal" w:pos="0"/>
      </w:tabs>
    </w:pPr>
    <w:rPr>
      <w:rFonts w:ascii="Arial" w:hAnsi="Arial" w:eastAsia="宋体" w:cs="Times New Roman"/>
      <w:sz w:val="21"/>
      <w:lang w:val="en-US" w:eastAsia="zh-CN" w:bidi="ar-SA"/>
    </w:rPr>
  </w:style>
  <w:style w:type="paragraph" w:customStyle="1" w:styleId="237">
    <w:name w:val="表格1"/>
    <w:basedOn w:val="1"/>
    <w:next w:val="1"/>
    <w:autoRedefine/>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238">
    <w:name w:val="Table Contents"/>
    <w:basedOn w:val="24"/>
    <w:autoRedefine/>
    <w:qFormat/>
    <w:uiPriority w:val="0"/>
    <w:pPr>
      <w:suppressAutoHyphens/>
      <w:jc w:val="left"/>
    </w:pPr>
    <w:rPr>
      <w:rFonts w:ascii="Times New Roman" w:eastAsia="Times New Roman"/>
      <w:kern w:val="0"/>
      <w:sz w:val="24"/>
    </w:rPr>
  </w:style>
  <w:style w:type="paragraph" w:customStyle="1" w:styleId="239">
    <w:name w:val="xl40"/>
    <w:basedOn w:val="1"/>
    <w:autoRedefine/>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240">
    <w:name w:val="Table Text Char Char"/>
    <w:autoRedefine/>
    <w:qFormat/>
    <w:uiPriority w:val="0"/>
    <w:pPr>
      <w:snapToGrid w:val="0"/>
      <w:spacing w:before="80" w:after="80"/>
    </w:pPr>
    <w:rPr>
      <w:rFonts w:ascii="Arial" w:hAnsi="Arial" w:eastAsia="宋体" w:cs="Times New Roman"/>
      <w:kern w:val="2"/>
      <w:sz w:val="18"/>
      <w:lang w:val="en-US" w:eastAsia="zh-CN" w:bidi="ar-SA"/>
    </w:rPr>
  </w:style>
  <w:style w:type="paragraph" w:customStyle="1" w:styleId="241">
    <w:name w:val="样式 标题 6第五层条 + 三号 段前: 0.5 行"/>
    <w:basedOn w:val="9"/>
    <w:autoRedefine/>
    <w:qFormat/>
    <w:uiPriority w:val="0"/>
    <w:pPr>
      <w:widowControl/>
      <w:numPr>
        <w:ilvl w:val="0"/>
        <w:numId w:val="0"/>
      </w:numPr>
      <w:adjustRightInd/>
      <w:snapToGrid/>
      <w:spacing w:before="156" w:beforeLines="50" w:beforeAutospacing="0"/>
      <w:ind w:left="1152" w:hanging="1152"/>
      <w:jc w:val="left"/>
    </w:pPr>
    <w:rPr>
      <w:snapToGrid w:val="0"/>
      <w:kern w:val="24"/>
      <w:sz w:val="28"/>
    </w:rPr>
  </w:style>
  <w:style w:type="paragraph" w:customStyle="1" w:styleId="242">
    <w:name w:val="附录2"/>
    <w:basedOn w:val="1"/>
    <w:next w:val="1"/>
    <w:autoRedefine/>
    <w:qFormat/>
    <w:uiPriority w:val="0"/>
    <w:pPr>
      <w:tabs>
        <w:tab w:val="left" w:pos="420"/>
        <w:tab w:val="left" w:pos="624"/>
      </w:tabs>
      <w:ind w:left="420" w:hanging="420"/>
      <w:outlineLvl w:val="1"/>
    </w:pPr>
    <w:rPr>
      <w:rFonts w:ascii="黑体" w:hAnsi="黑体" w:eastAsia="黑体"/>
      <w:b/>
      <w:sz w:val="32"/>
    </w:rPr>
  </w:style>
  <w:style w:type="paragraph" w:customStyle="1" w:styleId="243">
    <w:name w:val="样式4"/>
    <w:basedOn w:val="7"/>
    <w:autoRedefine/>
    <w:qFormat/>
    <w:uiPriority w:val="0"/>
    <w:pPr>
      <w:adjustRightInd w:val="0"/>
      <w:snapToGrid w:val="0"/>
    </w:pPr>
  </w:style>
  <w:style w:type="paragraph" w:customStyle="1" w:styleId="244">
    <w:name w:val="文本1"/>
    <w:basedOn w:val="1"/>
    <w:autoRedefine/>
    <w:qFormat/>
    <w:uiPriority w:val="0"/>
    <w:pPr>
      <w:adjustRightInd w:val="0"/>
      <w:spacing w:line="312" w:lineRule="atLeast"/>
      <w:jc w:val="center"/>
      <w:textAlignment w:val="baseline"/>
    </w:pPr>
    <w:rPr>
      <w:kern w:val="0"/>
      <w:sz w:val="18"/>
    </w:rPr>
  </w:style>
  <w:style w:type="paragraph" w:customStyle="1" w:styleId="245">
    <w:name w:val="表头文本"/>
    <w:autoRedefine/>
    <w:qFormat/>
    <w:uiPriority w:val="0"/>
    <w:pPr>
      <w:jc w:val="center"/>
    </w:pPr>
    <w:rPr>
      <w:rFonts w:ascii="Arial" w:hAnsi="Arial" w:eastAsia="宋体" w:cs="Times New Roman"/>
      <w:b/>
      <w:sz w:val="21"/>
      <w:lang w:val="en-US" w:eastAsia="zh-CN" w:bidi="ar-SA"/>
    </w:rPr>
  </w:style>
  <w:style w:type="paragraph" w:customStyle="1" w:styleId="246">
    <w:name w:val="_正文段落"/>
    <w:basedOn w:val="1"/>
    <w:autoRedefine/>
    <w:qFormat/>
    <w:uiPriority w:val="0"/>
    <w:pPr>
      <w:spacing w:before="46" w:beforeLines="15" w:after="46" w:afterLines="15" w:line="360" w:lineRule="auto"/>
      <w:ind w:firstLine="200" w:firstLineChars="200"/>
    </w:pPr>
    <w:rPr>
      <w:rFonts w:ascii="Calibri" w:hAnsi="Calibri" w:eastAsia="宋体"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38</Pages>
  <Words>8038</Words>
  <Characters>8452</Characters>
  <Lines>180</Lines>
  <Paragraphs>50</Paragraphs>
  <TotalTime>31</TotalTime>
  <ScaleCrop>false</ScaleCrop>
  <LinksUpToDate>false</LinksUpToDate>
  <CharactersWithSpaces>8650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2021-04-06T03:52:00Z</dcterms:created>
  <dc:creator>一一</dc:creator>
  <cp:lastModifiedBy>小鬼当家</cp:lastModifiedBy>
  <cp:lastPrinted>2024-12-17T04:05:00Z</cp:lastPrinted>
  <dcterms:modified xsi:type="dcterms:W3CDTF">2025-01-02T03:06:47Z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05BE94822B8D4075804298D2B4A7E4CB_13</vt:lpwstr>
  </property>
  <property fmtid="{D5CDD505-2E9C-101B-9397-08002B2CF9AE}" pid="4" name="KSOTemplateDocerSaveRecord">
    <vt:lpwstr>eyJoZGlkIjoiNDA2MTNkMGRlMzg1ZDkxYzc4NjQ5MTViNWMyNmU5ZjMiLCJ1c2VySWQiOiI2MTk3MTE5NjAifQ==</vt:lpwstr>
  </property>
</Properties>
</file>