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ind w:left="0" w:leftChars="0" w:firstLine="0" w:firstLineChars="0"/>
        <w:rPr>
          <w:rFonts w:hint="default" w:ascii="Times New Roman" w:hAnsi="Times New Roman" w:eastAsia="国标黑体" w:cs="国标黑体"/>
          <w:b w:val="0"/>
          <w:bCs/>
          <w:sz w:val="32"/>
          <w:szCs w:val="32"/>
          <w:lang w:val="en-US" w:eastAsia="zh-CN"/>
        </w:rPr>
      </w:pPr>
      <w:bookmarkStart w:id="0" w:name="dispatchname"/>
      <w:r>
        <w:rPr>
          <w:rFonts w:hint="eastAsia" w:ascii="Times New Roman" w:hAnsi="Times New Roman" w:eastAsia="国标黑体" w:cs="国标黑体"/>
          <w:b w:val="0"/>
          <w:bCs/>
          <w:sz w:val="32"/>
          <w:szCs w:val="32"/>
          <w:lang w:eastAsia="zh-CN"/>
        </w:rPr>
        <w:t>附件</w:t>
      </w:r>
      <w:r>
        <w:rPr>
          <w:rFonts w:hint="eastAsia" w:ascii="Times New Roman" w:hAnsi="Times New Roman" w:eastAsia="国标黑体" w:cs="国标黑体"/>
          <w:b w:val="0"/>
          <w:bCs/>
          <w:sz w:val="32"/>
          <w:szCs w:val="32"/>
          <w:lang w:val="en-US" w:eastAsia="zh-CN"/>
        </w:rPr>
        <w:t>1</w:t>
      </w:r>
      <w:bookmarkStart w:id="2" w:name="_GoBack"/>
      <w:bookmarkEnd w:id="2"/>
    </w:p>
    <w:bookmarkEnd w:id="0"/>
    <w:p>
      <w:pPr>
        <w:spacing w:line="540" w:lineRule="exact"/>
        <w:jc w:val="center"/>
        <w:rPr>
          <w:rFonts w:ascii="Times New Roman" w:hAnsi="Times New Roman" w:eastAsia="方正小标宋简体" w:cs="Times New Roman"/>
          <w:spacing w:val="0"/>
          <w:sz w:val="44"/>
          <w:szCs w:val="44"/>
        </w:rPr>
      </w:pPr>
      <w:bookmarkStart w:id="1" w:name="maindelivery"/>
      <w:r>
        <w:rPr>
          <w:rFonts w:ascii="Times New Roman" w:hAnsi="Times New Roman" w:eastAsia="方正小标宋简体" w:cs="Times New Roman"/>
          <w:spacing w:val="0"/>
          <w:sz w:val="44"/>
          <w:szCs w:val="44"/>
        </w:rPr>
        <w:t>关于进一步优化服务推进医药产业</w:t>
      </w:r>
    </w:p>
    <w:p>
      <w:pPr>
        <w:spacing w:line="540" w:lineRule="exact"/>
        <w:jc w:val="center"/>
        <w:rPr>
          <w:rFonts w:ascii="Times New Roman" w:hAnsi="Times New Roman" w:eastAsia="方正小标宋简体" w:cs="Times New Roman"/>
          <w:spacing w:val="0"/>
          <w:sz w:val="44"/>
          <w:szCs w:val="44"/>
        </w:rPr>
      </w:pPr>
      <w:r>
        <w:rPr>
          <w:rFonts w:ascii="Times New Roman" w:hAnsi="Times New Roman" w:eastAsia="方正小标宋简体" w:cs="Times New Roman"/>
          <w:spacing w:val="0"/>
          <w:sz w:val="44"/>
          <w:szCs w:val="44"/>
        </w:rPr>
        <w:t>高质量发展若干措施</w:t>
      </w:r>
    </w:p>
    <w:p>
      <w:pPr>
        <w:spacing w:line="540" w:lineRule="exact"/>
        <w:jc w:val="center"/>
        <w:rPr>
          <w:rFonts w:ascii="Times New Roman" w:hAnsi="Times New Roman" w:eastAsia="楷体_GB2312" w:cs="Times New Roman"/>
          <w:b/>
          <w:bCs/>
          <w:spacing w:val="0"/>
          <w:sz w:val="32"/>
          <w:szCs w:val="32"/>
        </w:rPr>
      </w:pPr>
      <w:r>
        <w:rPr>
          <w:rFonts w:ascii="Times New Roman" w:hAnsi="Times New Roman" w:eastAsia="楷体_GB2312" w:cs="Times New Roman"/>
          <w:b/>
          <w:bCs/>
          <w:spacing w:val="0"/>
          <w:sz w:val="32"/>
          <w:szCs w:val="32"/>
        </w:rPr>
        <w:t xml:space="preserve"> </w:t>
      </w:r>
      <w:r>
        <w:rPr>
          <w:rFonts w:ascii="Times New Roman" w:hAnsi="Times New Roman" w:eastAsia="楷体_GB2312" w:cs="Times New Roman"/>
          <w:spacing w:val="0"/>
          <w:sz w:val="32"/>
          <w:szCs w:val="32"/>
        </w:rPr>
        <w:t>（</w:t>
      </w:r>
      <w:r>
        <w:rPr>
          <w:rFonts w:hint="eastAsia" w:ascii="Times New Roman" w:hAnsi="Times New Roman" w:eastAsia="楷体_GB2312" w:cs="Times New Roman"/>
          <w:spacing w:val="0"/>
          <w:sz w:val="32"/>
          <w:szCs w:val="32"/>
          <w:lang w:eastAsia="zh-CN"/>
        </w:rPr>
        <w:t>征求意见</w:t>
      </w:r>
      <w:r>
        <w:rPr>
          <w:rFonts w:ascii="Times New Roman" w:hAnsi="Times New Roman" w:eastAsia="楷体_GB2312" w:cs="Times New Roman"/>
          <w:spacing w:val="0"/>
          <w:sz w:val="32"/>
          <w:szCs w:val="32"/>
        </w:rPr>
        <w:t>稿）</w:t>
      </w:r>
    </w:p>
    <w:p>
      <w:pPr>
        <w:spacing w:line="540" w:lineRule="exact"/>
        <w:ind w:firstLine="640" w:firstLineChars="200"/>
        <w:rPr>
          <w:rFonts w:ascii="Times New Roman" w:hAnsi="Times New Roman" w:eastAsia="仿宋_GB2312" w:cs="Times New Roman"/>
          <w:spacing w:val="0"/>
          <w:sz w:val="32"/>
          <w:szCs w:val="32"/>
        </w:rPr>
      </w:pPr>
    </w:p>
    <w:p>
      <w:pPr>
        <w:spacing w:line="540" w:lineRule="exact"/>
        <w:ind w:firstLine="640" w:firstLineChars="200"/>
        <w:rPr>
          <w:rFonts w:ascii="Times New Roman" w:hAnsi="Times New Roman" w:eastAsia="仿宋_GB2312" w:cs="Times New Roman"/>
          <w:color w:val="000000"/>
          <w:spacing w:val="0"/>
          <w:sz w:val="32"/>
          <w:szCs w:val="24"/>
        </w:rPr>
      </w:pPr>
      <w:r>
        <w:rPr>
          <w:rFonts w:ascii="Times New Roman" w:hAnsi="Times New Roman" w:eastAsia="仿宋_GB2312" w:cs="Times New Roman"/>
          <w:color w:val="000000"/>
          <w:spacing w:val="0"/>
          <w:sz w:val="32"/>
          <w:szCs w:val="32"/>
        </w:rPr>
        <w:t>为进一步贯彻落实《福建省加快生物医药产业高质量发展实施方案》（闽政〔2022〕10号）（以下简称《实施方案》），深入推进“放管服”改革，提</w:t>
      </w:r>
      <w:r>
        <w:rPr>
          <w:rFonts w:hint="eastAsia" w:ascii="Times New Roman" w:hAnsi="Times New Roman" w:eastAsia="仿宋_GB2312" w:cs="Times New Roman"/>
          <w:color w:val="000000"/>
          <w:spacing w:val="0"/>
          <w:sz w:val="32"/>
          <w:szCs w:val="32"/>
          <w:lang w:eastAsia="zh-CN"/>
        </w:rPr>
        <w:t>升</w:t>
      </w:r>
      <w:r>
        <w:rPr>
          <w:rFonts w:ascii="Times New Roman" w:hAnsi="Times New Roman" w:eastAsia="仿宋_GB2312" w:cs="Times New Roman"/>
          <w:color w:val="000000"/>
          <w:spacing w:val="0"/>
          <w:sz w:val="32"/>
          <w:szCs w:val="32"/>
        </w:rPr>
        <w:t>药品医疗器械审评审批效率和服务水平，促进医药产业优化升级和高质量发展，</w:t>
      </w:r>
      <w:r>
        <w:rPr>
          <w:rFonts w:hint="eastAsia" w:ascii="Times New Roman" w:hAnsi="Times New Roman" w:eastAsia="仿宋_GB2312" w:cs="Times New Roman"/>
          <w:color w:val="000000"/>
          <w:spacing w:val="0"/>
          <w:sz w:val="32"/>
          <w:szCs w:val="32"/>
          <w:lang w:eastAsia="zh-CN"/>
        </w:rPr>
        <w:t>省药监局</w:t>
      </w:r>
      <w:r>
        <w:rPr>
          <w:rFonts w:ascii="Times New Roman" w:hAnsi="Times New Roman" w:eastAsia="仿宋_GB2312" w:cs="Times New Roman"/>
          <w:color w:val="000000"/>
          <w:spacing w:val="0"/>
          <w:sz w:val="32"/>
          <w:szCs w:val="32"/>
        </w:rPr>
        <w:t>结合</w:t>
      </w:r>
      <w:r>
        <w:rPr>
          <w:rFonts w:hint="eastAsia" w:ascii="Times New Roman" w:hAnsi="Times New Roman" w:eastAsia="仿宋_GB2312" w:cs="Times New Roman"/>
          <w:color w:val="000000"/>
          <w:spacing w:val="0"/>
          <w:sz w:val="32"/>
          <w:szCs w:val="32"/>
          <w:lang w:eastAsia="zh-CN"/>
        </w:rPr>
        <w:t>全</w:t>
      </w:r>
      <w:r>
        <w:rPr>
          <w:rFonts w:ascii="Times New Roman" w:hAnsi="Times New Roman" w:eastAsia="仿宋_GB2312" w:cs="Times New Roman"/>
          <w:color w:val="000000"/>
          <w:spacing w:val="0"/>
          <w:sz w:val="32"/>
          <w:szCs w:val="32"/>
        </w:rPr>
        <w:t>省药品医疗器械监管工作实际，制定以下工作措施。</w:t>
      </w:r>
    </w:p>
    <w:p>
      <w:pPr>
        <w:tabs>
          <w:tab w:val="left" w:pos="1860"/>
        </w:tabs>
        <w:snapToGrid w:val="0"/>
        <w:spacing w:line="540" w:lineRule="exact"/>
        <w:ind w:firstLine="640" w:firstLineChars="200"/>
        <w:rPr>
          <w:rFonts w:hint="eastAsia" w:ascii="Times New Roman" w:hAnsi="Times New Roman" w:eastAsia="黑体" w:cs="Times New Roman"/>
          <w:color w:val="000000"/>
          <w:spacing w:val="0"/>
          <w:sz w:val="32"/>
          <w:szCs w:val="32"/>
        </w:rPr>
      </w:pPr>
      <w:r>
        <w:rPr>
          <w:rFonts w:hint="eastAsia" w:ascii="Times New Roman" w:hAnsi="Times New Roman" w:eastAsia="黑体" w:cs="Times New Roman"/>
          <w:color w:val="000000"/>
          <w:spacing w:val="0"/>
          <w:sz w:val="32"/>
          <w:szCs w:val="32"/>
        </w:rPr>
        <w:t>一、</w:t>
      </w:r>
      <w:r>
        <w:rPr>
          <w:rFonts w:hint="eastAsia" w:ascii="Times New Roman" w:hAnsi="Times New Roman" w:eastAsia="黑体" w:cs="Times New Roman"/>
          <w:color w:val="000000"/>
          <w:spacing w:val="0"/>
          <w:sz w:val="32"/>
          <w:szCs w:val="32"/>
          <w:lang w:eastAsia="zh-CN"/>
        </w:rPr>
        <w:t>支持</w:t>
      </w:r>
      <w:r>
        <w:rPr>
          <w:rFonts w:hint="eastAsia" w:ascii="Times New Roman" w:hAnsi="Times New Roman" w:eastAsia="黑体" w:cs="Times New Roman"/>
          <w:color w:val="000000"/>
          <w:spacing w:val="0"/>
          <w:sz w:val="32"/>
          <w:szCs w:val="32"/>
        </w:rPr>
        <w:t>药械研发和产品注册</w:t>
      </w:r>
    </w:p>
    <w:p>
      <w:pPr>
        <w:tabs>
          <w:tab w:val="left" w:pos="1860"/>
        </w:tabs>
        <w:snapToGrid w:val="0"/>
        <w:spacing w:line="540" w:lineRule="exact"/>
        <w:ind w:firstLine="643" w:firstLineChars="200"/>
        <w:rPr>
          <w:rFonts w:ascii="Times New Roman" w:hAnsi="Times New Roman" w:eastAsia="仿宋_GB2312" w:cs="Times New Roman"/>
          <w:color w:val="000000"/>
          <w:spacing w:val="0"/>
          <w:sz w:val="32"/>
          <w:szCs w:val="32"/>
        </w:rPr>
      </w:pPr>
      <w:r>
        <w:rPr>
          <w:rFonts w:ascii="Times New Roman" w:hAnsi="Times New Roman" w:eastAsia="楷体_GB2312" w:cs="Times New Roman"/>
          <w:b/>
          <w:color w:val="000000"/>
          <w:spacing w:val="0"/>
          <w:sz w:val="32"/>
          <w:szCs w:val="32"/>
        </w:rPr>
        <w:t>（一）鼓励新药研发和仿制药质量和疗效一致性评价。</w:t>
      </w:r>
      <w:r>
        <w:rPr>
          <w:rFonts w:hint="eastAsia" w:ascii="Times New Roman" w:hAnsi="Times New Roman" w:eastAsia="仿宋_GB2312" w:cs="Times New Roman"/>
          <w:color w:val="000000"/>
          <w:spacing w:val="0"/>
          <w:sz w:val="32"/>
          <w:szCs w:val="32"/>
          <w:lang w:eastAsia="zh-CN"/>
        </w:rPr>
        <w:t>对</w:t>
      </w:r>
      <w:r>
        <w:rPr>
          <w:rFonts w:hint="eastAsia" w:ascii="Times New Roman" w:hAnsi="Times New Roman" w:eastAsia="仿宋_GB2312" w:cs="Times New Roman"/>
          <w:color w:val="000000"/>
          <w:spacing w:val="0"/>
          <w:sz w:val="32"/>
          <w:szCs w:val="32"/>
        </w:rPr>
        <w:t>省内</w:t>
      </w:r>
      <w:r>
        <w:rPr>
          <w:rFonts w:ascii="Times New Roman" w:hAnsi="Times New Roman" w:eastAsia="仿宋_GB2312" w:cs="Times New Roman"/>
          <w:color w:val="000000"/>
          <w:spacing w:val="0"/>
          <w:sz w:val="32"/>
          <w:szCs w:val="32"/>
        </w:rPr>
        <w:t>上市许可持有人新药研发，指定专人专班，</w:t>
      </w:r>
      <w:r>
        <w:rPr>
          <w:rFonts w:hint="eastAsia" w:ascii="Times New Roman" w:hAnsi="Times New Roman" w:eastAsia="仿宋_GB2312" w:cs="Times New Roman"/>
          <w:color w:val="000000"/>
          <w:spacing w:val="0"/>
          <w:sz w:val="32"/>
          <w:szCs w:val="32"/>
          <w:lang w:eastAsia="zh-CN"/>
        </w:rPr>
        <w:t>实行“</w:t>
      </w:r>
      <w:r>
        <w:rPr>
          <w:rFonts w:ascii="Times New Roman" w:hAnsi="Times New Roman" w:eastAsia="仿宋_GB2312" w:cs="Times New Roman"/>
          <w:color w:val="000000"/>
          <w:spacing w:val="0"/>
          <w:sz w:val="32"/>
          <w:szCs w:val="32"/>
        </w:rPr>
        <w:t>提前介入、全程指导、跟踪服务</w:t>
      </w:r>
      <w:r>
        <w:rPr>
          <w:rFonts w:hint="eastAsia" w:ascii="Times New Roman" w:hAnsi="Times New Roman" w:eastAsia="仿宋_GB2312" w:cs="Times New Roman"/>
          <w:color w:val="000000"/>
          <w:spacing w:val="0"/>
          <w:sz w:val="32"/>
          <w:szCs w:val="32"/>
          <w:lang w:eastAsia="zh-CN"/>
        </w:rPr>
        <w:t>”等帮扶措施；</w:t>
      </w:r>
      <w:r>
        <w:rPr>
          <w:rFonts w:ascii="Times New Roman" w:hAnsi="Times New Roman" w:eastAsia="仿宋_GB2312" w:cs="Times New Roman"/>
          <w:color w:val="000000"/>
          <w:spacing w:val="0"/>
          <w:sz w:val="32"/>
          <w:szCs w:val="32"/>
        </w:rPr>
        <w:t>对申报新药和仿制药一致性评价品种，优先安排检查、检验检测和许可办理，配合国家药监局加快药品审评审批进程。</w:t>
      </w:r>
    </w:p>
    <w:p>
      <w:pPr>
        <w:tabs>
          <w:tab w:val="left" w:pos="1860"/>
        </w:tabs>
        <w:snapToGrid w:val="0"/>
        <w:spacing w:line="540" w:lineRule="exact"/>
        <w:ind w:firstLine="643" w:firstLineChars="200"/>
        <w:rPr>
          <w:rFonts w:ascii="Times New Roman" w:hAnsi="Times New Roman" w:eastAsia="仿宋_GB2312" w:cs="Times New Roman"/>
          <w:spacing w:val="-6"/>
          <w:sz w:val="32"/>
          <w:szCs w:val="20"/>
        </w:rPr>
      </w:pPr>
      <w:r>
        <w:rPr>
          <w:rFonts w:ascii="Times New Roman" w:hAnsi="Times New Roman" w:eastAsia="楷体_GB2312" w:cs="Times New Roman"/>
          <w:b/>
          <w:color w:val="000000"/>
          <w:spacing w:val="0"/>
          <w:sz w:val="32"/>
          <w:szCs w:val="32"/>
        </w:rPr>
        <w:t>（二）</w:t>
      </w:r>
      <w:r>
        <w:rPr>
          <w:rFonts w:hint="eastAsia" w:ascii="Times New Roman" w:hAnsi="Times New Roman" w:eastAsia="楷体_GB2312" w:cs="Times New Roman"/>
          <w:b/>
          <w:color w:val="000000"/>
          <w:spacing w:val="0"/>
          <w:sz w:val="32"/>
          <w:szCs w:val="32"/>
        </w:rPr>
        <w:t>支持</w:t>
      </w:r>
      <w:r>
        <w:rPr>
          <w:rFonts w:ascii="Times New Roman" w:hAnsi="Times New Roman" w:eastAsia="楷体_GB2312" w:cs="Times New Roman"/>
          <w:b/>
          <w:color w:val="000000"/>
          <w:spacing w:val="0"/>
          <w:sz w:val="32"/>
          <w:szCs w:val="32"/>
        </w:rPr>
        <w:t>药品上市许可持有人创新发展。</w:t>
      </w:r>
      <w:r>
        <w:rPr>
          <w:rFonts w:ascii="Times New Roman" w:hAnsi="Times New Roman" w:eastAsia="仿宋_GB2312" w:cs="Times New Roman"/>
          <w:color w:val="000000"/>
          <w:spacing w:val="0"/>
          <w:sz w:val="32"/>
          <w:szCs w:val="32"/>
        </w:rPr>
        <w:t>支持药品上市许可持有人</w:t>
      </w:r>
      <w:r>
        <w:rPr>
          <w:rFonts w:hint="eastAsia" w:ascii="Times New Roman" w:hAnsi="Times New Roman" w:eastAsia="仿宋_GB2312" w:cs="Times New Roman"/>
          <w:color w:val="000000"/>
          <w:spacing w:val="0"/>
          <w:sz w:val="32"/>
          <w:szCs w:val="24"/>
        </w:rPr>
        <w:t>或药品生产企业</w:t>
      </w:r>
      <w:r>
        <w:rPr>
          <w:rFonts w:ascii="Times New Roman" w:hAnsi="Times New Roman" w:eastAsia="仿宋_GB2312" w:cs="Times New Roman"/>
          <w:color w:val="000000"/>
          <w:spacing w:val="0"/>
          <w:sz w:val="32"/>
          <w:szCs w:val="32"/>
        </w:rPr>
        <w:t>在产品注册申报批准前，向省药监局申请附条件GMP符合性检查，缩短药品上市周期。</w:t>
      </w:r>
      <w:r>
        <w:rPr>
          <w:rFonts w:hint="eastAsia" w:ascii="Times New Roman" w:hAnsi="Times New Roman" w:eastAsia="仿宋_GB2312" w:cs="Times New Roman"/>
          <w:color w:val="000000"/>
          <w:spacing w:val="0"/>
          <w:sz w:val="32"/>
          <w:szCs w:val="32"/>
        </w:rPr>
        <w:t>鼓励</w:t>
      </w:r>
      <w:r>
        <w:rPr>
          <w:rFonts w:ascii="Times New Roman" w:hAnsi="Times New Roman" w:eastAsia="仿宋_GB2312" w:cs="Times New Roman"/>
          <w:color w:val="000000"/>
          <w:spacing w:val="0"/>
          <w:sz w:val="32"/>
          <w:szCs w:val="32"/>
        </w:rPr>
        <w:t>省内</w:t>
      </w:r>
      <w:r>
        <w:rPr>
          <w:rFonts w:hint="eastAsia" w:ascii="Times New Roman" w:hAnsi="Times New Roman" w:eastAsia="仿宋_GB2312" w:cs="Times New Roman"/>
          <w:color w:val="000000"/>
          <w:spacing w:val="0"/>
          <w:sz w:val="32"/>
          <w:szCs w:val="32"/>
        </w:rPr>
        <w:t>药品</w:t>
      </w:r>
      <w:r>
        <w:rPr>
          <w:rFonts w:ascii="Times New Roman" w:hAnsi="Times New Roman" w:eastAsia="仿宋_GB2312" w:cs="Times New Roman"/>
          <w:color w:val="000000"/>
          <w:spacing w:val="0"/>
          <w:sz w:val="32"/>
          <w:szCs w:val="32"/>
        </w:rPr>
        <w:t>研制机构持有</w:t>
      </w:r>
      <w:r>
        <w:rPr>
          <w:rFonts w:hint="eastAsia" w:ascii="Times New Roman" w:hAnsi="Times New Roman" w:eastAsia="仿宋_GB2312" w:cs="Times New Roman"/>
          <w:color w:val="000000"/>
          <w:spacing w:val="0"/>
          <w:sz w:val="32"/>
          <w:szCs w:val="32"/>
        </w:rPr>
        <w:t>药品上市许可，支持药品</w:t>
      </w:r>
      <w:r>
        <w:rPr>
          <w:rFonts w:ascii="Times New Roman" w:hAnsi="Times New Roman" w:eastAsia="仿宋_GB2312" w:cs="Times New Roman"/>
          <w:color w:val="000000"/>
          <w:spacing w:val="0"/>
          <w:sz w:val="32"/>
          <w:szCs w:val="32"/>
        </w:rPr>
        <w:t>研制机构委托省内企业生产药品，对于</w:t>
      </w:r>
      <w:r>
        <w:rPr>
          <w:rFonts w:hint="eastAsia" w:ascii="Times New Roman" w:hAnsi="Times New Roman" w:eastAsia="仿宋_GB2312" w:cs="Times New Roman"/>
          <w:color w:val="000000"/>
          <w:spacing w:val="0"/>
          <w:sz w:val="32"/>
          <w:szCs w:val="32"/>
        </w:rPr>
        <w:t>药品</w:t>
      </w:r>
      <w:r>
        <w:rPr>
          <w:rFonts w:ascii="Times New Roman" w:hAnsi="Times New Roman" w:eastAsia="仿宋_GB2312" w:cs="Times New Roman"/>
          <w:color w:val="000000"/>
          <w:spacing w:val="0"/>
          <w:sz w:val="32"/>
          <w:szCs w:val="32"/>
        </w:rPr>
        <w:t>研制机构申请《药品生产许可证》（B证）</w:t>
      </w:r>
      <w:r>
        <w:rPr>
          <w:rFonts w:hint="eastAsia" w:ascii="Times New Roman" w:hAnsi="Times New Roman" w:eastAsia="仿宋_GB2312" w:cs="Times New Roman"/>
          <w:color w:val="000000"/>
          <w:spacing w:val="0"/>
          <w:sz w:val="32"/>
          <w:szCs w:val="32"/>
          <w:lang w:eastAsia="zh-CN"/>
        </w:rPr>
        <w:t>给予</w:t>
      </w:r>
      <w:r>
        <w:rPr>
          <w:rFonts w:ascii="Times New Roman" w:hAnsi="Times New Roman" w:eastAsia="仿宋_GB2312" w:cs="Times New Roman"/>
          <w:color w:val="000000"/>
          <w:spacing w:val="0"/>
          <w:sz w:val="32"/>
          <w:szCs w:val="32"/>
        </w:rPr>
        <w:t>优先审批。鼓励</w:t>
      </w:r>
      <w:r>
        <w:rPr>
          <w:rFonts w:hint="eastAsia" w:ascii="Times New Roman" w:hAnsi="Times New Roman" w:eastAsia="仿宋_GB2312" w:cs="Times New Roman"/>
          <w:color w:val="000000"/>
          <w:spacing w:val="0"/>
          <w:sz w:val="32"/>
          <w:szCs w:val="32"/>
        </w:rPr>
        <w:t>省内企业</w:t>
      </w:r>
      <w:r>
        <w:rPr>
          <w:rFonts w:ascii="Times New Roman" w:hAnsi="Times New Roman" w:eastAsia="仿宋_GB2312" w:cs="Times New Roman"/>
          <w:color w:val="000000"/>
          <w:spacing w:val="0"/>
          <w:sz w:val="32"/>
          <w:szCs w:val="32"/>
        </w:rPr>
        <w:t>受让</w:t>
      </w:r>
      <w:r>
        <w:rPr>
          <w:rFonts w:hint="eastAsia" w:ascii="Times New Roman" w:hAnsi="Times New Roman" w:eastAsia="仿宋_GB2312" w:cs="Times New Roman"/>
          <w:color w:val="000000"/>
          <w:spacing w:val="0"/>
          <w:sz w:val="32"/>
          <w:szCs w:val="32"/>
        </w:rPr>
        <w:t>省外</w:t>
      </w:r>
      <w:r>
        <w:rPr>
          <w:rFonts w:ascii="Times New Roman" w:hAnsi="Times New Roman" w:eastAsia="仿宋_GB2312" w:cs="Times New Roman"/>
          <w:color w:val="000000"/>
          <w:spacing w:val="0"/>
          <w:sz w:val="32"/>
          <w:szCs w:val="32"/>
        </w:rPr>
        <w:t>已上市</w:t>
      </w:r>
      <w:r>
        <w:rPr>
          <w:rFonts w:hint="eastAsia" w:ascii="Times New Roman" w:hAnsi="Times New Roman" w:eastAsia="仿宋_GB2312" w:cs="Times New Roman"/>
          <w:color w:val="000000"/>
          <w:spacing w:val="0"/>
          <w:sz w:val="32"/>
          <w:szCs w:val="32"/>
        </w:rPr>
        <w:t>药品</w:t>
      </w:r>
      <w:r>
        <w:rPr>
          <w:rFonts w:ascii="Times New Roman" w:hAnsi="Times New Roman" w:eastAsia="仿宋_GB2312" w:cs="Times New Roman"/>
          <w:color w:val="000000"/>
          <w:spacing w:val="0"/>
          <w:sz w:val="32"/>
          <w:szCs w:val="32"/>
        </w:rPr>
        <w:t>品种，优先安排GMP 符合性检查</w:t>
      </w:r>
      <w:r>
        <w:rPr>
          <w:rFonts w:hint="eastAsia" w:ascii="Times New Roman" w:hAnsi="Times New Roman" w:eastAsia="仿宋_GB2312" w:cs="Times New Roman"/>
          <w:color w:val="000000"/>
          <w:spacing w:val="0"/>
          <w:sz w:val="32"/>
          <w:szCs w:val="32"/>
        </w:rPr>
        <w:t>，</w:t>
      </w:r>
      <w:r>
        <w:rPr>
          <w:rFonts w:ascii="Times New Roman" w:hAnsi="Times New Roman" w:eastAsia="仿宋_GB2312" w:cs="Times New Roman"/>
          <w:color w:val="000000"/>
          <w:spacing w:val="0"/>
          <w:sz w:val="32"/>
          <w:szCs w:val="32"/>
        </w:rPr>
        <w:t>对于后续将</w:t>
      </w:r>
      <w:r>
        <w:rPr>
          <w:rFonts w:hint="eastAsia" w:ascii="Times New Roman" w:hAnsi="Times New Roman" w:eastAsia="仿宋_GB2312" w:cs="Times New Roman"/>
          <w:color w:val="000000"/>
          <w:spacing w:val="0"/>
          <w:sz w:val="32"/>
          <w:szCs w:val="32"/>
        </w:rPr>
        <w:t>受让药品</w:t>
      </w:r>
      <w:r>
        <w:rPr>
          <w:rFonts w:ascii="Times New Roman" w:hAnsi="Times New Roman" w:eastAsia="仿宋_GB2312" w:cs="Times New Roman"/>
          <w:color w:val="000000"/>
          <w:spacing w:val="0"/>
          <w:sz w:val="32"/>
          <w:szCs w:val="32"/>
        </w:rPr>
        <w:t>品种转入</w:t>
      </w:r>
      <w:r>
        <w:rPr>
          <w:rFonts w:hint="eastAsia" w:ascii="Times New Roman" w:hAnsi="Times New Roman" w:eastAsia="仿宋_GB2312" w:cs="Times New Roman"/>
          <w:color w:val="000000"/>
          <w:spacing w:val="0"/>
          <w:sz w:val="32"/>
          <w:szCs w:val="32"/>
        </w:rPr>
        <w:t>省内</w:t>
      </w:r>
      <w:r>
        <w:rPr>
          <w:rFonts w:ascii="Times New Roman" w:hAnsi="Times New Roman" w:eastAsia="仿宋_GB2312" w:cs="Times New Roman"/>
          <w:color w:val="000000"/>
          <w:spacing w:val="0"/>
          <w:sz w:val="32"/>
          <w:szCs w:val="32"/>
        </w:rPr>
        <w:t>生产的，同步</w:t>
      </w:r>
      <w:r>
        <w:rPr>
          <w:rFonts w:hint="eastAsia" w:ascii="Times New Roman" w:hAnsi="Times New Roman" w:eastAsia="仿宋_GB2312" w:cs="Times New Roman"/>
          <w:color w:val="000000"/>
          <w:spacing w:val="0"/>
          <w:sz w:val="32"/>
          <w:szCs w:val="32"/>
        </w:rPr>
        <w:t>开展</w:t>
      </w:r>
      <w:r>
        <w:rPr>
          <w:rFonts w:ascii="Times New Roman" w:hAnsi="Times New Roman" w:eastAsia="仿宋_GB2312" w:cs="Times New Roman"/>
          <w:color w:val="000000"/>
          <w:spacing w:val="0"/>
          <w:sz w:val="32"/>
          <w:szCs w:val="32"/>
        </w:rPr>
        <w:t>药品生产许可现场检查、注册核查及GMP 符合性检查等。</w:t>
      </w:r>
    </w:p>
    <w:p>
      <w:pPr>
        <w:tabs>
          <w:tab w:val="left" w:pos="1860"/>
        </w:tabs>
        <w:snapToGrid w:val="0"/>
        <w:spacing w:line="540" w:lineRule="exact"/>
        <w:ind w:firstLine="643" w:firstLineChars="200"/>
        <w:rPr>
          <w:rFonts w:ascii="Times New Roman" w:hAnsi="Times New Roman" w:eastAsia="仿宋_GB2312" w:cs="Times New Roman"/>
          <w:color w:val="000000"/>
          <w:spacing w:val="0"/>
          <w:sz w:val="32"/>
          <w:szCs w:val="32"/>
        </w:rPr>
      </w:pPr>
      <w:r>
        <w:rPr>
          <w:rFonts w:ascii="Times New Roman" w:hAnsi="Times New Roman" w:eastAsia="楷体_GB2312" w:cs="Times New Roman"/>
          <w:b/>
          <w:color w:val="000000"/>
          <w:spacing w:val="0"/>
          <w:sz w:val="32"/>
          <w:szCs w:val="32"/>
        </w:rPr>
        <w:t>（</w:t>
      </w:r>
      <w:r>
        <w:rPr>
          <w:rFonts w:hint="eastAsia" w:ascii="Times New Roman" w:hAnsi="Times New Roman" w:eastAsia="楷体_GB2312" w:cs="Times New Roman"/>
          <w:b/>
          <w:color w:val="000000"/>
          <w:spacing w:val="0"/>
          <w:sz w:val="32"/>
          <w:szCs w:val="32"/>
          <w:lang w:eastAsia="zh-CN"/>
        </w:rPr>
        <w:t>三</w:t>
      </w:r>
      <w:r>
        <w:rPr>
          <w:rFonts w:ascii="Times New Roman" w:hAnsi="Times New Roman" w:eastAsia="楷体_GB2312" w:cs="Times New Roman"/>
          <w:b/>
          <w:color w:val="000000"/>
          <w:spacing w:val="0"/>
          <w:sz w:val="32"/>
          <w:szCs w:val="32"/>
        </w:rPr>
        <w:t>）支持第二类医疗器械</w:t>
      </w:r>
      <w:r>
        <w:rPr>
          <w:rFonts w:hint="eastAsia" w:ascii="Times New Roman" w:hAnsi="Times New Roman" w:eastAsia="楷体_GB2312" w:cs="Times New Roman"/>
          <w:b/>
          <w:color w:val="000000"/>
          <w:spacing w:val="0"/>
          <w:sz w:val="32"/>
          <w:szCs w:val="32"/>
          <w:lang w:eastAsia="zh-CN"/>
        </w:rPr>
        <w:t>注册人</w:t>
      </w:r>
      <w:r>
        <w:rPr>
          <w:rFonts w:ascii="Times New Roman" w:hAnsi="Times New Roman" w:eastAsia="楷体_GB2312" w:cs="Times New Roman"/>
          <w:b/>
          <w:color w:val="000000"/>
          <w:spacing w:val="0"/>
          <w:sz w:val="32"/>
          <w:szCs w:val="32"/>
        </w:rPr>
        <w:t>创新发展。</w:t>
      </w:r>
      <w:r>
        <w:rPr>
          <w:rFonts w:hint="eastAsia" w:ascii="Times New Roman" w:hAnsi="Times New Roman" w:eastAsia="仿宋_GB2312" w:cs="Times New Roman"/>
          <w:color w:val="000000"/>
          <w:spacing w:val="0"/>
          <w:sz w:val="32"/>
          <w:szCs w:val="32"/>
          <w:lang w:eastAsia="zh-CN"/>
        </w:rPr>
        <w:t>全面实施福建省</w:t>
      </w:r>
      <w:r>
        <w:rPr>
          <w:rFonts w:ascii="Times New Roman" w:hAnsi="Times New Roman" w:eastAsia="仿宋_GB2312" w:cs="Times New Roman"/>
          <w:color w:val="000000"/>
          <w:spacing w:val="0"/>
          <w:sz w:val="32"/>
          <w:szCs w:val="32"/>
        </w:rPr>
        <w:t>第二类医疗器械创新、优先、应急产品审批程序</w:t>
      </w:r>
      <w:r>
        <w:rPr>
          <w:rFonts w:hint="eastAsia" w:ascii="Times New Roman" w:hAnsi="Times New Roman" w:eastAsia="仿宋_GB2312" w:cs="Times New Roman"/>
          <w:color w:val="000000"/>
          <w:spacing w:val="0"/>
          <w:sz w:val="32"/>
          <w:szCs w:val="32"/>
        </w:rPr>
        <w:t>，</w:t>
      </w:r>
      <w:r>
        <w:rPr>
          <w:rFonts w:hint="eastAsia" w:ascii="Times New Roman" w:hAnsi="Times New Roman" w:eastAsia="仿宋_GB2312" w:cs="Times New Roman"/>
          <w:color w:val="000000"/>
          <w:spacing w:val="0"/>
          <w:sz w:val="32"/>
          <w:szCs w:val="32"/>
          <w:lang w:eastAsia="zh-CN"/>
        </w:rPr>
        <w:t>对</w:t>
      </w:r>
      <w:r>
        <w:rPr>
          <w:rFonts w:ascii="Times New Roman" w:hAnsi="Times New Roman" w:eastAsia="仿宋_GB2312" w:cs="Times New Roman"/>
          <w:color w:val="000000"/>
          <w:spacing w:val="0"/>
          <w:sz w:val="32"/>
          <w:szCs w:val="32"/>
        </w:rPr>
        <w:t>具有创新和领先优势、明显临床优势、突发公共卫生事件应急所需的</w:t>
      </w:r>
      <w:r>
        <w:rPr>
          <w:rFonts w:hint="eastAsia" w:ascii="Times New Roman" w:hAnsi="Times New Roman" w:eastAsia="仿宋_GB2312" w:cs="Times New Roman"/>
          <w:color w:val="000000"/>
          <w:spacing w:val="0"/>
          <w:sz w:val="32"/>
          <w:szCs w:val="32"/>
        </w:rPr>
        <w:t>第二类医疗器械</w:t>
      </w:r>
      <w:r>
        <w:rPr>
          <w:rFonts w:hint="eastAsia" w:ascii="Times New Roman" w:hAnsi="Times New Roman" w:eastAsia="仿宋_GB2312" w:cs="Times New Roman"/>
          <w:color w:val="000000"/>
          <w:spacing w:val="0"/>
          <w:sz w:val="32"/>
          <w:szCs w:val="32"/>
          <w:lang w:eastAsia="zh-CN"/>
        </w:rPr>
        <w:t>实行</w:t>
      </w:r>
      <w:r>
        <w:rPr>
          <w:rFonts w:hint="eastAsia" w:ascii="Times New Roman" w:hAnsi="Times New Roman" w:eastAsia="仿宋_GB2312" w:cs="Times New Roman"/>
          <w:color w:val="000000"/>
          <w:spacing w:val="0"/>
          <w:sz w:val="32"/>
          <w:szCs w:val="32"/>
        </w:rPr>
        <w:t>快速审批</w:t>
      </w:r>
      <w:r>
        <w:rPr>
          <w:rFonts w:ascii="Times New Roman" w:hAnsi="Times New Roman" w:eastAsia="仿宋_GB2312" w:cs="Times New Roman"/>
          <w:color w:val="000000"/>
          <w:spacing w:val="0"/>
          <w:sz w:val="32"/>
          <w:szCs w:val="32"/>
        </w:rPr>
        <w:t>。对于符合创新特别审查程序的产品，指定</w:t>
      </w:r>
      <w:r>
        <w:rPr>
          <w:rFonts w:hint="eastAsia" w:ascii="Times New Roman" w:hAnsi="Times New Roman" w:eastAsia="仿宋_GB2312" w:cs="Times New Roman"/>
          <w:color w:val="000000"/>
          <w:spacing w:val="0"/>
          <w:sz w:val="32"/>
          <w:szCs w:val="32"/>
        </w:rPr>
        <w:t>专人专班</w:t>
      </w:r>
      <w:r>
        <w:rPr>
          <w:rFonts w:ascii="Times New Roman" w:hAnsi="Times New Roman" w:eastAsia="仿宋_GB2312" w:cs="Times New Roman"/>
          <w:color w:val="000000"/>
          <w:spacing w:val="0"/>
          <w:sz w:val="32"/>
          <w:szCs w:val="32"/>
        </w:rPr>
        <w:t>加强沟通指导。</w:t>
      </w:r>
    </w:p>
    <w:p>
      <w:pPr>
        <w:tabs>
          <w:tab w:val="left" w:pos="1860"/>
        </w:tabs>
        <w:snapToGrid w:val="0"/>
        <w:spacing w:line="540" w:lineRule="exact"/>
        <w:ind w:firstLine="643" w:firstLineChars="200"/>
        <w:rPr>
          <w:rFonts w:ascii="Times New Roman" w:hAnsi="Times New Roman" w:eastAsia="楷体_GB2312" w:cs="Times New Roman"/>
          <w:b/>
          <w:color w:val="000000"/>
          <w:spacing w:val="0"/>
          <w:sz w:val="32"/>
          <w:szCs w:val="32"/>
        </w:rPr>
      </w:pPr>
      <w:r>
        <w:rPr>
          <w:rFonts w:ascii="Times New Roman" w:hAnsi="Times New Roman" w:eastAsia="楷体_GB2312" w:cs="Times New Roman"/>
          <w:b/>
          <w:color w:val="000000"/>
          <w:spacing w:val="0"/>
          <w:sz w:val="32"/>
          <w:szCs w:val="32"/>
        </w:rPr>
        <w:t>（</w:t>
      </w:r>
      <w:r>
        <w:rPr>
          <w:rFonts w:hint="eastAsia" w:ascii="Times New Roman" w:hAnsi="Times New Roman" w:eastAsia="楷体_GB2312" w:cs="Times New Roman"/>
          <w:b/>
          <w:color w:val="000000"/>
          <w:spacing w:val="0"/>
          <w:sz w:val="32"/>
          <w:szCs w:val="32"/>
          <w:lang w:eastAsia="zh-CN"/>
        </w:rPr>
        <w:t>四</w:t>
      </w:r>
      <w:r>
        <w:rPr>
          <w:rFonts w:ascii="Times New Roman" w:hAnsi="Times New Roman" w:eastAsia="楷体_GB2312" w:cs="Times New Roman"/>
          <w:b/>
          <w:color w:val="000000"/>
          <w:spacing w:val="0"/>
          <w:sz w:val="32"/>
          <w:szCs w:val="32"/>
        </w:rPr>
        <w:t>）优化医疗器械注册体系核查程序。</w:t>
      </w:r>
      <w:r>
        <w:rPr>
          <w:rFonts w:ascii="Times New Roman" w:hAnsi="Times New Roman" w:eastAsia="仿宋_GB2312" w:cs="Times New Roman"/>
          <w:color w:val="000000"/>
          <w:spacing w:val="0"/>
          <w:sz w:val="32"/>
          <w:szCs w:val="32"/>
        </w:rPr>
        <w:t>对于一年内已开展同类产品注册体系现场检查，未发现存在真实性问题、质量管理体系运行严重缺陷及注册核查不通过情况的第二类、第三类医疗器械，在生产地址未发生变化的前提下，优化注册体系核查程序，有条件免于或简化现场检查。</w:t>
      </w:r>
      <w:r>
        <w:rPr>
          <w:rFonts w:hint="eastAsia" w:ascii="Times New Roman" w:hAnsi="Times New Roman" w:eastAsia="仿宋_GB2312" w:cs="Times New Roman"/>
          <w:color w:val="000000"/>
          <w:spacing w:val="0"/>
          <w:sz w:val="32"/>
          <w:szCs w:val="32"/>
        </w:rPr>
        <w:t>对于第二类医疗器械注册变更事项，如不涉及生产工艺变化，仅</w:t>
      </w:r>
      <w:r>
        <w:rPr>
          <w:rFonts w:ascii="Times New Roman" w:hAnsi="Times New Roman" w:eastAsia="仿宋_GB2312" w:cs="Times New Roman"/>
          <w:spacing w:val="-11"/>
          <w:sz w:val="32"/>
          <w:szCs w:val="32"/>
        </w:rPr>
        <w:t>变更产品设计、原材料、适用范围、使用方法，</w:t>
      </w:r>
      <w:r>
        <w:rPr>
          <w:rFonts w:hint="eastAsia" w:ascii="Times New Roman" w:hAnsi="Times New Roman" w:eastAsia="仿宋_GB2312" w:cs="Times New Roman"/>
          <w:spacing w:val="-11"/>
          <w:sz w:val="32"/>
          <w:szCs w:val="32"/>
          <w:lang w:eastAsia="zh-CN"/>
        </w:rPr>
        <w:t>可免于</w:t>
      </w:r>
      <w:r>
        <w:rPr>
          <w:rFonts w:ascii="Times New Roman" w:hAnsi="Times New Roman" w:eastAsia="仿宋_GB2312" w:cs="Times New Roman"/>
          <w:spacing w:val="-11"/>
          <w:sz w:val="32"/>
          <w:szCs w:val="32"/>
        </w:rPr>
        <w:t>注册体系核查。</w:t>
      </w:r>
    </w:p>
    <w:p>
      <w:pPr>
        <w:tabs>
          <w:tab w:val="left" w:pos="1860"/>
        </w:tabs>
        <w:snapToGrid w:val="0"/>
        <w:spacing w:line="540" w:lineRule="exact"/>
        <w:ind w:firstLine="643" w:firstLineChars="200"/>
        <w:rPr>
          <w:rFonts w:ascii="Times New Roman" w:hAnsi="Times New Roman" w:eastAsia="仿宋_GB2312" w:cs="Times New Roman"/>
          <w:spacing w:val="-6"/>
          <w:sz w:val="32"/>
          <w:szCs w:val="20"/>
        </w:rPr>
      </w:pPr>
      <w:r>
        <w:rPr>
          <w:rFonts w:ascii="Times New Roman" w:hAnsi="Times New Roman" w:eastAsia="楷体_GB2312" w:cs="Times New Roman"/>
          <w:b/>
          <w:color w:val="000000"/>
          <w:spacing w:val="0"/>
          <w:sz w:val="32"/>
          <w:szCs w:val="32"/>
        </w:rPr>
        <w:t>（</w:t>
      </w:r>
      <w:r>
        <w:rPr>
          <w:rFonts w:hint="eastAsia" w:ascii="Times New Roman" w:hAnsi="Times New Roman" w:eastAsia="楷体_GB2312" w:cs="Times New Roman"/>
          <w:b/>
          <w:color w:val="000000"/>
          <w:spacing w:val="0"/>
          <w:sz w:val="32"/>
          <w:szCs w:val="32"/>
          <w:lang w:eastAsia="zh-CN"/>
        </w:rPr>
        <w:t>五</w:t>
      </w:r>
      <w:r>
        <w:rPr>
          <w:rFonts w:ascii="Times New Roman" w:hAnsi="Times New Roman" w:eastAsia="楷体_GB2312" w:cs="Times New Roman"/>
          <w:b/>
          <w:color w:val="000000"/>
          <w:spacing w:val="0"/>
          <w:sz w:val="32"/>
          <w:szCs w:val="32"/>
        </w:rPr>
        <w:t>）探索开展医疗器械附条件批准上市。</w:t>
      </w:r>
      <w:r>
        <w:rPr>
          <w:rFonts w:hint="eastAsia" w:ascii="Times New Roman" w:hAnsi="Times New Roman" w:eastAsia="仿宋_GB2312" w:cs="Times New Roman"/>
          <w:color w:val="000000"/>
          <w:spacing w:val="0"/>
          <w:sz w:val="32"/>
          <w:szCs w:val="32"/>
          <w:lang w:eastAsia="zh-CN"/>
        </w:rPr>
        <w:t>对</w:t>
      </w:r>
      <w:r>
        <w:rPr>
          <w:rFonts w:ascii="Times New Roman" w:hAnsi="Times New Roman" w:eastAsia="仿宋_GB2312" w:cs="Times New Roman"/>
          <w:color w:val="000000"/>
          <w:spacing w:val="0"/>
          <w:sz w:val="32"/>
          <w:szCs w:val="32"/>
        </w:rPr>
        <w:t>符合国家药监局《医疗器械附条件批准上市指导原则》风险效益评估要求</w:t>
      </w:r>
      <w:r>
        <w:rPr>
          <w:rFonts w:hint="eastAsia" w:ascii="Times New Roman" w:hAnsi="Times New Roman" w:eastAsia="仿宋_GB2312" w:cs="Times New Roman"/>
          <w:color w:val="000000"/>
          <w:spacing w:val="0"/>
          <w:sz w:val="32"/>
          <w:szCs w:val="32"/>
          <w:lang w:eastAsia="zh-CN"/>
        </w:rPr>
        <w:t>，</w:t>
      </w:r>
      <w:r>
        <w:rPr>
          <w:rFonts w:ascii="Times New Roman" w:hAnsi="Times New Roman" w:eastAsia="仿宋_GB2312" w:cs="Times New Roman"/>
          <w:color w:val="000000"/>
          <w:spacing w:val="0"/>
          <w:sz w:val="32"/>
          <w:szCs w:val="32"/>
        </w:rPr>
        <w:t>经评估能够通过开展上市后安全性和有效性再评价管控风险</w:t>
      </w:r>
      <w:r>
        <w:rPr>
          <w:rFonts w:hint="eastAsia" w:ascii="Times New Roman" w:hAnsi="Times New Roman" w:eastAsia="仿宋_GB2312" w:cs="Times New Roman"/>
          <w:color w:val="000000"/>
          <w:spacing w:val="0"/>
          <w:sz w:val="32"/>
          <w:szCs w:val="32"/>
          <w:lang w:eastAsia="zh-CN"/>
        </w:rPr>
        <w:t>的</w:t>
      </w:r>
      <w:r>
        <w:rPr>
          <w:rFonts w:ascii="Times New Roman" w:hAnsi="Times New Roman" w:eastAsia="仿宋_GB2312" w:cs="Times New Roman"/>
          <w:color w:val="000000"/>
          <w:spacing w:val="0"/>
          <w:sz w:val="32"/>
          <w:szCs w:val="32"/>
        </w:rPr>
        <w:t>创新、应急或对治疗严重危及生命且尚无有效治疗手段疾病第二类医疗器械，</w:t>
      </w:r>
      <w:r>
        <w:rPr>
          <w:rFonts w:hint="eastAsia" w:ascii="Times New Roman" w:hAnsi="Times New Roman" w:eastAsia="仿宋_GB2312" w:cs="Times New Roman"/>
          <w:color w:val="000000"/>
          <w:spacing w:val="0"/>
          <w:sz w:val="32"/>
          <w:szCs w:val="32"/>
          <w:lang w:eastAsia="zh-CN"/>
        </w:rPr>
        <w:t>允许企业</w:t>
      </w:r>
      <w:r>
        <w:rPr>
          <w:rFonts w:ascii="Times New Roman" w:hAnsi="Times New Roman" w:eastAsia="仿宋_GB2312" w:cs="Times New Roman"/>
          <w:color w:val="000000"/>
          <w:spacing w:val="0"/>
          <w:sz w:val="32"/>
          <w:szCs w:val="32"/>
        </w:rPr>
        <w:t>申请附条件批准上市</w:t>
      </w:r>
      <w:r>
        <w:rPr>
          <w:rFonts w:hint="eastAsia" w:ascii="Times New Roman" w:hAnsi="Times New Roman" w:eastAsia="仿宋_GB2312" w:cs="Times New Roman"/>
          <w:color w:val="000000"/>
          <w:spacing w:val="0"/>
          <w:sz w:val="32"/>
          <w:szCs w:val="32"/>
          <w:lang w:eastAsia="zh-CN"/>
        </w:rPr>
        <w:t>，后续</w:t>
      </w:r>
      <w:r>
        <w:rPr>
          <w:rFonts w:hint="eastAsia" w:ascii="Times New Roman" w:hAnsi="Times New Roman" w:eastAsia="仿宋_GB2312" w:cs="Times New Roman"/>
          <w:color w:val="000000"/>
          <w:spacing w:val="0"/>
          <w:sz w:val="32"/>
          <w:szCs w:val="32"/>
        </w:rPr>
        <w:t>按</w:t>
      </w:r>
      <w:r>
        <w:rPr>
          <w:rFonts w:hint="eastAsia" w:ascii="Times New Roman" w:hAnsi="Times New Roman" w:eastAsia="仿宋_GB2312" w:cs="Times New Roman"/>
          <w:color w:val="000000"/>
          <w:spacing w:val="0"/>
          <w:sz w:val="32"/>
          <w:szCs w:val="32"/>
          <w:lang w:eastAsia="zh-CN"/>
        </w:rPr>
        <w:t>风险管理要求</w:t>
      </w:r>
      <w:r>
        <w:rPr>
          <w:rFonts w:ascii="Times New Roman" w:hAnsi="Times New Roman" w:eastAsia="仿宋_GB2312" w:cs="Times New Roman"/>
          <w:color w:val="000000"/>
          <w:spacing w:val="0"/>
          <w:sz w:val="32"/>
          <w:szCs w:val="32"/>
        </w:rPr>
        <w:t>开展不良事件监测</w:t>
      </w:r>
      <w:r>
        <w:rPr>
          <w:rFonts w:hint="eastAsia" w:ascii="Times New Roman" w:hAnsi="Times New Roman" w:eastAsia="仿宋_GB2312" w:cs="Times New Roman"/>
          <w:color w:val="000000"/>
          <w:spacing w:val="0"/>
          <w:sz w:val="32"/>
          <w:szCs w:val="32"/>
        </w:rPr>
        <w:t>和</w:t>
      </w:r>
      <w:r>
        <w:rPr>
          <w:rFonts w:ascii="Times New Roman" w:hAnsi="Times New Roman" w:eastAsia="仿宋_GB2312" w:cs="Times New Roman"/>
          <w:color w:val="000000"/>
          <w:spacing w:val="0"/>
          <w:sz w:val="32"/>
          <w:szCs w:val="32"/>
        </w:rPr>
        <w:t>上市后研究</w:t>
      </w:r>
      <w:r>
        <w:rPr>
          <w:rFonts w:hint="eastAsia" w:ascii="Times New Roman" w:hAnsi="Times New Roman" w:eastAsia="仿宋_GB2312" w:cs="Times New Roman"/>
          <w:color w:val="000000"/>
          <w:spacing w:val="0"/>
          <w:sz w:val="32"/>
          <w:szCs w:val="32"/>
        </w:rPr>
        <w:t>评价</w:t>
      </w:r>
      <w:r>
        <w:rPr>
          <w:rFonts w:ascii="Times New Roman" w:hAnsi="Times New Roman" w:eastAsia="仿宋_GB2312" w:cs="Times New Roman"/>
          <w:color w:val="000000"/>
          <w:spacing w:val="0"/>
          <w:sz w:val="32"/>
          <w:szCs w:val="32"/>
        </w:rPr>
        <w:t>，</w:t>
      </w:r>
      <w:r>
        <w:rPr>
          <w:rFonts w:hint="eastAsia" w:ascii="Times New Roman" w:hAnsi="Times New Roman" w:eastAsia="仿宋_GB2312" w:cs="Times New Roman"/>
          <w:color w:val="000000"/>
          <w:spacing w:val="0"/>
          <w:sz w:val="32"/>
          <w:szCs w:val="32"/>
        </w:rPr>
        <w:t>限期</w:t>
      </w:r>
      <w:r>
        <w:rPr>
          <w:rFonts w:ascii="Times New Roman" w:hAnsi="Times New Roman" w:eastAsia="仿宋_GB2312" w:cs="Times New Roman"/>
          <w:color w:val="000000"/>
          <w:spacing w:val="0"/>
          <w:sz w:val="32"/>
          <w:szCs w:val="32"/>
        </w:rPr>
        <w:t>完成并补充提交有关材料。</w:t>
      </w:r>
    </w:p>
    <w:p>
      <w:pPr>
        <w:tabs>
          <w:tab w:val="left" w:pos="1860"/>
        </w:tabs>
        <w:snapToGrid w:val="0"/>
        <w:spacing w:line="540" w:lineRule="exact"/>
        <w:ind w:firstLine="643" w:firstLineChars="200"/>
        <w:rPr>
          <w:rFonts w:ascii="Times New Roman" w:hAnsi="Times New Roman" w:eastAsia="仿宋_GB2312" w:cs="Times New Roman"/>
          <w:spacing w:val="-6"/>
          <w:sz w:val="32"/>
          <w:szCs w:val="20"/>
        </w:rPr>
      </w:pPr>
      <w:r>
        <w:rPr>
          <w:rFonts w:ascii="Times New Roman" w:hAnsi="Times New Roman" w:eastAsia="楷体_GB2312" w:cs="Times New Roman"/>
          <w:b/>
          <w:color w:val="000000"/>
          <w:spacing w:val="0"/>
          <w:sz w:val="32"/>
          <w:szCs w:val="32"/>
        </w:rPr>
        <w:t>（</w:t>
      </w:r>
      <w:r>
        <w:rPr>
          <w:rFonts w:hint="eastAsia" w:ascii="Times New Roman" w:hAnsi="Times New Roman" w:eastAsia="楷体_GB2312" w:cs="Times New Roman"/>
          <w:b/>
          <w:color w:val="000000"/>
          <w:spacing w:val="0"/>
          <w:sz w:val="32"/>
          <w:szCs w:val="32"/>
          <w:lang w:eastAsia="zh-CN"/>
        </w:rPr>
        <w:t>六</w:t>
      </w:r>
      <w:r>
        <w:rPr>
          <w:rFonts w:ascii="Times New Roman" w:hAnsi="Times New Roman" w:eastAsia="楷体_GB2312" w:cs="Times New Roman"/>
          <w:b/>
          <w:color w:val="000000"/>
          <w:spacing w:val="0"/>
          <w:sz w:val="32"/>
          <w:szCs w:val="32"/>
        </w:rPr>
        <w:t>）</w:t>
      </w:r>
      <w:r>
        <w:rPr>
          <w:rFonts w:hint="eastAsia" w:ascii="Times New Roman" w:hAnsi="Times New Roman" w:eastAsia="楷体_GB2312" w:cs="Times New Roman"/>
          <w:b/>
          <w:color w:val="000000"/>
          <w:spacing w:val="0"/>
          <w:sz w:val="32"/>
          <w:szCs w:val="32"/>
        </w:rPr>
        <w:t>建立健全医疗器械审评前置</w:t>
      </w:r>
      <w:r>
        <w:rPr>
          <w:rFonts w:hint="eastAsia" w:ascii="Times New Roman" w:hAnsi="Times New Roman" w:eastAsia="楷体_GB2312" w:cs="Times New Roman"/>
          <w:b/>
          <w:color w:val="000000"/>
          <w:spacing w:val="0"/>
          <w:sz w:val="32"/>
          <w:szCs w:val="32"/>
          <w:lang w:eastAsia="zh-CN"/>
        </w:rPr>
        <w:t>服务</w:t>
      </w:r>
      <w:r>
        <w:rPr>
          <w:rFonts w:hint="eastAsia" w:ascii="Times New Roman" w:hAnsi="Times New Roman" w:eastAsia="楷体_GB2312" w:cs="Times New Roman"/>
          <w:b/>
          <w:color w:val="000000"/>
          <w:spacing w:val="0"/>
          <w:sz w:val="32"/>
          <w:szCs w:val="32"/>
        </w:rPr>
        <w:t>机制</w:t>
      </w:r>
      <w:r>
        <w:rPr>
          <w:rFonts w:ascii="Times New Roman" w:hAnsi="Times New Roman" w:eastAsia="楷体_GB2312" w:cs="Times New Roman"/>
          <w:b/>
          <w:color w:val="000000"/>
          <w:spacing w:val="0"/>
          <w:sz w:val="32"/>
          <w:szCs w:val="32"/>
        </w:rPr>
        <w:t>。</w:t>
      </w:r>
      <w:r>
        <w:rPr>
          <w:rFonts w:hint="eastAsia" w:ascii="Times New Roman" w:hAnsi="Times New Roman" w:eastAsia="仿宋_GB2312" w:cs="Times New Roman"/>
          <w:color w:val="000000"/>
          <w:spacing w:val="0"/>
          <w:sz w:val="32"/>
          <w:szCs w:val="24"/>
        </w:rPr>
        <w:t>依托</w:t>
      </w:r>
      <w:r>
        <w:rPr>
          <w:rFonts w:ascii="Times New Roman" w:hAnsi="Times New Roman" w:eastAsia="仿宋_GB2312" w:cs="Times New Roman"/>
          <w:color w:val="000000"/>
          <w:spacing w:val="0"/>
          <w:sz w:val="32"/>
          <w:szCs w:val="24"/>
        </w:rPr>
        <w:t>国家药监局器审中心医疗器械创新福建服务站平台，</w:t>
      </w:r>
      <w:r>
        <w:rPr>
          <w:rFonts w:hint="eastAsia" w:ascii="Times New Roman" w:hAnsi="Times New Roman" w:eastAsia="仿宋_GB2312" w:cs="Times New Roman"/>
          <w:color w:val="000000"/>
          <w:spacing w:val="0"/>
          <w:sz w:val="32"/>
          <w:szCs w:val="24"/>
        </w:rPr>
        <w:t>依企业申请</w:t>
      </w:r>
      <w:r>
        <w:rPr>
          <w:rFonts w:hint="eastAsia" w:ascii="Times New Roman" w:hAnsi="Times New Roman" w:eastAsia="仿宋_GB2312" w:cs="Times New Roman"/>
          <w:color w:val="000000"/>
          <w:spacing w:val="0"/>
          <w:sz w:val="32"/>
          <w:szCs w:val="24"/>
          <w:lang w:eastAsia="zh-CN"/>
        </w:rPr>
        <w:t>，对</w:t>
      </w:r>
      <w:r>
        <w:rPr>
          <w:rFonts w:ascii="Times New Roman" w:hAnsi="Times New Roman" w:eastAsia="仿宋_GB2312" w:cs="Times New Roman"/>
          <w:color w:val="000000"/>
          <w:spacing w:val="0"/>
          <w:sz w:val="32"/>
          <w:szCs w:val="24"/>
        </w:rPr>
        <w:t>创新、“揭榜挂帅”入围、“卡脖子”技术突破医疗器械</w:t>
      </w:r>
      <w:r>
        <w:rPr>
          <w:rFonts w:hint="eastAsia" w:ascii="Times New Roman" w:hAnsi="Times New Roman" w:eastAsia="仿宋_GB2312" w:cs="Times New Roman"/>
          <w:color w:val="000000"/>
          <w:spacing w:val="0"/>
          <w:sz w:val="32"/>
          <w:szCs w:val="24"/>
          <w:lang w:eastAsia="zh-CN"/>
        </w:rPr>
        <w:t>给予“提前介入、研审联动、全程指导”等</w:t>
      </w:r>
      <w:r>
        <w:rPr>
          <w:rFonts w:ascii="Times New Roman" w:hAnsi="Times New Roman" w:eastAsia="仿宋_GB2312" w:cs="Times New Roman"/>
          <w:color w:val="000000"/>
          <w:spacing w:val="0"/>
          <w:sz w:val="32"/>
          <w:szCs w:val="24"/>
        </w:rPr>
        <w:t>审评前置</w:t>
      </w:r>
      <w:r>
        <w:rPr>
          <w:rFonts w:hint="eastAsia" w:ascii="Times New Roman" w:hAnsi="Times New Roman" w:eastAsia="仿宋_GB2312" w:cs="Times New Roman"/>
          <w:color w:val="000000"/>
          <w:spacing w:val="0"/>
          <w:sz w:val="32"/>
          <w:szCs w:val="24"/>
          <w:lang w:eastAsia="zh-CN"/>
        </w:rPr>
        <w:t>服务</w:t>
      </w:r>
      <w:r>
        <w:rPr>
          <w:rFonts w:hint="eastAsia" w:ascii="Times New Roman" w:hAnsi="Times New Roman" w:eastAsia="仿宋_GB2312" w:cs="Times New Roman"/>
          <w:color w:val="000000"/>
          <w:spacing w:val="0"/>
          <w:sz w:val="32"/>
          <w:szCs w:val="24"/>
        </w:rPr>
        <w:t>。完善</w:t>
      </w:r>
      <w:r>
        <w:rPr>
          <w:rFonts w:ascii="Times New Roman" w:hAnsi="Times New Roman" w:eastAsia="仿宋_GB2312" w:cs="Times New Roman"/>
          <w:color w:val="000000"/>
          <w:spacing w:val="0"/>
          <w:sz w:val="32"/>
          <w:szCs w:val="24"/>
        </w:rPr>
        <w:t>审评补正资料预审查机制，指导注册人准确理解补充通知单要求，提高补正效率，</w:t>
      </w:r>
      <w:r>
        <w:rPr>
          <w:rFonts w:hint="eastAsia" w:ascii="Times New Roman" w:hAnsi="Times New Roman" w:eastAsia="仿宋_GB2312" w:cs="Times New Roman"/>
          <w:color w:val="000000"/>
          <w:spacing w:val="0"/>
          <w:sz w:val="32"/>
          <w:szCs w:val="24"/>
        </w:rPr>
        <w:t>加快</w:t>
      </w:r>
      <w:r>
        <w:rPr>
          <w:rFonts w:ascii="Times New Roman" w:hAnsi="Times New Roman" w:eastAsia="仿宋_GB2312" w:cs="Times New Roman"/>
          <w:color w:val="000000"/>
          <w:spacing w:val="0"/>
          <w:sz w:val="32"/>
          <w:szCs w:val="24"/>
        </w:rPr>
        <w:t>推进产品</w:t>
      </w:r>
      <w:r>
        <w:rPr>
          <w:rFonts w:hint="eastAsia" w:ascii="Times New Roman" w:hAnsi="Times New Roman" w:eastAsia="仿宋_GB2312" w:cs="Times New Roman"/>
          <w:color w:val="000000"/>
          <w:spacing w:val="0"/>
          <w:sz w:val="32"/>
          <w:szCs w:val="24"/>
        </w:rPr>
        <w:t>获批上市</w:t>
      </w:r>
      <w:r>
        <w:rPr>
          <w:rFonts w:ascii="Times New Roman" w:hAnsi="Times New Roman" w:eastAsia="仿宋_GB2312" w:cs="Times New Roman"/>
          <w:color w:val="000000"/>
          <w:spacing w:val="0"/>
          <w:sz w:val="32"/>
          <w:szCs w:val="24"/>
        </w:rPr>
        <w:t>。</w:t>
      </w:r>
    </w:p>
    <w:p>
      <w:pPr>
        <w:tabs>
          <w:tab w:val="left" w:pos="1860"/>
        </w:tabs>
        <w:snapToGrid w:val="0"/>
        <w:spacing w:line="540" w:lineRule="exact"/>
        <w:ind w:firstLine="640" w:firstLineChars="200"/>
        <w:rPr>
          <w:rFonts w:hint="eastAsia" w:ascii="Times New Roman" w:hAnsi="Times New Roman" w:eastAsia="黑体" w:cs="Times New Roman"/>
          <w:color w:val="000000"/>
          <w:spacing w:val="0"/>
          <w:sz w:val="32"/>
          <w:szCs w:val="32"/>
          <w:lang w:eastAsia="zh-CN"/>
        </w:rPr>
      </w:pPr>
      <w:r>
        <w:rPr>
          <w:rFonts w:hint="eastAsia" w:ascii="Times New Roman" w:hAnsi="Times New Roman" w:eastAsia="黑体" w:cs="Times New Roman"/>
          <w:color w:val="000000"/>
          <w:spacing w:val="0"/>
          <w:sz w:val="32"/>
          <w:szCs w:val="32"/>
          <w:lang w:eastAsia="zh-CN"/>
        </w:rPr>
        <w:t>二</w:t>
      </w:r>
      <w:r>
        <w:rPr>
          <w:rFonts w:hint="eastAsia" w:ascii="Times New Roman" w:hAnsi="Times New Roman" w:eastAsia="黑体" w:cs="Times New Roman"/>
          <w:color w:val="000000"/>
          <w:spacing w:val="0"/>
          <w:sz w:val="32"/>
          <w:szCs w:val="32"/>
        </w:rPr>
        <w:t>、</w:t>
      </w:r>
      <w:r>
        <w:rPr>
          <w:rFonts w:hint="eastAsia" w:ascii="Times New Roman" w:hAnsi="Times New Roman" w:eastAsia="黑体" w:cs="Times New Roman"/>
          <w:color w:val="000000"/>
          <w:spacing w:val="0"/>
          <w:sz w:val="32"/>
          <w:szCs w:val="32"/>
          <w:lang w:eastAsia="zh-CN"/>
        </w:rPr>
        <w:t>推动两岸医药产业融合发展</w:t>
      </w:r>
    </w:p>
    <w:p>
      <w:pPr>
        <w:tabs>
          <w:tab w:val="left" w:pos="1860"/>
        </w:tabs>
        <w:snapToGrid w:val="0"/>
        <w:spacing w:line="540" w:lineRule="exact"/>
        <w:ind w:firstLine="643" w:firstLineChars="200"/>
        <w:rPr>
          <w:rFonts w:hint="eastAsia" w:ascii="Times New Roman" w:hAnsi="Times New Roman" w:eastAsia="楷体_GB2312" w:cs="Times New Roman"/>
          <w:b/>
          <w:color w:val="000000"/>
          <w:spacing w:val="0"/>
          <w:sz w:val="32"/>
          <w:szCs w:val="32"/>
        </w:rPr>
      </w:pPr>
      <w:r>
        <w:rPr>
          <w:rFonts w:ascii="Times New Roman" w:hAnsi="Times New Roman" w:eastAsia="楷体_GB2312" w:cs="Times New Roman"/>
          <w:b/>
          <w:color w:val="000000"/>
          <w:spacing w:val="0"/>
          <w:sz w:val="32"/>
          <w:szCs w:val="32"/>
        </w:rPr>
        <w:t>（</w:t>
      </w:r>
      <w:r>
        <w:rPr>
          <w:rFonts w:hint="eastAsia" w:ascii="Times New Roman" w:hAnsi="Times New Roman" w:eastAsia="楷体_GB2312" w:cs="Times New Roman"/>
          <w:b/>
          <w:color w:val="000000"/>
          <w:spacing w:val="0"/>
          <w:sz w:val="32"/>
          <w:szCs w:val="32"/>
          <w:lang w:eastAsia="zh-CN"/>
        </w:rPr>
        <w:t>七</w:t>
      </w:r>
      <w:r>
        <w:rPr>
          <w:rFonts w:ascii="Times New Roman" w:hAnsi="Times New Roman" w:eastAsia="楷体_GB2312" w:cs="Times New Roman"/>
          <w:b/>
          <w:color w:val="000000"/>
          <w:spacing w:val="0"/>
          <w:sz w:val="32"/>
          <w:szCs w:val="32"/>
        </w:rPr>
        <w:t>）支持省内台资</w:t>
      </w:r>
      <w:r>
        <w:rPr>
          <w:rFonts w:hint="eastAsia" w:ascii="Times New Roman" w:hAnsi="Times New Roman" w:eastAsia="楷体_GB2312" w:cs="Times New Roman"/>
          <w:b/>
          <w:color w:val="000000"/>
          <w:spacing w:val="0"/>
          <w:sz w:val="32"/>
          <w:szCs w:val="32"/>
        </w:rPr>
        <w:t>药品上市许可持有人发展</w:t>
      </w:r>
      <w:r>
        <w:rPr>
          <w:rFonts w:ascii="Times New Roman" w:hAnsi="Times New Roman" w:eastAsia="楷体_GB2312" w:cs="Times New Roman"/>
          <w:b/>
          <w:color w:val="000000"/>
          <w:spacing w:val="0"/>
          <w:sz w:val="32"/>
          <w:szCs w:val="32"/>
        </w:rPr>
        <w:t>。</w:t>
      </w:r>
      <w:r>
        <w:rPr>
          <w:rFonts w:ascii="Times New Roman" w:hAnsi="Times New Roman" w:eastAsia="仿宋_GB2312" w:cs="Times New Roman"/>
          <w:color w:val="000000"/>
          <w:spacing w:val="0"/>
          <w:sz w:val="32"/>
          <w:szCs w:val="32"/>
        </w:rPr>
        <w:t>对省内台资（含经认定视同台资，下同）药品上市许可持有人在研在审药品制剂和原料药品种给予“提前介入、一企一策、全程指导”等靠前服务</w:t>
      </w:r>
      <w:r>
        <w:rPr>
          <w:rFonts w:hint="eastAsia" w:ascii="Times New Roman" w:hAnsi="Times New Roman" w:eastAsia="仿宋_GB2312" w:cs="Times New Roman"/>
          <w:color w:val="000000"/>
          <w:spacing w:val="0"/>
          <w:sz w:val="32"/>
          <w:szCs w:val="32"/>
        </w:rPr>
        <w:t>，</w:t>
      </w:r>
      <w:r>
        <w:rPr>
          <w:rFonts w:ascii="Times New Roman" w:hAnsi="Times New Roman" w:eastAsia="仿宋_GB2312" w:cs="Times New Roman"/>
          <w:color w:val="000000"/>
          <w:spacing w:val="0"/>
          <w:sz w:val="32"/>
          <w:szCs w:val="32"/>
        </w:rPr>
        <w:t>优选</w:t>
      </w:r>
      <w:r>
        <w:rPr>
          <w:rFonts w:hint="eastAsia" w:ascii="Times New Roman" w:hAnsi="Times New Roman" w:eastAsia="仿宋_GB2312" w:cs="Times New Roman"/>
          <w:color w:val="000000"/>
          <w:spacing w:val="0"/>
          <w:sz w:val="32"/>
          <w:szCs w:val="32"/>
        </w:rPr>
        <w:t>安排</w:t>
      </w:r>
      <w:r>
        <w:rPr>
          <w:rFonts w:ascii="Times New Roman" w:hAnsi="Times New Roman" w:eastAsia="仿宋_GB2312" w:cs="Times New Roman"/>
          <w:color w:val="000000"/>
          <w:spacing w:val="0"/>
          <w:sz w:val="32"/>
          <w:szCs w:val="32"/>
        </w:rPr>
        <w:t>药品生产许可现场检查</w:t>
      </w:r>
      <w:r>
        <w:rPr>
          <w:rFonts w:hint="eastAsia" w:ascii="Times New Roman" w:hAnsi="Times New Roman" w:eastAsia="仿宋_GB2312" w:cs="Times New Roman"/>
          <w:color w:val="000000"/>
          <w:spacing w:val="0"/>
          <w:sz w:val="32"/>
          <w:szCs w:val="32"/>
        </w:rPr>
        <w:t>和</w:t>
      </w:r>
      <w:r>
        <w:rPr>
          <w:rFonts w:ascii="Times New Roman" w:hAnsi="Times New Roman" w:eastAsia="仿宋_GB2312" w:cs="Times New Roman"/>
          <w:color w:val="000000"/>
          <w:spacing w:val="0"/>
          <w:sz w:val="32"/>
          <w:szCs w:val="32"/>
        </w:rPr>
        <w:t>GMP符合性检查。</w:t>
      </w:r>
    </w:p>
    <w:p>
      <w:pPr>
        <w:tabs>
          <w:tab w:val="left" w:pos="1860"/>
        </w:tabs>
        <w:snapToGrid w:val="0"/>
        <w:spacing w:line="540" w:lineRule="exact"/>
        <w:ind w:firstLine="643" w:firstLineChars="200"/>
        <w:rPr>
          <w:rFonts w:hint="eastAsia" w:ascii="Times New Roman" w:hAnsi="Times New Roman" w:eastAsia="仿宋_GB2312" w:cs="Times New Roman"/>
          <w:spacing w:val="-6"/>
          <w:sz w:val="32"/>
          <w:szCs w:val="20"/>
          <w:lang w:eastAsia="zh-CN"/>
        </w:rPr>
      </w:pPr>
      <w:r>
        <w:rPr>
          <w:rFonts w:hint="eastAsia" w:ascii="Times New Roman" w:hAnsi="Times New Roman" w:eastAsia="楷体_GB2312" w:cs="Times New Roman"/>
          <w:b/>
          <w:color w:val="000000"/>
          <w:spacing w:val="0"/>
          <w:sz w:val="32"/>
          <w:szCs w:val="32"/>
        </w:rPr>
        <w:t>（</w:t>
      </w:r>
      <w:r>
        <w:rPr>
          <w:rFonts w:hint="eastAsia" w:ascii="Times New Roman" w:hAnsi="Times New Roman" w:eastAsia="楷体_GB2312" w:cs="Times New Roman"/>
          <w:b/>
          <w:color w:val="000000"/>
          <w:spacing w:val="0"/>
          <w:sz w:val="32"/>
          <w:szCs w:val="32"/>
          <w:lang w:eastAsia="zh-CN"/>
        </w:rPr>
        <w:t>八</w:t>
      </w:r>
      <w:r>
        <w:rPr>
          <w:rFonts w:hint="eastAsia" w:ascii="Times New Roman" w:hAnsi="Times New Roman" w:eastAsia="楷体_GB2312" w:cs="Times New Roman"/>
          <w:b/>
          <w:color w:val="000000"/>
          <w:spacing w:val="0"/>
          <w:sz w:val="32"/>
          <w:szCs w:val="32"/>
        </w:rPr>
        <w:t>）支持省内台资医疗器械注册人发展。</w:t>
      </w:r>
      <w:r>
        <w:rPr>
          <w:rFonts w:hint="eastAsia" w:ascii="Times New Roman" w:hAnsi="Times New Roman" w:eastAsia="仿宋_GB2312" w:cs="Times New Roman"/>
          <w:color w:val="000000"/>
          <w:spacing w:val="0"/>
          <w:sz w:val="32"/>
          <w:szCs w:val="32"/>
          <w:lang w:eastAsia="zh-CN"/>
        </w:rPr>
        <w:t>将</w:t>
      </w:r>
      <w:r>
        <w:rPr>
          <w:rFonts w:ascii="Times New Roman" w:hAnsi="Times New Roman" w:eastAsia="仿宋_GB2312" w:cs="Times New Roman"/>
          <w:color w:val="000000"/>
          <w:spacing w:val="0"/>
          <w:sz w:val="32"/>
          <w:szCs w:val="32"/>
        </w:rPr>
        <w:t>省内台资医疗器械注册人提交的第二类医疗器械注册申请纳入优先</w:t>
      </w:r>
      <w:r>
        <w:rPr>
          <w:rFonts w:hint="eastAsia" w:ascii="Times New Roman" w:hAnsi="Times New Roman" w:eastAsia="仿宋_GB2312" w:cs="Times New Roman"/>
          <w:color w:val="000000"/>
          <w:spacing w:val="0"/>
          <w:sz w:val="32"/>
          <w:szCs w:val="32"/>
          <w:lang w:eastAsia="zh-CN"/>
        </w:rPr>
        <w:t>审批</w:t>
      </w:r>
      <w:r>
        <w:rPr>
          <w:rFonts w:ascii="Times New Roman" w:hAnsi="Times New Roman" w:eastAsia="仿宋_GB2312" w:cs="Times New Roman"/>
          <w:color w:val="000000"/>
          <w:spacing w:val="0"/>
          <w:sz w:val="32"/>
          <w:szCs w:val="32"/>
        </w:rPr>
        <w:t>通道，</w:t>
      </w:r>
      <w:r>
        <w:rPr>
          <w:rFonts w:hint="eastAsia" w:ascii="Times New Roman" w:hAnsi="Times New Roman" w:eastAsia="仿宋_GB2312" w:cs="Times New Roman"/>
          <w:color w:val="000000"/>
          <w:spacing w:val="0"/>
          <w:sz w:val="32"/>
          <w:szCs w:val="32"/>
          <w:lang w:eastAsia="zh-CN"/>
        </w:rPr>
        <w:t>对省内</w:t>
      </w:r>
      <w:r>
        <w:rPr>
          <w:rFonts w:hint="eastAsia" w:ascii="Times New Roman" w:hAnsi="Times New Roman" w:eastAsia="仿宋_GB2312" w:cs="Times New Roman"/>
          <w:color w:val="000000"/>
          <w:spacing w:val="0"/>
          <w:sz w:val="32"/>
          <w:szCs w:val="32"/>
        </w:rPr>
        <w:t>台资医疗器械注册人在研第三类医疗器械</w:t>
      </w:r>
      <w:r>
        <w:rPr>
          <w:rFonts w:hint="eastAsia" w:ascii="Times New Roman" w:hAnsi="Times New Roman" w:eastAsia="仿宋_GB2312" w:cs="Times New Roman"/>
          <w:color w:val="000000"/>
          <w:spacing w:val="0"/>
          <w:sz w:val="32"/>
          <w:szCs w:val="24"/>
          <w:lang w:eastAsia="zh-CN"/>
        </w:rPr>
        <w:t>给予“提前介入、研审联动、全程指导”等</w:t>
      </w:r>
      <w:r>
        <w:rPr>
          <w:rFonts w:ascii="Times New Roman" w:hAnsi="Times New Roman" w:eastAsia="仿宋_GB2312" w:cs="Times New Roman"/>
          <w:color w:val="000000"/>
          <w:spacing w:val="0"/>
          <w:sz w:val="32"/>
          <w:szCs w:val="24"/>
        </w:rPr>
        <w:t>审评前置</w:t>
      </w:r>
      <w:r>
        <w:rPr>
          <w:rFonts w:hint="eastAsia" w:ascii="Times New Roman" w:hAnsi="Times New Roman" w:eastAsia="仿宋_GB2312" w:cs="Times New Roman"/>
          <w:color w:val="000000"/>
          <w:spacing w:val="0"/>
          <w:sz w:val="32"/>
          <w:szCs w:val="24"/>
          <w:lang w:eastAsia="zh-CN"/>
        </w:rPr>
        <w:t>服务</w:t>
      </w:r>
      <w:r>
        <w:rPr>
          <w:rFonts w:hint="eastAsia" w:ascii="Times New Roman" w:hAnsi="Times New Roman" w:eastAsia="仿宋_GB2312" w:cs="Times New Roman"/>
          <w:color w:val="000000"/>
          <w:spacing w:val="0"/>
          <w:sz w:val="32"/>
          <w:szCs w:val="32"/>
          <w:lang w:eastAsia="zh-CN"/>
        </w:rPr>
        <w:t>，</w:t>
      </w:r>
      <w:r>
        <w:rPr>
          <w:rFonts w:ascii="Times New Roman" w:hAnsi="Times New Roman" w:eastAsia="仿宋_GB2312" w:cs="Times New Roman"/>
          <w:color w:val="000000"/>
          <w:spacing w:val="0"/>
          <w:sz w:val="32"/>
          <w:szCs w:val="32"/>
        </w:rPr>
        <w:t>加强技术指导和沟通交流</w:t>
      </w:r>
      <w:r>
        <w:rPr>
          <w:rFonts w:hint="eastAsia" w:ascii="Times New Roman" w:hAnsi="Times New Roman" w:eastAsia="仿宋_GB2312" w:cs="Times New Roman"/>
          <w:color w:val="000000"/>
          <w:spacing w:val="0"/>
          <w:sz w:val="32"/>
          <w:szCs w:val="32"/>
          <w:lang w:eastAsia="zh-CN"/>
        </w:rPr>
        <w:t>。</w:t>
      </w:r>
    </w:p>
    <w:p>
      <w:pPr>
        <w:tabs>
          <w:tab w:val="left" w:pos="1860"/>
        </w:tabs>
        <w:snapToGrid w:val="0"/>
        <w:spacing w:line="540" w:lineRule="exact"/>
        <w:ind w:firstLine="643" w:firstLineChars="200"/>
        <w:rPr>
          <w:rFonts w:ascii="Times New Roman" w:hAnsi="Times New Roman" w:eastAsia="楷体_GB2312" w:cs="Times New Roman"/>
          <w:b/>
          <w:color w:val="000000"/>
          <w:spacing w:val="0"/>
          <w:sz w:val="32"/>
          <w:szCs w:val="32"/>
        </w:rPr>
      </w:pPr>
      <w:r>
        <w:rPr>
          <w:rFonts w:hint="eastAsia" w:ascii="Times New Roman" w:hAnsi="Times New Roman" w:eastAsia="楷体_GB2312" w:cs="Times New Roman"/>
          <w:b/>
          <w:color w:val="000000"/>
          <w:spacing w:val="0"/>
          <w:sz w:val="32"/>
          <w:szCs w:val="32"/>
          <w:lang w:eastAsia="zh-CN"/>
        </w:rPr>
        <w:t>（九）支持台湾进口第二类医疗器械在福建注册生产。</w:t>
      </w:r>
      <w:r>
        <w:rPr>
          <w:rFonts w:ascii="Times New Roman" w:hAnsi="Times New Roman" w:eastAsia="仿宋_GB2312" w:cs="Times New Roman"/>
          <w:color w:val="000000"/>
          <w:spacing w:val="0"/>
          <w:sz w:val="32"/>
          <w:szCs w:val="32"/>
        </w:rPr>
        <w:t>支持台湾地区进口医疗器械注册人经第三地转投资在</w:t>
      </w:r>
      <w:r>
        <w:rPr>
          <w:rFonts w:hint="eastAsia" w:ascii="Times New Roman" w:hAnsi="Times New Roman" w:eastAsia="仿宋_GB2312" w:cs="Times New Roman"/>
          <w:color w:val="000000"/>
          <w:spacing w:val="0"/>
          <w:sz w:val="32"/>
          <w:szCs w:val="32"/>
          <w:lang w:eastAsia="zh-CN"/>
        </w:rPr>
        <w:t>福建</w:t>
      </w:r>
      <w:r>
        <w:rPr>
          <w:rFonts w:ascii="Times New Roman" w:hAnsi="Times New Roman" w:eastAsia="仿宋_GB2312" w:cs="Times New Roman"/>
          <w:color w:val="000000"/>
          <w:spacing w:val="0"/>
          <w:sz w:val="32"/>
          <w:szCs w:val="32"/>
        </w:rPr>
        <w:t>设立的外商投资企业作为注册人，申请与其已注册进口医疗器械保持一致的境内第二类医疗器械注册，允许部分沿用符合要求的原进口医疗器械注册申报资料，优化审评审批资料。</w:t>
      </w:r>
    </w:p>
    <w:p>
      <w:pPr>
        <w:tabs>
          <w:tab w:val="left" w:pos="1860"/>
        </w:tabs>
        <w:snapToGrid w:val="0"/>
        <w:spacing w:line="540" w:lineRule="exact"/>
        <w:ind w:firstLine="616" w:firstLineChars="200"/>
        <w:rPr>
          <w:rFonts w:hint="eastAsia" w:ascii="Times New Roman" w:hAnsi="Times New Roman" w:eastAsia="黑体" w:cs="Times New Roman"/>
          <w:color w:val="000000"/>
          <w:spacing w:val="0"/>
          <w:sz w:val="32"/>
          <w:szCs w:val="32"/>
          <w:lang w:eastAsia="zh-CN"/>
        </w:rPr>
      </w:pPr>
      <w:r>
        <w:rPr>
          <w:rFonts w:hint="default" w:ascii="Times New Roman" w:hAnsi="Times New Roman" w:eastAsia="国标黑体" w:cs="Times New Roman"/>
          <w:b w:val="0"/>
          <w:bCs w:val="0"/>
          <w:color w:val="000000"/>
          <w:spacing w:val="-6"/>
          <w:sz w:val="32"/>
          <w:szCs w:val="32"/>
          <w:u w:val="none"/>
          <w:lang w:val="en-US" w:eastAsia="zh-CN" w:bidi="ar-SA"/>
        </w:rPr>
        <w:t>三、促进药械</w:t>
      </w:r>
      <w:r>
        <w:rPr>
          <w:rFonts w:hint="eastAsia" w:ascii="Times New Roman" w:hAnsi="Times New Roman" w:eastAsia="国标黑体" w:cs="Times New Roman"/>
          <w:b w:val="0"/>
          <w:bCs w:val="0"/>
          <w:color w:val="000000"/>
          <w:spacing w:val="-6"/>
          <w:sz w:val="32"/>
          <w:szCs w:val="32"/>
          <w:u w:val="none"/>
          <w:lang w:val="en-US" w:eastAsia="zh-CN" w:bidi="ar-SA"/>
        </w:rPr>
        <w:t>经营企业</w:t>
      </w:r>
      <w:r>
        <w:rPr>
          <w:rFonts w:hint="default" w:ascii="Times New Roman" w:hAnsi="Times New Roman" w:eastAsia="国标黑体" w:cs="Times New Roman"/>
          <w:b w:val="0"/>
          <w:bCs w:val="0"/>
          <w:color w:val="000000"/>
          <w:spacing w:val="-6"/>
          <w:sz w:val="32"/>
          <w:szCs w:val="32"/>
          <w:u w:val="none"/>
          <w:lang w:val="en-US" w:eastAsia="zh-CN" w:bidi="ar-SA"/>
        </w:rPr>
        <w:t>创新发展</w:t>
      </w:r>
    </w:p>
    <w:p>
      <w:pPr>
        <w:tabs>
          <w:tab w:val="left" w:pos="1860"/>
        </w:tabs>
        <w:snapToGrid w:val="0"/>
        <w:spacing w:line="540" w:lineRule="exact"/>
        <w:ind w:firstLine="643" w:firstLineChars="200"/>
        <w:rPr>
          <w:rFonts w:ascii="Times New Roman" w:hAnsi="Times New Roman" w:eastAsia="仿宋_GB2312" w:cs="Times New Roman"/>
          <w:color w:val="FF0000"/>
          <w:spacing w:val="0"/>
          <w:sz w:val="32"/>
          <w:szCs w:val="32"/>
        </w:rPr>
      </w:pPr>
      <w:r>
        <w:rPr>
          <w:rFonts w:hint="eastAsia" w:ascii="Times New Roman" w:hAnsi="Times New Roman" w:eastAsia="楷体_GB2312" w:cs="Times New Roman"/>
          <w:b/>
          <w:color w:val="000000"/>
          <w:spacing w:val="0"/>
          <w:sz w:val="32"/>
          <w:szCs w:val="32"/>
          <w:lang w:eastAsia="zh-CN"/>
        </w:rPr>
        <w:t>（十）支持药品经营企业兼并重组。</w:t>
      </w:r>
      <w:r>
        <w:rPr>
          <w:rFonts w:ascii="Times New Roman" w:hAnsi="Times New Roman" w:eastAsia="仿宋_GB2312" w:cs="Times New Roman"/>
          <w:color w:val="000000"/>
          <w:spacing w:val="0"/>
          <w:sz w:val="32"/>
          <w:szCs w:val="32"/>
        </w:rPr>
        <w:t>药品批发、零售连锁企业在进行兼并重组时，注册地址和仓库地址、质量管理体系未发生变化的，可按不低于被兼并企业原有的条件重新办理《药品经营许可证》</w:t>
      </w:r>
      <w:r>
        <w:rPr>
          <w:rFonts w:hint="eastAsia" w:ascii="Times New Roman" w:hAnsi="Times New Roman" w:eastAsia="仿宋_GB2312" w:cs="Times New Roman"/>
          <w:color w:val="000000"/>
          <w:spacing w:val="0"/>
          <w:sz w:val="32"/>
          <w:szCs w:val="32"/>
          <w:lang w:eastAsia="zh-CN"/>
        </w:rPr>
        <w:t>；</w:t>
      </w:r>
      <w:r>
        <w:rPr>
          <w:rFonts w:hint="eastAsia" w:ascii="Times New Roman" w:hAnsi="Times New Roman" w:eastAsia="仿宋_GB2312" w:cs="Times New Roman"/>
          <w:color w:val="000000"/>
          <w:spacing w:val="0"/>
          <w:sz w:val="32"/>
          <w:szCs w:val="32"/>
        </w:rPr>
        <w:t>关键岗位人员、厂房设施、设备、质量保证体系未发生重大变化并明确作出声明承诺的，有条件免于或简化现场检查。</w:t>
      </w:r>
    </w:p>
    <w:p>
      <w:pPr>
        <w:tabs>
          <w:tab w:val="left" w:pos="1860"/>
        </w:tabs>
        <w:snapToGrid w:val="0"/>
        <w:spacing w:line="540" w:lineRule="exact"/>
        <w:ind w:firstLine="643" w:firstLineChars="200"/>
        <w:rPr>
          <w:rFonts w:ascii="Times New Roman" w:hAnsi="Times New Roman" w:eastAsia="仿宋_GB2312" w:cs="Times New Roman"/>
          <w:color w:val="000000"/>
          <w:spacing w:val="0"/>
          <w:sz w:val="32"/>
          <w:szCs w:val="24"/>
        </w:rPr>
      </w:pPr>
      <w:r>
        <w:rPr>
          <w:rFonts w:ascii="Times New Roman" w:hAnsi="Times New Roman" w:eastAsia="楷体_GB2312" w:cs="Times New Roman"/>
          <w:b/>
          <w:color w:val="000000"/>
          <w:spacing w:val="0"/>
          <w:sz w:val="32"/>
          <w:szCs w:val="32"/>
        </w:rPr>
        <w:t>（十</w:t>
      </w:r>
      <w:r>
        <w:rPr>
          <w:rFonts w:hint="eastAsia" w:ascii="Times New Roman" w:hAnsi="Times New Roman" w:eastAsia="楷体_GB2312" w:cs="Times New Roman"/>
          <w:b/>
          <w:color w:val="000000"/>
          <w:spacing w:val="0"/>
          <w:sz w:val="32"/>
          <w:szCs w:val="32"/>
          <w:lang w:eastAsia="zh-CN"/>
        </w:rPr>
        <w:t>一</w:t>
      </w:r>
      <w:r>
        <w:rPr>
          <w:rFonts w:ascii="Times New Roman" w:hAnsi="Times New Roman" w:eastAsia="楷体_GB2312" w:cs="Times New Roman"/>
          <w:b/>
          <w:color w:val="000000"/>
          <w:spacing w:val="0"/>
          <w:sz w:val="32"/>
          <w:szCs w:val="32"/>
        </w:rPr>
        <w:t>）支持药品流通业仓储和物流发展。</w:t>
      </w:r>
      <w:r>
        <w:rPr>
          <w:rFonts w:ascii="Times New Roman" w:hAnsi="Times New Roman" w:eastAsia="仿宋_GB2312" w:cs="Times New Roman"/>
          <w:color w:val="000000"/>
          <w:spacing w:val="0"/>
          <w:sz w:val="32"/>
          <w:szCs w:val="32"/>
        </w:rPr>
        <w:t>药品经营企业在确保票账货款一致、药品可追溯和质量安全责任明确的情况下，储存在同一仓储区内的药品，在物理空间未发生实质性变化的，可免于重复收货验收程序，药品经营企业之间可直接通过计算机信息管理系统进行药品所有权转移；支持</w:t>
      </w:r>
      <w:r>
        <w:rPr>
          <w:rFonts w:hint="eastAsia" w:ascii="Times New Roman" w:hAnsi="Times New Roman" w:eastAsia="仿宋_GB2312" w:cs="Times New Roman"/>
          <w:color w:val="000000"/>
          <w:spacing w:val="0"/>
          <w:sz w:val="32"/>
          <w:szCs w:val="32"/>
          <w:lang w:eastAsia="zh-CN"/>
        </w:rPr>
        <w:t>集团型</w:t>
      </w:r>
      <w:r>
        <w:rPr>
          <w:rFonts w:ascii="Times New Roman" w:hAnsi="Times New Roman" w:eastAsia="仿宋_GB2312" w:cs="Times New Roman"/>
          <w:color w:val="000000"/>
          <w:spacing w:val="0"/>
          <w:sz w:val="32"/>
          <w:szCs w:val="32"/>
        </w:rPr>
        <w:t>药品经营企业在核准的多仓协同的库区内设置“24小时内货物中转区”，用于长途运输和配送过程中的临时性停留和中转。</w:t>
      </w:r>
    </w:p>
    <w:p>
      <w:pPr>
        <w:tabs>
          <w:tab w:val="left" w:pos="1860"/>
        </w:tabs>
        <w:snapToGrid w:val="0"/>
        <w:spacing w:line="540" w:lineRule="exact"/>
        <w:ind w:firstLine="643" w:firstLineChars="200"/>
        <w:rPr>
          <w:rFonts w:ascii="Times New Roman" w:hAnsi="Times New Roman" w:eastAsia="仿宋_GB2312" w:cs="Times New Roman"/>
          <w:bCs/>
          <w:color w:val="000000"/>
          <w:spacing w:val="0"/>
          <w:sz w:val="32"/>
          <w:szCs w:val="32"/>
        </w:rPr>
      </w:pPr>
      <w:r>
        <w:rPr>
          <w:rFonts w:ascii="Times New Roman" w:hAnsi="Times New Roman" w:eastAsia="楷体_GB2312" w:cs="Times New Roman"/>
          <w:b/>
          <w:color w:val="000000"/>
          <w:spacing w:val="0"/>
          <w:sz w:val="32"/>
          <w:szCs w:val="32"/>
        </w:rPr>
        <w:t>（十</w:t>
      </w:r>
      <w:r>
        <w:rPr>
          <w:rFonts w:hint="eastAsia" w:ascii="Times New Roman" w:hAnsi="Times New Roman" w:eastAsia="楷体_GB2312" w:cs="Times New Roman"/>
          <w:b/>
          <w:color w:val="000000"/>
          <w:spacing w:val="0"/>
          <w:sz w:val="32"/>
          <w:szCs w:val="32"/>
          <w:lang w:eastAsia="zh-CN"/>
        </w:rPr>
        <w:t>二</w:t>
      </w:r>
      <w:r>
        <w:rPr>
          <w:rFonts w:ascii="Times New Roman" w:hAnsi="Times New Roman" w:eastAsia="楷体_GB2312" w:cs="Times New Roman"/>
          <w:b/>
          <w:color w:val="000000"/>
          <w:spacing w:val="0"/>
          <w:sz w:val="32"/>
          <w:szCs w:val="32"/>
        </w:rPr>
        <w:t>）实施首营资料和随货配送凭证电子化。</w:t>
      </w:r>
      <w:r>
        <w:rPr>
          <w:rFonts w:ascii="Times New Roman" w:hAnsi="Times New Roman" w:eastAsia="仿宋_GB2312" w:cs="Times New Roman"/>
          <w:color w:val="000000"/>
          <w:spacing w:val="0"/>
          <w:sz w:val="32"/>
          <w:szCs w:val="32"/>
        </w:rPr>
        <w:t>药品经营企业可采用信息化方式，获取在政府网站上可查证、具有法律效力的电子化首营资料，并按照质量管理要求对电子化首营资料进行复核、确认和建立电子档案目录，确保电子资料规范、真实、合法、安全、有效。药品零售连锁企业可通过GSP计算机管理系统，传送总部或受托储存配送企业和门店之间往来的电子化随货同行凭证，经确认后作为收货验收或退货入库的依据，并将电子化凭证的管理纳入质量管理体系，确保购销记录及凭证真实、有效、可追溯。</w:t>
      </w:r>
    </w:p>
    <w:p>
      <w:pPr>
        <w:tabs>
          <w:tab w:val="left" w:pos="1860"/>
        </w:tabs>
        <w:snapToGrid w:val="0"/>
        <w:spacing w:line="540" w:lineRule="exact"/>
        <w:ind w:firstLine="643" w:firstLineChars="200"/>
        <w:rPr>
          <w:rFonts w:ascii="Times New Roman" w:hAnsi="Times New Roman" w:eastAsia="仿宋_GB2312" w:cs="Times New Roman"/>
          <w:spacing w:val="-6"/>
          <w:sz w:val="32"/>
          <w:szCs w:val="20"/>
        </w:rPr>
      </w:pPr>
      <w:r>
        <w:rPr>
          <w:rFonts w:ascii="Times New Roman" w:hAnsi="Times New Roman" w:eastAsia="楷体_GB2312" w:cs="Times New Roman"/>
          <w:b/>
          <w:color w:val="000000"/>
          <w:spacing w:val="0"/>
          <w:sz w:val="32"/>
          <w:szCs w:val="32"/>
        </w:rPr>
        <w:t>（十</w:t>
      </w:r>
      <w:r>
        <w:rPr>
          <w:rFonts w:hint="eastAsia" w:ascii="Times New Roman" w:hAnsi="Times New Roman" w:eastAsia="楷体_GB2312" w:cs="Times New Roman"/>
          <w:b/>
          <w:color w:val="000000"/>
          <w:spacing w:val="0"/>
          <w:sz w:val="32"/>
          <w:szCs w:val="32"/>
          <w:lang w:eastAsia="zh-CN"/>
        </w:rPr>
        <w:t>三</w:t>
      </w:r>
      <w:r>
        <w:rPr>
          <w:rFonts w:ascii="Times New Roman" w:hAnsi="Times New Roman" w:eastAsia="楷体_GB2312" w:cs="Times New Roman"/>
          <w:b/>
          <w:color w:val="000000"/>
          <w:spacing w:val="0"/>
          <w:sz w:val="32"/>
          <w:szCs w:val="32"/>
        </w:rPr>
        <w:t>）支持同一零售连锁企业的门店间调拨非特殊管理药品。</w:t>
      </w:r>
      <w:r>
        <w:rPr>
          <w:rFonts w:hint="eastAsia" w:ascii="Times New Roman" w:hAnsi="Times New Roman" w:eastAsia="仿宋_GB2312" w:cs="Times New Roman"/>
          <w:color w:val="000000"/>
          <w:spacing w:val="0"/>
          <w:sz w:val="32"/>
          <w:szCs w:val="32"/>
          <w:lang w:eastAsia="zh-CN"/>
        </w:rPr>
        <w:t>开展门店间药品调拨的药品</w:t>
      </w:r>
      <w:r>
        <w:rPr>
          <w:rFonts w:ascii="Times New Roman" w:hAnsi="Times New Roman" w:eastAsia="仿宋_GB2312" w:cs="Times New Roman"/>
          <w:color w:val="000000"/>
          <w:spacing w:val="0"/>
          <w:sz w:val="32"/>
          <w:szCs w:val="32"/>
        </w:rPr>
        <w:t>零售连锁总部应制定</w:t>
      </w:r>
      <w:r>
        <w:rPr>
          <w:rFonts w:hint="eastAsia" w:ascii="Times New Roman" w:hAnsi="Times New Roman" w:eastAsia="仿宋_GB2312" w:cs="Times New Roman"/>
          <w:color w:val="000000"/>
          <w:spacing w:val="0"/>
          <w:sz w:val="32"/>
          <w:szCs w:val="32"/>
          <w:lang w:eastAsia="zh-CN"/>
        </w:rPr>
        <w:t>相应的</w:t>
      </w:r>
      <w:r>
        <w:rPr>
          <w:rFonts w:ascii="Times New Roman" w:hAnsi="Times New Roman" w:eastAsia="仿宋_GB2312" w:cs="Times New Roman"/>
          <w:color w:val="000000"/>
          <w:spacing w:val="0"/>
          <w:sz w:val="32"/>
          <w:szCs w:val="32"/>
        </w:rPr>
        <w:t>调拨管理制度，</w:t>
      </w:r>
      <w:r>
        <w:rPr>
          <w:rFonts w:hint="eastAsia" w:ascii="Times New Roman" w:hAnsi="Times New Roman" w:eastAsia="仿宋_GB2312" w:cs="Times New Roman"/>
          <w:color w:val="000000"/>
          <w:spacing w:val="0"/>
          <w:sz w:val="32"/>
          <w:szCs w:val="32"/>
          <w:lang w:eastAsia="zh-CN"/>
        </w:rPr>
        <w:t>保证门店间药品调拨、</w:t>
      </w:r>
      <w:r>
        <w:rPr>
          <w:rFonts w:ascii="Times New Roman" w:hAnsi="Times New Roman" w:eastAsia="仿宋_GB2312" w:cs="Times New Roman"/>
          <w:color w:val="000000"/>
          <w:spacing w:val="0"/>
          <w:sz w:val="32"/>
          <w:szCs w:val="32"/>
        </w:rPr>
        <w:t>运输、收货、验收等环节持续符合药品经营质量管理规范</w:t>
      </w:r>
      <w:r>
        <w:rPr>
          <w:rFonts w:hint="eastAsia" w:ascii="Times New Roman" w:hAnsi="Times New Roman" w:eastAsia="仿宋_GB2312" w:cs="Times New Roman"/>
          <w:color w:val="000000"/>
          <w:spacing w:val="0"/>
          <w:sz w:val="32"/>
          <w:szCs w:val="32"/>
          <w:lang w:eastAsia="zh-CN"/>
        </w:rPr>
        <w:t>。药品</w:t>
      </w:r>
      <w:r>
        <w:rPr>
          <w:rFonts w:ascii="Times New Roman" w:hAnsi="Times New Roman" w:eastAsia="仿宋_GB2312" w:cs="Times New Roman"/>
          <w:color w:val="000000"/>
          <w:spacing w:val="0"/>
          <w:sz w:val="32"/>
          <w:szCs w:val="32"/>
        </w:rPr>
        <w:t>零售连锁总部应对</w:t>
      </w:r>
      <w:r>
        <w:rPr>
          <w:rFonts w:hint="eastAsia" w:ascii="Times New Roman" w:hAnsi="Times New Roman" w:eastAsia="仿宋_GB2312" w:cs="Times New Roman"/>
          <w:color w:val="000000"/>
          <w:spacing w:val="0"/>
          <w:sz w:val="32"/>
          <w:szCs w:val="32"/>
          <w:lang w:eastAsia="zh-CN"/>
        </w:rPr>
        <w:t>门店</w:t>
      </w:r>
      <w:r>
        <w:rPr>
          <w:rFonts w:ascii="Times New Roman" w:hAnsi="Times New Roman" w:eastAsia="仿宋_GB2312" w:cs="Times New Roman"/>
          <w:color w:val="000000"/>
          <w:spacing w:val="0"/>
          <w:sz w:val="32"/>
          <w:szCs w:val="32"/>
        </w:rPr>
        <w:t>间的药品调拨</w:t>
      </w:r>
      <w:r>
        <w:rPr>
          <w:rFonts w:hint="eastAsia" w:ascii="Times New Roman" w:hAnsi="Times New Roman" w:eastAsia="仿宋_GB2312" w:cs="Times New Roman"/>
          <w:color w:val="000000"/>
          <w:spacing w:val="0"/>
          <w:sz w:val="32"/>
          <w:szCs w:val="32"/>
          <w:lang w:eastAsia="zh-CN"/>
        </w:rPr>
        <w:t>按次进行审核批准，并</w:t>
      </w:r>
      <w:r>
        <w:rPr>
          <w:rFonts w:ascii="Times New Roman" w:hAnsi="Times New Roman" w:eastAsia="仿宋_GB2312" w:cs="Times New Roman"/>
          <w:color w:val="000000"/>
          <w:spacing w:val="0"/>
          <w:sz w:val="32"/>
          <w:szCs w:val="32"/>
        </w:rPr>
        <w:t>在</w:t>
      </w:r>
      <w:r>
        <w:rPr>
          <w:rFonts w:hint="eastAsia" w:ascii="Times New Roman" w:hAnsi="Times New Roman" w:eastAsia="仿宋_GB2312" w:cs="Times New Roman"/>
          <w:color w:val="000000"/>
          <w:spacing w:val="0"/>
          <w:sz w:val="32"/>
          <w:szCs w:val="32"/>
        </w:rPr>
        <w:t>GSP计算机管理系统</w:t>
      </w:r>
      <w:r>
        <w:rPr>
          <w:rFonts w:ascii="Times New Roman" w:hAnsi="Times New Roman" w:eastAsia="仿宋_GB2312" w:cs="Times New Roman"/>
          <w:color w:val="000000"/>
          <w:spacing w:val="0"/>
          <w:sz w:val="32"/>
          <w:szCs w:val="32"/>
        </w:rPr>
        <w:t>中按实际情况进行重新分配调整，</w:t>
      </w:r>
      <w:r>
        <w:rPr>
          <w:rFonts w:hint="eastAsia" w:ascii="Times New Roman" w:hAnsi="Times New Roman" w:eastAsia="仿宋_GB2312" w:cs="Times New Roman"/>
          <w:color w:val="000000"/>
          <w:spacing w:val="0"/>
          <w:sz w:val="32"/>
          <w:szCs w:val="32"/>
          <w:lang w:eastAsia="zh-CN"/>
        </w:rPr>
        <w:t>确保药品流向准确和可追溯。</w:t>
      </w:r>
      <w:r>
        <w:rPr>
          <w:rFonts w:ascii="Times New Roman" w:hAnsi="Times New Roman" w:eastAsia="仿宋_GB2312" w:cs="Times New Roman"/>
          <w:color w:val="000000"/>
          <w:spacing w:val="0"/>
          <w:sz w:val="32"/>
          <w:szCs w:val="32"/>
        </w:rPr>
        <w:t>如发现调拨的药品存在质量问题的，应由</w:t>
      </w:r>
      <w:r>
        <w:rPr>
          <w:rFonts w:hint="eastAsia" w:ascii="Times New Roman" w:hAnsi="Times New Roman" w:eastAsia="仿宋_GB2312" w:cs="Times New Roman"/>
          <w:color w:val="000000"/>
          <w:spacing w:val="0"/>
          <w:sz w:val="32"/>
          <w:szCs w:val="32"/>
          <w:lang w:eastAsia="zh-CN"/>
        </w:rPr>
        <w:t>药品零售</w:t>
      </w:r>
      <w:r>
        <w:rPr>
          <w:rFonts w:ascii="Times New Roman" w:hAnsi="Times New Roman" w:eastAsia="仿宋_GB2312" w:cs="Times New Roman"/>
          <w:color w:val="000000"/>
          <w:spacing w:val="0"/>
          <w:sz w:val="32"/>
          <w:szCs w:val="32"/>
        </w:rPr>
        <w:t>连锁总部按相关规定处理。</w:t>
      </w:r>
    </w:p>
    <w:p>
      <w:pPr>
        <w:spacing w:line="540" w:lineRule="exact"/>
        <w:ind w:firstLine="643" w:firstLineChars="200"/>
        <w:rPr>
          <w:rFonts w:hint="eastAsia" w:ascii="Times New Roman" w:hAnsi="Times New Roman" w:eastAsia="仿宋_GB2312" w:cs="Times New Roman"/>
          <w:spacing w:val="0"/>
          <w:sz w:val="32"/>
          <w:szCs w:val="24"/>
        </w:rPr>
      </w:pPr>
      <w:r>
        <w:rPr>
          <w:rFonts w:hint="eastAsia" w:ascii="Times New Roman" w:hAnsi="Times New Roman" w:eastAsia="楷体_GB2312" w:cs="Times New Roman"/>
          <w:b/>
          <w:color w:val="000000"/>
          <w:spacing w:val="0"/>
          <w:sz w:val="32"/>
          <w:szCs w:val="32"/>
        </w:rPr>
        <w:t>（</w:t>
      </w:r>
      <w:r>
        <w:rPr>
          <w:rFonts w:hint="eastAsia" w:ascii="Times New Roman" w:hAnsi="Times New Roman" w:eastAsia="楷体_GB2312" w:cs="Times New Roman"/>
          <w:b/>
          <w:color w:val="000000"/>
          <w:spacing w:val="0"/>
          <w:sz w:val="32"/>
          <w:szCs w:val="32"/>
          <w:lang w:eastAsia="zh-CN"/>
        </w:rPr>
        <w:t>十五</w:t>
      </w:r>
      <w:r>
        <w:rPr>
          <w:rFonts w:hint="eastAsia" w:ascii="Times New Roman" w:hAnsi="Times New Roman" w:eastAsia="楷体_GB2312" w:cs="Times New Roman"/>
          <w:b/>
          <w:color w:val="000000"/>
          <w:spacing w:val="0"/>
          <w:sz w:val="32"/>
          <w:szCs w:val="32"/>
        </w:rPr>
        <w:t>）整合特殊管理药品审批流程</w:t>
      </w:r>
      <w:r>
        <w:rPr>
          <w:rFonts w:hint="eastAsia" w:ascii="Times New Roman" w:hAnsi="Times New Roman" w:eastAsia="楷体_GB2312" w:cs="Times New Roman"/>
          <w:b/>
          <w:color w:val="000000"/>
          <w:spacing w:val="0"/>
          <w:sz w:val="32"/>
          <w:szCs w:val="32"/>
          <w:lang w:eastAsia="zh-CN"/>
        </w:rPr>
        <w:t>。</w:t>
      </w:r>
      <w:r>
        <w:rPr>
          <w:rFonts w:hint="eastAsia" w:ascii="Times New Roman" w:hAnsi="Times New Roman" w:eastAsia="仿宋_GB2312" w:cs="Times New Roman"/>
          <w:spacing w:val="0"/>
          <w:sz w:val="32"/>
          <w:szCs w:val="24"/>
        </w:rPr>
        <w:t>依企业申请，</w:t>
      </w:r>
      <w:r>
        <w:rPr>
          <w:rFonts w:hint="eastAsia" w:ascii="Times New Roman" w:hAnsi="Times New Roman" w:eastAsia="仿宋_GB2312" w:cs="Times New Roman"/>
          <w:spacing w:val="0"/>
          <w:sz w:val="32"/>
          <w:szCs w:val="24"/>
          <w:lang w:eastAsia="zh-CN"/>
        </w:rPr>
        <w:t>将</w:t>
      </w:r>
      <w:r>
        <w:rPr>
          <w:rFonts w:hint="eastAsia" w:ascii="Times New Roman" w:hAnsi="Times New Roman" w:eastAsia="仿宋_GB2312" w:cs="Times New Roman"/>
          <w:spacing w:val="0"/>
          <w:sz w:val="32"/>
          <w:szCs w:val="24"/>
        </w:rPr>
        <w:t>药品经营企业经营特殊</w:t>
      </w:r>
      <w:r>
        <w:rPr>
          <w:rFonts w:hint="eastAsia" w:ascii="Times New Roman" w:hAnsi="Times New Roman" w:eastAsia="仿宋_GB2312" w:cs="Times New Roman"/>
          <w:spacing w:val="0"/>
          <w:sz w:val="32"/>
          <w:szCs w:val="24"/>
          <w:lang w:eastAsia="zh-CN"/>
        </w:rPr>
        <w:t>管理</w:t>
      </w:r>
      <w:r>
        <w:rPr>
          <w:rFonts w:hint="eastAsia" w:ascii="Times New Roman" w:hAnsi="Times New Roman" w:eastAsia="仿宋_GB2312" w:cs="Times New Roman"/>
          <w:spacing w:val="0"/>
          <w:sz w:val="32"/>
          <w:szCs w:val="24"/>
        </w:rPr>
        <w:t>药品业务审批与药品经营许可合并进行，检查流程和时限按药品经营许可的要求执行。药品经营企业申请办理《药品类易制毒化学品购用证明》，受理申请时间与企业上一次接受该事项现场检查时间间隔不超过半年且主要条件未发生变更的，不再组织现场检查。</w:t>
      </w:r>
    </w:p>
    <w:p>
      <w:pPr>
        <w:spacing w:line="540" w:lineRule="exact"/>
        <w:ind w:firstLine="643" w:firstLineChars="200"/>
        <w:rPr>
          <w:rFonts w:ascii="Times New Roman" w:hAnsi="Times New Roman" w:eastAsia="仿宋_GB2312" w:cs="Times New Roman"/>
          <w:color w:val="000000"/>
          <w:spacing w:val="0"/>
          <w:sz w:val="32"/>
          <w:szCs w:val="32"/>
        </w:rPr>
      </w:pPr>
      <w:r>
        <w:rPr>
          <w:rFonts w:ascii="Times New Roman" w:hAnsi="Times New Roman" w:eastAsia="楷体_GB2312" w:cs="Times New Roman"/>
          <w:b/>
          <w:color w:val="000000"/>
          <w:spacing w:val="0"/>
          <w:sz w:val="32"/>
          <w:szCs w:val="32"/>
        </w:rPr>
        <w:t>（十</w:t>
      </w:r>
      <w:r>
        <w:rPr>
          <w:rFonts w:hint="eastAsia" w:ascii="Times New Roman" w:hAnsi="Times New Roman" w:eastAsia="楷体_GB2312" w:cs="Times New Roman"/>
          <w:b/>
          <w:color w:val="000000"/>
          <w:spacing w:val="0"/>
          <w:sz w:val="32"/>
          <w:szCs w:val="32"/>
          <w:lang w:eastAsia="zh-CN"/>
        </w:rPr>
        <w:t>六</w:t>
      </w:r>
      <w:r>
        <w:rPr>
          <w:rFonts w:ascii="Times New Roman" w:hAnsi="Times New Roman" w:eastAsia="楷体_GB2312" w:cs="Times New Roman"/>
          <w:b/>
          <w:color w:val="000000"/>
          <w:spacing w:val="0"/>
          <w:sz w:val="32"/>
          <w:szCs w:val="32"/>
        </w:rPr>
        <w:t>）支持医疗器械储运业务发展。</w:t>
      </w:r>
      <w:r>
        <w:rPr>
          <w:rFonts w:ascii="Times New Roman" w:hAnsi="Times New Roman" w:eastAsia="仿宋_GB2312" w:cs="Times New Roman"/>
          <w:spacing w:val="0"/>
          <w:sz w:val="32"/>
          <w:szCs w:val="24"/>
        </w:rPr>
        <w:t>允许</w:t>
      </w:r>
      <w:r>
        <w:rPr>
          <w:rFonts w:ascii="Times New Roman" w:hAnsi="Times New Roman" w:eastAsia="仿宋_GB2312" w:cs="Times New Roman"/>
          <w:color w:val="000000"/>
          <w:spacing w:val="0"/>
          <w:sz w:val="32"/>
          <w:szCs w:val="24"/>
        </w:rPr>
        <w:t>取得医疗器械代贮代送资质以及专门提供医疗器械运输、贮存服务的集团型</w:t>
      </w:r>
      <w:r>
        <w:rPr>
          <w:rFonts w:hint="eastAsia" w:ascii="Times New Roman" w:hAnsi="Times New Roman" w:eastAsia="仿宋_GB2312" w:cs="Times New Roman"/>
          <w:color w:val="000000"/>
          <w:spacing w:val="0"/>
          <w:sz w:val="32"/>
          <w:szCs w:val="24"/>
          <w:lang w:eastAsia="zh-CN"/>
        </w:rPr>
        <w:t>医疗器械经营企业的母公司，</w:t>
      </w:r>
      <w:r>
        <w:rPr>
          <w:rFonts w:ascii="Times New Roman" w:hAnsi="Times New Roman" w:eastAsia="仿宋_GB2312" w:cs="Times New Roman"/>
          <w:color w:val="000000"/>
          <w:spacing w:val="0"/>
          <w:sz w:val="32"/>
          <w:szCs w:val="24"/>
        </w:rPr>
        <w:t>利用其省内集团控股子公司的医疗器械库房作为异地分库</w:t>
      </w:r>
      <w:r>
        <w:rPr>
          <w:rFonts w:hint="eastAsia" w:ascii="Times New Roman" w:hAnsi="Times New Roman" w:eastAsia="仿宋_GB2312" w:cs="Times New Roman"/>
          <w:color w:val="000000"/>
          <w:spacing w:val="0"/>
          <w:sz w:val="32"/>
          <w:szCs w:val="24"/>
        </w:rPr>
        <w:t>。允许</w:t>
      </w:r>
      <w:r>
        <w:rPr>
          <w:rFonts w:hint="eastAsia" w:ascii="Times New Roman" w:hAnsi="Times New Roman" w:eastAsia="仿宋_GB2312" w:cs="Times New Roman"/>
          <w:spacing w:val="-6"/>
          <w:sz w:val="32"/>
          <w:szCs w:val="32"/>
          <w:lang w:eastAsia="zh-CN"/>
        </w:rPr>
        <w:t>取得</w:t>
      </w:r>
      <w:r>
        <w:rPr>
          <w:rFonts w:ascii="Times New Roman" w:hAnsi="Times New Roman" w:eastAsia="仿宋_GB2312" w:cs="Times New Roman"/>
          <w:spacing w:val="-6"/>
          <w:sz w:val="32"/>
          <w:szCs w:val="32"/>
        </w:rPr>
        <w:t>医疗器械经营许可的集团型</w:t>
      </w:r>
      <w:r>
        <w:rPr>
          <w:rFonts w:hint="eastAsia" w:ascii="Times New Roman" w:hAnsi="Times New Roman" w:eastAsia="仿宋_GB2312" w:cs="Times New Roman"/>
          <w:spacing w:val="-6"/>
          <w:sz w:val="32"/>
          <w:szCs w:val="32"/>
          <w:lang w:eastAsia="zh-CN"/>
        </w:rPr>
        <w:t>医疗器械生产</w:t>
      </w:r>
      <w:r>
        <w:rPr>
          <w:rFonts w:ascii="Times New Roman" w:hAnsi="Times New Roman" w:eastAsia="仿宋_GB2312" w:cs="Times New Roman"/>
          <w:spacing w:val="-6"/>
          <w:sz w:val="32"/>
          <w:szCs w:val="32"/>
        </w:rPr>
        <w:t>企业跨行政区域设置库房</w:t>
      </w:r>
      <w:r>
        <w:rPr>
          <w:rFonts w:hint="eastAsia" w:ascii="Times New Roman" w:hAnsi="Times New Roman" w:eastAsia="仿宋_GB2312" w:cs="Times New Roman"/>
          <w:spacing w:val="-6"/>
          <w:sz w:val="32"/>
          <w:szCs w:val="32"/>
        </w:rPr>
        <w:t>，</w:t>
      </w:r>
      <w:r>
        <w:rPr>
          <w:rFonts w:ascii="Times New Roman" w:hAnsi="Times New Roman" w:eastAsia="仿宋_GB2312" w:cs="Times New Roman"/>
          <w:spacing w:val="-6"/>
          <w:sz w:val="32"/>
          <w:szCs w:val="32"/>
        </w:rPr>
        <w:t>用于贮存</w:t>
      </w:r>
      <w:r>
        <w:rPr>
          <w:rFonts w:hint="eastAsia" w:ascii="Times New Roman" w:hAnsi="Times New Roman" w:eastAsia="仿宋_GB2312" w:cs="Times New Roman"/>
          <w:spacing w:val="-6"/>
          <w:sz w:val="32"/>
          <w:szCs w:val="32"/>
          <w:lang w:eastAsia="zh-CN"/>
        </w:rPr>
        <w:t>同一集团</w:t>
      </w:r>
      <w:r>
        <w:rPr>
          <w:rFonts w:ascii="Times New Roman" w:hAnsi="Times New Roman" w:eastAsia="仿宋_GB2312" w:cs="Times New Roman"/>
          <w:spacing w:val="-6"/>
          <w:sz w:val="32"/>
          <w:szCs w:val="32"/>
        </w:rPr>
        <w:t>医疗器械注册人</w:t>
      </w:r>
      <w:r>
        <w:rPr>
          <w:rFonts w:hint="eastAsia" w:ascii="Times New Roman" w:hAnsi="Times New Roman" w:eastAsia="仿宋_GB2312" w:cs="Times New Roman"/>
          <w:spacing w:val="-6"/>
          <w:sz w:val="32"/>
          <w:szCs w:val="32"/>
          <w:lang w:eastAsia="zh-CN"/>
        </w:rPr>
        <w:t>（</w:t>
      </w:r>
      <w:r>
        <w:rPr>
          <w:rFonts w:ascii="Times New Roman" w:hAnsi="Times New Roman" w:eastAsia="仿宋_GB2312" w:cs="Times New Roman"/>
          <w:spacing w:val="-6"/>
          <w:sz w:val="32"/>
          <w:szCs w:val="32"/>
        </w:rPr>
        <w:t>备案人</w:t>
      </w:r>
      <w:r>
        <w:rPr>
          <w:rFonts w:hint="eastAsia" w:ascii="Times New Roman" w:hAnsi="Times New Roman" w:eastAsia="仿宋_GB2312" w:cs="Times New Roman"/>
          <w:spacing w:val="-6"/>
          <w:sz w:val="32"/>
          <w:szCs w:val="32"/>
          <w:lang w:eastAsia="zh-CN"/>
        </w:rPr>
        <w:t>）</w:t>
      </w:r>
      <w:r>
        <w:rPr>
          <w:rFonts w:ascii="Times New Roman" w:hAnsi="Times New Roman" w:eastAsia="仿宋_GB2312" w:cs="Times New Roman"/>
          <w:spacing w:val="-6"/>
          <w:sz w:val="32"/>
          <w:szCs w:val="32"/>
        </w:rPr>
        <w:t>生产的医疗器械</w:t>
      </w:r>
      <w:r>
        <w:rPr>
          <w:rFonts w:hint="eastAsia" w:ascii="Times New Roman" w:hAnsi="Times New Roman" w:eastAsia="仿宋_GB2312" w:cs="Times New Roman"/>
          <w:spacing w:val="-6"/>
          <w:sz w:val="32"/>
          <w:szCs w:val="32"/>
        </w:rPr>
        <w:t>。</w:t>
      </w:r>
      <w:r>
        <w:rPr>
          <w:rFonts w:hint="eastAsia" w:ascii="Times New Roman" w:hAnsi="Times New Roman" w:eastAsia="仿宋_GB2312" w:cs="Times New Roman"/>
          <w:spacing w:val="-6"/>
          <w:sz w:val="32"/>
          <w:szCs w:val="32"/>
          <w:lang w:eastAsia="zh-CN"/>
        </w:rPr>
        <w:t>支持上述库房</w:t>
      </w:r>
      <w:r>
        <w:rPr>
          <w:rFonts w:ascii="Times New Roman" w:hAnsi="Times New Roman" w:eastAsia="仿宋_GB2312" w:cs="Times New Roman"/>
          <w:color w:val="000000"/>
          <w:spacing w:val="0"/>
          <w:sz w:val="32"/>
          <w:szCs w:val="24"/>
        </w:rPr>
        <w:t>共享</w:t>
      </w:r>
      <w:r>
        <w:rPr>
          <w:rFonts w:hint="eastAsia" w:ascii="Times New Roman" w:hAnsi="Times New Roman" w:eastAsia="仿宋_GB2312" w:cs="Times New Roman"/>
          <w:color w:val="000000"/>
          <w:spacing w:val="0"/>
          <w:sz w:val="32"/>
          <w:szCs w:val="24"/>
          <w:lang w:eastAsia="zh-CN"/>
        </w:rPr>
        <w:t>仓储场地</w:t>
      </w:r>
      <w:r>
        <w:rPr>
          <w:rFonts w:ascii="Times New Roman" w:hAnsi="Times New Roman" w:eastAsia="仿宋_GB2312" w:cs="Times New Roman"/>
          <w:color w:val="000000"/>
          <w:spacing w:val="0"/>
          <w:sz w:val="32"/>
          <w:szCs w:val="24"/>
        </w:rPr>
        <w:t>、设备和人员等资源。</w:t>
      </w:r>
    </w:p>
    <w:p>
      <w:pPr>
        <w:keepNext w:val="0"/>
        <w:keepLines w:val="0"/>
        <w:pageBreakBefore w:val="0"/>
        <w:widowControl w:val="0"/>
        <w:numPr>
          <w:ilvl w:val="0"/>
          <w:numId w:val="0"/>
        </w:numPr>
        <w:tabs>
          <w:tab w:val="left" w:pos="1860"/>
        </w:tabs>
        <w:kinsoku/>
        <w:wordWrap/>
        <w:overflowPunct/>
        <w:topLinePunct w:val="0"/>
        <w:autoSpaceDE/>
        <w:autoSpaceDN/>
        <w:bidi w:val="0"/>
        <w:adjustRightInd/>
        <w:snapToGrid w:val="0"/>
        <w:spacing w:before="0" w:after="0" w:line="560" w:lineRule="exact"/>
        <w:ind w:left="0" w:leftChars="0" w:right="0" w:rightChars="0" w:firstLine="640" w:firstLineChars="200"/>
        <w:jc w:val="both"/>
        <w:textAlignment w:val="auto"/>
        <w:outlineLvl w:val="9"/>
        <w:rPr>
          <w:rFonts w:hint="eastAsia" w:ascii="Times New Roman" w:hAnsi="Times New Roman" w:eastAsia="楷体_GB2312" w:cs="Times New Roman"/>
          <w:b/>
          <w:color w:val="000000"/>
          <w:spacing w:val="0"/>
          <w:sz w:val="32"/>
          <w:szCs w:val="32"/>
          <w:lang w:eastAsia="zh-CN"/>
        </w:rPr>
      </w:pPr>
      <w:r>
        <w:rPr>
          <w:rFonts w:hint="default" w:ascii="Times New Roman" w:hAnsi="Times New Roman" w:eastAsia="国标黑体" w:cs="Times New Roman"/>
          <w:b w:val="0"/>
          <w:bCs w:val="0"/>
          <w:color w:val="000000"/>
          <w:spacing w:val="0"/>
          <w:sz w:val="32"/>
          <w:szCs w:val="32"/>
          <w:u w:val="none"/>
          <w:lang w:val="en-US" w:eastAsia="zh-CN" w:bidi="ar-SA"/>
        </w:rPr>
        <w:t>四、</w:t>
      </w:r>
      <w:r>
        <w:rPr>
          <w:rFonts w:hint="eastAsia" w:ascii="Times New Roman" w:hAnsi="Times New Roman" w:eastAsia="国标黑体" w:cs="Times New Roman"/>
          <w:b w:val="0"/>
          <w:bCs w:val="0"/>
          <w:color w:val="000000"/>
          <w:spacing w:val="0"/>
          <w:sz w:val="32"/>
          <w:szCs w:val="32"/>
          <w:u w:val="none"/>
          <w:lang w:val="en-US" w:eastAsia="zh-CN" w:bidi="ar-SA"/>
        </w:rPr>
        <w:t>支持产业</w:t>
      </w:r>
      <w:r>
        <w:rPr>
          <w:rFonts w:hint="default" w:ascii="Times New Roman" w:hAnsi="Times New Roman" w:eastAsia="国标黑体" w:cs="Times New Roman"/>
          <w:b w:val="0"/>
          <w:bCs w:val="0"/>
          <w:color w:val="000000"/>
          <w:spacing w:val="0"/>
          <w:sz w:val="32"/>
          <w:szCs w:val="32"/>
          <w:u w:val="none"/>
          <w:lang w:val="en-US" w:eastAsia="zh-CN" w:bidi="ar-SA"/>
        </w:rPr>
        <w:t>聚集发展和</w:t>
      </w:r>
      <w:r>
        <w:rPr>
          <w:rFonts w:hint="eastAsia" w:ascii="Times New Roman" w:hAnsi="Times New Roman" w:eastAsia="国标黑体" w:cs="Times New Roman"/>
          <w:b w:val="0"/>
          <w:bCs w:val="0"/>
          <w:color w:val="000000"/>
          <w:spacing w:val="0"/>
          <w:sz w:val="32"/>
          <w:szCs w:val="32"/>
          <w:u w:val="none"/>
          <w:lang w:val="en-US" w:eastAsia="zh-CN" w:bidi="ar-SA"/>
        </w:rPr>
        <w:t>提质增效</w:t>
      </w:r>
    </w:p>
    <w:p>
      <w:pPr>
        <w:tabs>
          <w:tab w:val="left" w:pos="1860"/>
        </w:tabs>
        <w:snapToGrid w:val="0"/>
        <w:spacing w:line="540" w:lineRule="exact"/>
        <w:ind w:firstLine="643" w:firstLineChars="200"/>
        <w:rPr>
          <w:rFonts w:ascii="Times New Roman" w:hAnsi="Times New Roman" w:eastAsia="仿宋_GB2312" w:cs="Times New Roman"/>
          <w:spacing w:val="-6"/>
          <w:sz w:val="32"/>
          <w:szCs w:val="20"/>
        </w:rPr>
      </w:pPr>
      <w:r>
        <w:rPr>
          <w:rFonts w:ascii="Times New Roman" w:hAnsi="Times New Roman" w:eastAsia="楷体_GB2312" w:cs="Times New Roman"/>
          <w:b/>
          <w:color w:val="000000"/>
          <w:spacing w:val="0"/>
          <w:sz w:val="32"/>
          <w:szCs w:val="32"/>
        </w:rPr>
        <w:t>（</w:t>
      </w:r>
      <w:r>
        <w:rPr>
          <w:rFonts w:hint="eastAsia" w:ascii="Times New Roman" w:hAnsi="Times New Roman" w:eastAsia="楷体_GB2312" w:cs="Times New Roman"/>
          <w:b/>
          <w:color w:val="000000"/>
          <w:spacing w:val="0"/>
          <w:sz w:val="32"/>
          <w:szCs w:val="32"/>
          <w:lang w:eastAsia="zh-CN"/>
        </w:rPr>
        <w:t>十七</w:t>
      </w:r>
      <w:r>
        <w:rPr>
          <w:rFonts w:ascii="Times New Roman" w:hAnsi="Times New Roman" w:eastAsia="楷体_GB2312" w:cs="Times New Roman"/>
          <w:b/>
          <w:color w:val="000000"/>
          <w:spacing w:val="0"/>
          <w:sz w:val="32"/>
          <w:szCs w:val="32"/>
        </w:rPr>
        <w:t>）支持药品企业异地搬迁和升级扩建。</w:t>
      </w:r>
      <w:r>
        <w:rPr>
          <w:rFonts w:hint="eastAsia" w:ascii="Times New Roman" w:hAnsi="Times New Roman" w:eastAsia="仿宋_GB2312" w:cs="Times New Roman"/>
          <w:color w:val="000000"/>
          <w:spacing w:val="0"/>
          <w:sz w:val="32"/>
          <w:szCs w:val="24"/>
        </w:rPr>
        <w:t>支持药品上市许可持有人或药品生产企业在原址或者异地新建、改建、扩建车间或者生产线，</w:t>
      </w:r>
      <w:r>
        <w:rPr>
          <w:rFonts w:ascii="Times New Roman" w:hAnsi="Times New Roman" w:eastAsia="仿宋_GB2312" w:cs="Times New Roman"/>
          <w:color w:val="000000"/>
          <w:spacing w:val="0"/>
          <w:sz w:val="32"/>
          <w:szCs w:val="24"/>
        </w:rPr>
        <w:t>企业立项时可向省药监局提出沟通指导申请，省药监局</w:t>
      </w:r>
      <w:r>
        <w:rPr>
          <w:rFonts w:hint="eastAsia" w:ascii="Times New Roman" w:hAnsi="Times New Roman" w:eastAsia="仿宋_GB2312" w:cs="Times New Roman"/>
          <w:color w:val="000000"/>
          <w:spacing w:val="0"/>
          <w:sz w:val="32"/>
          <w:szCs w:val="24"/>
        </w:rPr>
        <w:t>指定专人</w:t>
      </w:r>
      <w:r>
        <w:rPr>
          <w:rFonts w:ascii="Times New Roman" w:hAnsi="Times New Roman" w:eastAsia="仿宋_GB2312" w:cs="Times New Roman"/>
          <w:color w:val="000000"/>
          <w:spacing w:val="0"/>
          <w:sz w:val="32"/>
          <w:szCs w:val="24"/>
        </w:rPr>
        <w:t>在项目合规、项目立项、建设图纸预审、药品上市后变更政策咨询等方面靠前指导和帮促。</w:t>
      </w:r>
    </w:p>
    <w:p>
      <w:pPr>
        <w:tabs>
          <w:tab w:val="left" w:pos="1860"/>
        </w:tabs>
        <w:snapToGrid w:val="0"/>
        <w:spacing w:line="540" w:lineRule="exact"/>
        <w:ind w:firstLine="643" w:firstLineChars="200"/>
        <w:rPr>
          <w:rFonts w:ascii="Times New Roman" w:hAnsi="Times New Roman" w:eastAsia="楷体_GB2312" w:cs="Times New Roman"/>
          <w:b/>
          <w:color w:val="000000"/>
          <w:spacing w:val="0"/>
          <w:sz w:val="32"/>
          <w:szCs w:val="32"/>
        </w:rPr>
      </w:pPr>
      <w:r>
        <w:rPr>
          <w:rFonts w:ascii="Times New Roman" w:hAnsi="Times New Roman" w:eastAsia="楷体_GB2312" w:cs="Times New Roman"/>
          <w:b/>
          <w:color w:val="000000"/>
          <w:spacing w:val="0"/>
          <w:sz w:val="32"/>
          <w:szCs w:val="32"/>
        </w:rPr>
        <w:t>（</w:t>
      </w:r>
      <w:r>
        <w:rPr>
          <w:rFonts w:hint="eastAsia" w:ascii="Times New Roman" w:hAnsi="Times New Roman" w:eastAsia="楷体_GB2312" w:cs="Times New Roman"/>
          <w:b/>
          <w:color w:val="000000"/>
          <w:spacing w:val="0"/>
          <w:sz w:val="32"/>
          <w:szCs w:val="32"/>
          <w:lang w:eastAsia="zh-CN"/>
        </w:rPr>
        <w:t>十八</w:t>
      </w:r>
      <w:r>
        <w:rPr>
          <w:rFonts w:ascii="Times New Roman" w:hAnsi="Times New Roman" w:eastAsia="楷体_GB2312" w:cs="Times New Roman"/>
          <w:b/>
          <w:color w:val="000000"/>
          <w:spacing w:val="0"/>
          <w:sz w:val="32"/>
          <w:szCs w:val="32"/>
        </w:rPr>
        <w:t>）加快药品生产</w:t>
      </w:r>
      <w:r>
        <w:rPr>
          <w:rFonts w:hint="eastAsia" w:ascii="Times New Roman" w:hAnsi="Times New Roman" w:eastAsia="楷体_GB2312" w:cs="Times New Roman"/>
          <w:b/>
          <w:color w:val="000000"/>
          <w:spacing w:val="0"/>
          <w:sz w:val="32"/>
          <w:szCs w:val="32"/>
        </w:rPr>
        <w:t>地址变更审评审批</w:t>
      </w:r>
      <w:r>
        <w:rPr>
          <w:rFonts w:ascii="Times New Roman" w:hAnsi="Times New Roman" w:eastAsia="楷体_GB2312" w:cs="Times New Roman"/>
          <w:b/>
          <w:color w:val="000000"/>
          <w:spacing w:val="0"/>
          <w:sz w:val="32"/>
          <w:szCs w:val="32"/>
        </w:rPr>
        <w:t>。</w:t>
      </w:r>
      <w:r>
        <w:rPr>
          <w:rFonts w:ascii="Times New Roman" w:hAnsi="Times New Roman" w:eastAsia="仿宋_GB2312" w:cs="Times New Roman"/>
          <w:color w:val="000000"/>
          <w:spacing w:val="0"/>
          <w:sz w:val="32"/>
          <w:szCs w:val="24"/>
        </w:rPr>
        <w:t>对于生产工艺流程相近的非高风险转移品种，药品上市许可持有人可向省药监局申请沟通交流后，基于风险原则选择同剂型中具有代表性的品种规格，按照《药品上市后变更管理办法》及相关技术指导原则要求进行研究验证</w:t>
      </w:r>
      <w:r>
        <w:rPr>
          <w:rFonts w:hint="eastAsia" w:ascii="Times New Roman" w:hAnsi="Times New Roman" w:eastAsia="仿宋_GB2312" w:cs="Times New Roman"/>
          <w:color w:val="000000"/>
          <w:spacing w:val="0"/>
          <w:sz w:val="32"/>
          <w:szCs w:val="24"/>
        </w:rPr>
        <w:t>后，</w:t>
      </w:r>
      <w:r>
        <w:rPr>
          <w:rFonts w:ascii="Times New Roman" w:hAnsi="Times New Roman" w:eastAsia="仿宋_GB2312" w:cs="Times New Roman"/>
          <w:color w:val="000000"/>
          <w:spacing w:val="0"/>
          <w:sz w:val="32"/>
          <w:szCs w:val="24"/>
        </w:rPr>
        <w:t>提出生产地址变更申请，获批后同剂型不同</w:t>
      </w:r>
      <w:r>
        <w:rPr>
          <w:rFonts w:hint="eastAsia" w:ascii="Times New Roman" w:hAnsi="Times New Roman" w:eastAsia="仿宋_GB2312" w:cs="Times New Roman"/>
          <w:color w:val="000000"/>
          <w:spacing w:val="0"/>
          <w:sz w:val="32"/>
          <w:szCs w:val="24"/>
        </w:rPr>
        <w:t>品种规格</w:t>
      </w:r>
      <w:r>
        <w:rPr>
          <w:rFonts w:ascii="Times New Roman" w:hAnsi="Times New Roman" w:eastAsia="仿宋_GB2312" w:cs="Times New Roman"/>
          <w:color w:val="000000"/>
          <w:spacing w:val="0"/>
          <w:sz w:val="32"/>
          <w:szCs w:val="24"/>
        </w:rPr>
        <w:t>可以整体变更</w:t>
      </w:r>
      <w:r>
        <w:rPr>
          <w:rFonts w:hint="eastAsia" w:ascii="Times New Roman" w:hAnsi="Times New Roman" w:eastAsia="仿宋_GB2312" w:cs="Times New Roman"/>
          <w:color w:val="000000"/>
          <w:spacing w:val="0"/>
          <w:sz w:val="32"/>
          <w:szCs w:val="24"/>
        </w:rPr>
        <w:t>《</w:t>
      </w:r>
      <w:r>
        <w:rPr>
          <w:rFonts w:ascii="Times New Roman" w:hAnsi="Times New Roman" w:eastAsia="仿宋_GB2312" w:cs="Times New Roman"/>
          <w:color w:val="000000"/>
          <w:spacing w:val="0"/>
          <w:sz w:val="32"/>
          <w:szCs w:val="24"/>
        </w:rPr>
        <w:t>药品生产许可证</w:t>
      </w:r>
      <w:r>
        <w:rPr>
          <w:rFonts w:hint="eastAsia" w:ascii="Times New Roman" w:hAnsi="Times New Roman" w:eastAsia="仿宋_GB2312" w:cs="Times New Roman"/>
          <w:color w:val="000000"/>
          <w:spacing w:val="0"/>
          <w:sz w:val="32"/>
          <w:szCs w:val="24"/>
        </w:rPr>
        <w:t>》的</w:t>
      </w:r>
      <w:r>
        <w:rPr>
          <w:rFonts w:ascii="Times New Roman" w:hAnsi="Times New Roman" w:eastAsia="仿宋_GB2312" w:cs="Times New Roman"/>
          <w:color w:val="000000"/>
          <w:spacing w:val="0"/>
          <w:sz w:val="32"/>
          <w:szCs w:val="24"/>
        </w:rPr>
        <w:t>生产地址。除代表性</w:t>
      </w:r>
      <w:r>
        <w:rPr>
          <w:rFonts w:hint="eastAsia" w:ascii="Times New Roman" w:hAnsi="Times New Roman" w:eastAsia="仿宋_GB2312" w:cs="Times New Roman"/>
          <w:color w:val="000000"/>
          <w:spacing w:val="0"/>
          <w:sz w:val="32"/>
          <w:szCs w:val="24"/>
        </w:rPr>
        <w:t>品种规格以外，其他</w:t>
      </w:r>
      <w:r>
        <w:rPr>
          <w:rFonts w:ascii="Times New Roman" w:hAnsi="Times New Roman" w:eastAsia="仿宋_GB2312" w:cs="Times New Roman"/>
          <w:color w:val="000000"/>
          <w:spacing w:val="0"/>
          <w:sz w:val="32"/>
          <w:szCs w:val="24"/>
        </w:rPr>
        <w:t>品种规格</w:t>
      </w:r>
      <w:r>
        <w:rPr>
          <w:rFonts w:hint="eastAsia" w:ascii="Times New Roman" w:hAnsi="Times New Roman" w:eastAsia="仿宋_GB2312" w:cs="Times New Roman"/>
          <w:color w:val="000000"/>
          <w:spacing w:val="0"/>
          <w:sz w:val="32"/>
          <w:szCs w:val="24"/>
        </w:rPr>
        <w:t>药品</w:t>
      </w:r>
      <w:r>
        <w:rPr>
          <w:rFonts w:ascii="Times New Roman" w:hAnsi="Times New Roman" w:eastAsia="仿宋_GB2312" w:cs="Times New Roman"/>
          <w:color w:val="000000"/>
          <w:spacing w:val="0"/>
          <w:sz w:val="32"/>
          <w:szCs w:val="24"/>
        </w:rPr>
        <w:t>在上市前仍应按照相关技术指导原则开展研究验证，并申报药品</w:t>
      </w:r>
      <w:r>
        <w:rPr>
          <w:rFonts w:hint="eastAsia" w:ascii="Times New Roman" w:hAnsi="Times New Roman" w:eastAsia="仿宋_GB2312" w:cs="Times New Roman"/>
          <w:color w:val="000000"/>
          <w:spacing w:val="0"/>
          <w:sz w:val="32"/>
          <w:szCs w:val="24"/>
        </w:rPr>
        <w:t>批准证明文件</w:t>
      </w:r>
      <w:r>
        <w:rPr>
          <w:rFonts w:ascii="Times New Roman" w:hAnsi="Times New Roman" w:eastAsia="仿宋_GB2312" w:cs="Times New Roman"/>
          <w:color w:val="000000"/>
          <w:spacing w:val="0"/>
          <w:sz w:val="32"/>
          <w:szCs w:val="24"/>
        </w:rPr>
        <w:t>生产地址变更，</w:t>
      </w:r>
      <w:r>
        <w:rPr>
          <w:rFonts w:hint="eastAsia" w:ascii="Times New Roman" w:hAnsi="Times New Roman" w:eastAsia="仿宋_GB2312" w:cs="Times New Roman"/>
          <w:color w:val="000000"/>
          <w:spacing w:val="0"/>
          <w:sz w:val="32"/>
          <w:szCs w:val="24"/>
          <w:lang w:eastAsia="zh-CN"/>
        </w:rPr>
        <w:t>原则上不再组织</w:t>
      </w:r>
      <w:r>
        <w:rPr>
          <w:rFonts w:ascii="Times New Roman" w:hAnsi="Times New Roman" w:eastAsia="仿宋_GB2312" w:cs="Times New Roman"/>
          <w:color w:val="000000"/>
          <w:spacing w:val="0"/>
          <w:sz w:val="32"/>
          <w:szCs w:val="24"/>
        </w:rPr>
        <w:t>生产地址变更现场检查。</w:t>
      </w:r>
    </w:p>
    <w:p>
      <w:pPr>
        <w:tabs>
          <w:tab w:val="left" w:pos="1860"/>
        </w:tabs>
        <w:snapToGrid w:val="0"/>
        <w:spacing w:line="540" w:lineRule="exact"/>
        <w:ind w:firstLine="643" w:firstLineChars="200"/>
        <w:rPr>
          <w:rFonts w:ascii="Times New Roman" w:hAnsi="Times New Roman" w:eastAsia="仿宋_GB2312" w:cs="Times New Roman"/>
          <w:color w:val="000000"/>
          <w:spacing w:val="0"/>
          <w:sz w:val="32"/>
          <w:szCs w:val="24"/>
        </w:rPr>
      </w:pPr>
      <w:r>
        <w:rPr>
          <w:rFonts w:ascii="Times New Roman" w:hAnsi="Times New Roman" w:eastAsia="楷体_GB2312" w:cs="Times New Roman"/>
          <w:b/>
          <w:color w:val="000000"/>
          <w:spacing w:val="0"/>
          <w:sz w:val="32"/>
          <w:szCs w:val="32"/>
        </w:rPr>
        <w:t>（</w:t>
      </w:r>
      <w:r>
        <w:rPr>
          <w:rFonts w:hint="eastAsia" w:ascii="Times New Roman" w:hAnsi="Times New Roman" w:eastAsia="楷体_GB2312" w:cs="Times New Roman"/>
          <w:b/>
          <w:color w:val="000000"/>
          <w:spacing w:val="0"/>
          <w:sz w:val="32"/>
          <w:szCs w:val="32"/>
        </w:rPr>
        <w:t>十</w:t>
      </w:r>
      <w:r>
        <w:rPr>
          <w:rFonts w:hint="eastAsia" w:ascii="Times New Roman" w:hAnsi="Times New Roman" w:eastAsia="楷体_GB2312" w:cs="Times New Roman"/>
          <w:b/>
          <w:color w:val="000000"/>
          <w:spacing w:val="0"/>
          <w:sz w:val="32"/>
          <w:szCs w:val="32"/>
          <w:lang w:eastAsia="zh-CN"/>
        </w:rPr>
        <w:t>九</w:t>
      </w:r>
      <w:r>
        <w:rPr>
          <w:rFonts w:ascii="Times New Roman" w:hAnsi="Times New Roman" w:eastAsia="楷体_GB2312" w:cs="Times New Roman"/>
          <w:b/>
          <w:color w:val="000000"/>
          <w:spacing w:val="0"/>
          <w:sz w:val="32"/>
          <w:szCs w:val="32"/>
        </w:rPr>
        <w:t>）加快集团内医疗器械品种注册转移。</w:t>
      </w:r>
      <w:r>
        <w:rPr>
          <w:rFonts w:hint="eastAsia" w:ascii="Times New Roman" w:hAnsi="Times New Roman" w:eastAsia="仿宋_GB2312" w:cs="Times New Roman"/>
          <w:color w:val="000000"/>
          <w:spacing w:val="0"/>
          <w:sz w:val="32"/>
          <w:szCs w:val="24"/>
        </w:rPr>
        <w:t>支持</w:t>
      </w:r>
      <w:r>
        <w:rPr>
          <w:rFonts w:ascii="Times New Roman" w:hAnsi="Times New Roman" w:eastAsia="仿宋_GB2312" w:cs="Times New Roman"/>
          <w:color w:val="000000"/>
          <w:spacing w:val="0"/>
          <w:sz w:val="32"/>
          <w:szCs w:val="24"/>
        </w:rPr>
        <w:t>同一集团企业在境内已注册</w:t>
      </w:r>
      <w:r>
        <w:rPr>
          <w:rFonts w:hint="eastAsia" w:ascii="Times New Roman" w:hAnsi="Times New Roman" w:eastAsia="仿宋_GB2312" w:cs="Times New Roman"/>
          <w:color w:val="000000"/>
          <w:spacing w:val="0"/>
          <w:sz w:val="32"/>
          <w:szCs w:val="24"/>
        </w:rPr>
        <w:t>的</w:t>
      </w:r>
      <w:r>
        <w:rPr>
          <w:rFonts w:ascii="Times New Roman" w:hAnsi="Times New Roman" w:eastAsia="仿宋_GB2312" w:cs="Times New Roman"/>
          <w:color w:val="000000"/>
          <w:spacing w:val="0"/>
          <w:sz w:val="32"/>
          <w:szCs w:val="24"/>
        </w:rPr>
        <w:t>第二类医疗器械</w:t>
      </w:r>
      <w:r>
        <w:rPr>
          <w:rFonts w:hint="eastAsia" w:ascii="Times New Roman" w:hAnsi="Times New Roman" w:eastAsia="仿宋_GB2312" w:cs="Times New Roman"/>
          <w:color w:val="000000"/>
          <w:spacing w:val="0"/>
          <w:sz w:val="32"/>
          <w:szCs w:val="24"/>
        </w:rPr>
        <w:t>在福建申报注册</w:t>
      </w:r>
      <w:r>
        <w:rPr>
          <w:rFonts w:ascii="Times New Roman" w:hAnsi="Times New Roman" w:eastAsia="仿宋_GB2312" w:cs="Times New Roman"/>
          <w:color w:val="000000"/>
          <w:spacing w:val="0"/>
          <w:sz w:val="32"/>
          <w:szCs w:val="24"/>
        </w:rPr>
        <w:t>，在保证产品完全一致且提交的原注册申报材料真实完整的前提下，将原审评审批结论作为重要参考，加快核发医疗器械产品注册证和</w:t>
      </w:r>
      <w:r>
        <w:rPr>
          <w:rFonts w:hint="eastAsia" w:ascii="Times New Roman" w:hAnsi="Times New Roman" w:eastAsia="仿宋_GB2312" w:cs="Times New Roman"/>
          <w:color w:val="000000"/>
          <w:spacing w:val="0"/>
          <w:sz w:val="32"/>
          <w:szCs w:val="24"/>
        </w:rPr>
        <w:t>《</w:t>
      </w:r>
      <w:r>
        <w:rPr>
          <w:rFonts w:ascii="Times New Roman" w:hAnsi="Times New Roman" w:eastAsia="仿宋_GB2312" w:cs="Times New Roman"/>
          <w:color w:val="000000"/>
          <w:spacing w:val="0"/>
          <w:sz w:val="32"/>
          <w:szCs w:val="24"/>
        </w:rPr>
        <w:t>医疗器械生产许可证</w:t>
      </w:r>
      <w:r>
        <w:rPr>
          <w:rFonts w:hint="eastAsia" w:ascii="Times New Roman" w:hAnsi="Times New Roman" w:eastAsia="仿宋_GB2312" w:cs="Times New Roman"/>
          <w:color w:val="000000"/>
          <w:spacing w:val="0"/>
          <w:sz w:val="32"/>
          <w:szCs w:val="24"/>
        </w:rPr>
        <w:t>》</w:t>
      </w:r>
      <w:r>
        <w:rPr>
          <w:rFonts w:ascii="Times New Roman" w:hAnsi="Times New Roman" w:eastAsia="仿宋_GB2312" w:cs="Times New Roman"/>
          <w:color w:val="000000"/>
          <w:spacing w:val="0"/>
          <w:sz w:val="32"/>
          <w:szCs w:val="24"/>
        </w:rPr>
        <w:t>。</w:t>
      </w:r>
    </w:p>
    <w:p>
      <w:pPr>
        <w:tabs>
          <w:tab w:val="left" w:pos="1860"/>
        </w:tabs>
        <w:snapToGrid w:val="0"/>
        <w:spacing w:line="540" w:lineRule="exact"/>
        <w:ind w:firstLine="643" w:firstLineChars="200"/>
        <w:rPr>
          <w:rFonts w:ascii="Times New Roman" w:hAnsi="Times New Roman" w:eastAsia="仿宋_GB2312" w:cs="Times New Roman"/>
          <w:color w:val="000000"/>
          <w:spacing w:val="0"/>
          <w:sz w:val="32"/>
          <w:szCs w:val="24"/>
        </w:rPr>
      </w:pPr>
      <w:r>
        <w:rPr>
          <w:rFonts w:ascii="Times New Roman" w:hAnsi="Times New Roman" w:eastAsia="楷体_GB2312" w:cs="Times New Roman"/>
          <w:b/>
          <w:color w:val="000000"/>
          <w:spacing w:val="0"/>
          <w:sz w:val="32"/>
          <w:szCs w:val="32"/>
        </w:rPr>
        <w:t>（</w:t>
      </w:r>
      <w:r>
        <w:rPr>
          <w:rFonts w:hint="eastAsia" w:ascii="Times New Roman" w:hAnsi="Times New Roman" w:eastAsia="楷体_GB2312" w:cs="Times New Roman"/>
          <w:b/>
          <w:color w:val="000000"/>
          <w:spacing w:val="0"/>
          <w:sz w:val="32"/>
          <w:szCs w:val="32"/>
          <w:lang w:eastAsia="zh-CN"/>
        </w:rPr>
        <w:t>二十</w:t>
      </w:r>
      <w:r>
        <w:rPr>
          <w:rFonts w:ascii="Times New Roman" w:hAnsi="Times New Roman" w:eastAsia="楷体_GB2312" w:cs="Times New Roman"/>
          <w:b/>
          <w:color w:val="000000"/>
          <w:spacing w:val="0"/>
          <w:sz w:val="32"/>
          <w:szCs w:val="32"/>
        </w:rPr>
        <w:t>）支持医疗器械检验资源共享。</w:t>
      </w:r>
      <w:r>
        <w:rPr>
          <w:rFonts w:ascii="Times New Roman" w:hAnsi="Times New Roman" w:eastAsia="仿宋_GB2312" w:cs="Times New Roman"/>
          <w:color w:val="000000"/>
          <w:spacing w:val="0"/>
          <w:sz w:val="32"/>
          <w:szCs w:val="24"/>
        </w:rPr>
        <w:t>支持企业建设</w:t>
      </w:r>
      <w:r>
        <w:rPr>
          <w:rFonts w:hint="eastAsia" w:ascii="Times New Roman" w:hAnsi="Times New Roman" w:eastAsia="仿宋_GB2312" w:cs="Times New Roman"/>
          <w:color w:val="000000"/>
          <w:spacing w:val="0"/>
          <w:sz w:val="32"/>
          <w:szCs w:val="24"/>
        </w:rPr>
        <w:t>研发和检验</w:t>
      </w:r>
      <w:r>
        <w:rPr>
          <w:rFonts w:ascii="Times New Roman" w:hAnsi="Times New Roman" w:eastAsia="仿宋_GB2312" w:cs="Times New Roman"/>
          <w:color w:val="000000"/>
          <w:spacing w:val="0"/>
          <w:sz w:val="32"/>
          <w:szCs w:val="24"/>
        </w:rPr>
        <w:t>实验室，提升自检能力，同一园区内且隶属同一集团或同一法人的医疗器械生产企业，可以共用检验仪器设备，共享检验资源，并按要求保证检验数据真实完整可追溯。</w:t>
      </w:r>
    </w:p>
    <w:p>
      <w:pPr>
        <w:keepNext w:val="0"/>
        <w:keepLines w:val="0"/>
        <w:pageBreakBefore w:val="0"/>
        <w:widowControl w:val="0"/>
        <w:numPr>
          <w:ilvl w:val="0"/>
          <w:numId w:val="0"/>
        </w:numPr>
        <w:tabs>
          <w:tab w:val="left" w:pos="1860"/>
        </w:tabs>
        <w:kinsoku/>
        <w:wordWrap/>
        <w:overflowPunct/>
        <w:topLinePunct w:val="0"/>
        <w:autoSpaceDE/>
        <w:autoSpaceDN/>
        <w:bidi w:val="0"/>
        <w:adjustRightInd/>
        <w:snapToGrid w:val="0"/>
        <w:spacing w:before="0" w:after="0" w:line="560" w:lineRule="exact"/>
        <w:ind w:left="0" w:leftChars="0" w:right="0" w:rightChars="0" w:firstLine="640" w:firstLineChars="200"/>
        <w:jc w:val="both"/>
        <w:textAlignment w:val="auto"/>
        <w:outlineLvl w:val="9"/>
        <w:rPr>
          <w:rFonts w:ascii="Times New Roman" w:hAnsi="Times New Roman" w:eastAsia="楷体_GB2312" w:cs="Times New Roman"/>
          <w:b/>
          <w:color w:val="000000"/>
          <w:spacing w:val="0"/>
          <w:sz w:val="32"/>
          <w:szCs w:val="32"/>
        </w:rPr>
      </w:pPr>
      <w:r>
        <w:rPr>
          <w:rFonts w:hint="default" w:ascii="Times New Roman" w:hAnsi="Times New Roman" w:eastAsia="国标黑体" w:cs="Times New Roman"/>
          <w:b w:val="0"/>
          <w:bCs w:val="0"/>
          <w:color w:val="000000"/>
          <w:spacing w:val="0"/>
          <w:sz w:val="32"/>
          <w:szCs w:val="32"/>
          <w:u w:val="none"/>
          <w:lang w:val="en-US" w:eastAsia="zh-CN" w:bidi="ar-SA"/>
        </w:rPr>
        <w:t>五、</w:t>
      </w:r>
      <w:r>
        <w:rPr>
          <w:rFonts w:hint="eastAsia" w:ascii="Times New Roman" w:hAnsi="Times New Roman" w:eastAsia="国标黑体" w:cs="Times New Roman"/>
          <w:b w:val="0"/>
          <w:bCs w:val="0"/>
          <w:color w:val="000000"/>
          <w:spacing w:val="0"/>
          <w:sz w:val="32"/>
          <w:szCs w:val="32"/>
          <w:u w:val="none"/>
          <w:lang w:val="en-US" w:eastAsia="zh-CN" w:bidi="ar-SA"/>
        </w:rPr>
        <w:t>加强</w:t>
      </w:r>
      <w:r>
        <w:rPr>
          <w:rFonts w:hint="default" w:ascii="Times New Roman" w:hAnsi="Times New Roman" w:eastAsia="国标黑体" w:cs="Times New Roman"/>
          <w:b w:val="0"/>
          <w:bCs w:val="0"/>
          <w:color w:val="000000"/>
          <w:spacing w:val="0"/>
          <w:sz w:val="32"/>
          <w:szCs w:val="32"/>
          <w:u w:val="none"/>
          <w:lang w:val="en-US" w:eastAsia="zh-CN" w:bidi="ar-SA"/>
        </w:rPr>
        <w:t>检验服务和技术支持</w:t>
      </w:r>
    </w:p>
    <w:p>
      <w:pPr>
        <w:tabs>
          <w:tab w:val="left" w:pos="1860"/>
        </w:tabs>
        <w:snapToGrid w:val="0"/>
        <w:spacing w:line="540" w:lineRule="exact"/>
        <w:ind w:firstLine="643" w:firstLineChars="200"/>
        <w:rPr>
          <w:rFonts w:ascii="Times New Roman" w:hAnsi="Times New Roman" w:eastAsia="仿宋_GB2312" w:cs="Times New Roman"/>
          <w:color w:val="000000"/>
          <w:spacing w:val="0"/>
          <w:sz w:val="32"/>
          <w:szCs w:val="32"/>
        </w:rPr>
      </w:pPr>
      <w:r>
        <w:rPr>
          <w:rFonts w:ascii="Times New Roman" w:hAnsi="Times New Roman" w:eastAsia="楷体_GB2312" w:cs="Times New Roman"/>
          <w:b/>
          <w:color w:val="000000"/>
          <w:spacing w:val="0"/>
          <w:sz w:val="32"/>
          <w:szCs w:val="32"/>
        </w:rPr>
        <w:t>（</w:t>
      </w:r>
      <w:r>
        <w:rPr>
          <w:rFonts w:hint="eastAsia" w:ascii="Times New Roman" w:hAnsi="Times New Roman" w:eastAsia="楷体_GB2312" w:cs="Times New Roman"/>
          <w:b/>
          <w:color w:val="000000"/>
          <w:spacing w:val="0"/>
          <w:sz w:val="32"/>
          <w:szCs w:val="32"/>
          <w:lang w:eastAsia="zh-CN"/>
        </w:rPr>
        <w:t>二十一</w:t>
      </w:r>
      <w:r>
        <w:rPr>
          <w:rFonts w:ascii="Times New Roman" w:hAnsi="Times New Roman" w:eastAsia="楷体_GB2312" w:cs="Times New Roman"/>
          <w:b/>
          <w:color w:val="000000"/>
          <w:spacing w:val="0"/>
          <w:sz w:val="32"/>
          <w:szCs w:val="32"/>
        </w:rPr>
        <w:t>）加大检验检测服务力度。</w:t>
      </w:r>
      <w:r>
        <w:rPr>
          <w:rFonts w:ascii="Times New Roman" w:hAnsi="Times New Roman" w:eastAsia="仿宋_GB2312" w:cs="Times New Roman"/>
          <w:color w:val="000000"/>
          <w:spacing w:val="0"/>
          <w:sz w:val="32"/>
          <w:szCs w:val="32"/>
        </w:rPr>
        <w:t>省药检院依托省药监局厦门服务工作站，设立厦门工作部，实施靠前服务。省药检院</w:t>
      </w:r>
      <w:r>
        <w:rPr>
          <w:rFonts w:hint="eastAsia" w:ascii="Times New Roman" w:hAnsi="Times New Roman" w:eastAsia="仿宋_GB2312" w:cs="Times New Roman"/>
          <w:color w:val="000000"/>
          <w:spacing w:val="0"/>
          <w:sz w:val="32"/>
          <w:szCs w:val="32"/>
          <w:lang w:eastAsia="zh-CN"/>
        </w:rPr>
        <w:t>针对</w:t>
      </w:r>
      <w:r>
        <w:rPr>
          <w:rFonts w:ascii="Times New Roman" w:hAnsi="Times New Roman" w:eastAsia="仿宋_GB2312" w:cs="Times New Roman"/>
          <w:color w:val="000000"/>
          <w:spacing w:val="0"/>
          <w:sz w:val="32"/>
          <w:szCs w:val="32"/>
        </w:rPr>
        <w:t>企业新产品开发研究、标准制修订、产品技术要求预评价、产品质量分析、人员跟班学习等</w:t>
      </w:r>
      <w:r>
        <w:rPr>
          <w:rFonts w:hint="eastAsia" w:ascii="Times New Roman" w:hAnsi="Times New Roman" w:eastAsia="仿宋_GB2312" w:cs="Times New Roman"/>
          <w:color w:val="000000"/>
          <w:spacing w:val="0"/>
          <w:sz w:val="32"/>
          <w:szCs w:val="32"/>
          <w:lang w:eastAsia="zh-CN"/>
        </w:rPr>
        <w:t>需求，进一步强化</w:t>
      </w:r>
      <w:r>
        <w:rPr>
          <w:rFonts w:ascii="Times New Roman" w:hAnsi="Times New Roman" w:eastAsia="仿宋_GB2312" w:cs="Times New Roman"/>
          <w:color w:val="000000"/>
          <w:spacing w:val="0"/>
          <w:sz w:val="32"/>
          <w:szCs w:val="32"/>
        </w:rPr>
        <w:t>检验检测技术开发、咨询、培训等</w:t>
      </w:r>
      <w:r>
        <w:rPr>
          <w:rFonts w:hint="eastAsia" w:ascii="Times New Roman" w:hAnsi="Times New Roman" w:eastAsia="仿宋_GB2312" w:cs="Times New Roman"/>
          <w:color w:val="000000"/>
          <w:spacing w:val="0"/>
          <w:sz w:val="32"/>
          <w:szCs w:val="32"/>
          <w:lang w:eastAsia="zh-CN"/>
        </w:rPr>
        <w:t>技术服务供给，助力企业提升产品研发注册和质量控制能力。</w:t>
      </w:r>
    </w:p>
    <w:p>
      <w:pPr>
        <w:tabs>
          <w:tab w:val="left" w:pos="1860"/>
        </w:tabs>
        <w:snapToGrid w:val="0"/>
        <w:spacing w:line="540" w:lineRule="exact"/>
        <w:ind w:firstLine="643" w:firstLineChars="200"/>
        <w:rPr>
          <w:rFonts w:ascii="Times New Roman" w:hAnsi="Times New Roman" w:eastAsia="仿宋_GB2312" w:cs="Times New Roman"/>
          <w:color w:val="000000"/>
          <w:spacing w:val="0"/>
          <w:sz w:val="32"/>
          <w:szCs w:val="24"/>
        </w:rPr>
      </w:pPr>
      <w:r>
        <w:rPr>
          <w:rFonts w:ascii="Times New Roman" w:hAnsi="Times New Roman" w:eastAsia="楷体_GB2312" w:cs="Times New Roman"/>
          <w:b/>
          <w:color w:val="000000"/>
          <w:spacing w:val="0"/>
          <w:sz w:val="32"/>
          <w:szCs w:val="32"/>
        </w:rPr>
        <w:t>（</w:t>
      </w:r>
      <w:r>
        <w:rPr>
          <w:rFonts w:hint="eastAsia" w:ascii="Times New Roman" w:hAnsi="Times New Roman" w:eastAsia="楷体_GB2312" w:cs="Times New Roman"/>
          <w:b/>
          <w:color w:val="000000"/>
          <w:spacing w:val="0"/>
          <w:sz w:val="32"/>
          <w:szCs w:val="32"/>
          <w:lang w:eastAsia="zh-CN"/>
        </w:rPr>
        <w:t>二十二</w:t>
      </w:r>
      <w:r>
        <w:rPr>
          <w:rFonts w:ascii="Times New Roman" w:hAnsi="Times New Roman" w:eastAsia="楷体_GB2312" w:cs="Times New Roman"/>
          <w:b/>
          <w:color w:val="000000"/>
          <w:spacing w:val="0"/>
          <w:sz w:val="32"/>
          <w:szCs w:val="32"/>
        </w:rPr>
        <w:t>）压缩药械注册检验时限。</w:t>
      </w:r>
      <w:r>
        <w:rPr>
          <w:rFonts w:ascii="Times New Roman" w:hAnsi="Times New Roman" w:eastAsia="仿宋_GB2312" w:cs="Times New Roman"/>
          <w:color w:val="000000"/>
          <w:spacing w:val="0"/>
          <w:sz w:val="32"/>
          <w:szCs w:val="32"/>
        </w:rPr>
        <w:t>省药检院开通“绿色通道”，对</w:t>
      </w:r>
      <w:r>
        <w:rPr>
          <w:rFonts w:hint="eastAsia" w:ascii="Times New Roman" w:hAnsi="Times New Roman" w:eastAsia="仿宋_GB2312" w:cs="Times New Roman"/>
          <w:color w:val="000000"/>
          <w:spacing w:val="0"/>
          <w:sz w:val="32"/>
          <w:szCs w:val="32"/>
          <w:lang w:eastAsia="zh-CN"/>
        </w:rPr>
        <w:t>省内</w:t>
      </w:r>
      <w:r>
        <w:rPr>
          <w:rFonts w:ascii="Times New Roman" w:hAnsi="Times New Roman" w:eastAsia="仿宋_GB2312" w:cs="Times New Roman"/>
          <w:color w:val="000000"/>
          <w:spacing w:val="0"/>
          <w:sz w:val="32"/>
          <w:szCs w:val="32"/>
        </w:rPr>
        <w:t>1类创新药、2类改良型新药注册检验以及仿制药一致性评价复核检验实行优先受理，在法定检验时限的基础上，缩短20个工作日。对列入创新产品注册程序、优先注册程序、应急注册程序的医疗器械，启动加急检验程序，</w:t>
      </w:r>
      <w:r>
        <w:rPr>
          <w:rFonts w:hint="eastAsia" w:ascii="Times New Roman" w:hAnsi="Times New Roman" w:eastAsia="仿宋_GB2312" w:cs="Times New Roman"/>
          <w:color w:val="000000"/>
          <w:spacing w:val="0"/>
          <w:sz w:val="32"/>
          <w:szCs w:val="32"/>
        </w:rPr>
        <w:t>在法定检验时限的基础上，</w:t>
      </w:r>
      <w:r>
        <w:rPr>
          <w:rFonts w:hint="eastAsia" w:ascii="Times New Roman" w:hAnsi="Times New Roman" w:eastAsia="仿宋_GB2312" w:cs="Times New Roman"/>
          <w:color w:val="000000"/>
          <w:spacing w:val="0"/>
          <w:sz w:val="32"/>
          <w:szCs w:val="32"/>
          <w:lang w:eastAsia="zh-CN"/>
        </w:rPr>
        <w:t>压缩检验时间</w:t>
      </w:r>
      <w:r>
        <w:rPr>
          <w:rFonts w:hint="eastAsia" w:ascii="Times New Roman" w:hAnsi="Times New Roman" w:eastAsia="仿宋_GB2312" w:cs="Times New Roman"/>
          <w:color w:val="000000"/>
          <w:spacing w:val="0"/>
          <w:sz w:val="32"/>
          <w:szCs w:val="32"/>
          <w:lang w:val="en-US" w:eastAsia="zh-CN"/>
        </w:rPr>
        <w:t>20%以上</w:t>
      </w:r>
      <w:r>
        <w:rPr>
          <w:rFonts w:ascii="Times New Roman" w:hAnsi="Times New Roman" w:eastAsia="仿宋_GB2312" w:cs="Times New Roman"/>
          <w:color w:val="000000"/>
          <w:spacing w:val="0"/>
          <w:sz w:val="32"/>
          <w:szCs w:val="32"/>
        </w:rPr>
        <w:t>。</w:t>
      </w:r>
    </w:p>
    <w:p>
      <w:pPr>
        <w:tabs>
          <w:tab w:val="left" w:pos="1860"/>
        </w:tabs>
        <w:snapToGrid w:val="0"/>
        <w:spacing w:line="540" w:lineRule="exact"/>
        <w:ind w:firstLine="640" w:firstLineChars="200"/>
        <w:rPr>
          <w:rFonts w:ascii="Times New Roman" w:hAnsi="Times New Roman" w:eastAsia="仿宋_GB2312" w:cs="Times New Roman"/>
          <w:color w:val="000000"/>
          <w:spacing w:val="0"/>
          <w:sz w:val="32"/>
          <w:szCs w:val="32"/>
        </w:rPr>
      </w:pPr>
      <w:r>
        <w:rPr>
          <w:rFonts w:ascii="Times New Roman" w:hAnsi="Times New Roman" w:eastAsia="仿宋_GB2312" w:cs="Times New Roman"/>
          <w:color w:val="000000"/>
          <w:spacing w:val="0"/>
          <w:sz w:val="32"/>
          <w:szCs w:val="32"/>
        </w:rPr>
        <w:t>本措施由省药监局负责解释，自202</w:t>
      </w:r>
      <w:r>
        <w:rPr>
          <w:rFonts w:hint="eastAsia" w:ascii="Times New Roman" w:hAnsi="Times New Roman" w:eastAsia="仿宋_GB2312" w:cs="Times New Roman"/>
          <w:color w:val="000000"/>
          <w:spacing w:val="0"/>
          <w:sz w:val="32"/>
          <w:szCs w:val="32"/>
          <w:lang w:val="en-US" w:eastAsia="zh-CN"/>
        </w:rPr>
        <w:t>4</w:t>
      </w:r>
      <w:r>
        <w:rPr>
          <w:rFonts w:ascii="Times New Roman" w:hAnsi="Times New Roman" w:eastAsia="仿宋_GB2312" w:cs="Times New Roman"/>
          <w:color w:val="000000"/>
          <w:spacing w:val="0"/>
          <w:sz w:val="32"/>
          <w:szCs w:val="32"/>
        </w:rPr>
        <w:t>年  月  日起施行，有效期5年。原《福建省药品监督管理局关于进一步优化服务助推医药产业高质量发展若干措施的通告》（2019年第8号）自该措施施行之日起废止。</w:t>
      </w:r>
    </w:p>
    <w:p>
      <w:pPr>
        <w:spacing w:line="560" w:lineRule="exact"/>
        <w:rPr>
          <w:rFonts w:ascii="Times New Roman" w:hAnsi="Times New Roman" w:eastAsia="仿宋_GB2312" w:cs="Times New Roman"/>
          <w:spacing w:val="0"/>
          <w:sz w:val="32"/>
          <w:szCs w:val="20"/>
        </w:rPr>
      </w:pPr>
    </w:p>
    <w:bookmarkEnd w:id="1"/>
    <w:p>
      <w:pPr>
        <w:spacing w:line="560" w:lineRule="exact"/>
        <w:rPr>
          <w:rFonts w:hint="eastAsia" w:ascii="Times New Roman" w:hAnsi="Times New Roman" w:eastAsia="黑体" w:cs="Times New Roman"/>
          <w:sz w:val="32"/>
          <w:szCs w:val="30"/>
        </w:rPr>
      </w:pPr>
    </w:p>
    <w:p>
      <w:pPr>
        <w:spacing w:line="560" w:lineRule="exact"/>
        <w:rPr>
          <w:rFonts w:hint="eastAsia" w:ascii="Times New Roman" w:hAnsi="Times New Roman" w:eastAsia="黑体" w:cs="Times New Roman"/>
          <w:sz w:val="32"/>
          <w:szCs w:val="30"/>
        </w:rPr>
      </w:pPr>
    </w:p>
    <w:p>
      <w:pPr>
        <w:spacing w:line="560" w:lineRule="exact"/>
        <w:rPr>
          <w:rFonts w:hint="eastAsia" w:ascii="Times New Roman" w:hAnsi="Times New Roman" w:eastAsia="黑体" w:cs="Times New Roman"/>
          <w:sz w:val="32"/>
          <w:szCs w:val="30"/>
        </w:rPr>
      </w:pPr>
    </w:p>
    <w:p>
      <w:pPr>
        <w:spacing w:line="560" w:lineRule="exact"/>
        <w:rPr>
          <w:rFonts w:hint="eastAsia" w:ascii="Times New Roman" w:hAnsi="Times New Roman" w:eastAsia="黑体" w:cs="Times New Roman"/>
          <w:sz w:val="32"/>
          <w:szCs w:val="30"/>
        </w:rPr>
      </w:pPr>
    </w:p>
    <w:p>
      <w:pPr>
        <w:spacing w:line="560" w:lineRule="exact"/>
        <w:rPr>
          <w:rFonts w:hint="eastAsia" w:ascii="Times New Roman" w:hAnsi="Times New Roman" w:eastAsia="黑体" w:cs="Times New Roman"/>
          <w:sz w:val="32"/>
          <w:szCs w:val="30"/>
        </w:rPr>
      </w:pPr>
    </w:p>
    <w:p>
      <w:pPr>
        <w:spacing w:line="560" w:lineRule="exact"/>
        <w:rPr>
          <w:rFonts w:hint="eastAsia" w:ascii="Times New Roman" w:hAnsi="Times New Roman" w:eastAsia="黑体" w:cs="Times New Roman"/>
          <w:sz w:val="32"/>
          <w:szCs w:val="30"/>
        </w:rPr>
      </w:pPr>
    </w:p>
    <w:p>
      <w:pPr>
        <w:spacing w:line="560" w:lineRule="exact"/>
        <w:rPr>
          <w:rFonts w:hint="eastAsia" w:ascii="Times New Roman" w:hAnsi="Times New Roman" w:eastAsia="黑体" w:cs="Times New Roman"/>
          <w:sz w:val="32"/>
          <w:szCs w:val="30"/>
        </w:rPr>
      </w:pPr>
    </w:p>
    <w:p>
      <w:pPr>
        <w:spacing w:line="560" w:lineRule="exact"/>
        <w:rPr>
          <w:rFonts w:hint="eastAsia" w:ascii="Times New Roman" w:hAnsi="Times New Roman" w:eastAsia="黑体" w:cs="Times New Roman"/>
          <w:sz w:val="32"/>
          <w:szCs w:val="30"/>
        </w:rPr>
      </w:pPr>
    </w:p>
    <w:p>
      <w:pPr>
        <w:spacing w:line="560" w:lineRule="exact"/>
        <w:rPr>
          <w:rFonts w:hint="eastAsia" w:ascii="Times New Roman" w:hAnsi="Times New Roman" w:eastAsia="黑体" w:cs="Times New Roman"/>
          <w:sz w:val="32"/>
          <w:szCs w:val="30"/>
        </w:rPr>
      </w:pPr>
    </w:p>
    <w:p>
      <w:pPr>
        <w:spacing w:line="560" w:lineRule="exact"/>
        <w:rPr>
          <w:rFonts w:hint="eastAsia" w:ascii="Times New Roman" w:hAnsi="Times New Roman" w:eastAsia="黑体" w:cs="Times New Roman"/>
          <w:sz w:val="32"/>
          <w:szCs w:val="30"/>
        </w:rPr>
      </w:pPr>
    </w:p>
    <w:p>
      <w:pPr>
        <w:spacing w:line="560" w:lineRule="exact"/>
        <w:rPr>
          <w:rFonts w:hint="eastAsia" w:ascii="Times New Roman" w:hAnsi="Times New Roman" w:eastAsia="黑体" w:cs="Times New Roman"/>
          <w:sz w:val="32"/>
          <w:szCs w:val="30"/>
        </w:rPr>
      </w:pPr>
    </w:p>
    <w:p>
      <w:pPr>
        <w:spacing w:line="560" w:lineRule="exact"/>
        <w:rPr>
          <w:rFonts w:hint="eastAsia" w:ascii="Times New Roman" w:hAnsi="Times New Roman" w:eastAsia="黑体" w:cs="Times New Roman"/>
          <w:sz w:val="32"/>
          <w:szCs w:val="30"/>
        </w:rPr>
      </w:pPr>
    </w:p>
    <w:p>
      <w:pPr>
        <w:spacing w:line="560" w:lineRule="exact"/>
        <w:rPr>
          <w:rFonts w:hint="eastAsia" w:ascii="Times New Roman" w:hAnsi="Times New Roman" w:eastAsia="黑体" w:cs="Times New Roman"/>
          <w:sz w:val="32"/>
          <w:szCs w:val="30"/>
        </w:rPr>
      </w:pPr>
    </w:p>
    <w:p>
      <w:pPr>
        <w:spacing w:line="560" w:lineRule="exact"/>
        <w:rPr>
          <w:rFonts w:hint="eastAsia" w:ascii="Times New Roman" w:hAnsi="Times New Roman" w:eastAsia="黑体" w:cs="Times New Roman"/>
          <w:sz w:val="32"/>
          <w:szCs w:val="30"/>
        </w:rPr>
      </w:pPr>
    </w:p>
    <w:p>
      <w:pPr>
        <w:spacing w:line="560" w:lineRule="exact"/>
        <w:rPr>
          <w:rFonts w:hint="eastAsia" w:ascii="Times New Roman" w:hAnsi="Times New Roman" w:eastAsia="黑体" w:cs="Times New Roman"/>
          <w:sz w:val="32"/>
          <w:szCs w:val="30"/>
        </w:rPr>
      </w:pPr>
    </w:p>
    <w:p>
      <w:pPr>
        <w:spacing w:line="560" w:lineRule="exact"/>
        <w:rPr>
          <w:rFonts w:hint="eastAsia" w:ascii="Times New Roman" w:hAnsi="Times New Roman" w:eastAsia="黑体" w:cs="Times New Roman"/>
          <w:sz w:val="32"/>
          <w:szCs w:val="30"/>
        </w:rPr>
      </w:pPr>
    </w:p>
    <w:p>
      <w:pPr>
        <w:pStyle w:val="4"/>
        <w:ind w:left="0" w:leftChars="0" w:firstLine="0" w:firstLineChars="0"/>
        <w:rPr>
          <w:rFonts w:hint="default" w:ascii="Times New Roman" w:hAnsi="Times New Roman"/>
          <w:lang w:val="en"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黑体">
    <w:panose1 w:val="02000500000000000000"/>
    <w:charset w:val="86"/>
    <w:family w:val="auto"/>
    <w:pitch w:val="default"/>
    <w:sig w:usb0="00000001" w:usb1="08000000" w:usb2="00000000" w:usb3="00000000" w:csb0="00060007" w:csb1="00000000"/>
  </w:font>
  <w:font w:name="楷体_GB2312">
    <w:panose1 w:val="02010609030101010101"/>
    <w:charset w:val="86"/>
    <w:family w:val="modern"/>
    <w:pitch w:val="default"/>
    <w:sig w:usb0="00000001" w:usb1="080E0000" w:usb2="00000000" w:usb3="00000000" w:csb0="00040000" w:csb1="00000000"/>
  </w:font>
  <w:font w:name="方正仿宋简体">
    <w:altName w:val="方正仿宋_GBK"/>
    <w:panose1 w:val="03000509000000000000"/>
    <w:charset w:val="00"/>
    <w:family w:val="script"/>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DE9D01"/>
    <w:rsid w:val="166F0669"/>
    <w:rsid w:val="3CFF85D5"/>
    <w:rsid w:val="3FAF14F4"/>
    <w:rsid w:val="3FFFAFC8"/>
    <w:rsid w:val="743F0EE4"/>
    <w:rsid w:val="7F1ED0CA"/>
    <w:rsid w:val="7F7F0AA9"/>
    <w:rsid w:val="7FED4DC0"/>
    <w:rsid w:val="BDAFF776"/>
    <w:rsid w:val="BDE75C4F"/>
    <w:rsid w:val="BDF72751"/>
    <w:rsid w:val="F7FF4FC8"/>
    <w:rsid w:val="FDDD077D"/>
    <w:rsid w:val="FFDE9D01"/>
    <w:rsid w:val="FFFF6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Indent"/>
    <w:next w:val="3"/>
    <w:qFormat/>
    <w:uiPriority w:val="0"/>
    <w:pPr>
      <w:widowControl w:val="0"/>
      <w:ind w:firstLine="420" w:firstLineChars="200"/>
      <w:jc w:val="both"/>
      <w:textAlignment w:val="baseline"/>
    </w:pPr>
    <w:rPr>
      <w:rFonts w:ascii="Calibri" w:hAnsi="Calibri" w:eastAsia="宋体" w:cs="Times New Roman"/>
      <w:kern w:val="2"/>
      <w:sz w:val="21"/>
      <w:szCs w:val="24"/>
      <w:lang w:val="en-US" w:eastAsia="zh-CN" w:bidi="ar-SA"/>
    </w:rPr>
  </w:style>
  <w:style w:type="paragraph" w:customStyle="1" w:styleId="3">
    <w:name w:val="BodyText"/>
    <w:qFormat/>
    <w:uiPriority w:val="0"/>
    <w:pPr>
      <w:widowControl w:val="0"/>
      <w:spacing w:line="580" w:lineRule="exact"/>
      <w:jc w:val="both"/>
      <w:textAlignment w:val="baseline"/>
    </w:pPr>
    <w:rPr>
      <w:rFonts w:ascii="Times New Roman" w:hAnsi="Times New Roman" w:eastAsia="仿宋_GB2312" w:cs="Times New Roman"/>
      <w:color w:val="000000"/>
      <w:kern w:val="2"/>
      <w:sz w:val="32"/>
      <w:szCs w:val="22"/>
      <w:lang w:val="en-US" w:eastAsia="zh-CN" w:bidi="ar-SA"/>
    </w:rPr>
  </w:style>
  <w:style w:type="paragraph" w:styleId="4">
    <w:name w:val="index 5"/>
    <w:basedOn w:val="1"/>
    <w:next w:val="1"/>
    <w:qFormat/>
    <w:uiPriority w:val="0"/>
    <w:pPr>
      <w:ind w:left="1680"/>
    </w:pPr>
  </w:style>
  <w:style w:type="paragraph" w:styleId="5">
    <w:name w:val="Balloon Text"/>
    <w:basedOn w:val="1"/>
    <w:next w:val="4"/>
    <w:qFormat/>
    <w:uiPriority w:val="0"/>
    <w:rPr>
      <w:sz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Body Text First Indent 2"/>
    <w:qFormat/>
    <w:uiPriority w:val="0"/>
    <w:pPr>
      <w:widowControl w:val="0"/>
      <w:spacing w:after="120"/>
      <w:ind w:left="420" w:leftChars="200" w:firstLine="420" w:firstLineChars="200"/>
      <w:jc w:val="both"/>
    </w:pPr>
    <w:rPr>
      <w:rFonts w:ascii="Calibri" w:hAnsi="Calibri" w:eastAsia="宋体" w:cs="Times New Roman"/>
      <w:kern w:val="2"/>
      <w:sz w:val="21"/>
      <w:szCs w:val="22"/>
      <w:lang w:val="en-US" w:eastAsia="zh-CN" w:bidi="ar-SA"/>
    </w:r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2023-03-24T16:57:00Z</dcterms:created>
  <dc:creator>郑鹭</dc:creator>
  <cp:lastModifiedBy>王能斌</cp:lastModifiedBy>
  <cp:lastPrinted>2024-03-16T02:51:00Z</cp:lastPrinted>
  <dcterms:modified xsi:type="dcterms:W3CDTF">2024-03-15T11:51:16Z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