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left"/>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附件4</w:t>
      </w:r>
    </w:p>
    <w:p>
      <w:pPr>
        <w:spacing w:after="0" w:line="240" w:lineRule="auto"/>
        <w:jc w:val="center"/>
        <w:rPr>
          <w:rFonts w:hint="eastAsia" w:ascii="黑体" w:hAnsi="黑体" w:eastAsia="黑体" w:cs="黑体"/>
          <w:sz w:val="44"/>
          <w:szCs w:val="44"/>
          <w:lang w:val="en-US" w:eastAsia="zh-CN"/>
        </w:rPr>
      </w:pPr>
    </w:p>
    <w:p>
      <w:pPr>
        <w:spacing w:after="0" w:line="240" w:lineRule="auto"/>
        <w:jc w:val="center"/>
        <w:rPr>
          <w:rFonts w:hint="eastAsia" w:ascii="黑体" w:hAnsi="黑体" w:eastAsia="黑体" w:cs="黑体"/>
          <w:sz w:val="44"/>
          <w:szCs w:val="44"/>
          <w:lang w:val="en-US" w:eastAsia="zh-CN"/>
        </w:rPr>
      </w:pPr>
    </w:p>
    <w:p>
      <w:pPr>
        <w:spacing w:after="0" w:line="240" w:lineRule="auto"/>
        <w:jc w:val="center"/>
        <w:rPr>
          <w:rFonts w:hint="eastAsia" w:ascii="黑体" w:hAnsi="黑体" w:eastAsia="黑体" w:cs="黑体"/>
          <w:sz w:val="44"/>
          <w:szCs w:val="44"/>
          <w:lang w:val="en-US" w:eastAsia="zh-CN"/>
        </w:rPr>
      </w:pPr>
    </w:p>
    <w:p>
      <w:pPr>
        <w:jc w:val="center"/>
        <w:rPr>
          <w:rFonts w:hint="eastAsia" w:ascii="方正小标宋_GBK" w:hAnsi="方正小标宋_GBK" w:eastAsia="方正小标宋_GBK" w:cs="方正小标宋_GBK"/>
          <w:i w:val="0"/>
          <w:color w:val="000000"/>
          <w:kern w:val="0"/>
          <w:sz w:val="44"/>
          <w:szCs w:val="44"/>
          <w:u w:val="none"/>
          <w:lang w:val="en-US" w:eastAsia="zh-CN" w:bidi="ar"/>
        </w:rPr>
      </w:pPr>
      <w:r>
        <w:rPr>
          <w:rFonts w:hint="eastAsia" w:ascii="方正小标宋_GBK" w:hAnsi="方正小标宋_GBK" w:eastAsia="方正小标宋_GBK" w:cs="方正小标宋_GBK"/>
          <w:i w:val="0"/>
          <w:color w:val="000000"/>
          <w:kern w:val="0"/>
          <w:sz w:val="44"/>
          <w:szCs w:val="44"/>
          <w:u w:val="none"/>
          <w:lang w:val="en-US" w:eastAsia="zh-CN" w:bidi="ar"/>
        </w:rPr>
        <w:t>公共服务子系统与第三方渠道接入</w:t>
      </w:r>
    </w:p>
    <w:p>
      <w:pPr>
        <w:jc w:val="center"/>
        <w:rPr>
          <w:rFonts w:hint="eastAsia" w:ascii="方正小标宋_GBK" w:hAnsi="方正小标宋_GBK" w:eastAsia="方正小标宋_GBK" w:cs="方正小标宋_GBK"/>
          <w:i w:val="0"/>
          <w:color w:val="000000"/>
          <w:kern w:val="0"/>
          <w:sz w:val="44"/>
          <w:szCs w:val="44"/>
          <w:u w:val="none"/>
          <w:lang w:val="en-US" w:eastAsia="zh-CN" w:bidi="ar"/>
        </w:rPr>
      </w:pPr>
      <w:r>
        <w:rPr>
          <w:rFonts w:hint="eastAsia" w:ascii="方正小标宋_GBK" w:hAnsi="方正小标宋_GBK" w:eastAsia="方正小标宋_GBK" w:cs="方正小标宋_GBK"/>
          <w:i w:val="0"/>
          <w:color w:val="000000"/>
          <w:kern w:val="0"/>
          <w:sz w:val="44"/>
          <w:szCs w:val="44"/>
          <w:u w:val="none"/>
          <w:lang w:val="en-US" w:eastAsia="zh-CN" w:bidi="ar"/>
        </w:rPr>
        <w:t>指引文档</w:t>
      </w:r>
    </w:p>
    <w:p>
      <w:pPr>
        <w:spacing w:after="0" w:line="240" w:lineRule="auto"/>
        <w:jc w:val="center"/>
        <w:rPr>
          <w:rFonts w:hint="eastAsia" w:ascii="宋体" w:hAnsi="宋体" w:eastAsia="宋体" w:cs="宋体"/>
          <w:lang w:val="en-US" w:eastAsia="zh-CN"/>
        </w:rPr>
      </w:pPr>
    </w:p>
    <w:p>
      <w:pPr>
        <w:spacing w:after="0" w:line="240" w:lineRule="auto"/>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（V1.0.1）</w:t>
      </w:r>
    </w:p>
    <w:p>
      <w:pPr>
        <w:spacing w:after="0" w:line="240" w:lineRule="auto"/>
        <w:jc w:val="center"/>
        <w:rPr>
          <w:rFonts w:hint="eastAsia" w:ascii="宋体" w:hAnsi="宋体" w:eastAsia="宋体" w:cs="宋体"/>
          <w:sz w:val="28"/>
          <w:szCs w:val="28"/>
          <w:lang w:val="en-US" w:eastAsia="zh-CN"/>
        </w:rPr>
      </w:pPr>
    </w:p>
    <w:p>
      <w:pPr>
        <w:spacing w:after="0" w:line="240" w:lineRule="auto"/>
        <w:jc w:val="center"/>
        <w:rPr>
          <w:rFonts w:hint="eastAsia" w:ascii="宋体" w:hAnsi="宋体" w:eastAsia="宋体" w:cs="宋体"/>
          <w:sz w:val="28"/>
          <w:szCs w:val="28"/>
          <w:lang w:val="en-US" w:eastAsia="zh-CN"/>
        </w:rPr>
      </w:pPr>
    </w:p>
    <w:p>
      <w:pPr>
        <w:spacing w:after="0" w:line="240" w:lineRule="auto"/>
        <w:jc w:val="center"/>
        <w:rPr>
          <w:rFonts w:hint="eastAsia" w:ascii="宋体" w:hAnsi="宋体" w:eastAsia="宋体" w:cs="宋体"/>
          <w:sz w:val="28"/>
          <w:szCs w:val="28"/>
          <w:lang w:val="en-US" w:eastAsia="zh-CN"/>
        </w:rPr>
      </w:pPr>
    </w:p>
    <w:p>
      <w:pPr>
        <w:spacing w:after="0" w:line="240" w:lineRule="auto"/>
        <w:jc w:val="center"/>
        <w:rPr>
          <w:rFonts w:hint="eastAsia" w:ascii="宋体" w:hAnsi="宋体" w:eastAsia="宋体" w:cs="宋体"/>
          <w:sz w:val="28"/>
          <w:szCs w:val="28"/>
          <w:lang w:val="en-US" w:eastAsia="zh-CN"/>
        </w:rPr>
      </w:pPr>
    </w:p>
    <w:p>
      <w:pPr>
        <w:spacing w:after="0" w:line="240" w:lineRule="auto"/>
        <w:jc w:val="center"/>
        <w:rPr>
          <w:rFonts w:hint="eastAsia" w:ascii="宋体" w:hAnsi="宋体" w:eastAsia="宋体" w:cs="宋体"/>
          <w:sz w:val="28"/>
          <w:szCs w:val="28"/>
          <w:lang w:val="en-US" w:eastAsia="zh-CN"/>
        </w:rPr>
      </w:pPr>
    </w:p>
    <w:p>
      <w:pPr>
        <w:spacing w:after="0" w:line="240" w:lineRule="auto"/>
        <w:jc w:val="center"/>
        <w:rPr>
          <w:rFonts w:hint="eastAsia" w:ascii="宋体" w:hAnsi="宋体" w:eastAsia="宋体" w:cs="宋体"/>
          <w:sz w:val="28"/>
          <w:szCs w:val="28"/>
          <w:lang w:val="en-US" w:eastAsia="zh-CN"/>
        </w:rPr>
      </w:pPr>
    </w:p>
    <w:p>
      <w:pPr>
        <w:spacing w:after="0" w:line="240" w:lineRule="auto"/>
        <w:jc w:val="center"/>
        <w:rPr>
          <w:rFonts w:hint="eastAsia" w:ascii="宋体" w:hAnsi="宋体" w:eastAsia="宋体" w:cs="宋体"/>
          <w:sz w:val="28"/>
          <w:szCs w:val="28"/>
          <w:lang w:val="en-US" w:eastAsia="zh-CN"/>
        </w:rPr>
      </w:pPr>
    </w:p>
    <w:p>
      <w:pPr>
        <w:spacing w:after="0" w:line="240" w:lineRule="auto"/>
        <w:jc w:val="center"/>
        <w:rPr>
          <w:rFonts w:hint="eastAsia" w:ascii="宋体" w:hAnsi="宋体" w:eastAsia="宋体" w:cs="宋体"/>
          <w:sz w:val="28"/>
          <w:szCs w:val="28"/>
          <w:lang w:val="en-US" w:eastAsia="zh-CN"/>
        </w:rPr>
      </w:pPr>
    </w:p>
    <w:p>
      <w:pPr>
        <w:spacing w:after="0" w:line="240" w:lineRule="auto"/>
        <w:jc w:val="center"/>
        <w:rPr>
          <w:rFonts w:hint="eastAsia" w:ascii="宋体" w:hAnsi="宋体" w:eastAsia="宋体" w:cs="宋体"/>
          <w:sz w:val="28"/>
          <w:szCs w:val="28"/>
          <w:lang w:val="en-US" w:eastAsia="zh-CN"/>
        </w:rPr>
      </w:pPr>
    </w:p>
    <w:p>
      <w:pPr>
        <w:spacing w:after="0" w:line="240" w:lineRule="auto"/>
        <w:jc w:val="center"/>
        <w:rPr>
          <w:rFonts w:hint="eastAsia" w:ascii="宋体" w:hAnsi="宋体" w:eastAsia="宋体" w:cs="宋体"/>
          <w:sz w:val="28"/>
          <w:szCs w:val="28"/>
          <w:lang w:val="en-US" w:eastAsia="zh-CN"/>
        </w:rPr>
      </w:pPr>
    </w:p>
    <w:p>
      <w:pPr>
        <w:spacing w:after="0" w:line="240" w:lineRule="auto"/>
        <w:jc w:val="center"/>
        <w:rPr>
          <w:rFonts w:hint="eastAsia" w:ascii="宋体" w:hAnsi="宋体" w:eastAsia="宋体" w:cs="宋体"/>
          <w:sz w:val="28"/>
          <w:szCs w:val="28"/>
          <w:lang w:val="en-US" w:eastAsia="zh-CN"/>
        </w:rPr>
      </w:pPr>
    </w:p>
    <w:p>
      <w:pPr>
        <w:spacing w:after="0" w:line="240" w:lineRule="auto"/>
        <w:jc w:val="center"/>
        <w:rPr>
          <w:rFonts w:hint="eastAsia" w:ascii="宋体" w:hAnsi="宋体" w:eastAsia="宋体" w:cs="宋体"/>
          <w:sz w:val="28"/>
          <w:szCs w:val="28"/>
          <w:lang w:val="en-US" w:eastAsia="zh-CN"/>
        </w:rPr>
      </w:pPr>
    </w:p>
    <w:p>
      <w:pPr>
        <w:spacing w:after="0" w:line="240" w:lineRule="auto"/>
        <w:jc w:val="center"/>
        <w:rPr>
          <w:rFonts w:hint="eastAsia" w:ascii="宋体" w:hAnsi="宋体" w:eastAsia="宋体" w:cs="宋体"/>
          <w:sz w:val="28"/>
          <w:szCs w:val="28"/>
          <w:lang w:val="en-US" w:eastAsia="zh-CN"/>
        </w:rPr>
      </w:pPr>
    </w:p>
    <w:p>
      <w:pPr>
        <w:spacing w:after="0" w:line="240" w:lineRule="auto"/>
        <w:jc w:val="center"/>
        <w:rPr>
          <w:rFonts w:hint="eastAsia" w:ascii="宋体" w:hAnsi="宋体" w:eastAsia="宋体" w:cs="宋体"/>
          <w:sz w:val="28"/>
          <w:szCs w:val="28"/>
          <w:lang w:val="en-US" w:eastAsia="zh-CN"/>
        </w:rPr>
      </w:pPr>
    </w:p>
    <w:p>
      <w:pPr>
        <w:spacing w:after="0" w:line="240" w:lineRule="auto"/>
        <w:jc w:val="center"/>
        <w:rPr>
          <w:rFonts w:hint="eastAsia" w:ascii="宋体" w:hAnsi="宋体" w:eastAsia="宋体" w:cs="宋体"/>
          <w:sz w:val="28"/>
          <w:szCs w:val="28"/>
          <w:lang w:val="en-US" w:eastAsia="zh-CN"/>
        </w:rPr>
      </w:pPr>
    </w:p>
    <w:p>
      <w:pPr>
        <w:spacing w:after="0" w:line="240" w:lineRule="auto"/>
        <w:jc w:val="center"/>
        <w:rPr>
          <w:rFonts w:hint="default" w:ascii="Times New Roman" w:hAnsi="Times New Roman" w:eastAsia="宋体" w:cs="Times New Roman"/>
          <w:sz w:val="28"/>
          <w:szCs w:val="28"/>
          <w:lang w:val="en-US" w:eastAsia="zh-CN"/>
        </w:rPr>
        <w:sectPr>
          <w:footerReference r:id="rId3" w:type="default"/>
          <w:pgSz w:w="11910" w:h="16840"/>
          <w:pgMar w:top="1984" w:right="1531" w:bottom="1417" w:left="1531" w:header="720" w:footer="720" w:gutter="0"/>
          <w:pgBorders>
            <w:top w:val="none" w:sz="0" w:space="0"/>
            <w:left w:val="none" w:sz="0" w:space="0"/>
            <w:bottom w:val="none" w:sz="0" w:space="0"/>
            <w:right w:val="none" w:sz="0" w:space="0"/>
          </w:pgBorders>
          <w:pgNumType w:fmt="decimal"/>
          <w:cols w:space="720" w:num="1"/>
        </w:sectPr>
      </w:pPr>
      <w:r>
        <w:rPr>
          <w:rFonts w:hint="default" w:ascii="Times New Roman" w:hAnsi="Times New Roman" w:eastAsia="宋体" w:cs="Times New Roman"/>
          <w:sz w:val="28"/>
          <w:szCs w:val="28"/>
          <w:lang w:val="en-US" w:eastAsia="zh-CN"/>
        </w:rPr>
        <w:t>2023年6月</w:t>
      </w:r>
    </w:p>
    <w:p>
      <w:pPr>
        <w:pStyle w:val="8"/>
        <w:spacing w:before="6" w:line="240" w:lineRule="auto"/>
        <w:ind w:left="3241" w:right="2737"/>
        <w:jc w:val="center"/>
        <w:rPr>
          <w:rFonts w:hint="default" w:ascii="Times New Roman" w:hAnsi="Times New Roman" w:eastAsia="方正仿宋_GBK" w:cs="Times New Roman"/>
          <w:b/>
          <w:bCs/>
          <w:sz w:val="28"/>
          <w:szCs w:val="28"/>
        </w:rPr>
      </w:pPr>
      <w:r>
        <w:rPr>
          <w:rFonts w:hint="default" w:ascii="Times New Roman" w:hAnsi="Times New Roman" w:eastAsia="方正仿宋_GBK" w:cs="Times New Roman"/>
          <w:b/>
          <w:bCs/>
          <w:sz w:val="28"/>
          <w:szCs w:val="28"/>
        </w:rPr>
        <w:t xml:space="preserve">修订情况 </w:t>
      </w:r>
    </w:p>
    <w:p>
      <w:pPr>
        <w:spacing w:before="11" w:line="240" w:lineRule="auto"/>
        <w:rPr>
          <w:rFonts w:hint="default" w:ascii="Times New Roman" w:hAnsi="Times New Roman" w:eastAsia="方正仿宋_GBK" w:cs="Times New Roman"/>
          <w:sz w:val="9"/>
          <w:szCs w:val="9"/>
        </w:rPr>
      </w:pPr>
    </w:p>
    <w:tbl>
      <w:tblPr>
        <w:tblStyle w:val="10"/>
        <w:tblW w:w="4997" w:type="pct"/>
        <w:tblInd w:w="0" w:type="dxa"/>
        <w:tblLayout w:type="autofit"/>
        <w:tblCellMar>
          <w:top w:w="0" w:type="dxa"/>
          <w:left w:w="0" w:type="dxa"/>
          <w:bottom w:w="0" w:type="dxa"/>
          <w:right w:w="0" w:type="dxa"/>
        </w:tblCellMar>
      </w:tblPr>
      <w:tblGrid>
        <w:gridCol w:w="669"/>
        <w:gridCol w:w="890"/>
        <w:gridCol w:w="2761"/>
        <w:gridCol w:w="1195"/>
        <w:gridCol w:w="886"/>
        <w:gridCol w:w="892"/>
        <w:gridCol w:w="899"/>
        <w:gridCol w:w="661"/>
      </w:tblGrid>
      <w:tr>
        <w:tblPrEx>
          <w:tblCellMar>
            <w:top w:w="0" w:type="dxa"/>
            <w:left w:w="0" w:type="dxa"/>
            <w:bottom w:w="0" w:type="dxa"/>
            <w:right w:w="0" w:type="dxa"/>
          </w:tblCellMar>
        </w:tblPrEx>
        <w:trPr>
          <w:trHeight w:val="946" w:hRule="exact"/>
        </w:trPr>
        <w:tc>
          <w:tcPr>
            <w:tcW w:w="378" w:type="pct"/>
            <w:tcBorders>
              <w:top w:val="single" w:color="000000" w:sz="4" w:space="0"/>
              <w:left w:val="single" w:color="000000" w:sz="4" w:space="0"/>
              <w:bottom w:val="single" w:color="000000" w:sz="4" w:space="0"/>
              <w:right w:val="single" w:color="000000" w:sz="4" w:space="0"/>
            </w:tcBorders>
            <w:shd w:val="clear" w:color="auto" w:fill="D9D9D9"/>
            <w:noWrap w:val="0"/>
            <w:vAlign w:val="top"/>
          </w:tcPr>
          <w:p>
            <w:pPr>
              <w:pStyle w:val="12"/>
              <w:spacing w:before="10" w:line="240" w:lineRule="auto"/>
              <w:ind w:right="0"/>
              <w:jc w:val="center"/>
              <w:rPr>
                <w:rFonts w:hint="default" w:ascii="Times New Roman" w:hAnsi="Times New Roman" w:eastAsia="方正仿宋_GBK" w:cs="Times New Roman"/>
                <w:sz w:val="22"/>
                <w:szCs w:val="22"/>
              </w:rPr>
            </w:pPr>
          </w:p>
          <w:p>
            <w:pPr>
              <w:pStyle w:val="12"/>
              <w:spacing w:line="240" w:lineRule="auto"/>
              <w:ind w:right="0"/>
              <w:jc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版本</w:t>
            </w:r>
          </w:p>
        </w:tc>
        <w:tc>
          <w:tcPr>
            <w:tcW w:w="502" w:type="pct"/>
            <w:tcBorders>
              <w:top w:val="single" w:color="000000" w:sz="4" w:space="0"/>
              <w:left w:val="single" w:color="000000" w:sz="4" w:space="0"/>
              <w:bottom w:val="single" w:color="000000" w:sz="4" w:space="0"/>
              <w:right w:val="single" w:color="000000" w:sz="4" w:space="0"/>
            </w:tcBorders>
            <w:shd w:val="clear" w:color="auto" w:fill="D9D9D9"/>
            <w:noWrap w:val="0"/>
            <w:vAlign w:val="top"/>
          </w:tcPr>
          <w:p>
            <w:pPr>
              <w:pStyle w:val="12"/>
              <w:spacing w:before="10" w:line="240" w:lineRule="auto"/>
              <w:ind w:right="0"/>
              <w:jc w:val="center"/>
              <w:rPr>
                <w:rFonts w:hint="default" w:ascii="Times New Roman" w:hAnsi="Times New Roman" w:eastAsia="方正仿宋_GBK" w:cs="Times New Roman"/>
                <w:sz w:val="22"/>
                <w:szCs w:val="22"/>
              </w:rPr>
            </w:pPr>
          </w:p>
          <w:p>
            <w:pPr>
              <w:pStyle w:val="12"/>
              <w:spacing w:line="240" w:lineRule="auto"/>
              <w:ind w:right="0"/>
              <w:jc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修订章节</w:t>
            </w:r>
          </w:p>
        </w:tc>
        <w:tc>
          <w:tcPr>
            <w:tcW w:w="1558" w:type="pct"/>
            <w:tcBorders>
              <w:top w:val="single" w:color="000000" w:sz="4" w:space="0"/>
              <w:left w:val="single" w:color="000000" w:sz="4" w:space="0"/>
              <w:bottom w:val="single" w:color="000000" w:sz="4" w:space="0"/>
              <w:right w:val="single" w:color="000000" w:sz="4" w:space="0"/>
            </w:tcBorders>
            <w:shd w:val="clear" w:color="auto" w:fill="D9D9D9"/>
            <w:noWrap w:val="0"/>
            <w:vAlign w:val="top"/>
          </w:tcPr>
          <w:p>
            <w:pPr>
              <w:pStyle w:val="12"/>
              <w:spacing w:before="10" w:line="240" w:lineRule="auto"/>
              <w:ind w:right="0"/>
              <w:jc w:val="center"/>
              <w:rPr>
                <w:rFonts w:hint="default" w:ascii="Times New Roman" w:hAnsi="Times New Roman" w:eastAsia="方正仿宋_GBK" w:cs="Times New Roman"/>
                <w:sz w:val="22"/>
                <w:szCs w:val="22"/>
              </w:rPr>
            </w:pPr>
          </w:p>
          <w:p>
            <w:pPr>
              <w:pStyle w:val="12"/>
              <w:spacing w:line="240" w:lineRule="auto"/>
              <w:ind w:left="237" w:right="0"/>
              <w:jc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修订内容功能描述</w:t>
            </w:r>
          </w:p>
        </w:tc>
        <w:tc>
          <w:tcPr>
            <w:tcW w:w="674" w:type="pct"/>
            <w:tcBorders>
              <w:top w:val="single" w:color="000000" w:sz="4" w:space="0"/>
              <w:left w:val="single" w:color="000000" w:sz="4" w:space="0"/>
              <w:bottom w:val="single" w:color="000000" w:sz="4" w:space="0"/>
              <w:right w:val="single" w:color="000000" w:sz="4" w:space="0"/>
            </w:tcBorders>
            <w:shd w:val="clear" w:color="auto" w:fill="D9D9D9"/>
            <w:noWrap w:val="0"/>
            <w:vAlign w:val="top"/>
          </w:tcPr>
          <w:p>
            <w:pPr>
              <w:pStyle w:val="12"/>
              <w:spacing w:before="10" w:line="240" w:lineRule="auto"/>
              <w:ind w:right="0"/>
              <w:jc w:val="center"/>
              <w:rPr>
                <w:rFonts w:hint="default" w:ascii="Times New Roman" w:hAnsi="Times New Roman" w:eastAsia="方正仿宋_GBK" w:cs="Times New Roman"/>
                <w:sz w:val="22"/>
                <w:szCs w:val="22"/>
              </w:rPr>
            </w:pPr>
          </w:p>
          <w:p>
            <w:pPr>
              <w:pStyle w:val="12"/>
              <w:spacing w:line="240" w:lineRule="auto"/>
              <w:ind w:left="291" w:right="0"/>
              <w:jc w:val="both"/>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修订日期</w:t>
            </w:r>
          </w:p>
        </w:tc>
        <w:tc>
          <w:tcPr>
            <w:tcW w:w="500" w:type="pct"/>
            <w:tcBorders>
              <w:top w:val="single" w:color="000000" w:sz="4" w:space="0"/>
              <w:left w:val="single" w:color="000000" w:sz="4" w:space="0"/>
              <w:bottom w:val="single" w:color="000000" w:sz="4" w:space="0"/>
              <w:right w:val="single" w:color="000000" w:sz="4" w:space="0"/>
            </w:tcBorders>
            <w:shd w:val="clear" w:color="auto" w:fill="D9D9D9"/>
            <w:noWrap w:val="0"/>
            <w:vAlign w:val="top"/>
          </w:tcPr>
          <w:p>
            <w:pPr>
              <w:pStyle w:val="12"/>
              <w:spacing w:before="10" w:line="240" w:lineRule="auto"/>
              <w:ind w:right="0"/>
              <w:jc w:val="center"/>
              <w:rPr>
                <w:rFonts w:hint="default" w:ascii="Times New Roman" w:hAnsi="Times New Roman" w:eastAsia="方正仿宋_GBK" w:cs="Times New Roman"/>
                <w:sz w:val="22"/>
                <w:szCs w:val="22"/>
              </w:rPr>
            </w:pPr>
          </w:p>
          <w:p>
            <w:pPr>
              <w:pStyle w:val="12"/>
              <w:spacing w:line="240" w:lineRule="auto"/>
              <w:ind w:left="206" w:right="0"/>
              <w:jc w:val="both"/>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修订人</w:t>
            </w:r>
          </w:p>
        </w:tc>
        <w:tc>
          <w:tcPr>
            <w:tcW w:w="503" w:type="pct"/>
            <w:tcBorders>
              <w:top w:val="single" w:color="000000" w:sz="4" w:space="0"/>
              <w:left w:val="single" w:color="000000" w:sz="4" w:space="0"/>
              <w:bottom w:val="single" w:color="000000" w:sz="4" w:space="0"/>
              <w:right w:val="single" w:color="000000" w:sz="4" w:space="0"/>
            </w:tcBorders>
            <w:shd w:val="clear" w:color="auto" w:fill="D9D9D9"/>
            <w:noWrap w:val="0"/>
            <w:vAlign w:val="top"/>
          </w:tcPr>
          <w:p>
            <w:pPr>
              <w:pStyle w:val="12"/>
              <w:spacing w:before="64" w:line="240" w:lineRule="auto"/>
              <w:ind w:right="1"/>
              <w:jc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修订前版</w:t>
            </w:r>
          </w:p>
          <w:p>
            <w:pPr>
              <w:pStyle w:val="12"/>
              <w:spacing w:before="10" w:line="240" w:lineRule="auto"/>
              <w:ind w:right="0"/>
              <w:jc w:val="center"/>
              <w:rPr>
                <w:rFonts w:hint="default" w:ascii="Times New Roman" w:hAnsi="Times New Roman" w:eastAsia="方正仿宋_GBK" w:cs="Times New Roman"/>
                <w:sz w:val="14"/>
                <w:szCs w:val="14"/>
              </w:rPr>
            </w:pPr>
          </w:p>
          <w:p>
            <w:pPr>
              <w:pStyle w:val="12"/>
              <w:spacing w:line="240" w:lineRule="auto"/>
              <w:ind w:left="103" w:right="0"/>
              <w:jc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本号</w:t>
            </w:r>
          </w:p>
        </w:tc>
        <w:tc>
          <w:tcPr>
            <w:tcW w:w="507" w:type="pct"/>
            <w:tcBorders>
              <w:top w:val="single" w:color="000000" w:sz="4" w:space="0"/>
              <w:left w:val="single" w:color="000000" w:sz="4" w:space="0"/>
              <w:bottom w:val="single" w:color="000000" w:sz="4" w:space="0"/>
              <w:right w:val="single" w:color="000000" w:sz="4" w:space="0"/>
            </w:tcBorders>
            <w:shd w:val="clear" w:color="auto" w:fill="D9D9D9"/>
            <w:noWrap w:val="0"/>
            <w:vAlign w:val="top"/>
          </w:tcPr>
          <w:p>
            <w:pPr>
              <w:pStyle w:val="12"/>
              <w:spacing w:before="10" w:line="240" w:lineRule="auto"/>
              <w:ind w:right="0"/>
              <w:jc w:val="center"/>
              <w:rPr>
                <w:rFonts w:hint="default" w:ascii="Times New Roman" w:hAnsi="Times New Roman" w:eastAsia="方正仿宋_GBK" w:cs="Times New Roman"/>
                <w:sz w:val="22"/>
                <w:szCs w:val="22"/>
              </w:rPr>
            </w:pPr>
          </w:p>
          <w:p>
            <w:pPr>
              <w:pStyle w:val="12"/>
              <w:spacing w:line="240" w:lineRule="auto"/>
              <w:ind w:left="218" w:right="0"/>
              <w:jc w:val="both"/>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批准人</w:t>
            </w:r>
          </w:p>
        </w:tc>
        <w:tc>
          <w:tcPr>
            <w:tcW w:w="373" w:type="pct"/>
            <w:tcBorders>
              <w:top w:val="single" w:color="000000" w:sz="4" w:space="0"/>
              <w:left w:val="single" w:color="000000" w:sz="4" w:space="0"/>
              <w:bottom w:val="single" w:color="000000" w:sz="4" w:space="0"/>
              <w:right w:val="single" w:color="000000" w:sz="4" w:space="0"/>
            </w:tcBorders>
            <w:shd w:val="clear" w:color="auto" w:fill="D9D9D9"/>
            <w:noWrap w:val="0"/>
            <w:vAlign w:val="top"/>
          </w:tcPr>
          <w:p>
            <w:pPr>
              <w:pStyle w:val="12"/>
              <w:spacing w:before="10" w:line="240" w:lineRule="auto"/>
              <w:ind w:right="0"/>
              <w:jc w:val="center"/>
              <w:rPr>
                <w:rFonts w:hint="default" w:ascii="Times New Roman" w:hAnsi="Times New Roman" w:eastAsia="方正仿宋_GBK" w:cs="Times New Roman"/>
                <w:sz w:val="22"/>
                <w:szCs w:val="22"/>
              </w:rPr>
            </w:pPr>
          </w:p>
          <w:p>
            <w:pPr>
              <w:pStyle w:val="12"/>
              <w:spacing w:line="240" w:lineRule="auto"/>
              <w:ind w:left="202" w:right="0"/>
              <w:jc w:val="both"/>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备注</w:t>
            </w:r>
          </w:p>
        </w:tc>
      </w:tr>
      <w:tr>
        <w:tblPrEx>
          <w:tblCellMar>
            <w:top w:w="0" w:type="dxa"/>
            <w:left w:w="0" w:type="dxa"/>
            <w:bottom w:w="0" w:type="dxa"/>
            <w:right w:w="0" w:type="dxa"/>
          </w:tblCellMar>
        </w:tblPrEx>
        <w:trPr>
          <w:trHeight w:val="323" w:hRule="exact"/>
        </w:trPr>
        <w:tc>
          <w:tcPr>
            <w:tcW w:w="378" w:type="pct"/>
            <w:tcBorders>
              <w:top w:val="single" w:color="000000" w:sz="4" w:space="0"/>
              <w:left w:val="single" w:color="000000" w:sz="4" w:space="0"/>
              <w:bottom w:val="single" w:color="000000" w:sz="4" w:space="0"/>
              <w:right w:val="single" w:color="000000" w:sz="4" w:space="0"/>
            </w:tcBorders>
            <w:noWrap w:val="0"/>
            <w:vAlign w:val="top"/>
          </w:tcPr>
          <w:p>
            <w:pPr>
              <w:pStyle w:val="12"/>
              <w:spacing w:line="262" w:lineRule="exact"/>
              <w:ind w:right="0"/>
              <w:jc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rPr>
              <w:t>V1.0.0</w:t>
            </w:r>
          </w:p>
        </w:tc>
        <w:tc>
          <w:tcPr>
            <w:tcW w:w="502" w:type="pct"/>
            <w:tcBorders>
              <w:top w:val="single" w:color="000000" w:sz="4" w:space="0"/>
              <w:left w:val="single" w:color="000000" w:sz="4" w:space="0"/>
              <w:bottom w:val="single" w:color="000000" w:sz="4" w:space="0"/>
              <w:right w:val="single" w:color="000000" w:sz="4" w:space="0"/>
            </w:tcBorders>
            <w:noWrap w:val="0"/>
            <w:vAlign w:val="top"/>
          </w:tcPr>
          <w:p>
            <w:pPr>
              <w:pStyle w:val="12"/>
              <w:spacing w:line="262" w:lineRule="exact"/>
              <w:ind w:left="104" w:right="0"/>
              <w:jc w:val="center"/>
              <w:rPr>
                <w:rFonts w:hint="default" w:ascii="Times New Roman" w:hAnsi="Times New Roman" w:eastAsia="方正仿宋_GBK" w:cs="Times New Roman"/>
                <w:sz w:val="21"/>
                <w:szCs w:val="21"/>
              </w:rPr>
            </w:pPr>
          </w:p>
        </w:tc>
        <w:tc>
          <w:tcPr>
            <w:tcW w:w="1558" w:type="pct"/>
            <w:tcBorders>
              <w:top w:val="single" w:color="000000" w:sz="4" w:space="0"/>
              <w:left w:val="single" w:color="000000" w:sz="4" w:space="0"/>
              <w:bottom w:val="single" w:color="000000" w:sz="4" w:space="0"/>
              <w:right w:val="single" w:color="000000" w:sz="4" w:space="0"/>
            </w:tcBorders>
            <w:noWrap w:val="0"/>
            <w:vAlign w:val="top"/>
          </w:tcPr>
          <w:p>
            <w:pPr>
              <w:pStyle w:val="12"/>
              <w:spacing w:line="262" w:lineRule="exact"/>
              <w:ind w:left="104" w:right="0"/>
              <w:jc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新建</w:t>
            </w:r>
          </w:p>
        </w:tc>
        <w:tc>
          <w:tcPr>
            <w:tcW w:w="674" w:type="pct"/>
            <w:tcBorders>
              <w:top w:val="single" w:color="000000" w:sz="4" w:space="0"/>
              <w:left w:val="single" w:color="000000" w:sz="4" w:space="0"/>
              <w:bottom w:val="single" w:color="000000" w:sz="4" w:space="0"/>
              <w:right w:val="single" w:color="000000" w:sz="4" w:space="0"/>
            </w:tcBorders>
            <w:noWrap w:val="0"/>
            <w:vAlign w:val="top"/>
          </w:tcPr>
          <w:p>
            <w:pPr>
              <w:pStyle w:val="12"/>
              <w:spacing w:line="262" w:lineRule="exact"/>
              <w:ind w:right="0"/>
              <w:jc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rPr>
              <w:t>202</w:t>
            </w:r>
            <w:r>
              <w:rPr>
                <w:rFonts w:hint="default" w:ascii="Times New Roman" w:hAnsi="Times New Roman" w:eastAsia="方正仿宋_GBK" w:cs="Times New Roman"/>
                <w:sz w:val="21"/>
                <w:lang w:val="en-US" w:eastAsia="zh-CN"/>
              </w:rPr>
              <w:t>3.06.12</w:t>
            </w:r>
          </w:p>
        </w:tc>
        <w:tc>
          <w:tcPr>
            <w:tcW w:w="500" w:type="pct"/>
            <w:tcBorders>
              <w:top w:val="single" w:color="000000" w:sz="4" w:space="0"/>
              <w:left w:val="single" w:color="000000" w:sz="4" w:space="0"/>
              <w:bottom w:val="single" w:color="000000" w:sz="4" w:space="0"/>
              <w:right w:val="single" w:color="000000" w:sz="4" w:space="0"/>
            </w:tcBorders>
            <w:noWrap w:val="0"/>
            <w:vAlign w:val="top"/>
          </w:tcPr>
          <w:p>
            <w:pPr>
              <w:pStyle w:val="12"/>
              <w:spacing w:line="262" w:lineRule="exact"/>
              <w:ind w:right="0"/>
              <w:jc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杨婷</w:t>
            </w:r>
          </w:p>
        </w:tc>
        <w:tc>
          <w:tcPr>
            <w:tcW w:w="503" w:type="pct"/>
            <w:tcBorders>
              <w:top w:val="single" w:color="000000" w:sz="4" w:space="0"/>
              <w:left w:val="single" w:color="000000" w:sz="4" w:space="0"/>
              <w:bottom w:val="single" w:color="000000" w:sz="4" w:space="0"/>
              <w:right w:val="single" w:color="000000" w:sz="4" w:space="0"/>
            </w:tcBorders>
            <w:noWrap w:val="0"/>
            <w:vAlign w:val="top"/>
          </w:tcPr>
          <w:p>
            <w:pPr>
              <w:pStyle w:val="12"/>
              <w:spacing w:line="262" w:lineRule="exact"/>
              <w:ind w:right="0"/>
              <w:jc w:val="center"/>
              <w:rPr>
                <w:rFonts w:hint="default" w:ascii="Times New Roman" w:hAnsi="Times New Roman" w:eastAsia="方正仿宋_GBK" w:cs="Times New Roman"/>
                <w:sz w:val="21"/>
                <w:szCs w:val="21"/>
              </w:rPr>
            </w:pPr>
          </w:p>
        </w:tc>
        <w:tc>
          <w:tcPr>
            <w:tcW w:w="507" w:type="pct"/>
            <w:tcBorders>
              <w:top w:val="single" w:color="000000" w:sz="4" w:space="0"/>
              <w:left w:val="single" w:color="000000" w:sz="4" w:space="0"/>
              <w:bottom w:val="single" w:color="000000" w:sz="4" w:space="0"/>
              <w:right w:val="single" w:color="000000" w:sz="4" w:space="0"/>
            </w:tcBorders>
            <w:noWrap w:val="0"/>
            <w:vAlign w:val="top"/>
          </w:tcPr>
          <w:p>
            <w:pPr>
              <w:pStyle w:val="12"/>
              <w:spacing w:line="262" w:lineRule="exact"/>
              <w:ind w:left="322" w:right="0"/>
              <w:jc w:val="both"/>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向阳</w:t>
            </w:r>
          </w:p>
        </w:tc>
        <w:tc>
          <w:tcPr>
            <w:tcW w:w="373" w:type="pct"/>
            <w:tcBorders>
              <w:top w:val="single" w:color="000000" w:sz="4" w:space="0"/>
              <w:left w:val="single" w:color="000000" w:sz="4" w:space="0"/>
              <w:bottom w:val="single" w:color="000000" w:sz="4" w:space="0"/>
              <w:right w:val="single" w:color="000000" w:sz="4" w:space="0"/>
            </w:tcBorders>
            <w:noWrap w:val="0"/>
            <w:vAlign w:val="top"/>
          </w:tcPr>
          <w:p>
            <w:pPr>
              <w:pStyle w:val="12"/>
              <w:spacing w:line="262" w:lineRule="exact"/>
              <w:ind w:left="103" w:right="0"/>
              <w:jc w:val="center"/>
              <w:rPr>
                <w:rFonts w:hint="default" w:ascii="Times New Roman" w:hAnsi="Times New Roman" w:eastAsia="方正仿宋_GBK" w:cs="Times New Roman"/>
                <w:sz w:val="21"/>
                <w:szCs w:val="21"/>
              </w:rPr>
            </w:pPr>
          </w:p>
        </w:tc>
      </w:tr>
      <w:tr>
        <w:tblPrEx>
          <w:tblCellMar>
            <w:top w:w="0" w:type="dxa"/>
            <w:left w:w="0" w:type="dxa"/>
            <w:bottom w:w="0" w:type="dxa"/>
            <w:right w:w="0" w:type="dxa"/>
          </w:tblCellMar>
        </w:tblPrEx>
        <w:trPr>
          <w:trHeight w:val="325" w:hRule="exact"/>
        </w:trPr>
        <w:tc>
          <w:tcPr>
            <w:tcW w:w="378" w:type="pct"/>
            <w:tcBorders>
              <w:top w:val="single" w:color="000000" w:sz="4" w:space="0"/>
              <w:left w:val="single" w:color="000000" w:sz="4" w:space="0"/>
              <w:bottom w:val="single" w:color="000000" w:sz="4" w:space="0"/>
              <w:right w:val="single" w:color="000000" w:sz="4" w:space="0"/>
            </w:tcBorders>
            <w:noWrap w:val="0"/>
            <w:vAlign w:val="top"/>
          </w:tcPr>
          <w:p>
            <w:pPr>
              <w:pStyle w:val="12"/>
              <w:spacing w:line="262" w:lineRule="exact"/>
              <w:ind w:right="0"/>
              <w:jc w:val="center"/>
              <w:rPr>
                <w:rFonts w:hint="default" w:ascii="Times New Roman" w:hAnsi="Times New Roman" w:eastAsia="方正仿宋_GBK" w:cs="Times New Roman"/>
                <w:sz w:val="21"/>
                <w:lang w:val="en-US" w:eastAsia="zh-CN"/>
              </w:rPr>
            </w:pPr>
            <w:r>
              <w:rPr>
                <w:rFonts w:hint="default" w:ascii="Times New Roman" w:hAnsi="Times New Roman" w:eastAsia="方正仿宋_GBK" w:cs="Times New Roman"/>
                <w:sz w:val="21"/>
                <w:lang w:val="en-US" w:eastAsia="zh-CN"/>
              </w:rPr>
              <w:t>V1.0.1</w:t>
            </w:r>
          </w:p>
        </w:tc>
        <w:tc>
          <w:tcPr>
            <w:tcW w:w="502" w:type="pct"/>
            <w:tcBorders>
              <w:top w:val="single" w:color="000000" w:sz="4" w:space="0"/>
              <w:left w:val="single" w:color="000000" w:sz="4" w:space="0"/>
              <w:bottom w:val="single" w:color="000000" w:sz="4" w:space="0"/>
              <w:right w:val="single" w:color="000000" w:sz="4" w:space="0"/>
            </w:tcBorders>
            <w:noWrap w:val="0"/>
            <w:vAlign w:val="top"/>
          </w:tcPr>
          <w:p>
            <w:pPr>
              <w:pStyle w:val="12"/>
              <w:spacing w:line="262" w:lineRule="exact"/>
              <w:ind w:left="104" w:right="0"/>
              <w:jc w:val="center"/>
              <w:rPr>
                <w:rFonts w:hint="default" w:ascii="Times New Roman" w:hAnsi="Times New Roman" w:eastAsia="方正仿宋_GBK" w:cs="Times New Roman"/>
                <w:sz w:val="21"/>
                <w:lang w:val="en-US" w:eastAsia="zh-CN"/>
              </w:rPr>
            </w:pPr>
            <w:r>
              <w:rPr>
                <w:rFonts w:hint="default" w:ascii="Times New Roman" w:hAnsi="Times New Roman" w:eastAsia="方正仿宋_GBK" w:cs="Times New Roman"/>
                <w:sz w:val="21"/>
                <w:lang w:val="en-US" w:eastAsia="zh-CN"/>
              </w:rPr>
              <w:t>第三章</w:t>
            </w:r>
          </w:p>
        </w:tc>
        <w:tc>
          <w:tcPr>
            <w:tcW w:w="1558" w:type="pct"/>
            <w:tcBorders>
              <w:top w:val="single" w:color="000000" w:sz="4" w:space="0"/>
              <w:left w:val="single" w:color="000000" w:sz="4" w:space="0"/>
              <w:bottom w:val="single" w:color="000000" w:sz="4" w:space="0"/>
              <w:right w:val="single" w:color="000000" w:sz="4" w:space="0"/>
            </w:tcBorders>
            <w:noWrap w:val="0"/>
            <w:vAlign w:val="top"/>
          </w:tcPr>
          <w:p>
            <w:pPr>
              <w:pStyle w:val="12"/>
              <w:spacing w:line="262" w:lineRule="exact"/>
              <w:ind w:left="104" w:right="0"/>
              <w:jc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新增线下营业网点接入流程</w:t>
            </w:r>
          </w:p>
        </w:tc>
        <w:tc>
          <w:tcPr>
            <w:tcW w:w="674" w:type="pct"/>
            <w:tcBorders>
              <w:top w:val="single" w:color="000000" w:sz="4" w:space="0"/>
              <w:left w:val="single" w:color="000000" w:sz="4" w:space="0"/>
              <w:bottom w:val="single" w:color="000000" w:sz="4" w:space="0"/>
              <w:right w:val="single" w:color="000000" w:sz="4" w:space="0"/>
            </w:tcBorders>
            <w:noWrap w:val="0"/>
            <w:vAlign w:val="top"/>
          </w:tcPr>
          <w:p>
            <w:pPr>
              <w:pStyle w:val="12"/>
              <w:spacing w:line="262" w:lineRule="exact"/>
              <w:ind w:right="0"/>
              <w:jc w:val="center"/>
              <w:rPr>
                <w:rFonts w:hint="default" w:ascii="Times New Roman" w:hAnsi="Times New Roman" w:eastAsia="方正仿宋_GBK" w:cs="Times New Roman"/>
                <w:sz w:val="21"/>
                <w:lang w:val="en-US" w:eastAsia="zh-CN"/>
              </w:rPr>
            </w:pPr>
            <w:r>
              <w:rPr>
                <w:rFonts w:hint="default" w:ascii="Times New Roman" w:hAnsi="Times New Roman" w:eastAsia="方正仿宋_GBK" w:cs="Times New Roman"/>
                <w:sz w:val="21"/>
                <w:lang w:val="en-US" w:eastAsia="zh-CN"/>
              </w:rPr>
              <w:t>2023.06.14</w:t>
            </w:r>
          </w:p>
        </w:tc>
        <w:tc>
          <w:tcPr>
            <w:tcW w:w="500" w:type="pct"/>
            <w:tcBorders>
              <w:top w:val="single" w:color="000000" w:sz="4" w:space="0"/>
              <w:left w:val="single" w:color="000000" w:sz="4" w:space="0"/>
              <w:bottom w:val="single" w:color="000000" w:sz="4" w:space="0"/>
              <w:right w:val="single" w:color="000000" w:sz="4" w:space="0"/>
            </w:tcBorders>
            <w:noWrap w:val="0"/>
            <w:vAlign w:val="top"/>
          </w:tcPr>
          <w:p>
            <w:pPr>
              <w:pStyle w:val="12"/>
              <w:spacing w:line="262" w:lineRule="exact"/>
              <w:ind w:right="0"/>
              <w:jc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杨婷</w:t>
            </w:r>
          </w:p>
        </w:tc>
        <w:tc>
          <w:tcPr>
            <w:tcW w:w="503" w:type="pct"/>
            <w:tcBorders>
              <w:top w:val="single" w:color="000000" w:sz="4" w:space="0"/>
              <w:left w:val="single" w:color="000000" w:sz="4" w:space="0"/>
              <w:bottom w:val="single" w:color="000000" w:sz="4" w:space="0"/>
              <w:right w:val="single" w:color="000000" w:sz="4" w:space="0"/>
            </w:tcBorders>
            <w:noWrap w:val="0"/>
            <w:vAlign w:val="top"/>
          </w:tcPr>
          <w:p>
            <w:pPr>
              <w:pStyle w:val="12"/>
              <w:spacing w:line="262" w:lineRule="exact"/>
              <w:ind w:right="0"/>
              <w:jc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V1.0.0</w:t>
            </w:r>
          </w:p>
        </w:tc>
        <w:tc>
          <w:tcPr>
            <w:tcW w:w="507" w:type="pct"/>
            <w:tcBorders>
              <w:top w:val="single" w:color="000000" w:sz="4" w:space="0"/>
              <w:left w:val="single" w:color="000000" w:sz="4" w:space="0"/>
              <w:bottom w:val="single" w:color="000000" w:sz="4" w:space="0"/>
              <w:right w:val="single" w:color="000000" w:sz="4" w:space="0"/>
            </w:tcBorders>
            <w:noWrap w:val="0"/>
            <w:vAlign w:val="top"/>
          </w:tcPr>
          <w:p>
            <w:pPr>
              <w:pStyle w:val="12"/>
              <w:spacing w:line="262" w:lineRule="exact"/>
              <w:ind w:left="322" w:right="0"/>
              <w:jc w:val="both"/>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向阳</w:t>
            </w:r>
          </w:p>
        </w:tc>
        <w:tc>
          <w:tcPr>
            <w:tcW w:w="373" w:type="pct"/>
            <w:tcBorders>
              <w:top w:val="single" w:color="000000" w:sz="4" w:space="0"/>
              <w:left w:val="single" w:color="000000" w:sz="4" w:space="0"/>
              <w:bottom w:val="single" w:color="000000" w:sz="4" w:space="0"/>
              <w:right w:val="single" w:color="000000" w:sz="4" w:space="0"/>
            </w:tcBorders>
            <w:noWrap w:val="0"/>
            <w:vAlign w:val="top"/>
          </w:tcPr>
          <w:p>
            <w:pPr>
              <w:pStyle w:val="12"/>
              <w:spacing w:line="262" w:lineRule="exact"/>
              <w:ind w:left="103" w:right="0"/>
              <w:jc w:val="center"/>
              <w:rPr>
                <w:rFonts w:hint="default" w:ascii="Times New Roman" w:hAnsi="Times New Roman" w:eastAsia="方正仿宋_GBK" w:cs="Times New Roman"/>
                <w:sz w:val="21"/>
              </w:rPr>
            </w:pPr>
          </w:p>
        </w:tc>
      </w:tr>
    </w:tbl>
    <w:p>
      <w:pPr>
        <w:spacing w:after="0" w:line="261" w:lineRule="exact"/>
        <w:jc w:val="center"/>
        <w:rPr>
          <w:rFonts w:hint="default" w:ascii="Times New Roman" w:hAnsi="Times New Roman" w:eastAsia="方正仿宋_GBK" w:cs="Times New Roman"/>
          <w:sz w:val="21"/>
          <w:szCs w:val="21"/>
        </w:rPr>
        <w:sectPr>
          <w:pgSz w:w="11910" w:h="16840"/>
          <w:pgMar w:top="1984" w:right="1531" w:bottom="1417" w:left="1531" w:header="720" w:footer="720" w:gutter="0"/>
          <w:pgBorders>
            <w:top w:val="none" w:sz="0" w:space="0"/>
            <w:left w:val="none" w:sz="0" w:space="0"/>
            <w:bottom w:val="none" w:sz="0" w:space="0"/>
            <w:right w:val="none" w:sz="0" w:space="0"/>
          </w:pgBorders>
          <w:pgNumType w:fmt="decimal"/>
          <w:cols w:space="720" w:num="1"/>
        </w:sectPr>
      </w:pPr>
    </w:p>
    <w:p>
      <w:pPr>
        <w:spacing w:after="0" w:line="240" w:lineRule="auto"/>
        <w:jc w:val="center"/>
        <w:rPr>
          <w:rFonts w:hint="eastAsia" w:ascii="宋体" w:hAnsi="宋体" w:eastAsia="宋体" w:cs="宋体"/>
          <w:sz w:val="20"/>
          <w:szCs w:val="20"/>
        </w:rPr>
      </w:pPr>
      <w:r>
        <w:rPr>
          <w:rFonts w:hint="eastAsia" w:ascii="方正小标宋_GBK" w:hAnsi="方正小标宋_GBK" w:eastAsia="方正小标宋_GBK" w:cs="方正小标宋_GBK"/>
          <w:b/>
          <w:bCs/>
          <w:sz w:val="36"/>
          <w:szCs w:val="36"/>
          <w:lang w:val="en-US" w:eastAsia="zh-CN"/>
        </w:rPr>
        <w:t>公共服务子系统与第三方渠道接入指引文档</w:t>
      </w:r>
    </w:p>
    <w:p>
      <w:pPr>
        <w:spacing w:before="7" w:line="240" w:lineRule="auto"/>
        <w:rPr>
          <w:rFonts w:hint="eastAsia" w:ascii="宋体" w:hAnsi="宋体" w:eastAsia="宋体" w:cs="宋体"/>
          <w:sz w:val="16"/>
          <w:szCs w:val="16"/>
        </w:rPr>
      </w:pPr>
    </w:p>
    <w:p>
      <w:pPr>
        <w:pStyle w:val="3"/>
        <w:bidi w:val="0"/>
        <w:ind w:left="432" w:leftChars="0" w:hanging="432" w:firstLineChars="0"/>
        <w:rPr>
          <w:rFonts w:hint="default" w:ascii="Times New Roman" w:hAnsi="Times New Roman" w:eastAsia="方正黑体_GBK"/>
          <w:lang w:val="en-US" w:eastAsia="zh-Hans"/>
        </w:rPr>
      </w:pPr>
      <w:bookmarkStart w:id="0" w:name="第1章 目的"/>
      <w:bookmarkEnd w:id="0"/>
      <w:r>
        <w:rPr>
          <w:rFonts w:hint="default" w:ascii="Times New Roman" w:hAnsi="Times New Roman" w:eastAsia="方正黑体_GBK"/>
          <w:lang w:val="en-US" w:eastAsia="zh-CN"/>
        </w:rPr>
        <w:t xml:space="preserve"> </w:t>
      </w:r>
      <w:r>
        <w:rPr>
          <w:rFonts w:hint="default" w:ascii="Times New Roman" w:hAnsi="Times New Roman" w:eastAsia="方正黑体_GBK"/>
          <w:lang w:val="en-US" w:eastAsia="zh-Hans"/>
        </w:rPr>
        <w:t>目的</w:t>
      </w:r>
    </w:p>
    <w:p>
      <w:pPr>
        <w:spacing w:before="12" w:line="240" w:lineRule="auto"/>
        <w:rPr>
          <w:rFonts w:hint="eastAsia" w:ascii="宋体" w:hAnsi="宋体" w:eastAsia="宋体" w:cs="宋体"/>
          <w:sz w:val="17"/>
          <w:szCs w:val="17"/>
        </w:rPr>
      </w:pPr>
    </w:p>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640" w:firstLineChars="200"/>
        <w:jc w:val="both"/>
        <w:textAlignment w:val="auto"/>
        <w:rPr>
          <w:rFonts w:hint="eastAsia" w:ascii="方正仿宋_GBK" w:hAnsi="方正仿宋_GBK" w:eastAsia="方正仿宋_GBK" w:cs="方正仿宋_GBK"/>
          <w:kern w:val="2"/>
          <w:sz w:val="32"/>
          <w:szCs w:val="32"/>
          <w:lang w:val="en-US" w:eastAsia="zh-CN"/>
        </w:rPr>
      </w:pPr>
      <w:r>
        <w:rPr>
          <w:rFonts w:hint="eastAsia" w:ascii="方正仿宋_GBK" w:hAnsi="方正仿宋_GBK" w:eastAsia="方正仿宋_GBK" w:cs="方正仿宋_GBK"/>
          <w:kern w:val="2"/>
          <w:sz w:val="32"/>
          <w:szCs w:val="32"/>
          <w:lang w:val="en-US" w:eastAsia="zh-Hans"/>
        </w:rPr>
        <w:t>基于全</w:t>
      </w:r>
      <w:r>
        <w:rPr>
          <w:rFonts w:hint="eastAsia" w:ascii="方正仿宋_GBK" w:hAnsi="方正仿宋_GBK" w:eastAsia="方正仿宋_GBK" w:cs="方正仿宋_GBK"/>
          <w:kern w:val="2"/>
          <w:sz w:val="32"/>
          <w:szCs w:val="32"/>
          <w:lang w:val="en-US" w:eastAsia="zh-CN"/>
        </w:rPr>
        <w:t>省</w:t>
      </w:r>
      <w:r>
        <w:rPr>
          <w:rFonts w:hint="eastAsia" w:ascii="方正仿宋_GBK" w:hAnsi="方正仿宋_GBK" w:eastAsia="方正仿宋_GBK" w:cs="方正仿宋_GBK"/>
          <w:kern w:val="2"/>
          <w:sz w:val="32"/>
          <w:szCs w:val="32"/>
          <w:lang w:val="en-US" w:eastAsia="zh-Hans"/>
        </w:rPr>
        <w:t>统一的医保信息平台，建设云南省统一的医保</w:t>
      </w:r>
      <w:r>
        <w:rPr>
          <w:rFonts w:hint="eastAsia" w:ascii="方正仿宋_GBK" w:hAnsi="方正仿宋_GBK" w:eastAsia="方正仿宋_GBK" w:cs="方正仿宋_GBK"/>
          <w:kern w:val="2"/>
          <w:sz w:val="32"/>
          <w:szCs w:val="32"/>
          <w:lang w:val="en-US" w:eastAsia="zh-CN"/>
        </w:rPr>
        <w:t>对外服务接口标准</w:t>
      </w:r>
      <w:r>
        <w:rPr>
          <w:rFonts w:hint="eastAsia" w:ascii="方正仿宋_GBK" w:hAnsi="方正仿宋_GBK" w:eastAsia="方正仿宋_GBK" w:cs="方正仿宋_GBK"/>
          <w:kern w:val="2"/>
          <w:sz w:val="32"/>
          <w:szCs w:val="32"/>
          <w:lang w:val="en-US" w:eastAsia="zh-Hans"/>
        </w:rPr>
        <w:t>，</w:t>
      </w:r>
      <w:r>
        <w:rPr>
          <w:rFonts w:hint="eastAsia" w:ascii="方正仿宋_GBK" w:hAnsi="方正仿宋_GBK" w:eastAsia="方正仿宋_GBK" w:cs="方正仿宋_GBK"/>
          <w:kern w:val="2"/>
          <w:sz w:val="32"/>
          <w:szCs w:val="32"/>
          <w:lang w:val="en-US" w:eastAsia="zh-CN"/>
        </w:rPr>
        <w:t>推进医保经办政务服务向金融服务机构延伸，方便群众“就近办”“家门口办”。</w:t>
      </w:r>
    </w:p>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640"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2"/>
          <w:sz w:val="32"/>
          <w:szCs w:val="32"/>
          <w:lang w:eastAsia="zh-Hans"/>
        </w:rPr>
        <w:t>本文档作为</w:t>
      </w:r>
      <w:r>
        <w:rPr>
          <w:rFonts w:hint="eastAsia" w:ascii="方正仿宋_GBK" w:hAnsi="方正仿宋_GBK" w:eastAsia="方正仿宋_GBK" w:cs="方正仿宋_GBK"/>
          <w:kern w:val="2"/>
          <w:sz w:val="32"/>
          <w:szCs w:val="32"/>
          <w:lang w:val="en-US" w:eastAsia="zh-CN"/>
        </w:rPr>
        <w:t>医保服务第三方渠道接入引导</w:t>
      </w:r>
      <w:r>
        <w:rPr>
          <w:rFonts w:hint="eastAsia" w:ascii="方正仿宋_GBK" w:hAnsi="方正仿宋_GBK" w:eastAsia="方正仿宋_GBK" w:cs="方正仿宋_GBK"/>
          <w:kern w:val="2"/>
          <w:sz w:val="32"/>
          <w:szCs w:val="32"/>
          <w:lang w:eastAsia="zh-Hans"/>
        </w:rPr>
        <w:t>文档，适用于</w:t>
      </w:r>
      <w:r>
        <w:rPr>
          <w:rFonts w:hint="eastAsia" w:ascii="方正仿宋_GBK" w:hAnsi="方正仿宋_GBK" w:eastAsia="方正仿宋_GBK" w:cs="方正仿宋_GBK"/>
          <w:kern w:val="2"/>
          <w:sz w:val="32"/>
          <w:szCs w:val="32"/>
          <w:lang w:val="en-US" w:eastAsia="zh-CN"/>
        </w:rPr>
        <w:t>金融服务机构接入云南医保查询、经办、打印服务</w:t>
      </w:r>
      <w:r>
        <w:rPr>
          <w:rFonts w:hint="eastAsia" w:ascii="方正仿宋_GBK" w:hAnsi="方正仿宋_GBK" w:eastAsia="方正仿宋_GBK" w:cs="方正仿宋_GBK"/>
          <w:kern w:val="2"/>
          <w:sz w:val="32"/>
          <w:szCs w:val="32"/>
          <w:lang w:eastAsia="zh-Hans"/>
        </w:rPr>
        <w:t>。</w:t>
      </w:r>
      <w:r>
        <w:rPr>
          <w:rFonts w:hint="eastAsia" w:ascii="方正仿宋_GBK" w:hAnsi="方正仿宋_GBK" w:eastAsia="方正仿宋_GBK" w:cs="方正仿宋_GBK"/>
          <w:sz w:val="32"/>
          <w:szCs w:val="32"/>
        </w:rPr>
        <w:t xml:space="preserve"> </w:t>
      </w:r>
    </w:p>
    <w:p>
      <w:pPr>
        <w:spacing w:before="8" w:line="240" w:lineRule="auto"/>
        <w:rPr>
          <w:rFonts w:hint="eastAsia" w:ascii="宋体" w:hAnsi="宋体" w:eastAsia="宋体" w:cs="宋体"/>
          <w:lang w:val="en-US" w:eastAsia="zh-Hans"/>
        </w:rPr>
      </w:pPr>
    </w:p>
    <w:p>
      <w:pPr>
        <w:pStyle w:val="3"/>
        <w:bidi w:val="0"/>
        <w:ind w:left="432" w:leftChars="0" w:hanging="432" w:firstLineChars="0"/>
        <w:rPr>
          <w:rFonts w:hint="eastAsia"/>
          <w:lang w:val="en-US" w:eastAsia="zh-CN"/>
        </w:rPr>
      </w:pPr>
      <w:bookmarkStart w:id="1" w:name="第3章 总体原则"/>
      <w:bookmarkEnd w:id="1"/>
      <w:bookmarkStart w:id="2" w:name="第2章 术语和定义"/>
      <w:bookmarkEnd w:id="2"/>
      <w:r>
        <w:rPr>
          <w:rFonts w:hint="eastAsia"/>
          <w:lang w:val="en-US" w:eastAsia="zh-CN"/>
        </w:rPr>
        <w:t xml:space="preserve"> </w:t>
      </w:r>
      <w:r>
        <w:rPr>
          <w:rFonts w:hint="eastAsia" w:ascii="方正黑体_GBK" w:hAnsi="方正黑体_GBK" w:eastAsia="方正黑体_GBK" w:cs="方正黑体_GBK"/>
          <w:lang w:val="en-US" w:eastAsia="zh-Hans"/>
        </w:rPr>
        <w:t>总体原则</w:t>
      </w:r>
    </w:p>
    <w:p>
      <w:pPr>
        <w:pStyle w:val="4"/>
        <w:bidi w:val="0"/>
        <w:ind w:left="575" w:leftChars="0" w:hanging="575" w:firstLineChars="0"/>
        <w:rPr>
          <w:rFonts w:hint="eastAsia" w:ascii="方正楷体_GBK" w:hAnsi="方正楷体_GBK" w:eastAsia="方正楷体_GBK" w:cs="方正楷体_GBK"/>
          <w:sz w:val="32"/>
        </w:rPr>
      </w:pPr>
      <w:bookmarkStart w:id="3" w:name="3.1 地方医保部门接入原则"/>
      <w:bookmarkEnd w:id="3"/>
      <w:r>
        <w:rPr>
          <w:rFonts w:hint="eastAsia" w:ascii="方正楷体_GBK" w:hAnsi="方正楷体_GBK" w:eastAsia="方正楷体_GBK" w:cs="方正楷体_GBK"/>
          <w:sz w:val="32"/>
        </w:rPr>
        <w:t>医保部门接入原则</w:t>
      </w:r>
    </w:p>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640" w:firstLineChars="200"/>
        <w:jc w:val="both"/>
        <w:textAlignment w:val="auto"/>
        <w:rPr>
          <w:rFonts w:hint="eastAsia" w:ascii="方正仿宋_GBK" w:hAnsi="方正仿宋_GBK" w:eastAsia="方正仿宋_GBK" w:cs="方正仿宋_GBK"/>
          <w:kern w:val="2"/>
          <w:sz w:val="32"/>
          <w:szCs w:val="32"/>
          <w:lang w:val="en-US" w:eastAsia="zh-Hans"/>
        </w:rPr>
      </w:pPr>
      <w:r>
        <w:rPr>
          <w:rFonts w:hint="eastAsia" w:ascii="方正仿宋_GBK" w:hAnsi="方正仿宋_GBK" w:eastAsia="方正仿宋_GBK" w:cs="方正仿宋_GBK"/>
          <w:kern w:val="2"/>
          <w:sz w:val="32"/>
          <w:szCs w:val="32"/>
          <w:lang w:val="en-US" w:eastAsia="zh-CN"/>
        </w:rPr>
        <w:t>云南省医疗保障局</w:t>
      </w:r>
      <w:r>
        <w:rPr>
          <w:rFonts w:hint="eastAsia" w:ascii="方正仿宋_GBK" w:hAnsi="方正仿宋_GBK" w:eastAsia="方正仿宋_GBK" w:cs="方正仿宋_GBK"/>
          <w:kern w:val="2"/>
          <w:sz w:val="32"/>
          <w:szCs w:val="32"/>
          <w:lang w:val="en-US" w:eastAsia="zh-Hans"/>
        </w:rPr>
        <w:t>在建设过程中应严格按照国家医保信息平台建设相关要求和标准进行建设部署，</w:t>
      </w:r>
      <w:r>
        <w:rPr>
          <w:rFonts w:hint="eastAsia" w:ascii="方正仿宋_GBK" w:hAnsi="方正仿宋_GBK" w:eastAsia="方正仿宋_GBK" w:cs="方正仿宋_GBK"/>
          <w:kern w:val="2"/>
          <w:sz w:val="32"/>
          <w:szCs w:val="32"/>
          <w:lang w:val="en-US" w:eastAsia="zh-CN"/>
        </w:rPr>
        <w:t>建设统一对外的服务接口和接入流程规范，公共服务能力统一对外提供，通过公共服务综合终端管理平台进行渠道管控</w:t>
      </w:r>
      <w:r>
        <w:rPr>
          <w:rFonts w:hint="eastAsia" w:ascii="方正仿宋_GBK" w:hAnsi="方正仿宋_GBK" w:eastAsia="方正仿宋_GBK" w:cs="方正仿宋_GBK"/>
          <w:kern w:val="2"/>
          <w:sz w:val="32"/>
          <w:szCs w:val="32"/>
          <w:lang w:val="en-US" w:eastAsia="zh-Hans"/>
        </w:rPr>
        <w:t xml:space="preserve">。 </w:t>
      </w:r>
    </w:p>
    <w:p>
      <w:pPr>
        <w:spacing w:before="4" w:line="240" w:lineRule="auto"/>
        <w:rPr>
          <w:rFonts w:hint="eastAsia" w:ascii="宋体" w:hAnsi="宋体" w:eastAsia="宋体" w:cs="宋体"/>
          <w:sz w:val="18"/>
          <w:szCs w:val="18"/>
        </w:rPr>
      </w:pPr>
    </w:p>
    <w:p>
      <w:pPr>
        <w:pStyle w:val="4"/>
        <w:bidi w:val="0"/>
        <w:ind w:left="575" w:leftChars="0" w:hanging="575" w:firstLineChars="0"/>
        <w:rPr>
          <w:rFonts w:hint="eastAsia" w:ascii="方正楷体_GBK" w:hAnsi="方正楷体_GBK" w:eastAsia="方正楷体_GBK" w:cs="方正楷体_GBK"/>
          <w:sz w:val="32"/>
        </w:rPr>
      </w:pPr>
      <w:bookmarkStart w:id="4" w:name="3.2 第三方渠道接入原则"/>
      <w:bookmarkEnd w:id="4"/>
      <w:r>
        <w:rPr>
          <w:rFonts w:hint="eastAsia" w:ascii="方正楷体_GBK" w:hAnsi="方正楷体_GBK" w:eastAsia="方正楷体_GBK" w:cs="方正楷体_GBK"/>
          <w:sz w:val="32"/>
        </w:rPr>
        <w:t>第三方渠道接入原则</w:t>
      </w:r>
    </w:p>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640" w:firstLineChars="200"/>
        <w:jc w:val="both"/>
        <w:textAlignment w:val="auto"/>
        <w:rPr>
          <w:rFonts w:hint="eastAsia" w:ascii="方正仿宋_GBK" w:hAnsi="方正仿宋_GBK" w:eastAsia="方正仿宋_GBK" w:cs="方正仿宋_GBK"/>
          <w:kern w:val="2"/>
          <w:sz w:val="32"/>
          <w:szCs w:val="32"/>
          <w:lang w:eastAsia="zh-Hans"/>
        </w:rPr>
      </w:pPr>
      <w:r>
        <w:rPr>
          <w:rFonts w:hint="eastAsia" w:ascii="方正仿宋_GBK" w:hAnsi="方正仿宋_GBK" w:eastAsia="方正仿宋_GBK" w:cs="方正仿宋_GBK"/>
          <w:kern w:val="2"/>
          <w:sz w:val="32"/>
          <w:szCs w:val="32"/>
          <w:lang w:val="en-US" w:eastAsia="zh-CN"/>
        </w:rPr>
        <w:t>第三方渠道接入医保服务需符合《全国核心业务区骨干网络建设指南》等相关规定，通过专线接入公共服务综合终端管理平台。</w:t>
      </w:r>
      <w:bookmarkStart w:id="5" w:name="3.3 定点医药机构接入原则"/>
      <w:bookmarkEnd w:id="5"/>
      <w:r>
        <w:rPr>
          <w:rFonts w:hint="eastAsia" w:ascii="方正仿宋_GBK" w:hAnsi="方正仿宋_GBK" w:eastAsia="方正仿宋_GBK" w:cs="方正仿宋_GBK"/>
          <w:kern w:val="2"/>
          <w:sz w:val="32"/>
          <w:szCs w:val="32"/>
          <w:lang w:eastAsia="zh-Hans"/>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640" w:firstLineChars="200"/>
        <w:jc w:val="both"/>
        <w:textAlignment w:val="auto"/>
        <w:rPr>
          <w:rFonts w:hint="eastAsia" w:ascii="宋体" w:hAnsi="宋体" w:eastAsia="宋体" w:cs="宋体"/>
          <w:kern w:val="2"/>
          <w:sz w:val="32"/>
          <w:szCs w:val="32"/>
          <w:lang w:eastAsia="zh-Hans"/>
        </w:rPr>
      </w:pPr>
    </w:p>
    <w:p>
      <w:pPr>
        <w:pStyle w:val="3"/>
        <w:bidi w:val="0"/>
        <w:ind w:left="432" w:leftChars="0" w:hanging="432" w:firstLineChars="0"/>
        <w:rPr>
          <w:rFonts w:hint="eastAsia" w:ascii="方正黑体_GBK" w:hAnsi="方正黑体_GBK" w:eastAsia="方正黑体_GBK" w:cs="方正黑体_GBK"/>
          <w:lang w:val="en-US" w:eastAsia="zh-Hans"/>
        </w:rPr>
      </w:pPr>
      <w:r>
        <w:rPr>
          <w:rFonts w:hint="eastAsia" w:ascii="方正黑体_GBK" w:hAnsi="方正黑体_GBK" w:eastAsia="方正黑体_GBK" w:cs="方正黑体_GBK"/>
          <w:lang w:val="en-US" w:eastAsia="zh-CN"/>
        </w:rPr>
        <w:t xml:space="preserve"> 线下营业网点接入流程</w:t>
      </w:r>
    </w:p>
    <w:p>
      <w:pPr>
        <w:pStyle w:val="4"/>
        <w:bidi w:val="0"/>
        <w:ind w:left="575" w:leftChars="0" w:hanging="575" w:firstLineChars="0"/>
        <w:rPr>
          <w:rFonts w:hint="eastAsia" w:ascii="方正楷体_GBK" w:hAnsi="方正楷体_GBK" w:eastAsia="方正楷体_GBK" w:cs="方正楷体_GBK"/>
          <w:sz w:val="32"/>
          <w:lang w:val="en-US" w:eastAsia="zh-Hans"/>
        </w:rPr>
      </w:pPr>
      <w:r>
        <w:rPr>
          <w:rFonts w:hint="eastAsia"/>
          <w:lang w:val="en-US" w:eastAsia="zh-Hans"/>
        </w:rPr>
        <w:t xml:space="preserve"> </w:t>
      </w:r>
      <w:r>
        <w:rPr>
          <w:rFonts w:hint="eastAsia" w:ascii="方正楷体_GBK" w:hAnsi="方正楷体_GBK" w:eastAsia="方正楷体_GBK" w:cs="方正楷体_GBK"/>
          <w:sz w:val="32"/>
          <w:lang w:val="en-US" w:eastAsia="zh-CN"/>
        </w:rPr>
        <w:t>个人/单位网厅接入</w:t>
      </w:r>
    </w:p>
    <w:p>
      <w:pPr>
        <w:pStyle w:val="5"/>
        <w:bidi w:val="0"/>
        <w:ind w:left="227" w:leftChars="0" w:hanging="227" w:firstLineChars="0"/>
        <w:rPr>
          <w:rFonts w:hint="eastAsia" w:ascii="方正楷体_GBK" w:hAnsi="方正楷体_GBK" w:eastAsia="方正楷体_GBK" w:cs="方正楷体_GBK"/>
          <w:sz w:val="32"/>
          <w:szCs w:val="32"/>
          <w:lang w:val="en-US" w:eastAsia="zh-Hans"/>
        </w:rPr>
      </w:pPr>
      <w:r>
        <w:rPr>
          <w:rFonts w:hint="eastAsia" w:ascii="方正楷体_GBK" w:hAnsi="方正楷体_GBK" w:eastAsia="方正楷体_GBK" w:cs="方正楷体_GBK"/>
          <w:sz w:val="32"/>
          <w:szCs w:val="32"/>
          <w:lang w:val="en-US" w:eastAsia="zh-Hans"/>
        </w:rPr>
        <w:t>前置条件</w:t>
      </w:r>
    </w:p>
    <w:p>
      <w:pPr>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640" w:firstLineChars="200"/>
        <w:jc w:val="both"/>
        <w:textAlignment w:val="auto"/>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与省医保局签订框架协议；</w:t>
      </w:r>
    </w:p>
    <w:p>
      <w:pPr>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640" w:firstLineChars="200"/>
        <w:jc w:val="both"/>
        <w:textAlignment w:val="auto"/>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具备网厅接入硬件条件（一台电脑、打印机）；</w:t>
      </w:r>
    </w:p>
    <w:p>
      <w:pPr>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640" w:firstLineChars="200"/>
        <w:jc w:val="both"/>
        <w:textAlignment w:val="auto"/>
        <w:rPr>
          <w:rFonts w:hint="default" w:ascii="Times New Roman" w:hAnsi="Times New Roman" w:eastAsia="方正仿宋_GBK" w:cs="Times New Roman"/>
          <w:kern w:val="2"/>
          <w:sz w:val="32"/>
          <w:szCs w:val="32"/>
          <w:lang w:val="en-US" w:eastAsia="zh-Hans"/>
        </w:rPr>
      </w:pPr>
      <w:r>
        <w:rPr>
          <w:rFonts w:hint="default" w:ascii="Times New Roman" w:hAnsi="Times New Roman" w:eastAsia="方正仿宋_GBK" w:cs="Times New Roman"/>
          <w:kern w:val="2"/>
          <w:sz w:val="32"/>
          <w:szCs w:val="32"/>
          <w:lang w:val="en-US" w:eastAsia="zh-CN"/>
        </w:rPr>
        <w:t>通过互联网访问网厅（https://ggfw.ynylbz.cn/）</w:t>
      </w:r>
      <w:r>
        <w:rPr>
          <w:rFonts w:hint="default" w:ascii="Times New Roman" w:hAnsi="Times New Roman" w:eastAsia="方正仿宋_GBK" w:cs="Times New Roman"/>
          <w:kern w:val="2"/>
          <w:sz w:val="32"/>
          <w:szCs w:val="32"/>
          <w:lang w:val="en-US" w:eastAsia="zh-Hans"/>
        </w:rPr>
        <w:t xml:space="preserve">； </w:t>
      </w:r>
    </w:p>
    <w:p>
      <w:pPr>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640" w:firstLineChars="200"/>
        <w:jc w:val="both"/>
        <w:textAlignment w:val="auto"/>
        <w:rPr>
          <w:rFonts w:hint="default" w:ascii="Times New Roman" w:hAnsi="Times New Roman" w:eastAsia="方正仿宋_GBK" w:cs="Times New Roman"/>
          <w:kern w:val="2"/>
          <w:sz w:val="32"/>
          <w:szCs w:val="32"/>
          <w:lang w:val="en-US" w:eastAsia="zh-Hans"/>
        </w:rPr>
      </w:pPr>
      <w:r>
        <w:rPr>
          <w:rFonts w:hint="default" w:ascii="Times New Roman" w:hAnsi="Times New Roman" w:eastAsia="方正仿宋_GBK" w:cs="Times New Roman"/>
          <w:kern w:val="2"/>
          <w:sz w:val="32"/>
          <w:szCs w:val="32"/>
          <w:lang w:val="en-US" w:eastAsia="zh-CN"/>
        </w:rPr>
        <w:t>在明显区域悬挂医保标识（分别有医保图标、银行图标；尺寸60*40），参考如下图：</w:t>
      </w:r>
    </w:p>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20" w:firstLineChars="200"/>
        <w:jc w:val="both"/>
        <w:textAlignment w:val="auto"/>
        <w:rPr>
          <w:rFonts w:hint="eastAsia" w:eastAsia="宋体"/>
          <w:lang w:val="en-US" w:eastAsia="zh-CN"/>
        </w:rPr>
      </w:pPr>
      <w:r>
        <w:rPr>
          <w:rFonts w:hint="eastAsia" w:eastAsia="宋体"/>
          <w:lang w:val="en-US" w:eastAsia="zh-CN"/>
        </w:rPr>
        <w:drawing>
          <wp:inline distT="0" distB="0" distL="114300" distR="114300">
            <wp:extent cx="5613400" cy="3744595"/>
            <wp:effectExtent l="0" t="0" r="6350" b="8255"/>
            <wp:docPr id="1" name="图片 9" descr="微信图片_20230927113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9" descr="微信图片_20230927113733"/>
                    <pic:cNvPicPr>
                      <a:picLocks noChangeAspect="1"/>
                    </pic:cNvPicPr>
                  </pic:nvPicPr>
                  <pic:blipFill>
                    <a:blip r:embed="rId5"/>
                    <a:stretch>
                      <a:fillRect/>
                    </a:stretch>
                  </pic:blipFill>
                  <pic:spPr>
                    <a:xfrm>
                      <a:off x="0" y="0"/>
                      <a:ext cx="5613400" cy="3744595"/>
                    </a:xfrm>
                    <a:prstGeom prst="rect">
                      <a:avLst/>
                    </a:prstGeom>
                    <a:noFill/>
                    <a:ln>
                      <a:noFill/>
                    </a:ln>
                  </pic:spPr>
                </pic:pic>
              </a:graphicData>
            </a:graphic>
          </wp:inline>
        </w:drawing>
      </w:r>
    </w:p>
    <w:p>
      <w:pPr>
        <w:spacing w:before="8" w:line="240" w:lineRule="auto"/>
        <w:jc w:val="center"/>
        <w:rPr>
          <w:rFonts w:hint="default" w:eastAsia="宋体"/>
          <w:lang w:val="en-US" w:eastAsia="zh-CN"/>
        </w:rPr>
      </w:pPr>
      <w:r>
        <w:rPr>
          <w:rFonts w:hint="eastAsia" w:eastAsia="宋体"/>
          <w:lang w:val="en-US" w:eastAsia="zh-CN"/>
        </w:rPr>
        <w:t>医保悬挂标识设计参考图</w:t>
      </w:r>
    </w:p>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20" w:firstLineChars="200"/>
        <w:jc w:val="both"/>
        <w:textAlignment w:val="auto"/>
        <w:rPr>
          <w:rFonts w:hint="eastAsia" w:eastAsia="宋体"/>
          <w:lang w:val="en-US" w:eastAsia="zh-CN"/>
        </w:rPr>
      </w:pPr>
    </w:p>
    <w:p>
      <w:pPr>
        <w:pStyle w:val="5"/>
        <w:bidi w:val="0"/>
        <w:ind w:left="227" w:leftChars="0" w:hanging="227" w:firstLineChars="0"/>
        <w:rPr>
          <w:rFonts w:hint="eastAsia" w:ascii="方正楷体_GBK" w:hAnsi="方正楷体_GBK" w:eastAsia="方正楷体_GBK" w:cs="方正楷体_GBK"/>
          <w:sz w:val="32"/>
          <w:szCs w:val="32"/>
          <w:lang w:val="en-US" w:eastAsia="zh-Hans"/>
        </w:rPr>
      </w:pPr>
      <w:r>
        <w:rPr>
          <w:rFonts w:hint="eastAsia" w:ascii="方正楷体_GBK" w:hAnsi="方正楷体_GBK" w:eastAsia="方正楷体_GBK" w:cs="方正楷体_GBK"/>
          <w:sz w:val="32"/>
          <w:szCs w:val="32"/>
          <w:lang w:val="en-US" w:eastAsia="zh-CN"/>
        </w:rPr>
        <w:t>接入</w:t>
      </w:r>
      <w:r>
        <w:rPr>
          <w:rFonts w:hint="eastAsia" w:ascii="方正楷体_GBK" w:hAnsi="方正楷体_GBK" w:eastAsia="方正楷体_GBK" w:cs="方正楷体_GBK"/>
          <w:sz w:val="32"/>
          <w:szCs w:val="32"/>
          <w:lang w:val="en-US" w:eastAsia="zh-Hans"/>
        </w:rPr>
        <w:t>流程</w:t>
      </w:r>
    </w:p>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640" w:firstLineChars="200"/>
        <w:jc w:val="both"/>
        <w:textAlignment w:val="auto"/>
        <w:rPr>
          <w:rFonts w:hint="eastAsia"/>
          <w:lang w:val="en-US" w:eastAsia="zh-Hans"/>
        </w:rPr>
      </w:pPr>
      <w:r>
        <w:rPr>
          <w:rFonts w:hint="eastAsia" w:ascii="方正仿宋_GBK" w:hAnsi="方正仿宋_GBK" w:eastAsia="方正仿宋_GBK" w:cs="方正仿宋_GBK"/>
          <w:kern w:val="2"/>
          <w:sz w:val="32"/>
          <w:szCs w:val="32"/>
          <w:lang w:val="en-US" w:eastAsia="zh-CN"/>
        </w:rPr>
        <w:t>接入云南医保公共服务网上服务大厅，具备以上前置条件即可自行接入。</w:t>
      </w:r>
    </w:p>
    <w:p>
      <w:pPr>
        <w:rPr>
          <w:rFonts w:hint="eastAsia"/>
          <w:lang w:val="en-US" w:eastAsia="zh-Hans"/>
        </w:rPr>
      </w:pPr>
    </w:p>
    <w:p>
      <w:pPr>
        <w:pStyle w:val="4"/>
        <w:bidi w:val="0"/>
        <w:ind w:left="575" w:leftChars="0" w:hanging="575" w:firstLineChars="0"/>
        <w:rPr>
          <w:rFonts w:hint="eastAsia" w:ascii="方正楷体_GBK" w:hAnsi="方正楷体_GBK" w:eastAsia="方正楷体_GBK" w:cs="方正楷体_GBK"/>
          <w:sz w:val="32"/>
          <w:lang w:val="en-US" w:eastAsia="zh-Hans"/>
        </w:rPr>
      </w:pPr>
      <w:r>
        <w:rPr>
          <w:rFonts w:hint="eastAsia"/>
          <w:lang w:val="en-US" w:eastAsia="zh-Hans"/>
        </w:rPr>
        <w:t xml:space="preserve"> </w:t>
      </w:r>
      <w:r>
        <w:rPr>
          <w:rFonts w:hint="eastAsia" w:ascii="方正楷体_GBK" w:hAnsi="方正楷体_GBK" w:eastAsia="方正楷体_GBK" w:cs="方正楷体_GBK"/>
          <w:sz w:val="32"/>
          <w:lang w:val="en-US" w:eastAsia="zh-CN"/>
        </w:rPr>
        <w:t>基层网厅接入</w:t>
      </w:r>
    </w:p>
    <w:p>
      <w:pPr>
        <w:pStyle w:val="5"/>
        <w:bidi w:val="0"/>
        <w:ind w:left="227" w:leftChars="0" w:hanging="227" w:firstLineChars="0"/>
        <w:rPr>
          <w:rFonts w:hint="eastAsia" w:ascii="方正楷体_GBK" w:hAnsi="方正楷体_GBK" w:eastAsia="方正楷体_GBK" w:cs="方正楷体_GBK"/>
          <w:sz w:val="32"/>
          <w:szCs w:val="32"/>
          <w:lang w:val="en-US" w:eastAsia="zh-Hans"/>
        </w:rPr>
      </w:pPr>
      <w:r>
        <w:rPr>
          <w:rFonts w:hint="eastAsia" w:ascii="方正楷体_GBK" w:hAnsi="方正楷体_GBK" w:eastAsia="方正楷体_GBK" w:cs="方正楷体_GBK"/>
          <w:sz w:val="32"/>
          <w:szCs w:val="32"/>
          <w:lang w:val="en-US" w:eastAsia="zh-Hans"/>
        </w:rPr>
        <w:t>前置条件</w:t>
      </w:r>
    </w:p>
    <w:p>
      <w:pPr>
        <w:keepNext w:val="0"/>
        <w:keepLines w:val="0"/>
        <w:pageBreakBefore w:val="0"/>
        <w:widowControl w:val="0"/>
        <w:numPr>
          <w:ilvl w:val="0"/>
          <w:numId w:val="3"/>
        </w:numPr>
        <w:kinsoku/>
        <w:wordWrap/>
        <w:overflowPunct/>
        <w:topLinePunct w:val="0"/>
        <w:autoSpaceDE/>
        <w:autoSpaceDN/>
        <w:bidi w:val="0"/>
        <w:adjustRightInd/>
        <w:snapToGrid/>
        <w:spacing w:after="0" w:line="360" w:lineRule="auto"/>
        <w:ind w:firstLine="640" w:firstLineChars="200"/>
        <w:jc w:val="both"/>
        <w:textAlignment w:val="auto"/>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省行与省医保局签订框架协议；</w:t>
      </w:r>
    </w:p>
    <w:p>
      <w:pPr>
        <w:keepNext w:val="0"/>
        <w:keepLines w:val="0"/>
        <w:pageBreakBefore w:val="0"/>
        <w:widowControl w:val="0"/>
        <w:numPr>
          <w:ilvl w:val="0"/>
          <w:numId w:val="3"/>
        </w:numPr>
        <w:kinsoku/>
        <w:wordWrap/>
        <w:overflowPunct/>
        <w:topLinePunct w:val="0"/>
        <w:autoSpaceDE/>
        <w:autoSpaceDN/>
        <w:bidi w:val="0"/>
        <w:adjustRightInd/>
        <w:snapToGrid/>
        <w:spacing w:after="0" w:line="360" w:lineRule="auto"/>
        <w:ind w:firstLine="640" w:firstLineChars="200"/>
        <w:jc w:val="both"/>
        <w:textAlignment w:val="auto"/>
        <w:rPr>
          <w:rFonts w:hint="default" w:ascii="Times New Roman" w:hAnsi="Times New Roman" w:eastAsia="方正仿宋_GBK" w:cs="Times New Roman"/>
          <w:kern w:val="2"/>
          <w:sz w:val="32"/>
          <w:szCs w:val="32"/>
          <w:lang w:val="en-US" w:eastAsia="zh-Hans"/>
        </w:rPr>
      </w:pPr>
      <w:r>
        <w:rPr>
          <w:rFonts w:hint="default" w:ascii="Times New Roman" w:hAnsi="Times New Roman" w:eastAsia="方正仿宋_GBK" w:cs="Times New Roman"/>
          <w:kern w:val="2"/>
          <w:sz w:val="32"/>
          <w:szCs w:val="32"/>
          <w:lang w:val="en-US" w:eastAsia="zh-CN"/>
        </w:rPr>
        <w:t>具备网厅接入硬件条件（一台电脑）；</w:t>
      </w:r>
    </w:p>
    <w:p>
      <w:pPr>
        <w:keepNext w:val="0"/>
        <w:keepLines w:val="0"/>
        <w:pageBreakBefore w:val="0"/>
        <w:widowControl w:val="0"/>
        <w:numPr>
          <w:ilvl w:val="0"/>
          <w:numId w:val="3"/>
        </w:numPr>
        <w:kinsoku/>
        <w:wordWrap/>
        <w:overflowPunct/>
        <w:topLinePunct w:val="0"/>
        <w:autoSpaceDE/>
        <w:autoSpaceDN/>
        <w:bidi w:val="0"/>
        <w:adjustRightInd/>
        <w:snapToGrid/>
        <w:spacing w:after="0" w:line="360" w:lineRule="auto"/>
        <w:ind w:firstLine="640" w:firstLineChars="200"/>
        <w:jc w:val="both"/>
        <w:textAlignment w:val="auto"/>
        <w:rPr>
          <w:rFonts w:hint="default" w:ascii="Times New Roman" w:hAnsi="Times New Roman" w:eastAsia="方正仿宋_GBK" w:cs="Times New Roman"/>
          <w:kern w:val="2"/>
          <w:sz w:val="32"/>
          <w:szCs w:val="32"/>
          <w:lang w:val="en-US" w:eastAsia="zh-Hans"/>
        </w:rPr>
      </w:pPr>
      <w:r>
        <w:rPr>
          <w:rFonts w:hint="default" w:ascii="Times New Roman" w:hAnsi="Times New Roman" w:eastAsia="方正仿宋_GBK" w:cs="Times New Roman"/>
          <w:kern w:val="2"/>
          <w:sz w:val="32"/>
          <w:szCs w:val="32"/>
          <w:lang w:val="en-US" w:eastAsia="zh-CN"/>
        </w:rPr>
        <w:t>通过互联网访问基层网厅（https://ggfw.ynylbz.cn/manage）</w:t>
      </w:r>
      <w:r>
        <w:rPr>
          <w:rFonts w:hint="default" w:ascii="Times New Roman" w:hAnsi="Times New Roman" w:eastAsia="方正仿宋_GBK" w:cs="Times New Roman"/>
          <w:kern w:val="2"/>
          <w:sz w:val="32"/>
          <w:szCs w:val="32"/>
          <w:lang w:val="en-US" w:eastAsia="zh-Hans"/>
        </w:rPr>
        <w:t xml:space="preserve">； </w:t>
      </w:r>
    </w:p>
    <w:p>
      <w:pPr>
        <w:keepNext w:val="0"/>
        <w:keepLines w:val="0"/>
        <w:pageBreakBefore w:val="0"/>
        <w:widowControl w:val="0"/>
        <w:numPr>
          <w:ilvl w:val="0"/>
          <w:numId w:val="3"/>
        </w:numPr>
        <w:kinsoku/>
        <w:wordWrap/>
        <w:overflowPunct/>
        <w:topLinePunct w:val="0"/>
        <w:autoSpaceDE/>
        <w:autoSpaceDN/>
        <w:bidi w:val="0"/>
        <w:adjustRightInd/>
        <w:snapToGrid/>
        <w:spacing w:after="0" w:line="360" w:lineRule="auto"/>
        <w:ind w:firstLine="640" w:firstLineChars="200"/>
        <w:jc w:val="both"/>
        <w:textAlignment w:val="auto"/>
        <w:rPr>
          <w:rFonts w:hint="default" w:ascii="Times New Roman" w:hAnsi="Times New Roman" w:eastAsia="方正仿宋_GBK" w:cs="Times New Roman"/>
          <w:kern w:val="2"/>
          <w:sz w:val="32"/>
          <w:szCs w:val="32"/>
          <w:lang w:val="en-US" w:eastAsia="zh-Hans"/>
        </w:rPr>
      </w:pPr>
      <w:r>
        <w:rPr>
          <w:rFonts w:hint="default" w:ascii="Times New Roman" w:hAnsi="Times New Roman" w:eastAsia="方正仿宋_GBK" w:cs="Times New Roman"/>
          <w:kern w:val="2"/>
          <w:sz w:val="32"/>
          <w:szCs w:val="32"/>
          <w:lang w:val="en-US" w:eastAsia="zh-CN"/>
        </w:rPr>
        <w:t>在明显区域悬挂医保标识（分别有医保图标、银行图标；尺寸60*40），参考如下图：</w:t>
      </w:r>
    </w:p>
    <w:p>
      <w:pPr>
        <w:pStyle w:val="7"/>
        <w:rPr>
          <w:rFonts w:hint="eastAsia" w:ascii="宋体" w:hAnsi="宋体" w:eastAsia="宋体" w:cs="宋体"/>
          <w:kern w:val="2"/>
          <w:sz w:val="24"/>
          <w:szCs w:val="24"/>
          <w:lang w:val="en-US" w:eastAsia="zh-CN"/>
        </w:rPr>
      </w:pPr>
    </w:p>
    <w:p>
      <w:pPr>
        <w:rPr>
          <w:rFonts w:hint="eastAsia" w:ascii="宋体" w:hAnsi="宋体" w:eastAsia="宋体" w:cs="宋体"/>
          <w:kern w:val="2"/>
          <w:sz w:val="24"/>
          <w:szCs w:val="24"/>
          <w:lang w:val="en-US" w:eastAsia="zh-CN"/>
        </w:rPr>
      </w:pPr>
    </w:p>
    <w:p>
      <w:pPr>
        <w:pStyle w:val="7"/>
        <w:rPr>
          <w:rFonts w:hint="eastAsia" w:ascii="宋体" w:hAnsi="宋体" w:eastAsia="宋体" w:cs="宋体"/>
          <w:kern w:val="2"/>
          <w:sz w:val="24"/>
          <w:szCs w:val="24"/>
          <w:lang w:val="en-US" w:eastAsia="zh-CN"/>
        </w:rPr>
      </w:pPr>
    </w:p>
    <w:p>
      <w:pPr>
        <w:rPr>
          <w:rFonts w:hint="eastAsia" w:ascii="宋体" w:hAnsi="宋体" w:eastAsia="宋体" w:cs="宋体"/>
          <w:kern w:val="2"/>
          <w:sz w:val="24"/>
          <w:szCs w:val="24"/>
          <w:lang w:val="en-US" w:eastAsia="zh-CN"/>
        </w:rPr>
      </w:pPr>
    </w:p>
    <w:p>
      <w:pPr>
        <w:pStyle w:val="7"/>
        <w:rPr>
          <w:rFonts w:hint="eastAsia" w:ascii="宋体" w:hAnsi="宋体" w:eastAsia="宋体" w:cs="宋体"/>
          <w:kern w:val="2"/>
          <w:sz w:val="24"/>
          <w:szCs w:val="24"/>
          <w:lang w:val="en-US" w:eastAsia="zh-CN"/>
        </w:rPr>
      </w:pPr>
    </w:p>
    <w:p>
      <w:pPr>
        <w:rPr>
          <w:rFonts w:hint="eastAsia" w:ascii="宋体" w:hAnsi="宋体" w:eastAsia="宋体" w:cs="宋体"/>
          <w:kern w:val="2"/>
          <w:sz w:val="24"/>
          <w:szCs w:val="24"/>
          <w:lang w:val="en-US" w:eastAsia="zh-CN"/>
        </w:rPr>
      </w:pPr>
    </w:p>
    <w:p>
      <w:pPr>
        <w:pStyle w:val="7"/>
        <w:rPr>
          <w:rFonts w:hint="eastAsia" w:ascii="宋体" w:hAnsi="宋体" w:eastAsia="宋体" w:cs="宋体"/>
          <w:kern w:val="2"/>
          <w:sz w:val="24"/>
          <w:szCs w:val="24"/>
          <w:lang w:val="en-US" w:eastAsia="zh-CN"/>
        </w:rPr>
      </w:pPr>
    </w:p>
    <w:p>
      <w:pPr>
        <w:rPr>
          <w:rFonts w:hint="eastAsia"/>
          <w:lang w:val="en-US" w:eastAsia="zh-Hans"/>
        </w:rPr>
      </w:pPr>
    </w:p>
    <w:p>
      <w:pPr>
        <w:spacing w:before="8" w:line="240" w:lineRule="auto"/>
        <w:rPr>
          <w:rFonts w:hint="eastAsia" w:eastAsia="宋体"/>
          <w:lang w:val="en-US" w:eastAsia="zh-CN"/>
        </w:rPr>
      </w:pPr>
      <w:r>
        <w:rPr>
          <w:rFonts w:hint="eastAsia" w:eastAsia="宋体"/>
          <w:lang w:val="en-US" w:eastAsia="zh-CN"/>
        </w:rPr>
        <w:drawing>
          <wp:inline distT="0" distB="0" distL="114300" distR="114300">
            <wp:extent cx="5613400" cy="3744595"/>
            <wp:effectExtent l="0" t="0" r="6350" b="8255"/>
            <wp:docPr id="2" name="图片 7" descr="微信图片_20230927113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 descr="微信图片_20230927113733"/>
                    <pic:cNvPicPr>
                      <a:picLocks noChangeAspect="1"/>
                    </pic:cNvPicPr>
                  </pic:nvPicPr>
                  <pic:blipFill>
                    <a:blip r:embed="rId5"/>
                    <a:stretch>
                      <a:fillRect/>
                    </a:stretch>
                  </pic:blipFill>
                  <pic:spPr>
                    <a:xfrm>
                      <a:off x="0" y="0"/>
                      <a:ext cx="5613400" cy="3744595"/>
                    </a:xfrm>
                    <a:prstGeom prst="rect">
                      <a:avLst/>
                    </a:prstGeom>
                    <a:noFill/>
                    <a:ln>
                      <a:noFill/>
                    </a:ln>
                  </pic:spPr>
                </pic:pic>
              </a:graphicData>
            </a:graphic>
          </wp:inline>
        </w:drawing>
      </w:r>
    </w:p>
    <w:p>
      <w:pPr>
        <w:spacing w:before="8" w:line="240" w:lineRule="auto"/>
        <w:jc w:val="center"/>
        <w:rPr>
          <w:rFonts w:hint="default" w:eastAsia="宋体"/>
          <w:lang w:val="en-US" w:eastAsia="zh-CN"/>
        </w:rPr>
      </w:pPr>
      <w:r>
        <w:rPr>
          <w:rFonts w:hint="eastAsia" w:eastAsia="宋体"/>
          <w:lang w:val="en-US" w:eastAsia="zh-CN"/>
        </w:rPr>
        <w:t>医保悬挂标识设计参考图</w:t>
      </w:r>
    </w:p>
    <w:p>
      <w:pPr>
        <w:pStyle w:val="5"/>
        <w:bidi w:val="0"/>
        <w:ind w:left="227" w:leftChars="0" w:hanging="227" w:firstLineChars="0"/>
        <w:rPr>
          <w:rFonts w:hint="eastAsia" w:ascii="方正楷体_GBK" w:hAnsi="方正楷体_GBK" w:eastAsia="方正楷体_GBK" w:cs="方正楷体_GBK"/>
          <w:sz w:val="32"/>
          <w:szCs w:val="32"/>
          <w:lang w:val="en-US" w:eastAsia="zh-Hans"/>
        </w:rPr>
      </w:pPr>
      <w:r>
        <w:rPr>
          <w:rFonts w:hint="eastAsia" w:ascii="方正仿宋_GBK" w:hAnsi="方正仿宋_GBK" w:eastAsia="方正仿宋_GBK" w:cs="方正仿宋_GBK"/>
          <w:sz w:val="32"/>
          <w:szCs w:val="32"/>
          <w:lang w:val="en-US" w:eastAsia="zh-Hans"/>
        </w:rPr>
        <w:t xml:space="preserve"> </w:t>
      </w:r>
      <w:r>
        <w:rPr>
          <w:rFonts w:hint="eastAsia" w:ascii="方正楷体_GBK" w:hAnsi="方正楷体_GBK" w:eastAsia="方正楷体_GBK" w:cs="方正楷体_GBK"/>
          <w:sz w:val="32"/>
          <w:szCs w:val="32"/>
          <w:lang w:val="en-US" w:eastAsia="zh-CN"/>
        </w:rPr>
        <w:t>接入流程</w:t>
      </w:r>
    </w:p>
    <w:p>
      <w:pPr>
        <w:numPr>
          <w:ilvl w:val="0"/>
          <w:numId w:val="0"/>
        </w:numPr>
        <w:spacing w:line="600" w:lineRule="exact"/>
        <w:ind w:left="0" w:leftChars="0" w:firstLine="640" w:firstLineChars="200"/>
        <w:jc w:val="left"/>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eastAsia="zh-CN"/>
        </w:rPr>
        <w:t>a）</w:t>
      </w:r>
      <w:r>
        <w:rPr>
          <w:rFonts w:hint="default" w:ascii="Times New Roman" w:hAnsi="Times New Roman" w:eastAsia="方正仿宋_GBK" w:cs="Times New Roman"/>
          <w:kern w:val="2"/>
          <w:sz w:val="32"/>
          <w:szCs w:val="32"/>
          <w:lang w:val="en-US" w:eastAsia="zh-CN"/>
        </w:rPr>
        <w:t>账号申请，网点报备，填写《用户账号申请和变更表》，省行账号向省医保局申请，各州市分行账号向州市医保部门申请；</w:t>
      </w:r>
    </w:p>
    <w:p>
      <w:pPr>
        <w:numPr>
          <w:ilvl w:val="0"/>
          <w:numId w:val="0"/>
        </w:numPr>
        <w:spacing w:line="600" w:lineRule="exact"/>
        <w:ind w:left="0" w:leftChars="0" w:firstLine="640" w:firstLineChars="200"/>
        <w:jc w:val="left"/>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eastAsia="zh-CN"/>
        </w:rPr>
        <w:t>b）</w:t>
      </w:r>
      <w:r>
        <w:rPr>
          <w:rFonts w:hint="default" w:ascii="Times New Roman" w:hAnsi="Times New Roman" w:eastAsia="方正仿宋_GBK" w:cs="Times New Roman"/>
          <w:kern w:val="2"/>
          <w:sz w:val="32"/>
          <w:szCs w:val="32"/>
          <w:lang w:val="en-US" w:eastAsia="zh-CN"/>
        </w:rPr>
        <w:t>医保后台授权基层账号；</w:t>
      </w:r>
    </w:p>
    <w:p>
      <w:pPr>
        <w:numPr>
          <w:ilvl w:val="0"/>
          <w:numId w:val="0"/>
        </w:numPr>
        <w:spacing w:line="600" w:lineRule="exact"/>
        <w:ind w:left="0" w:leftChars="0" w:firstLine="640" w:firstLineChars="200"/>
        <w:jc w:val="left"/>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eastAsia="zh-CN"/>
        </w:rPr>
        <w:t>c）</w:t>
      </w:r>
      <w:r>
        <w:rPr>
          <w:rFonts w:hint="default" w:ascii="Times New Roman" w:hAnsi="Times New Roman" w:eastAsia="方正仿宋_GBK" w:cs="Times New Roman"/>
          <w:kern w:val="2"/>
          <w:sz w:val="32"/>
          <w:szCs w:val="32"/>
          <w:lang w:val="en-US" w:eastAsia="zh-CN"/>
        </w:rPr>
        <w:t>授权基层账号后，由各级医保部门发放基层账号；</w:t>
      </w:r>
    </w:p>
    <w:p>
      <w:pPr>
        <w:numPr>
          <w:ilvl w:val="0"/>
          <w:numId w:val="0"/>
        </w:numPr>
        <w:spacing w:line="600" w:lineRule="exact"/>
        <w:ind w:left="0" w:leftChars="0" w:firstLine="640" w:firstLineChars="200"/>
        <w:jc w:val="left"/>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eastAsia="zh-CN"/>
        </w:rPr>
        <w:t>d）</w:t>
      </w:r>
      <w:r>
        <w:rPr>
          <w:rFonts w:hint="default" w:ascii="Times New Roman" w:hAnsi="Times New Roman" w:eastAsia="方正仿宋_GBK" w:cs="Times New Roman"/>
          <w:kern w:val="2"/>
          <w:sz w:val="32"/>
          <w:szCs w:val="32"/>
          <w:lang w:val="en-US" w:eastAsia="zh-CN"/>
        </w:rPr>
        <w:t>银行网点登录基层网厅办理医保业务，基层账号授权到银行网点，使用人由行内自行评估决定。</w:t>
      </w:r>
    </w:p>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jc w:val="both"/>
        <w:textAlignment w:val="auto"/>
        <w:rPr>
          <w:rFonts w:hint="eastAsia" w:ascii="宋体" w:hAnsi="宋体" w:eastAsia="宋体" w:cs="宋体"/>
          <w:kern w:val="2"/>
          <w:sz w:val="24"/>
          <w:szCs w:val="24"/>
          <w:lang w:val="en-US" w:eastAsia="zh-CN"/>
        </w:rPr>
      </w:pPr>
    </w:p>
    <w:p>
      <w:pPr>
        <w:widowControl w:val="0"/>
        <w:numPr>
          <w:ilvl w:val="0"/>
          <w:numId w:val="0"/>
        </w:numPr>
        <w:spacing w:before="8" w:after="0" w:line="240" w:lineRule="auto"/>
        <w:rPr>
          <w:rFonts w:hint="default" w:eastAsia="宋体"/>
          <w:lang w:val="en-US" w:eastAsia="zh-CN"/>
        </w:rPr>
      </w:pPr>
    </w:p>
    <w:p>
      <w:pPr>
        <w:widowControl w:val="0"/>
        <w:numPr>
          <w:ilvl w:val="0"/>
          <w:numId w:val="0"/>
        </w:numPr>
        <w:spacing w:before="8" w:after="0" w:line="240" w:lineRule="auto"/>
        <w:rPr>
          <w:rFonts w:hint="default" w:eastAsia="宋体"/>
          <w:lang w:val="en-US" w:eastAsia="zh-CN"/>
        </w:rPr>
      </w:pPr>
    </w:p>
    <w:p>
      <w:pPr>
        <w:rPr>
          <w:rFonts w:hint="default" w:eastAsia="宋体"/>
          <w:lang w:val="en-US" w:eastAsia="zh-CN"/>
        </w:rPr>
      </w:pPr>
      <w:r>
        <w:rPr>
          <w:rFonts w:hint="default" w:eastAsia="宋体"/>
          <w:lang w:val="en-US" w:eastAsia="zh-CN"/>
        </w:rPr>
        <w:br w:type="page"/>
      </w:r>
    </w:p>
    <w:p>
      <w:pPr>
        <w:widowControl w:val="0"/>
        <w:numPr>
          <w:ilvl w:val="0"/>
          <w:numId w:val="0"/>
        </w:numPr>
        <w:spacing w:before="8" w:after="0" w:line="240" w:lineRule="auto"/>
        <w:rPr>
          <w:rFonts w:hint="default" w:eastAsia="宋体"/>
          <w:lang w:val="en-US" w:eastAsia="zh-CN"/>
        </w:rPr>
      </w:pPr>
    </w:p>
    <w:p>
      <w:pPr>
        <w:pStyle w:val="3"/>
        <w:bidi w:val="0"/>
        <w:ind w:left="432" w:leftChars="0" w:hanging="432" w:firstLineChars="0"/>
        <w:rPr>
          <w:rFonts w:hint="eastAsia" w:ascii="方正黑体_GBK" w:hAnsi="方正黑体_GBK" w:eastAsia="方正黑体_GBK" w:cs="方正黑体_GBK"/>
          <w:lang w:val="en-US" w:eastAsia="zh-Hans"/>
        </w:rPr>
      </w:pPr>
      <w:bookmarkStart w:id="6" w:name="第4章 接入流程"/>
      <w:bookmarkEnd w:id="6"/>
      <w:r>
        <w:rPr>
          <w:rFonts w:hint="eastAsia"/>
          <w:lang w:val="en-US" w:eastAsia="zh-CN"/>
        </w:rPr>
        <w:t xml:space="preserve"> </w:t>
      </w:r>
      <w:r>
        <w:rPr>
          <w:rFonts w:hint="eastAsia" w:ascii="方正黑体_GBK" w:hAnsi="方正黑体_GBK" w:eastAsia="方正黑体_GBK" w:cs="方正黑体_GBK"/>
          <w:lang w:val="en-US" w:eastAsia="zh-CN"/>
        </w:rPr>
        <w:t>线上自助机、APP</w:t>
      </w:r>
      <w:r>
        <w:rPr>
          <w:rFonts w:hint="eastAsia" w:ascii="方正黑体_GBK" w:hAnsi="方正黑体_GBK" w:eastAsia="方正黑体_GBK" w:cs="方正黑体_GBK"/>
          <w:lang w:val="en-US" w:eastAsia="zh-Hans"/>
        </w:rPr>
        <w:t>接入流程</w:t>
      </w:r>
    </w:p>
    <w:p>
      <w:pPr>
        <w:pStyle w:val="4"/>
        <w:bidi w:val="0"/>
        <w:ind w:left="575" w:leftChars="0" w:hanging="575" w:firstLineChars="0"/>
        <w:rPr>
          <w:rFonts w:hint="default" w:ascii="Times New Roman" w:hAnsi="Times New Roman" w:eastAsia="方正楷体_GBK"/>
          <w:sz w:val="32"/>
          <w:lang w:val="en-US" w:eastAsia="zh-Hans"/>
        </w:rPr>
      </w:pPr>
      <w:bookmarkStart w:id="7" w:name="4.1 前置条件"/>
      <w:bookmarkEnd w:id="7"/>
      <w:r>
        <w:rPr>
          <w:rFonts w:hint="eastAsia"/>
          <w:lang w:val="en-US" w:eastAsia="zh-Hans"/>
        </w:rPr>
        <w:t xml:space="preserve"> </w:t>
      </w:r>
      <w:r>
        <w:rPr>
          <w:rFonts w:hint="default" w:ascii="Times New Roman" w:hAnsi="Times New Roman" w:eastAsia="方正楷体_GBK"/>
          <w:sz w:val="32"/>
          <w:lang w:val="en-US" w:eastAsia="zh-Hans"/>
        </w:rPr>
        <w:t>前置条件</w:t>
      </w:r>
    </w:p>
    <w:p>
      <w:pPr>
        <w:pStyle w:val="6"/>
        <w:numPr>
          <w:ilvl w:val="0"/>
          <w:numId w:val="0"/>
        </w:numPr>
        <w:bidi w:val="0"/>
        <w:ind w:left="0" w:leftChars="0" w:firstLine="0" w:firstLineChars="0"/>
        <w:rPr>
          <w:rFonts w:hint="default" w:ascii="Times New Roman" w:hAnsi="Times New Roman" w:eastAsia="方正楷体_GBK"/>
          <w:sz w:val="32"/>
          <w:szCs w:val="32"/>
          <w:lang w:val="en-US" w:eastAsia="zh-Hans"/>
        </w:rPr>
      </w:pPr>
      <w:r>
        <w:rPr>
          <w:rFonts w:hint="default" w:ascii="Times New Roman" w:hAnsi="Times New Roman" w:eastAsia="方正楷体_GBK"/>
          <w:sz w:val="32"/>
          <w:szCs w:val="32"/>
          <w:lang w:eastAsia="zh-CN"/>
        </w:rPr>
        <w:t>4.1.1</w:t>
      </w:r>
      <w:r>
        <w:rPr>
          <w:rFonts w:hint="default" w:ascii="Times New Roman" w:hAnsi="Times New Roman" w:eastAsia="方正楷体_GBK"/>
          <w:sz w:val="32"/>
          <w:szCs w:val="32"/>
          <w:lang w:val="en-US" w:eastAsia="zh-CN"/>
        </w:rPr>
        <w:t>医保局</w:t>
      </w:r>
    </w:p>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640" w:firstLineChars="200"/>
        <w:jc w:val="both"/>
        <w:textAlignment w:val="auto"/>
        <w:rPr>
          <w:rFonts w:hint="default" w:ascii="Times New Roman" w:hAnsi="Times New Roman" w:eastAsia="方正仿宋_GBK" w:cs="Times New Roman"/>
          <w:kern w:val="2"/>
          <w:sz w:val="32"/>
          <w:szCs w:val="32"/>
          <w:lang w:val="en-US" w:eastAsia="zh-Hans"/>
        </w:rPr>
      </w:pPr>
      <w:r>
        <w:rPr>
          <w:rFonts w:hint="default" w:ascii="Times New Roman" w:hAnsi="Times New Roman" w:eastAsia="方正仿宋_GBK" w:cs="Times New Roman"/>
          <w:kern w:val="2"/>
          <w:sz w:val="32"/>
          <w:szCs w:val="32"/>
          <w:lang w:val="en-US" w:eastAsia="zh-Hans"/>
        </w:rPr>
        <w:t xml:space="preserve">a) </w:t>
      </w:r>
      <w:r>
        <w:rPr>
          <w:rFonts w:hint="default" w:ascii="Times New Roman" w:hAnsi="Times New Roman" w:eastAsia="方正仿宋_GBK" w:cs="Times New Roman"/>
          <w:kern w:val="2"/>
          <w:sz w:val="32"/>
          <w:szCs w:val="32"/>
          <w:lang w:val="en-US" w:eastAsia="zh-CN"/>
        </w:rPr>
        <w:t>确定第三方接入渠道</w:t>
      </w:r>
      <w:r>
        <w:rPr>
          <w:rFonts w:hint="default" w:ascii="Times New Roman" w:hAnsi="Times New Roman" w:eastAsia="方正仿宋_GBK" w:cs="Times New Roman"/>
          <w:kern w:val="2"/>
          <w:sz w:val="32"/>
          <w:szCs w:val="32"/>
          <w:lang w:val="en-US" w:eastAsia="zh-Hans"/>
        </w:rPr>
        <w:t>；</w:t>
      </w:r>
    </w:p>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640" w:firstLineChars="200"/>
        <w:jc w:val="both"/>
        <w:textAlignment w:val="auto"/>
        <w:rPr>
          <w:rFonts w:hint="default" w:ascii="Times New Roman" w:hAnsi="Times New Roman" w:eastAsia="方正仿宋_GBK" w:cs="Times New Roman"/>
          <w:kern w:val="2"/>
          <w:sz w:val="32"/>
          <w:szCs w:val="32"/>
          <w:lang w:val="en-US" w:eastAsia="zh-Hans"/>
        </w:rPr>
      </w:pPr>
      <w:r>
        <w:rPr>
          <w:rFonts w:hint="default" w:ascii="Times New Roman" w:hAnsi="Times New Roman" w:eastAsia="方正仿宋_GBK" w:cs="Times New Roman"/>
          <w:kern w:val="2"/>
          <w:sz w:val="32"/>
          <w:szCs w:val="32"/>
          <w:lang w:val="en-US" w:eastAsia="zh-Hans"/>
        </w:rPr>
        <w:t xml:space="preserve">b) </w:t>
      </w:r>
      <w:r>
        <w:rPr>
          <w:rFonts w:hint="default" w:ascii="Times New Roman" w:hAnsi="Times New Roman" w:eastAsia="方正仿宋_GBK" w:cs="Times New Roman"/>
          <w:kern w:val="2"/>
          <w:sz w:val="32"/>
          <w:szCs w:val="32"/>
          <w:lang w:val="en-US" w:eastAsia="zh-CN"/>
        </w:rPr>
        <w:t>确定第三方渠道接入的功能清单</w:t>
      </w:r>
      <w:r>
        <w:rPr>
          <w:rFonts w:hint="default" w:ascii="Times New Roman" w:hAnsi="Times New Roman" w:eastAsia="方正仿宋_GBK" w:cs="Times New Roman"/>
          <w:kern w:val="2"/>
          <w:sz w:val="32"/>
          <w:szCs w:val="32"/>
          <w:lang w:val="en-US" w:eastAsia="zh-Hans"/>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kern w:val="2"/>
          <w:sz w:val="32"/>
          <w:szCs w:val="32"/>
          <w:lang w:val="en-US" w:eastAsia="zh-Hans"/>
        </w:rPr>
        <w:t xml:space="preserve">c) </w:t>
      </w:r>
      <w:r>
        <w:rPr>
          <w:rFonts w:hint="default" w:ascii="Times New Roman" w:hAnsi="Times New Roman" w:eastAsia="方正仿宋_GBK" w:cs="Times New Roman"/>
          <w:kern w:val="2"/>
          <w:sz w:val="32"/>
          <w:szCs w:val="32"/>
          <w:lang w:val="en-US" w:eastAsia="zh-CN"/>
        </w:rPr>
        <w:t>与第三方渠道签订框架协议。</w:t>
      </w:r>
    </w:p>
    <w:p>
      <w:pPr>
        <w:pStyle w:val="6"/>
        <w:numPr>
          <w:ilvl w:val="0"/>
          <w:numId w:val="0"/>
        </w:numPr>
        <w:bidi w:val="0"/>
        <w:ind w:left="0" w:leftChars="0" w:firstLine="0" w:firstLineChars="0"/>
        <w:rPr>
          <w:rFonts w:hint="eastAsia" w:ascii="方正楷体_GBK" w:hAnsi="方正楷体_GBK" w:eastAsia="方正楷体_GBK" w:cs="方正楷体_GBK"/>
          <w:sz w:val="32"/>
          <w:szCs w:val="32"/>
          <w:lang w:val="en-US" w:eastAsia="zh-CN"/>
        </w:rPr>
      </w:pPr>
      <w:bookmarkStart w:id="8" w:name="4.1.1 地方医保局："/>
      <w:bookmarkEnd w:id="8"/>
      <w:r>
        <w:rPr>
          <w:rFonts w:hint="default" w:ascii="Times New Roman" w:hAnsi="Times New Roman"/>
          <w:sz w:val="32"/>
          <w:szCs w:val="32"/>
          <w:lang w:eastAsia="zh-CN"/>
        </w:rPr>
        <w:t>4.1.2</w:t>
      </w:r>
      <w:r>
        <w:rPr>
          <w:rFonts w:hint="eastAsia" w:ascii="方正楷体_GBK" w:hAnsi="方正楷体_GBK" w:eastAsia="方正楷体_GBK" w:cs="方正楷体_GBK"/>
          <w:sz w:val="32"/>
          <w:szCs w:val="32"/>
          <w:lang w:val="en-US" w:eastAsia="zh-CN"/>
        </w:rPr>
        <w:t>公共服务子系统</w:t>
      </w:r>
    </w:p>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640" w:firstLineChars="200"/>
        <w:jc w:val="both"/>
        <w:textAlignment w:val="auto"/>
        <w:rPr>
          <w:rFonts w:hint="default" w:ascii="Times New Roman" w:hAnsi="Times New Roman" w:eastAsia="方正仿宋_GBK" w:cs="Times New Roman"/>
          <w:kern w:val="2"/>
          <w:sz w:val="32"/>
          <w:szCs w:val="32"/>
          <w:lang w:val="en-US" w:eastAsia="zh-Hans"/>
        </w:rPr>
      </w:pPr>
      <w:r>
        <w:rPr>
          <w:rFonts w:hint="default" w:ascii="Times New Roman" w:hAnsi="Times New Roman" w:eastAsia="方正仿宋_GBK" w:cs="Times New Roman"/>
          <w:kern w:val="2"/>
          <w:sz w:val="32"/>
          <w:szCs w:val="32"/>
          <w:lang w:val="en-US" w:eastAsia="zh-Hans"/>
        </w:rPr>
        <w:t xml:space="preserve">a) </w:t>
      </w:r>
      <w:r>
        <w:rPr>
          <w:rFonts w:hint="default" w:ascii="Times New Roman" w:hAnsi="Times New Roman" w:eastAsia="方正仿宋_GBK" w:cs="Times New Roman"/>
          <w:kern w:val="2"/>
          <w:sz w:val="32"/>
          <w:szCs w:val="32"/>
          <w:lang w:val="en-US" w:eastAsia="zh-CN"/>
        </w:rPr>
        <w:t>已经部署公共服务综合终端管理平台</w:t>
      </w:r>
      <w:r>
        <w:rPr>
          <w:rFonts w:hint="default" w:ascii="Times New Roman" w:hAnsi="Times New Roman" w:eastAsia="方正仿宋_GBK" w:cs="Times New Roman"/>
          <w:kern w:val="2"/>
          <w:sz w:val="32"/>
          <w:szCs w:val="32"/>
          <w:lang w:val="en-US" w:eastAsia="zh-Hans"/>
        </w:rPr>
        <w:t>；</w:t>
      </w:r>
    </w:p>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640" w:firstLineChars="200"/>
        <w:jc w:val="both"/>
        <w:textAlignment w:val="auto"/>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Hans"/>
        </w:rPr>
        <w:t xml:space="preserve">b) </w:t>
      </w:r>
      <w:r>
        <w:rPr>
          <w:rFonts w:hint="default" w:ascii="Times New Roman" w:hAnsi="Times New Roman" w:eastAsia="方正仿宋_GBK" w:cs="Times New Roman"/>
          <w:kern w:val="2"/>
          <w:sz w:val="32"/>
          <w:szCs w:val="32"/>
          <w:lang w:val="en-US" w:eastAsia="zh-CN"/>
        </w:rPr>
        <w:t>已经完成接口开发和接口规范文档编制。</w:t>
      </w:r>
    </w:p>
    <w:p>
      <w:pPr>
        <w:pStyle w:val="6"/>
        <w:numPr>
          <w:ilvl w:val="0"/>
          <w:numId w:val="0"/>
        </w:numPr>
        <w:bidi w:val="0"/>
        <w:ind w:left="0" w:leftChars="0" w:firstLine="0" w:firstLineChars="0"/>
        <w:rPr>
          <w:rFonts w:hint="eastAsia" w:ascii="方正楷体_GBK" w:hAnsi="方正楷体_GBK" w:eastAsia="方正楷体_GBK" w:cs="方正楷体_GBK"/>
          <w:sz w:val="32"/>
          <w:szCs w:val="32"/>
          <w:lang w:val="en-US" w:eastAsia="zh-CN"/>
        </w:rPr>
      </w:pPr>
      <w:bookmarkStart w:id="9" w:name="4.1.2 银行金融机构："/>
      <w:bookmarkEnd w:id="9"/>
      <w:r>
        <w:rPr>
          <w:rFonts w:hint="default" w:ascii="Times New Roman" w:hAnsi="Times New Roman"/>
          <w:sz w:val="32"/>
          <w:szCs w:val="32"/>
          <w:lang w:eastAsia="zh-CN"/>
        </w:rPr>
        <w:t>4.1.3</w:t>
      </w:r>
      <w:r>
        <w:rPr>
          <w:rFonts w:hint="eastAsia" w:ascii="方正楷体_GBK" w:hAnsi="方正楷体_GBK" w:eastAsia="方正楷体_GBK" w:cs="方正楷体_GBK"/>
          <w:sz w:val="32"/>
          <w:szCs w:val="32"/>
          <w:lang w:val="en-US" w:eastAsia="zh-CN"/>
        </w:rPr>
        <w:t>第三方接入渠道</w:t>
      </w:r>
      <w:bookmarkStart w:id="10" w:name="4.1.3 第三方支付渠道："/>
      <w:bookmarkEnd w:id="10"/>
    </w:p>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640" w:firstLineChars="200"/>
        <w:jc w:val="both"/>
        <w:textAlignment w:val="auto"/>
        <w:rPr>
          <w:rFonts w:hint="default" w:ascii="Times New Roman" w:hAnsi="Times New Roman" w:eastAsia="方正仿宋_GBK" w:cs="Times New Roman"/>
          <w:kern w:val="2"/>
          <w:sz w:val="32"/>
          <w:szCs w:val="32"/>
          <w:lang w:val="en-US" w:eastAsia="zh-Hans"/>
        </w:rPr>
      </w:pPr>
      <w:r>
        <w:rPr>
          <w:rFonts w:hint="default" w:ascii="Times New Roman" w:hAnsi="Times New Roman" w:eastAsia="方正仿宋_GBK" w:cs="Times New Roman"/>
          <w:kern w:val="2"/>
          <w:sz w:val="32"/>
          <w:szCs w:val="32"/>
          <w:lang w:val="en-US" w:eastAsia="zh-Hans"/>
        </w:rPr>
        <w:t xml:space="preserve">a) </w:t>
      </w:r>
      <w:r>
        <w:rPr>
          <w:rFonts w:hint="default" w:ascii="Times New Roman" w:hAnsi="Times New Roman" w:eastAsia="方正仿宋_GBK" w:cs="Times New Roman"/>
          <w:kern w:val="2"/>
          <w:sz w:val="32"/>
          <w:szCs w:val="32"/>
          <w:lang w:val="en-US" w:eastAsia="zh-CN"/>
        </w:rPr>
        <w:t>省行</w:t>
      </w:r>
      <w:r>
        <w:rPr>
          <w:rFonts w:hint="default" w:ascii="Times New Roman" w:hAnsi="Times New Roman" w:eastAsia="方正仿宋_GBK" w:cs="Times New Roman"/>
          <w:kern w:val="2"/>
          <w:sz w:val="32"/>
          <w:szCs w:val="32"/>
          <w:lang w:val="en-US" w:eastAsia="zh-Hans"/>
        </w:rPr>
        <w:t>与</w:t>
      </w:r>
      <w:r>
        <w:rPr>
          <w:rFonts w:hint="default" w:ascii="Times New Roman" w:hAnsi="Times New Roman" w:eastAsia="方正仿宋_GBK" w:cs="Times New Roman"/>
          <w:kern w:val="2"/>
          <w:sz w:val="32"/>
          <w:szCs w:val="32"/>
          <w:lang w:val="en-US" w:eastAsia="zh-CN"/>
        </w:rPr>
        <w:t>省</w:t>
      </w:r>
      <w:r>
        <w:rPr>
          <w:rFonts w:hint="default" w:ascii="Times New Roman" w:hAnsi="Times New Roman" w:eastAsia="方正仿宋_GBK" w:cs="Times New Roman"/>
          <w:kern w:val="2"/>
          <w:sz w:val="32"/>
          <w:szCs w:val="32"/>
          <w:lang w:val="en-US" w:eastAsia="zh-Hans"/>
        </w:rPr>
        <w:t>医保局签订</w:t>
      </w:r>
      <w:r>
        <w:rPr>
          <w:rFonts w:hint="default" w:ascii="Times New Roman" w:hAnsi="Times New Roman" w:eastAsia="方正仿宋_GBK" w:cs="Times New Roman"/>
          <w:kern w:val="2"/>
          <w:sz w:val="32"/>
          <w:szCs w:val="32"/>
          <w:lang w:val="en-US" w:eastAsia="zh-CN"/>
        </w:rPr>
        <w:t>框架</w:t>
      </w:r>
      <w:r>
        <w:rPr>
          <w:rFonts w:hint="default" w:ascii="Times New Roman" w:hAnsi="Times New Roman" w:eastAsia="方正仿宋_GBK" w:cs="Times New Roman"/>
          <w:kern w:val="2"/>
          <w:sz w:val="32"/>
          <w:szCs w:val="32"/>
          <w:lang w:val="en-US" w:eastAsia="zh-Hans"/>
        </w:rPr>
        <w:t>协议；</w:t>
      </w:r>
    </w:p>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640" w:firstLineChars="200"/>
        <w:jc w:val="both"/>
        <w:textAlignment w:val="auto"/>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b</w:t>
      </w:r>
      <w:r>
        <w:rPr>
          <w:rFonts w:hint="default" w:ascii="Times New Roman" w:hAnsi="Times New Roman" w:eastAsia="方正仿宋_GBK" w:cs="Times New Roman"/>
          <w:kern w:val="2"/>
          <w:sz w:val="32"/>
          <w:szCs w:val="32"/>
          <w:lang w:val="en-US" w:eastAsia="zh-Hans"/>
        </w:rPr>
        <w:t xml:space="preserve">) </w:t>
      </w:r>
      <w:r>
        <w:rPr>
          <w:rFonts w:hint="default" w:ascii="Times New Roman" w:hAnsi="Times New Roman" w:eastAsia="方正仿宋_GBK" w:cs="Times New Roman"/>
          <w:kern w:val="2"/>
          <w:sz w:val="32"/>
          <w:szCs w:val="32"/>
          <w:lang w:val="en-US" w:eastAsia="zh-CN"/>
        </w:rPr>
        <w:t>省行专</w:t>
      </w:r>
      <w:r>
        <w:rPr>
          <w:rFonts w:hint="default" w:ascii="Times New Roman" w:hAnsi="Times New Roman" w:eastAsia="方正仿宋_GBK" w:cs="Times New Roman"/>
          <w:kern w:val="2"/>
          <w:sz w:val="32"/>
          <w:szCs w:val="32"/>
          <w:lang w:val="en-US" w:eastAsia="zh-Hans"/>
        </w:rPr>
        <w:t>线接入</w:t>
      </w:r>
      <w:r>
        <w:rPr>
          <w:rFonts w:hint="default" w:ascii="Times New Roman" w:hAnsi="Times New Roman" w:eastAsia="方正仿宋_GBK" w:cs="Times New Roman"/>
          <w:kern w:val="2"/>
          <w:sz w:val="32"/>
          <w:szCs w:val="32"/>
          <w:lang w:val="en-US" w:eastAsia="zh-CN"/>
        </w:rPr>
        <w:t>省</w:t>
      </w:r>
      <w:r>
        <w:rPr>
          <w:rFonts w:hint="default" w:ascii="Times New Roman" w:hAnsi="Times New Roman" w:eastAsia="方正仿宋_GBK" w:cs="Times New Roman"/>
          <w:kern w:val="2"/>
          <w:sz w:val="32"/>
          <w:szCs w:val="32"/>
          <w:lang w:val="en-US" w:eastAsia="zh-Hans"/>
        </w:rPr>
        <w:t>医保局</w:t>
      </w:r>
      <w:r>
        <w:rPr>
          <w:rFonts w:hint="default" w:ascii="Times New Roman" w:hAnsi="Times New Roman" w:eastAsia="方正仿宋_GBK" w:cs="Times New Roman"/>
          <w:kern w:val="2"/>
          <w:sz w:val="32"/>
          <w:szCs w:val="32"/>
          <w:lang w:val="en-US" w:eastAsia="zh-CN"/>
        </w:rPr>
        <w:t>，并</w:t>
      </w:r>
      <w:r>
        <w:rPr>
          <w:rFonts w:hint="default" w:ascii="Times New Roman" w:hAnsi="Times New Roman" w:eastAsia="方正仿宋_GBK" w:cs="Times New Roman"/>
          <w:kern w:val="2"/>
          <w:sz w:val="32"/>
          <w:szCs w:val="32"/>
          <w:lang w:val="en-US" w:eastAsia="zh-Hans"/>
        </w:rPr>
        <w:t>实现双向互通</w:t>
      </w:r>
      <w:r>
        <w:rPr>
          <w:rFonts w:hint="default" w:ascii="Times New Roman" w:hAnsi="Times New Roman" w:eastAsia="方正仿宋_GBK" w:cs="Times New Roman"/>
          <w:kern w:val="2"/>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640" w:firstLineChars="200"/>
        <w:jc w:val="both"/>
        <w:textAlignment w:val="auto"/>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c) 准备好接入的测试设备（如：智慧终端）。</w:t>
      </w:r>
    </w:p>
    <w:p>
      <w:pPr>
        <w:pStyle w:val="8"/>
        <w:spacing w:before="115" w:line="273" w:lineRule="auto"/>
        <w:ind w:right="2808"/>
        <w:jc w:val="left"/>
        <w:rPr>
          <w:rFonts w:hint="eastAsia" w:ascii="宋体" w:hAnsi="宋体" w:eastAsia="宋体" w:cs="宋体"/>
        </w:rPr>
      </w:pPr>
      <w:bookmarkStart w:id="11" w:name="4.1.4 定点机构："/>
      <w:bookmarkEnd w:id="11"/>
      <w:r>
        <w:rPr>
          <w:rFonts w:hint="eastAsia" w:ascii="宋体" w:hAnsi="宋体" w:eastAsia="宋体" w:cs="宋体"/>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rPr>
        <w:sectPr>
          <w:pgSz w:w="11910" w:h="16840"/>
          <w:pgMar w:top="1984" w:right="1531" w:bottom="1417" w:left="1531" w:header="720" w:footer="720" w:gutter="0"/>
          <w:pgBorders>
            <w:top w:val="none" w:sz="0" w:space="0"/>
            <w:left w:val="none" w:sz="0" w:space="0"/>
            <w:bottom w:val="none" w:sz="0" w:space="0"/>
            <w:right w:val="none" w:sz="0" w:space="0"/>
          </w:pgBorders>
          <w:pgNumType w:fmt="decimal"/>
          <w:cols w:space="720" w:num="1"/>
        </w:sectPr>
      </w:pPr>
    </w:p>
    <w:p>
      <w:pPr>
        <w:pStyle w:val="4"/>
        <w:bidi w:val="0"/>
        <w:ind w:left="575" w:leftChars="0" w:hanging="575" w:firstLineChars="0"/>
        <w:rPr>
          <w:rFonts w:hint="default" w:ascii="Times New Roman" w:hAnsi="Times New Roman" w:eastAsia="方正楷体_GBK"/>
          <w:sz w:val="32"/>
          <w:lang w:val="en-US" w:eastAsia="zh-Hans"/>
        </w:rPr>
      </w:pPr>
      <w:bookmarkStart w:id="12" w:name="4.2 接入流程"/>
      <w:bookmarkEnd w:id="12"/>
      <w:r>
        <w:rPr>
          <w:rFonts w:hint="default" w:ascii="Times New Roman" w:hAnsi="Times New Roman" w:eastAsia="方正楷体_GBK"/>
          <w:sz w:val="32"/>
          <w:lang w:val="en-US" w:eastAsia="zh-Hans"/>
        </w:rPr>
        <w:t xml:space="preserve"> </w:t>
      </w:r>
      <w:r>
        <w:rPr>
          <w:rFonts w:hint="default" w:ascii="Times New Roman" w:hAnsi="Times New Roman" w:eastAsia="方正楷体_GBK"/>
          <w:sz w:val="32"/>
          <w:lang w:val="en-US" w:eastAsia="zh-CN"/>
        </w:rPr>
        <w:t>接入流程</w:t>
      </w:r>
    </w:p>
    <w:p>
      <w:pPr>
        <w:pStyle w:val="5"/>
        <w:bidi w:val="0"/>
        <w:ind w:left="227" w:leftChars="0" w:hanging="227" w:firstLineChars="0"/>
        <w:rPr>
          <w:rFonts w:hint="default" w:ascii="Times New Roman" w:hAnsi="Times New Roman" w:eastAsia="方正楷体_GBK" w:cs="Times New Roman"/>
          <w:sz w:val="32"/>
          <w:szCs w:val="32"/>
          <w:lang w:eastAsia="zh-CN"/>
        </w:rPr>
      </w:pPr>
      <w:bookmarkStart w:id="13" w:name="4.2.1 医保移动支付中心接入流程图"/>
      <w:bookmarkEnd w:id="13"/>
      <w:r>
        <w:rPr>
          <w:rFonts w:hint="default" w:ascii="Times New Roman" w:hAnsi="Times New Roman" w:eastAsia="方正楷体_GBK"/>
          <w:sz w:val="32"/>
          <w:szCs w:val="32"/>
          <w:lang w:val="en-US" w:eastAsia="zh-CN"/>
        </w:rPr>
        <w:t>第三方渠道</w:t>
      </w:r>
      <w:r>
        <w:rPr>
          <w:rFonts w:hint="default" w:ascii="Times New Roman" w:hAnsi="Times New Roman" w:eastAsia="方正楷体_GBK"/>
          <w:sz w:val="32"/>
          <w:szCs w:val="32"/>
          <w:lang w:val="en-US" w:eastAsia="zh-Hans"/>
        </w:rPr>
        <w:t>接入流程图</w:t>
      </w:r>
    </w:p>
    <w:p>
      <w:pPr>
        <w:numPr>
          <w:ilvl w:val="2"/>
          <w:numId w:val="0"/>
        </w:numPr>
        <w:bidi w:val="0"/>
        <w:ind w:leftChars="0"/>
        <w:jc w:val="center"/>
        <w:outlineLvl w:val="9"/>
        <w:rPr>
          <w:rFonts w:hint="eastAsia" w:ascii="宋体" w:hAnsi="宋体" w:eastAsia="宋体" w:cs="宋体"/>
          <w:lang w:eastAsia="zh-CN"/>
        </w:rPr>
      </w:pPr>
      <w:r>
        <w:rPr>
          <w:rFonts w:hint="eastAsia" w:ascii="宋体" w:hAnsi="宋体" w:eastAsia="宋体" w:cs="宋体"/>
          <w:lang w:eastAsia="zh-CN"/>
        </w:rPr>
        <w:drawing>
          <wp:inline distT="0" distB="0" distL="114300" distR="114300">
            <wp:extent cx="4277360" cy="7352030"/>
            <wp:effectExtent l="0" t="0" r="8890" b="1270"/>
            <wp:docPr id="3" name="图片 6" descr="c0dba6cc15f325c72b884d234c2cc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c0dba6cc15f325c72b884d234c2cccf"/>
                    <pic:cNvPicPr>
                      <a:picLocks noChangeAspect="1"/>
                    </pic:cNvPicPr>
                  </pic:nvPicPr>
                  <pic:blipFill>
                    <a:blip r:embed="rId6"/>
                    <a:stretch>
                      <a:fillRect/>
                    </a:stretch>
                  </pic:blipFill>
                  <pic:spPr>
                    <a:xfrm>
                      <a:off x="0" y="0"/>
                      <a:ext cx="4277360" cy="7352030"/>
                    </a:xfrm>
                    <a:prstGeom prst="rect">
                      <a:avLst/>
                    </a:prstGeom>
                    <a:noFill/>
                    <a:ln>
                      <a:noFill/>
                    </a:ln>
                  </pic:spPr>
                </pic:pic>
              </a:graphicData>
            </a:graphic>
          </wp:inline>
        </w:drawing>
      </w:r>
    </w:p>
    <w:p>
      <w:pPr>
        <w:spacing w:before="9" w:line="240" w:lineRule="auto"/>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医保服务接入流程图</w:t>
      </w:r>
    </w:p>
    <w:p>
      <w:pPr>
        <w:pStyle w:val="8"/>
        <w:spacing w:line="240" w:lineRule="auto"/>
        <w:ind w:left="120" w:right="3859"/>
        <w:jc w:val="left"/>
        <w:rPr>
          <w:rFonts w:hint="eastAsia" w:ascii="宋体" w:hAnsi="宋体" w:eastAsia="宋体" w:cs="宋体"/>
        </w:rPr>
      </w:pPr>
      <w:bookmarkStart w:id="14" w:name="4.2.2 流程描述"/>
      <w:bookmarkEnd w:id="14"/>
    </w:p>
    <w:p>
      <w:pPr>
        <w:pStyle w:val="5"/>
        <w:bidi w:val="0"/>
        <w:ind w:left="227" w:leftChars="0" w:hanging="227" w:firstLineChars="0"/>
        <w:rPr>
          <w:rFonts w:hint="eastAsia" w:ascii="方正楷体_GBK" w:hAnsi="方正楷体_GBK" w:eastAsia="方正楷体_GBK" w:cs="方正楷体_GBK"/>
          <w:sz w:val="32"/>
          <w:szCs w:val="32"/>
          <w:lang w:val="en-US" w:eastAsia="zh-Hans"/>
        </w:rPr>
      </w:pPr>
      <w:r>
        <w:rPr>
          <w:rFonts w:hint="eastAsia" w:ascii="方正楷体_GBK" w:hAnsi="方正楷体_GBK" w:eastAsia="方正楷体_GBK" w:cs="方正楷体_GBK"/>
          <w:sz w:val="32"/>
          <w:szCs w:val="32"/>
          <w:lang w:val="en-US" w:eastAsia="zh-Hans"/>
        </w:rPr>
        <w:t>流程描述</w:t>
      </w:r>
    </w:p>
    <w:p>
      <w:pPr>
        <w:keepNext w:val="0"/>
        <w:keepLines w:val="0"/>
        <w:pageBreakBefore w:val="0"/>
        <w:widowControl w:val="0"/>
        <w:numPr>
          <w:ilvl w:val="0"/>
          <w:numId w:val="4"/>
        </w:numPr>
        <w:kinsoku/>
        <w:wordWrap/>
        <w:overflowPunct/>
        <w:topLinePunct w:val="0"/>
        <w:autoSpaceDE/>
        <w:autoSpaceDN/>
        <w:bidi w:val="0"/>
        <w:adjustRightInd/>
        <w:snapToGrid/>
        <w:spacing w:after="0" w:line="360" w:lineRule="auto"/>
        <w:ind w:firstLine="640" w:firstLineChars="200"/>
        <w:jc w:val="both"/>
        <w:textAlignment w:val="auto"/>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填报测试环境《</w:t>
      </w:r>
      <w:r>
        <w:rPr>
          <w:rFonts w:hint="default" w:ascii="Times New Roman" w:hAnsi="Times New Roman" w:eastAsia="方正仿宋_GBK" w:cs="Times New Roman"/>
          <w:kern w:val="2"/>
          <w:sz w:val="32"/>
          <w:szCs w:val="32"/>
          <w:lang w:val="en-US" w:eastAsia="zh-Hans"/>
        </w:rPr>
        <w:t>云南医保公共服务子系统与第三方</w:t>
      </w:r>
      <w:r>
        <w:rPr>
          <w:rFonts w:hint="default" w:ascii="Times New Roman" w:hAnsi="Times New Roman" w:eastAsia="方正仿宋_GBK" w:cs="Times New Roman"/>
          <w:kern w:val="2"/>
          <w:sz w:val="32"/>
          <w:szCs w:val="32"/>
          <w:lang w:val="en-US" w:eastAsia="zh-CN"/>
        </w:rPr>
        <w:t>医保服务</w:t>
      </w:r>
      <w:r>
        <w:rPr>
          <w:rFonts w:hint="default" w:ascii="Times New Roman" w:hAnsi="Times New Roman" w:eastAsia="方正仿宋_GBK" w:cs="Times New Roman"/>
          <w:kern w:val="2"/>
          <w:sz w:val="32"/>
          <w:szCs w:val="32"/>
          <w:lang w:val="en-US" w:eastAsia="zh-Hans"/>
        </w:rPr>
        <w:t>接入申请表</w:t>
      </w:r>
      <w:r>
        <w:rPr>
          <w:rFonts w:hint="default" w:ascii="Times New Roman" w:hAnsi="Times New Roman" w:eastAsia="方正仿宋_GBK" w:cs="Times New Roman"/>
          <w:kern w:val="2"/>
          <w:sz w:val="32"/>
          <w:szCs w:val="32"/>
          <w:lang w:val="en-US" w:eastAsia="zh-CN"/>
        </w:rPr>
        <w:t>》，发送到</w:t>
      </w:r>
      <w:r>
        <w:rPr>
          <w:rFonts w:hint="default" w:ascii="Times New Roman" w:hAnsi="Times New Roman" w:eastAsia="方正仿宋_GBK" w:cs="Times New Roman"/>
          <w:kern w:val="2"/>
          <w:sz w:val="32"/>
          <w:szCs w:val="32"/>
          <w:lang w:val="en-US" w:eastAsia="zh-Hans"/>
        </w:rPr>
        <w:t>ynjp6021@163.com</w:t>
      </w:r>
      <w:r>
        <w:rPr>
          <w:rFonts w:hint="default" w:ascii="Times New Roman" w:hAnsi="Times New Roman" w:eastAsia="方正仿宋_GBK" w:cs="Times New Roman"/>
          <w:kern w:val="2"/>
          <w:sz w:val="32"/>
          <w:szCs w:val="32"/>
          <w:lang w:val="en-US" w:eastAsia="zh-CN"/>
        </w:rPr>
        <w:t>邮箱；</w:t>
      </w:r>
    </w:p>
    <w:p>
      <w:pPr>
        <w:keepNext w:val="0"/>
        <w:keepLines w:val="0"/>
        <w:pageBreakBefore w:val="0"/>
        <w:widowControl w:val="0"/>
        <w:numPr>
          <w:ilvl w:val="0"/>
          <w:numId w:val="4"/>
        </w:numPr>
        <w:kinsoku/>
        <w:wordWrap/>
        <w:overflowPunct/>
        <w:topLinePunct w:val="0"/>
        <w:autoSpaceDE/>
        <w:autoSpaceDN/>
        <w:bidi w:val="0"/>
        <w:adjustRightInd/>
        <w:snapToGrid/>
        <w:spacing w:after="0" w:line="360" w:lineRule="auto"/>
        <w:ind w:firstLine="640" w:firstLineChars="200"/>
        <w:jc w:val="both"/>
        <w:textAlignment w:val="auto"/>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认真查阅《</w:t>
      </w:r>
      <w:r>
        <w:rPr>
          <w:rFonts w:hint="default" w:ascii="Times New Roman" w:hAnsi="Times New Roman" w:eastAsia="方正仿宋_GBK" w:cs="Times New Roman"/>
          <w:kern w:val="2"/>
          <w:sz w:val="32"/>
          <w:szCs w:val="32"/>
          <w:lang w:val="en-US" w:eastAsia="zh-Hans"/>
        </w:rPr>
        <w:t>云南医保信息平台公共服务子系统对外接口开发规范</w:t>
      </w:r>
      <w:r>
        <w:rPr>
          <w:rFonts w:hint="default" w:ascii="Times New Roman" w:hAnsi="Times New Roman" w:eastAsia="方正仿宋_GBK" w:cs="Times New Roman"/>
          <w:kern w:val="2"/>
          <w:sz w:val="32"/>
          <w:szCs w:val="32"/>
          <w:lang w:val="en-US" w:eastAsia="zh-CN"/>
        </w:rPr>
        <w:t>》；</w:t>
      </w:r>
    </w:p>
    <w:p>
      <w:pPr>
        <w:keepNext w:val="0"/>
        <w:keepLines w:val="0"/>
        <w:pageBreakBefore w:val="0"/>
        <w:widowControl w:val="0"/>
        <w:numPr>
          <w:ilvl w:val="0"/>
          <w:numId w:val="4"/>
        </w:numPr>
        <w:kinsoku/>
        <w:wordWrap/>
        <w:overflowPunct/>
        <w:topLinePunct w:val="0"/>
        <w:autoSpaceDE/>
        <w:autoSpaceDN/>
        <w:bidi w:val="0"/>
        <w:adjustRightInd/>
        <w:snapToGrid/>
        <w:spacing w:after="0" w:line="360" w:lineRule="auto"/>
        <w:ind w:firstLine="640" w:firstLineChars="200"/>
        <w:jc w:val="both"/>
        <w:textAlignment w:val="auto"/>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通过邮箱获取测试密钥后，根据接入规范开始接口开发工作，进行接口联调测试工作；</w:t>
      </w:r>
    </w:p>
    <w:p>
      <w:pPr>
        <w:keepNext w:val="0"/>
        <w:keepLines w:val="0"/>
        <w:pageBreakBefore w:val="0"/>
        <w:widowControl w:val="0"/>
        <w:numPr>
          <w:ilvl w:val="0"/>
          <w:numId w:val="4"/>
        </w:numPr>
        <w:kinsoku/>
        <w:wordWrap/>
        <w:overflowPunct/>
        <w:topLinePunct w:val="0"/>
        <w:autoSpaceDE/>
        <w:autoSpaceDN/>
        <w:bidi w:val="0"/>
        <w:adjustRightInd/>
        <w:snapToGrid/>
        <w:spacing w:after="0" w:line="360" w:lineRule="auto"/>
        <w:ind w:firstLine="640" w:firstLineChars="200"/>
        <w:jc w:val="both"/>
        <w:textAlignment w:val="auto"/>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接口联调测试通过后，在测试环境配合完成功能测试。</w:t>
      </w:r>
    </w:p>
    <w:p>
      <w:pPr>
        <w:keepNext w:val="0"/>
        <w:keepLines w:val="0"/>
        <w:pageBreakBefore w:val="0"/>
        <w:widowControl w:val="0"/>
        <w:numPr>
          <w:ilvl w:val="0"/>
          <w:numId w:val="4"/>
        </w:numPr>
        <w:kinsoku/>
        <w:wordWrap/>
        <w:overflowPunct/>
        <w:topLinePunct w:val="0"/>
        <w:autoSpaceDE/>
        <w:autoSpaceDN/>
        <w:bidi w:val="0"/>
        <w:adjustRightInd/>
        <w:snapToGrid/>
        <w:spacing w:after="0" w:line="360" w:lineRule="auto"/>
        <w:ind w:firstLine="640" w:firstLineChars="200"/>
        <w:jc w:val="both"/>
        <w:textAlignment w:val="auto"/>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fldChar w:fldCharType="begin"/>
      </w:r>
      <w:r>
        <w:rPr>
          <w:rFonts w:hint="default" w:ascii="Times New Roman" w:hAnsi="Times New Roman" w:eastAsia="方正仿宋_GBK" w:cs="Times New Roman"/>
          <w:kern w:val="2"/>
          <w:sz w:val="32"/>
          <w:szCs w:val="32"/>
          <w:lang w:val="en-US" w:eastAsia="zh-CN"/>
        </w:rPr>
        <w:instrText xml:space="preserve"> HYPERLINK "mailto:测试完成后填写《定点医疗机构接入验收申请表》，加盖公章并扫描成PDF格式和视频文件发送到scybdzcf@163.com邮箱（两个工作日发送正式密钥）" </w:instrText>
      </w:r>
      <w:r>
        <w:rPr>
          <w:rFonts w:hint="default" w:ascii="Times New Roman" w:hAnsi="Times New Roman" w:eastAsia="方正仿宋_GBK" w:cs="Times New Roman"/>
          <w:kern w:val="2"/>
          <w:sz w:val="32"/>
          <w:szCs w:val="32"/>
          <w:lang w:val="en-US" w:eastAsia="zh-CN"/>
        </w:rPr>
        <w:fldChar w:fldCharType="separate"/>
      </w:r>
      <w:r>
        <w:rPr>
          <w:rFonts w:hint="default" w:ascii="Times New Roman" w:hAnsi="Times New Roman" w:eastAsia="方正仿宋_GBK" w:cs="Times New Roman"/>
          <w:kern w:val="2"/>
          <w:sz w:val="32"/>
          <w:szCs w:val="32"/>
          <w:lang w:val="en-US" w:eastAsia="zh-CN"/>
        </w:rPr>
        <w:t xml:space="preserve">测试完成后填写正式环境《 </w:t>
      </w:r>
      <w:r>
        <w:rPr>
          <w:rFonts w:hint="default" w:ascii="Times New Roman" w:hAnsi="Times New Roman" w:eastAsia="方正仿宋_GBK" w:cs="Times New Roman"/>
          <w:kern w:val="2"/>
          <w:sz w:val="32"/>
          <w:szCs w:val="32"/>
          <w:lang w:val="en-US" w:eastAsia="zh-Hans"/>
        </w:rPr>
        <w:t>云南医保公共服务子系统与第三方</w:t>
      </w:r>
      <w:r>
        <w:rPr>
          <w:rFonts w:hint="default" w:ascii="Times New Roman" w:hAnsi="Times New Roman" w:eastAsia="方正仿宋_GBK" w:cs="Times New Roman"/>
          <w:kern w:val="2"/>
          <w:sz w:val="32"/>
          <w:szCs w:val="32"/>
          <w:lang w:val="en-US" w:eastAsia="zh-CN"/>
        </w:rPr>
        <w:t>医保服务</w:t>
      </w:r>
      <w:r>
        <w:rPr>
          <w:rFonts w:hint="default" w:ascii="Times New Roman" w:hAnsi="Times New Roman" w:eastAsia="方正仿宋_GBK" w:cs="Times New Roman"/>
          <w:kern w:val="2"/>
          <w:sz w:val="32"/>
          <w:szCs w:val="32"/>
          <w:lang w:val="en-US" w:eastAsia="zh-Hans"/>
        </w:rPr>
        <w:t>接入申请表</w:t>
      </w:r>
      <w:r>
        <w:rPr>
          <w:rFonts w:hint="default" w:ascii="Times New Roman" w:hAnsi="Times New Roman" w:eastAsia="方正仿宋_GBK" w:cs="Times New Roman"/>
          <w:kern w:val="2"/>
          <w:sz w:val="32"/>
          <w:szCs w:val="32"/>
          <w:lang w:val="en-US" w:eastAsia="zh-CN"/>
        </w:rPr>
        <w:t>》、《验收申请表》，加盖公章并扫描成PDF格式发送到</w:t>
      </w:r>
      <w:r>
        <w:rPr>
          <w:rFonts w:hint="default" w:ascii="Times New Roman" w:hAnsi="Times New Roman" w:eastAsia="方正仿宋_GBK" w:cs="Times New Roman"/>
          <w:kern w:val="2"/>
          <w:sz w:val="32"/>
          <w:szCs w:val="32"/>
          <w:lang w:val="en-US" w:eastAsia="zh-Hans"/>
        </w:rPr>
        <w:t>ynjp6021@163.com</w:t>
      </w:r>
      <w:r>
        <w:rPr>
          <w:rFonts w:hint="default" w:ascii="Times New Roman" w:hAnsi="Times New Roman" w:eastAsia="方正仿宋_GBK" w:cs="Times New Roman"/>
          <w:kern w:val="2"/>
          <w:sz w:val="32"/>
          <w:szCs w:val="32"/>
          <w:lang w:val="en-US" w:eastAsia="zh-CN"/>
        </w:rPr>
        <w:t>邮箱；</w:t>
      </w:r>
      <w:r>
        <w:rPr>
          <w:rFonts w:hint="default" w:ascii="Times New Roman" w:hAnsi="Times New Roman" w:eastAsia="方正仿宋_GBK" w:cs="Times New Roman"/>
          <w:kern w:val="2"/>
          <w:sz w:val="32"/>
          <w:szCs w:val="32"/>
          <w:lang w:val="en-US" w:eastAsia="zh-CN"/>
        </w:rPr>
        <w:fldChar w:fldCharType="end"/>
      </w:r>
    </w:p>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640" w:firstLineChars="200"/>
        <w:jc w:val="both"/>
        <w:textAlignment w:val="auto"/>
      </w:pPr>
      <w:r>
        <w:rPr>
          <w:rFonts w:hint="default" w:ascii="Times New Roman" w:hAnsi="Times New Roman" w:eastAsia="方正仿宋_GBK" w:cs="Times New Roman"/>
          <w:kern w:val="2"/>
          <w:sz w:val="32"/>
          <w:szCs w:val="32"/>
          <w:lang w:eastAsia="zh-CN"/>
        </w:rPr>
        <w:t>（6）</w:t>
      </w:r>
      <w:r>
        <w:rPr>
          <w:rFonts w:hint="default" w:ascii="Times New Roman" w:hAnsi="Times New Roman" w:eastAsia="方正仿宋_GBK" w:cs="Times New Roman"/>
          <w:kern w:val="2"/>
          <w:sz w:val="32"/>
          <w:szCs w:val="32"/>
          <w:lang w:val="en-US" w:eastAsia="zh-CN"/>
        </w:rPr>
        <w:t>技术评审通过后，通过邮箱收到正式密钥后可切换成生产环境完成上线。</w:t>
      </w:r>
      <w:bookmarkStart w:id="15" w:name="_GoBack"/>
      <w:bookmarkEnd w:id="1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_GBK">
    <w:altName w:val="微软雅黑"/>
    <w:panose1 w:val="03000509000000000000"/>
    <w:charset w:val="86"/>
    <w:family w:val="auto"/>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rPr>
                              <w:rFonts w:hint="default" w:ascii="Times New Roman" w:hAnsi="Times New Roman" w:cs="Times New Roman"/>
                              <w:sz w:val="28"/>
                              <w:szCs w:val="28"/>
                            </w:rPr>
                          </w:pPr>
                          <w:r>
                            <w:rPr>
                              <w:rFonts w:hint="default" w:ascii="Times New Roman" w:hAnsi="Times New Roman" w:eastAsia="方正仿宋_GBK" w:cs="Times New Roman"/>
                              <w:sz w:val="28"/>
                              <w:szCs w:val="28"/>
                            </w:rPr>
                            <w:t xml:space="preserve">— </w:t>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  \* MERGEFORMAT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1</w:t>
                          </w:r>
                          <w:r>
                            <w:rPr>
                              <w:rFonts w:hint="default" w:ascii="Times New Roman" w:hAnsi="Times New Roman" w:eastAsia="方正仿宋_GBK" w:cs="Times New Roman"/>
                              <w:sz w:val="28"/>
                              <w:szCs w:val="28"/>
                            </w:rPr>
                            <w:fldChar w:fldCharType="end"/>
                          </w:r>
                          <w:r>
                            <w:rPr>
                              <w:rFonts w:hint="default" w:ascii="Times New Roman" w:hAnsi="Times New Roman" w:eastAsia="方正仿宋_GBK" w:cs="Times New Roman"/>
                              <w:sz w:val="28"/>
                              <w:szCs w:val="28"/>
                            </w:rPr>
                            <w:t xml:space="preserve"> —</w:t>
                          </w: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XxwCskBAACZAwAADgAAAGRycy9lMm9Eb2MueG1srVPNjtMwEL4j8Q6W&#10;79TZC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DeUOG5x4OefP86//px/fyev&#10;szx9gBqzbgPmpeG9H3BpZj+gM7MeVLT5i3wIxlHc00VcOSQi8qPVcrWqMCQwNl8Qn90/DxHSB+kt&#10;yUZDI06viMqPnyCNqXNKrub8jTamTNC4/xyImT0s9z72mK007IaJ0M63J+TT4+Ab6nDPKTEfHeqa&#10;d2Q24mzsZuMQot53ZYlyPQjvDgmbKL3lCiPsVBgnVthN25VX4t97ybr/oz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lfHAKyQEAAJkDAAAOAAAAAAAAAAEAIAAAAB4BAABkcnMvZTJvRG9j&#10;LnhtbFBLBQYAAAAABgAGAFkBAABZBQAAAAA=&#10;">
              <v:fill on="f" focussize="0,0"/>
              <v:stroke on="f"/>
              <v:imagedata o:title=""/>
              <o:lock v:ext="edit" aspectratio="f"/>
              <v:textbox inset="0mm,0mm,0mm,0mm" style="mso-fit-shape-to-text:t;">
                <w:txbxContent>
                  <w:p>
                    <w:pPr>
                      <w:pStyle w:val="9"/>
                      <w:rPr>
                        <w:rFonts w:hint="default" w:ascii="Times New Roman" w:hAnsi="Times New Roman" w:cs="Times New Roman"/>
                        <w:sz w:val="28"/>
                        <w:szCs w:val="28"/>
                      </w:rPr>
                    </w:pPr>
                    <w:r>
                      <w:rPr>
                        <w:rFonts w:hint="default" w:ascii="Times New Roman" w:hAnsi="Times New Roman" w:eastAsia="方正仿宋_GBK" w:cs="Times New Roman"/>
                        <w:sz w:val="28"/>
                        <w:szCs w:val="28"/>
                      </w:rPr>
                      <w:t xml:space="preserve">— </w:t>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  \* MERGEFORMAT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1</w:t>
                    </w:r>
                    <w:r>
                      <w:rPr>
                        <w:rFonts w:hint="default" w:ascii="Times New Roman" w:hAnsi="Times New Roman" w:eastAsia="方正仿宋_GBK" w:cs="Times New Roman"/>
                        <w:sz w:val="28"/>
                        <w:szCs w:val="28"/>
                      </w:rPr>
                      <w:fldChar w:fldCharType="end"/>
                    </w:r>
                    <w:r>
                      <w:rPr>
                        <w:rFonts w:hint="default" w:ascii="Times New Roman" w:hAnsi="Times New Roman" w:eastAsia="方正仿宋_GBK" w:cs="Times New Roman"/>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544970"/>
    <w:multiLevelType w:val="multilevel"/>
    <w:tmpl w:val="91544970"/>
    <w:lvl w:ilvl="0" w:tentative="0">
      <w:start w:val="1"/>
      <w:numFmt w:val="decimal"/>
      <w:pStyle w:val="3"/>
      <w:suff w:val="nothing"/>
      <w:lvlText w:val="第%1章"/>
      <w:lvlJc w:val="left"/>
      <w:pPr>
        <w:tabs>
          <w:tab w:val="left" w:pos="0"/>
        </w:tabs>
        <w:ind w:left="432" w:hanging="432"/>
      </w:pPr>
      <w:rPr>
        <w:rFonts w:hint="default" w:ascii="宋体" w:hAnsi="宋体" w:eastAsia="宋体" w:cs="宋体"/>
        <w:b/>
      </w:rPr>
    </w:lvl>
    <w:lvl w:ilvl="1" w:tentative="0">
      <w:start w:val="1"/>
      <w:numFmt w:val="decimal"/>
      <w:pStyle w:val="4"/>
      <w:isLgl/>
      <w:lvlText w:val="%1.%2."/>
      <w:lvlJc w:val="left"/>
      <w:pPr>
        <w:tabs>
          <w:tab w:val="left" w:pos="420"/>
        </w:tabs>
        <w:ind w:left="575" w:hanging="575"/>
      </w:pPr>
      <w:rPr>
        <w:rFonts w:hint="default" w:ascii="宋体" w:hAnsi="宋体" w:eastAsia="宋体" w:cs="宋体"/>
      </w:rPr>
    </w:lvl>
    <w:lvl w:ilvl="2" w:tentative="0">
      <w:start w:val="1"/>
      <w:numFmt w:val="decimal"/>
      <w:pStyle w:val="5"/>
      <w:isLgl/>
      <w:lvlText w:val="%1.%2.%3."/>
      <w:lvlJc w:val="left"/>
      <w:pPr>
        <w:ind w:left="227" w:hanging="227"/>
      </w:pPr>
      <w:rPr>
        <w:rFonts w:hint="default" w:ascii="宋体" w:hAnsi="宋体" w:eastAsia="宋体" w:cs="宋体"/>
      </w:rPr>
    </w:lvl>
    <w:lvl w:ilvl="3" w:tentative="0">
      <w:start w:val="1"/>
      <w:numFmt w:val="decimal"/>
      <w:pStyle w:val="6"/>
      <w:isLgl/>
      <w:lvlText w:val="%1.%2.%3.%4."/>
      <w:lvlJc w:val="left"/>
      <w:pPr>
        <w:ind w:left="864" w:hanging="864"/>
      </w:pPr>
      <w:rPr>
        <w:rFonts w:hint="default" w:ascii="宋体" w:hAnsi="宋体" w:eastAsia="宋体" w:cs="宋体"/>
      </w:rPr>
    </w:lvl>
    <w:lvl w:ilvl="4" w:tentative="0">
      <w:start w:val="1"/>
      <w:numFmt w:val="decimal"/>
      <w:isLgl/>
      <w:lvlText w:val="%1.%2.%3.%4.%5."/>
      <w:lvlJc w:val="left"/>
      <w:pPr>
        <w:ind w:left="1008" w:hanging="1008"/>
      </w:pPr>
      <w:rPr>
        <w:rFonts w:hint="default" w:ascii="宋体" w:hAnsi="宋体" w:eastAsia="宋体" w:cs="宋体"/>
      </w:rPr>
    </w:lvl>
    <w:lvl w:ilvl="5" w:tentative="0">
      <w:start w:val="1"/>
      <w:numFmt w:val="decimal"/>
      <w:isLgl/>
      <w:lvlText w:val="%1.%2.%3.%4.%5.%6."/>
      <w:lvlJc w:val="left"/>
      <w:pPr>
        <w:ind w:left="1151" w:hanging="1151"/>
      </w:pPr>
      <w:rPr>
        <w:rFonts w:hint="default" w:ascii="宋体" w:hAnsi="宋体" w:eastAsia="宋体" w:cs="宋体"/>
      </w:rPr>
    </w:lvl>
    <w:lvl w:ilvl="6" w:tentative="0">
      <w:start w:val="1"/>
      <w:numFmt w:val="decimal"/>
      <w:isLgl/>
      <w:lvlText w:val="%1.%2.%3.%4.%5.%6.%7."/>
      <w:lvlJc w:val="left"/>
      <w:pPr>
        <w:ind w:left="1296" w:hanging="1296"/>
      </w:pPr>
      <w:rPr>
        <w:rFonts w:hint="eastAsia"/>
      </w:rPr>
    </w:lvl>
    <w:lvl w:ilvl="7" w:tentative="0">
      <w:start w:val="1"/>
      <w:numFmt w:val="decimal"/>
      <w:isLgl/>
      <w:lvlText w:val="%1.%2.%3.%4.%5.%6.%7.%8."/>
      <w:lvlJc w:val="left"/>
      <w:pPr>
        <w:ind w:left="1440" w:hanging="1440"/>
      </w:pPr>
      <w:rPr>
        <w:rFonts w:hint="eastAsia"/>
      </w:rPr>
    </w:lvl>
    <w:lvl w:ilvl="8" w:tentative="0">
      <w:start w:val="1"/>
      <w:numFmt w:val="decimal"/>
      <w:isLgl/>
      <w:lvlText w:val="%1.%2.%3.%4.%5.%6.%7.%8.%9."/>
      <w:lvlJc w:val="left"/>
      <w:pPr>
        <w:ind w:left="1583" w:hanging="1583"/>
      </w:pPr>
      <w:rPr>
        <w:rFonts w:hint="eastAsia"/>
      </w:rPr>
    </w:lvl>
  </w:abstractNum>
  <w:abstractNum w:abstractNumId="1">
    <w:nsid w:val="92271125"/>
    <w:multiLevelType w:val="singleLevel"/>
    <w:tmpl w:val="92271125"/>
    <w:lvl w:ilvl="0" w:tentative="0">
      <w:start w:val="1"/>
      <w:numFmt w:val="decimal"/>
      <w:suff w:val="nothing"/>
      <w:lvlText w:val="（%1）"/>
      <w:lvlJc w:val="left"/>
    </w:lvl>
  </w:abstractNum>
  <w:abstractNum w:abstractNumId="2">
    <w:nsid w:val="E3E8C5A2"/>
    <w:multiLevelType w:val="singleLevel"/>
    <w:tmpl w:val="E3E8C5A2"/>
    <w:lvl w:ilvl="0" w:tentative="0">
      <w:start w:val="1"/>
      <w:numFmt w:val="lowerLetter"/>
      <w:suff w:val="space"/>
      <w:lvlText w:val="%1)"/>
      <w:lvlJc w:val="left"/>
    </w:lvl>
  </w:abstractNum>
  <w:abstractNum w:abstractNumId="3">
    <w:nsid w:val="33D37E37"/>
    <w:multiLevelType w:val="singleLevel"/>
    <w:tmpl w:val="33D37E37"/>
    <w:lvl w:ilvl="0" w:tentative="0">
      <w:start w:val="1"/>
      <w:numFmt w:val="lowerLetter"/>
      <w:suff w:val="space"/>
      <w:lvlText w:val="%1)"/>
      <w:lvlJc w:val="left"/>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4MGRmZTE1MDkzM2Y2OWVhMzAyZWM1MGU5NzM2NGQifQ=="/>
  </w:docVars>
  <w:rsids>
    <w:rsidRoot w:val="2E9F228C"/>
    <w:rsid w:val="2E9F22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1"/>
    <w:pPr>
      <w:numPr>
        <w:ilvl w:val="0"/>
        <w:numId w:val="1"/>
      </w:numPr>
      <w:spacing w:line="360" w:lineRule="auto"/>
      <w:ind w:left="432" w:hanging="432"/>
      <w:outlineLvl w:val="0"/>
    </w:pPr>
    <w:rPr>
      <w:rFonts w:ascii="黑体" w:hAnsi="黑体" w:eastAsia="宋体"/>
      <w:b/>
      <w:sz w:val="32"/>
      <w:szCs w:val="32"/>
    </w:rPr>
  </w:style>
  <w:style w:type="paragraph" w:styleId="4">
    <w:name w:val="heading 2"/>
    <w:basedOn w:val="1"/>
    <w:next w:val="1"/>
    <w:unhideWhenUsed/>
    <w:qFormat/>
    <w:uiPriority w:val="0"/>
    <w:pPr>
      <w:keepNext/>
      <w:keepLines/>
      <w:numPr>
        <w:ilvl w:val="1"/>
        <w:numId w:val="1"/>
      </w:numPr>
      <w:spacing w:beforeAutospacing="0" w:afterAutospacing="0" w:line="360" w:lineRule="auto"/>
      <w:ind w:left="575" w:hanging="575" w:firstLineChars="0"/>
      <w:jc w:val="left"/>
      <w:outlineLvl w:val="1"/>
    </w:pPr>
    <w:rPr>
      <w:rFonts w:ascii="Arial" w:hAnsi="Arial" w:eastAsia="宋体"/>
      <w:b/>
      <w:bCs/>
      <w:sz w:val="28"/>
      <w:szCs w:val="32"/>
    </w:rPr>
  </w:style>
  <w:style w:type="paragraph" w:styleId="5">
    <w:name w:val="heading 3"/>
    <w:basedOn w:val="1"/>
    <w:next w:val="1"/>
    <w:unhideWhenUsed/>
    <w:qFormat/>
    <w:uiPriority w:val="0"/>
    <w:pPr>
      <w:keepNext/>
      <w:keepLines/>
      <w:numPr>
        <w:ilvl w:val="2"/>
        <w:numId w:val="1"/>
      </w:numPr>
      <w:spacing w:beforeLines="0" w:beforeAutospacing="0" w:afterLines="0" w:afterAutospacing="0" w:line="360" w:lineRule="auto"/>
      <w:ind w:left="227" w:hanging="227"/>
      <w:outlineLvl w:val="2"/>
    </w:pPr>
    <w:rPr>
      <w:rFonts w:ascii="Calibri" w:hAnsi="Calibri" w:eastAsia="宋体"/>
      <w:b/>
      <w:sz w:val="24"/>
    </w:rPr>
  </w:style>
  <w:style w:type="paragraph" w:styleId="6">
    <w:name w:val="heading 4"/>
    <w:basedOn w:val="1"/>
    <w:next w:val="1"/>
    <w:unhideWhenUsed/>
    <w:qFormat/>
    <w:uiPriority w:val="0"/>
    <w:pPr>
      <w:keepNext/>
      <w:keepLines/>
      <w:numPr>
        <w:ilvl w:val="3"/>
        <w:numId w:val="1"/>
      </w:numPr>
      <w:spacing w:beforeLines="0" w:beforeAutospacing="0" w:afterLines="0" w:afterAutospacing="0" w:line="372" w:lineRule="auto"/>
      <w:ind w:left="864" w:hanging="864"/>
      <w:outlineLvl w:val="3"/>
    </w:pPr>
    <w:rPr>
      <w:rFonts w:ascii="Arial" w:hAnsi="Arial" w:eastAsia="宋体"/>
      <w:b/>
      <w:sz w:val="24"/>
    </w:rPr>
  </w:style>
  <w:style w:type="character" w:default="1" w:styleId="11">
    <w:name w:val="Default Paragraph Font"/>
    <w:semiHidden/>
    <w:uiPriority w:val="0"/>
  </w:style>
  <w:style w:type="table" w:default="1" w:styleId="10">
    <w:name w:val="Normal Table"/>
    <w:semiHidden/>
    <w:uiPriority w:val="0"/>
    <w:tblPr>
      <w:tblCellMar>
        <w:top w:w="0" w:type="dxa"/>
        <w:left w:w="108" w:type="dxa"/>
        <w:bottom w:w="0" w:type="dxa"/>
        <w:right w:w="108" w:type="dxa"/>
      </w:tblCellMar>
    </w:tblPr>
  </w:style>
  <w:style w:type="paragraph" w:customStyle="1" w:styleId="2">
    <w:name w:val="Default"/>
    <w:next w:val="1"/>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7">
    <w:name w:val="Normal Indent"/>
    <w:basedOn w:val="1"/>
    <w:next w:val="1"/>
    <w:qFormat/>
    <w:uiPriority w:val="0"/>
    <w:pPr>
      <w:jc w:val="left"/>
    </w:pPr>
    <w:rPr>
      <w:rFonts w:eastAsia="宋体"/>
      <w:szCs w:val="20"/>
    </w:rPr>
  </w:style>
  <w:style w:type="paragraph" w:styleId="8">
    <w:name w:val="Body Text"/>
    <w:basedOn w:val="1"/>
    <w:qFormat/>
    <w:uiPriority w:val="1"/>
    <w:pPr>
      <w:ind w:left="119"/>
    </w:pPr>
    <w:rPr>
      <w:rFonts w:ascii="宋体" w:hAnsi="宋体" w:eastAsia="宋体"/>
      <w:sz w:val="21"/>
      <w:szCs w:val="21"/>
    </w:rPr>
  </w:style>
  <w:style w:type="paragraph" w:styleId="9">
    <w:name w:val="footer"/>
    <w:basedOn w:val="1"/>
    <w:uiPriority w:val="0"/>
    <w:pPr>
      <w:tabs>
        <w:tab w:val="center" w:pos="4153"/>
        <w:tab w:val="right" w:pos="8306"/>
      </w:tabs>
      <w:snapToGrid w:val="0"/>
      <w:jc w:val="left"/>
    </w:pPr>
    <w:rPr>
      <w:sz w:val="18"/>
    </w:rPr>
  </w:style>
  <w:style w:type="paragraph" w:customStyle="1" w:styleId="12">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2023-11-26T02:17:00Z</dcterms:created>
  <dc:creator>勇郎塘说退</dc:creator>
  <cp:lastModifiedBy>勇郎塘说退</cp:lastModifiedBy>
  <dcterms:modified xsi:type="dcterms:W3CDTF">2023-11-26T02:17:55Z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2CF0F12CCB1A4FC3B9FDE3AA0E1F957B_11</vt:lpwstr>
  </property>
</Properties>
</file>