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580" w:lineRule="exact"/>
        <w:ind w:firstLine="0" w:firstLineChars="0"/>
        <w:rPr>
          <w:rFonts w:hint="eastAsia" w:ascii="黑体" w:hAnsi="黑体" w:eastAsia="黑体" w:cs="黑体"/>
        </w:rPr>
      </w:pPr>
      <w:r>
        <w:rPr>
          <w:rFonts w:hint="eastAsia" w:ascii="黑体" w:hAnsi="黑体" w:eastAsia="黑体" w:cs="黑体"/>
        </w:rPr>
        <w:t>附件1</w:t>
      </w:r>
    </w:p>
    <w:p>
      <w:pPr>
        <w:spacing w:line="560" w:lineRule="exact"/>
        <w:ind w:firstLine="0" w:firstLineChars="0"/>
        <w:jc w:val="center"/>
        <w:rPr>
          <w:rFonts w:hint="eastAsia" w:ascii="方正小标宋简体" w:hAnsi="方正小标宋简体" w:eastAsia="方正小标宋简体" w:cs="方正小标宋简体"/>
          <w:b w:val="0"/>
          <w:bCs/>
          <w:sz w:val="44"/>
          <w:szCs w:val="22"/>
        </w:rPr>
      </w:pPr>
      <w:r>
        <w:rPr>
          <w:rFonts w:hint="eastAsia" w:ascii="方正小标宋简体" w:hAnsi="方正小标宋简体" w:eastAsia="方正小标宋简体" w:cs="方正小标宋简体"/>
          <w:b w:val="0"/>
          <w:bCs/>
          <w:sz w:val="44"/>
          <w:szCs w:val="22"/>
        </w:rPr>
        <w:t>健康县（区）评估申请书</w:t>
      </w:r>
    </w:p>
    <w:p>
      <w:pPr>
        <w:spacing w:line="560" w:lineRule="exact"/>
        <w:ind w:firstLine="562"/>
        <w:jc w:val="center"/>
        <w:rPr>
          <w:rFonts w:ascii="宋体" w:hAnsi="宋体" w:eastAsia="宋体" w:cs="宋体"/>
          <w:b/>
          <w:sz w:val="28"/>
          <w:szCs w:val="22"/>
        </w:rPr>
      </w:pPr>
      <w:r>
        <w:rPr>
          <w:rFonts w:hint="eastAsia" w:ascii="宋体" w:hAnsi="宋体" w:eastAsia="宋体" w:cs="宋体"/>
          <w:b/>
          <w:sz w:val="28"/>
          <w:szCs w:val="22"/>
        </w:rPr>
        <w:t>（区县填写）</w:t>
      </w:r>
    </w:p>
    <w:p>
      <w:pPr>
        <w:widowControl/>
        <w:spacing w:line="276" w:lineRule="auto"/>
        <w:ind w:firstLine="420"/>
        <w:rPr>
          <w:rFonts w:ascii="宋体" w:hAnsi="宋体" w:eastAsia="宋体" w:cs="宋体"/>
          <w:color w:val="000000"/>
          <w:kern w:val="0"/>
          <w:sz w:val="21"/>
          <w:szCs w:val="21"/>
        </w:rPr>
      </w:pPr>
      <w:r>
        <w:rPr>
          <w:rFonts w:hint="eastAsia" w:ascii="宋体" w:hAnsi="宋体" w:eastAsia="宋体" w:cs="宋体"/>
          <w:color w:val="000000"/>
          <w:kern w:val="0"/>
          <w:sz w:val="21"/>
          <w:szCs w:val="21"/>
        </w:rPr>
        <w:t>申报单位 ：</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市（州）</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县（市、区）</w:t>
      </w:r>
    </w:p>
    <w:tbl>
      <w:tblPr>
        <w:tblStyle w:val="7"/>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4"/>
        <w:gridCol w:w="2330"/>
        <w:gridCol w:w="1776"/>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1"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一、基本信息</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c>
          <w:tcPr>
            <w:tcW w:w="1015"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1"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政府联系人</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c>
          <w:tcPr>
            <w:tcW w:w="1015"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办公电话/传真</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1"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邮寄地址</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c>
          <w:tcPr>
            <w:tcW w:w="1015"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电子邮箱</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1"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卫生健康委联系人</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c>
          <w:tcPr>
            <w:tcW w:w="1015"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办公电话/手机</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1"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邮寄地址</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c>
          <w:tcPr>
            <w:tcW w:w="1015" w:type="pct"/>
            <w:tcBorders>
              <w:top w:val="single" w:color="auto" w:sz="4" w:space="0"/>
              <w:left w:val="single" w:color="auto" w:sz="4" w:space="0"/>
              <w:bottom w:val="single" w:color="auto" w:sz="4" w:space="0"/>
              <w:right w:val="single" w:color="auto" w:sz="4" w:space="0"/>
            </w:tcBorders>
          </w:tcPr>
          <w:p>
            <w:pPr>
              <w:spacing w:line="420" w:lineRule="exact"/>
              <w:ind w:firstLine="0" w:firstLineChars="0"/>
              <w:jc w:val="center"/>
              <w:rPr>
                <w:rFonts w:ascii="宋体" w:hAnsi="宋体" w:eastAsia="宋体" w:cs="宋体"/>
                <w:sz w:val="24"/>
                <w:szCs w:val="22"/>
              </w:rPr>
            </w:pPr>
            <w:r>
              <w:rPr>
                <w:rFonts w:hint="eastAsia" w:ascii="宋体" w:hAnsi="宋体" w:eastAsia="宋体" w:cs="宋体"/>
                <w:sz w:val="24"/>
                <w:szCs w:val="22"/>
              </w:rPr>
              <w:t>电子邮箱</w:t>
            </w:r>
          </w:p>
        </w:tc>
        <w:tc>
          <w:tcPr>
            <w:tcW w:w="1337" w:type="pct"/>
            <w:tcBorders>
              <w:top w:val="single" w:color="auto" w:sz="4" w:space="0"/>
              <w:left w:val="single" w:color="auto" w:sz="4" w:space="0"/>
              <w:bottom w:val="single" w:color="auto" w:sz="4" w:space="0"/>
              <w:right w:val="single" w:color="auto" w:sz="4" w:space="0"/>
            </w:tcBorders>
          </w:tcPr>
          <w:p>
            <w:pPr>
              <w:spacing w:line="420" w:lineRule="exact"/>
              <w:ind w:firstLine="480"/>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spacing w:line="420" w:lineRule="exact"/>
              <w:ind w:firstLine="480"/>
              <w:rPr>
                <w:rFonts w:ascii="宋体" w:hAnsi="宋体" w:eastAsia="宋体" w:cs="宋体"/>
                <w:sz w:val="24"/>
                <w:szCs w:val="22"/>
              </w:rPr>
            </w:pPr>
            <w:r>
              <w:rPr>
                <w:rFonts w:hint="eastAsia" w:ascii="宋体" w:hAnsi="宋体" w:eastAsia="宋体" w:cs="宋体"/>
                <w:sz w:val="24"/>
                <w:szCs w:val="22"/>
              </w:rPr>
              <w:t xml:space="preserve">二、申报理由  </w:t>
            </w:r>
          </w:p>
          <w:p>
            <w:pPr>
              <w:spacing w:line="420" w:lineRule="exact"/>
              <w:ind w:firstLine="3360" w:firstLineChars="1400"/>
              <w:rPr>
                <w:rFonts w:ascii="宋体" w:hAnsi="宋体" w:eastAsia="宋体" w:cs="宋体"/>
                <w:sz w:val="24"/>
                <w:szCs w:val="22"/>
              </w:rPr>
            </w:pPr>
            <w:r>
              <w:rPr>
                <w:rFonts w:hint="eastAsia" w:ascii="宋体" w:hAnsi="宋体" w:eastAsia="宋体" w:cs="宋体"/>
                <w:sz w:val="24"/>
                <w:szCs w:val="22"/>
              </w:rPr>
              <w:t>（见下页）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spacing w:line="420" w:lineRule="exact"/>
              <w:ind w:firstLine="480"/>
              <w:rPr>
                <w:rFonts w:ascii="宋体" w:hAnsi="宋体" w:eastAsia="宋体" w:cs="宋体"/>
                <w:sz w:val="24"/>
                <w:szCs w:val="22"/>
              </w:rPr>
            </w:pPr>
            <w:r>
              <w:rPr>
                <w:rFonts w:hint="eastAsia" w:ascii="宋体" w:hAnsi="宋体" w:eastAsia="宋体" w:cs="宋体"/>
                <w:sz w:val="24"/>
                <w:szCs w:val="22"/>
              </w:rPr>
              <w:t>县（区）</w:t>
            </w:r>
            <w:r>
              <w:rPr>
                <w:rFonts w:hint="eastAsia" w:ascii="宋体" w:hAnsi="宋体" w:eastAsia="宋体" w:cs="宋体"/>
                <w:sz w:val="24"/>
                <w:szCs w:val="22"/>
                <w:lang w:val="en-US" w:eastAsia="zh-CN"/>
              </w:rPr>
              <w:t>爱卫办/</w:t>
            </w:r>
            <w:r>
              <w:rPr>
                <w:rFonts w:hint="eastAsia" w:ascii="宋体" w:hAnsi="宋体" w:eastAsia="宋体" w:cs="宋体"/>
                <w:sz w:val="24"/>
                <w:szCs w:val="22"/>
              </w:rPr>
              <w:t>卫生健康局意见</w:t>
            </w:r>
          </w:p>
          <w:p>
            <w:pPr>
              <w:spacing w:line="420" w:lineRule="exact"/>
              <w:ind w:firstLine="6480" w:firstLineChars="2700"/>
              <w:rPr>
                <w:rFonts w:ascii="宋体" w:hAnsi="宋体" w:eastAsia="宋体" w:cs="宋体"/>
                <w:sz w:val="24"/>
                <w:szCs w:val="22"/>
              </w:rPr>
            </w:pPr>
          </w:p>
          <w:p>
            <w:pPr>
              <w:spacing w:line="420" w:lineRule="exact"/>
              <w:ind w:firstLine="6480" w:firstLineChars="2700"/>
              <w:rPr>
                <w:rFonts w:ascii="宋体" w:hAnsi="宋体" w:eastAsia="宋体" w:cs="宋体"/>
                <w:sz w:val="24"/>
                <w:szCs w:val="22"/>
              </w:rPr>
            </w:pPr>
            <w:r>
              <w:rPr>
                <w:rFonts w:hint="eastAsia" w:ascii="宋体" w:hAnsi="宋体" w:eastAsia="宋体" w:cs="宋体"/>
                <w:sz w:val="24"/>
                <w:szCs w:val="22"/>
              </w:rPr>
              <w:t xml:space="preserve">（公章）          </w:t>
            </w:r>
          </w:p>
          <w:p>
            <w:pPr>
              <w:spacing w:line="420" w:lineRule="exact"/>
              <w:ind w:firstLine="7200" w:firstLineChars="3000"/>
              <w:rPr>
                <w:rFonts w:ascii="宋体" w:hAnsi="宋体" w:eastAsia="宋体" w:cs="宋体"/>
                <w:sz w:val="24"/>
                <w:szCs w:val="22"/>
              </w:rPr>
            </w:pPr>
            <w:r>
              <w:rPr>
                <w:rFonts w:hint="eastAsia" w:ascii="宋体" w:hAnsi="宋体" w:eastAsia="宋体" w:cs="宋体"/>
                <w:sz w:val="24"/>
                <w:szCs w:val="2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spacing w:line="420" w:lineRule="exact"/>
              <w:ind w:firstLine="480"/>
              <w:rPr>
                <w:rFonts w:ascii="宋体" w:hAnsi="宋体" w:eastAsia="宋体" w:cs="宋体"/>
                <w:sz w:val="24"/>
                <w:szCs w:val="22"/>
              </w:rPr>
            </w:pPr>
            <w:r>
              <w:rPr>
                <w:rFonts w:hint="eastAsia" w:ascii="宋体" w:hAnsi="宋体" w:eastAsia="宋体" w:cs="宋体"/>
                <w:sz w:val="24"/>
                <w:szCs w:val="22"/>
              </w:rPr>
              <w:t>县（区）政府意见</w:t>
            </w:r>
          </w:p>
          <w:p>
            <w:pPr>
              <w:spacing w:line="420" w:lineRule="exact"/>
              <w:ind w:firstLine="6480" w:firstLineChars="2700"/>
              <w:rPr>
                <w:rFonts w:ascii="宋体" w:hAnsi="宋体" w:eastAsia="宋体" w:cs="宋体"/>
                <w:sz w:val="24"/>
                <w:szCs w:val="22"/>
              </w:rPr>
            </w:pPr>
          </w:p>
          <w:p>
            <w:pPr>
              <w:spacing w:line="420" w:lineRule="exact"/>
              <w:ind w:firstLine="6480" w:firstLineChars="2700"/>
              <w:rPr>
                <w:rFonts w:ascii="宋体" w:hAnsi="宋体" w:eastAsia="宋体" w:cs="宋体"/>
                <w:sz w:val="24"/>
                <w:szCs w:val="22"/>
              </w:rPr>
            </w:pPr>
            <w:r>
              <w:rPr>
                <w:rFonts w:hint="eastAsia" w:ascii="宋体" w:hAnsi="宋体" w:eastAsia="宋体" w:cs="宋体"/>
                <w:sz w:val="24"/>
                <w:szCs w:val="22"/>
              </w:rPr>
              <w:t xml:space="preserve">（公章）            </w:t>
            </w:r>
          </w:p>
          <w:p>
            <w:pPr>
              <w:spacing w:line="420" w:lineRule="exact"/>
              <w:ind w:firstLine="4080" w:firstLineChars="1700"/>
              <w:jc w:val="right"/>
              <w:rPr>
                <w:rFonts w:ascii="宋体" w:hAnsi="宋体" w:eastAsia="宋体" w:cs="宋体"/>
                <w:sz w:val="24"/>
                <w:szCs w:val="22"/>
              </w:rPr>
            </w:pPr>
            <w:r>
              <w:rPr>
                <w:rFonts w:hint="eastAsia" w:ascii="宋体" w:hAnsi="宋体" w:eastAsia="宋体" w:cs="宋体"/>
                <w:sz w:val="24"/>
                <w:szCs w:val="2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spacing w:line="420" w:lineRule="exact"/>
              <w:ind w:firstLine="480"/>
              <w:rPr>
                <w:rFonts w:ascii="宋体" w:hAnsi="宋体" w:eastAsia="宋体" w:cs="宋体"/>
                <w:sz w:val="24"/>
                <w:szCs w:val="22"/>
              </w:rPr>
            </w:pPr>
            <w:r>
              <w:rPr>
                <w:rFonts w:hint="eastAsia" w:ascii="宋体" w:hAnsi="宋体" w:eastAsia="宋体" w:cs="宋体"/>
                <w:sz w:val="24"/>
                <w:szCs w:val="22"/>
              </w:rPr>
              <w:t>市级</w:t>
            </w:r>
            <w:r>
              <w:rPr>
                <w:rFonts w:hint="eastAsia" w:ascii="宋体" w:hAnsi="宋体" w:eastAsia="宋体" w:cs="宋体"/>
                <w:sz w:val="24"/>
                <w:szCs w:val="22"/>
                <w:lang w:val="en-US" w:eastAsia="zh-CN"/>
              </w:rPr>
              <w:t>爱卫办/</w:t>
            </w:r>
            <w:r>
              <w:rPr>
                <w:rFonts w:hint="eastAsia" w:ascii="宋体" w:hAnsi="宋体" w:eastAsia="宋体" w:cs="宋体"/>
                <w:sz w:val="24"/>
                <w:szCs w:val="22"/>
              </w:rPr>
              <w:t>卫生健康局审核意见</w:t>
            </w:r>
          </w:p>
          <w:p>
            <w:pPr>
              <w:spacing w:line="420" w:lineRule="exact"/>
              <w:ind w:firstLine="6480" w:firstLineChars="2700"/>
              <w:rPr>
                <w:rFonts w:ascii="宋体" w:hAnsi="宋体" w:eastAsia="宋体" w:cs="宋体"/>
                <w:sz w:val="24"/>
                <w:szCs w:val="22"/>
              </w:rPr>
            </w:pPr>
          </w:p>
          <w:p>
            <w:pPr>
              <w:spacing w:line="420" w:lineRule="exact"/>
              <w:ind w:firstLine="6480" w:firstLineChars="2700"/>
              <w:rPr>
                <w:rFonts w:ascii="宋体" w:hAnsi="宋体" w:eastAsia="宋体" w:cs="宋体"/>
                <w:sz w:val="24"/>
                <w:szCs w:val="22"/>
              </w:rPr>
            </w:pPr>
            <w:r>
              <w:rPr>
                <w:rFonts w:hint="eastAsia" w:ascii="宋体" w:hAnsi="宋体" w:eastAsia="宋体" w:cs="宋体"/>
                <w:sz w:val="24"/>
                <w:szCs w:val="22"/>
              </w:rPr>
              <w:t xml:space="preserve">（公章）            </w:t>
            </w:r>
          </w:p>
          <w:p>
            <w:pPr>
              <w:spacing w:line="420" w:lineRule="exact"/>
              <w:ind w:firstLine="480"/>
              <w:jc w:val="right"/>
              <w:rPr>
                <w:rFonts w:ascii="宋体" w:hAnsi="宋体" w:eastAsia="宋体" w:cs="宋体"/>
                <w:sz w:val="24"/>
                <w:szCs w:val="22"/>
              </w:rPr>
            </w:pPr>
            <w:r>
              <w:rPr>
                <w:rFonts w:hint="eastAsia" w:ascii="宋体" w:hAnsi="宋体" w:eastAsia="宋体" w:cs="宋体"/>
                <w:sz w:val="24"/>
                <w:szCs w:val="22"/>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spacing w:line="420" w:lineRule="exact"/>
              <w:ind w:firstLine="480"/>
              <w:rPr>
                <w:rFonts w:ascii="宋体" w:hAnsi="宋体" w:eastAsia="宋体" w:cs="宋体"/>
                <w:sz w:val="24"/>
                <w:szCs w:val="22"/>
              </w:rPr>
            </w:pPr>
            <w:r>
              <w:rPr>
                <w:rFonts w:hint="eastAsia" w:ascii="宋体" w:hAnsi="宋体" w:eastAsia="宋体" w:cs="宋体"/>
                <w:sz w:val="24"/>
                <w:szCs w:val="22"/>
              </w:rPr>
              <w:t>省级</w:t>
            </w:r>
            <w:r>
              <w:rPr>
                <w:rFonts w:hint="eastAsia" w:ascii="宋体" w:hAnsi="宋体" w:eastAsia="宋体" w:cs="宋体"/>
                <w:sz w:val="24"/>
                <w:szCs w:val="22"/>
                <w:lang w:val="en-US" w:eastAsia="zh-CN"/>
              </w:rPr>
              <w:t>爱卫办/</w:t>
            </w:r>
            <w:r>
              <w:rPr>
                <w:rFonts w:hint="eastAsia" w:ascii="宋体" w:hAnsi="宋体" w:eastAsia="宋体" w:cs="宋体"/>
                <w:sz w:val="24"/>
                <w:szCs w:val="22"/>
              </w:rPr>
              <w:t>卫生健康委审核意见</w:t>
            </w:r>
          </w:p>
          <w:p>
            <w:pPr>
              <w:spacing w:line="420" w:lineRule="exact"/>
              <w:ind w:firstLine="6480" w:firstLineChars="2700"/>
              <w:rPr>
                <w:rFonts w:ascii="宋体" w:hAnsi="宋体" w:eastAsia="宋体" w:cs="宋体"/>
                <w:sz w:val="24"/>
                <w:szCs w:val="22"/>
              </w:rPr>
            </w:pPr>
          </w:p>
          <w:p>
            <w:pPr>
              <w:spacing w:line="420" w:lineRule="exact"/>
              <w:ind w:firstLine="6480" w:firstLineChars="2700"/>
              <w:rPr>
                <w:rFonts w:ascii="宋体" w:hAnsi="宋体" w:eastAsia="宋体" w:cs="宋体"/>
                <w:sz w:val="24"/>
                <w:szCs w:val="22"/>
              </w:rPr>
            </w:pPr>
            <w:r>
              <w:rPr>
                <w:rFonts w:hint="eastAsia" w:ascii="宋体" w:hAnsi="宋体" w:eastAsia="宋体" w:cs="宋体"/>
                <w:sz w:val="24"/>
                <w:szCs w:val="22"/>
              </w:rPr>
              <w:t xml:space="preserve">（公章）            </w:t>
            </w:r>
          </w:p>
          <w:p>
            <w:pPr>
              <w:spacing w:line="420" w:lineRule="exact"/>
              <w:ind w:firstLine="480"/>
              <w:jc w:val="right"/>
              <w:rPr>
                <w:rFonts w:ascii="宋体" w:hAnsi="宋体" w:eastAsia="宋体" w:cs="宋体"/>
                <w:sz w:val="24"/>
                <w:szCs w:val="22"/>
              </w:rPr>
            </w:pPr>
            <w:r>
              <w:rPr>
                <w:rFonts w:hint="eastAsia" w:ascii="宋体" w:hAnsi="宋体" w:eastAsia="宋体" w:cs="宋体"/>
                <w:sz w:val="24"/>
                <w:szCs w:val="22"/>
              </w:rPr>
              <w:t xml:space="preserve">年    月    日     </w:t>
            </w:r>
          </w:p>
        </w:tc>
      </w:tr>
    </w:tbl>
    <w:p>
      <w:pPr>
        <w:spacing w:line="580" w:lineRule="exact"/>
        <w:ind w:firstLine="0" w:firstLineChars="0"/>
        <w:rPr>
          <w:rFonts w:ascii="宋体" w:hAnsi="宋体" w:eastAsia="宋体" w:cs="宋体"/>
        </w:rPr>
        <w:sectPr>
          <w:footerReference r:id="rId5" w:type="default"/>
          <w:pgSz w:w="11906" w:h="16838"/>
          <w:pgMar w:top="1531" w:right="1701" w:bottom="1531" w:left="1701" w:header="851" w:footer="992" w:gutter="0"/>
          <w:cols w:space="720" w:num="1"/>
          <w:docGrid w:type="lines" w:linePitch="435" w:charSpace="0"/>
        </w:sectPr>
      </w:pPr>
    </w:p>
    <w:p>
      <w:pPr>
        <w:spacing w:line="580" w:lineRule="exact"/>
        <w:ind w:firstLine="0" w:firstLineChars="0"/>
        <w:rPr>
          <w:rFonts w:hint="eastAsia" w:ascii="黑体" w:hAnsi="黑体" w:eastAsia="黑体" w:cs="黑体"/>
          <w:color w:val="auto"/>
        </w:rPr>
      </w:pPr>
      <w:r>
        <w:rPr>
          <w:rFonts w:hint="eastAsia" w:ascii="黑体" w:hAnsi="黑体" w:eastAsia="黑体" w:cs="黑体"/>
          <w:color w:val="auto"/>
        </w:rPr>
        <w:t>附件2</w:t>
      </w:r>
    </w:p>
    <w:p>
      <w:pPr>
        <w:spacing w:line="560" w:lineRule="exact"/>
        <w:ind w:firstLine="0" w:firstLineChars="0"/>
        <w:jc w:val="center"/>
        <w:rPr>
          <w:rFonts w:hint="eastAsia" w:ascii="方正小标宋简体" w:hAnsi="方正小标宋简体" w:eastAsia="方正小标宋简体" w:cs="方正小标宋简体"/>
          <w:b w:val="0"/>
          <w:bCs/>
          <w:sz w:val="44"/>
          <w:szCs w:val="22"/>
        </w:rPr>
      </w:pPr>
      <w:r>
        <w:rPr>
          <w:rFonts w:hint="eastAsia" w:ascii="方正小标宋简体" w:hAnsi="方正小标宋简体" w:eastAsia="方正小标宋简体" w:cs="方正小标宋简体"/>
          <w:b w:val="0"/>
          <w:bCs/>
          <w:color w:val="auto"/>
          <w:sz w:val="44"/>
          <w:szCs w:val="22"/>
        </w:rPr>
        <w:t>健康县（区）建设情况表</w:t>
      </w:r>
    </w:p>
    <w:tbl>
      <w:tblPr>
        <w:tblStyle w:val="7"/>
        <w:tblW w:w="9197" w:type="dxa"/>
        <w:jc w:val="center"/>
        <w:tblLayout w:type="fixed"/>
        <w:tblCellMar>
          <w:top w:w="0" w:type="dxa"/>
          <w:left w:w="10" w:type="dxa"/>
          <w:bottom w:w="0" w:type="dxa"/>
          <w:right w:w="10" w:type="dxa"/>
        </w:tblCellMar>
      </w:tblPr>
      <w:tblGrid>
        <w:gridCol w:w="862"/>
        <w:gridCol w:w="1824"/>
        <w:gridCol w:w="3960"/>
        <w:gridCol w:w="1024"/>
        <w:gridCol w:w="777"/>
        <w:gridCol w:w="750"/>
      </w:tblGrid>
      <w:tr>
        <w:tblPrEx>
          <w:tblCellMar>
            <w:top w:w="0" w:type="dxa"/>
            <w:left w:w="10" w:type="dxa"/>
            <w:bottom w:w="0" w:type="dxa"/>
            <w:right w:w="10" w:type="dxa"/>
          </w:tblCellMar>
        </w:tblPrEx>
        <w:trPr>
          <w:trHeight w:val="627" w:hRule="exact"/>
          <w:jc w:val="center"/>
        </w:trPr>
        <w:tc>
          <w:tcPr>
            <w:tcW w:w="862" w:type="dxa"/>
            <w:tcBorders>
              <w:top w:val="single" w:color="auto" w:sz="4" w:space="0"/>
              <w:left w:val="single" w:color="auto" w:sz="4" w:space="0"/>
            </w:tcBorders>
            <w:shd w:val="clear" w:color="auto" w:fill="FFFFFF"/>
          </w:tcPr>
          <w:p>
            <w:pPr>
              <w:pStyle w:val="10"/>
              <w:spacing w:before="80" w:after="120" w:line="480" w:lineRule="auto"/>
              <w:ind w:firstLine="0" w:firstLineChars="0"/>
              <w:jc w:val="center"/>
            </w:pPr>
            <w:r>
              <w:rPr>
                <w:rFonts w:hint="eastAsia"/>
                <w:color w:val="000000"/>
              </w:rPr>
              <w:t>一级指标</w:t>
            </w:r>
          </w:p>
        </w:tc>
        <w:tc>
          <w:tcPr>
            <w:tcW w:w="1824" w:type="dxa"/>
            <w:tcBorders>
              <w:top w:val="single" w:color="auto" w:sz="4" w:space="0"/>
              <w:left w:val="single" w:color="auto" w:sz="4" w:space="0"/>
            </w:tcBorders>
            <w:shd w:val="clear" w:color="auto" w:fill="FFFFFF"/>
            <w:vAlign w:val="center"/>
          </w:tcPr>
          <w:p>
            <w:pPr>
              <w:pStyle w:val="10"/>
              <w:spacing w:line="480" w:lineRule="auto"/>
              <w:ind w:firstLine="0" w:firstLineChars="0"/>
              <w:jc w:val="center"/>
            </w:pPr>
            <w:r>
              <w:rPr>
                <w:rFonts w:hint="eastAsia"/>
                <w:color w:val="000000"/>
              </w:rPr>
              <w:t>二级指标</w:t>
            </w:r>
          </w:p>
        </w:tc>
        <w:tc>
          <w:tcPr>
            <w:tcW w:w="3960"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lang w:eastAsia="zh-CN"/>
              </w:rPr>
              <w:t>填</w:t>
            </w:r>
            <w:r>
              <w:rPr>
                <w:rFonts w:hint="eastAsia"/>
                <w:color w:val="000000"/>
              </w:rPr>
              <w:t>报指标</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单位</w:t>
            </w:r>
          </w:p>
        </w:tc>
        <w:tc>
          <w:tcPr>
            <w:tcW w:w="777" w:type="dxa"/>
            <w:tcBorders>
              <w:top w:val="single" w:color="auto" w:sz="4" w:space="0"/>
              <w:left w:val="single" w:color="auto" w:sz="4" w:space="0"/>
            </w:tcBorders>
            <w:shd w:val="clear" w:color="auto" w:fill="FFFFFF"/>
          </w:tcPr>
          <w:p>
            <w:pPr>
              <w:pStyle w:val="10"/>
              <w:spacing w:before="80" w:after="120" w:line="240" w:lineRule="auto"/>
              <w:ind w:firstLine="0" w:firstLineChars="0"/>
              <w:jc w:val="center"/>
            </w:pPr>
            <w:r>
              <w:rPr>
                <w:rFonts w:hint="eastAsia"/>
                <w:color w:val="000000"/>
              </w:rPr>
              <w:t>推荐县区一</w:t>
            </w:r>
          </w:p>
        </w:tc>
        <w:tc>
          <w:tcPr>
            <w:tcW w:w="750" w:type="dxa"/>
            <w:tcBorders>
              <w:top w:val="single" w:color="auto" w:sz="4" w:space="0"/>
              <w:left w:val="single" w:color="auto" w:sz="4" w:space="0"/>
              <w:right w:val="single" w:color="auto" w:sz="4" w:space="0"/>
            </w:tcBorders>
            <w:shd w:val="clear" w:color="auto" w:fill="FFFFFF"/>
          </w:tcPr>
          <w:p>
            <w:pPr>
              <w:pStyle w:val="10"/>
              <w:spacing w:line="360" w:lineRule="exact"/>
              <w:ind w:firstLine="0" w:firstLineChars="0"/>
              <w:jc w:val="center"/>
            </w:pPr>
            <w:r>
              <w:rPr>
                <w:rFonts w:hint="eastAsia"/>
                <w:color w:val="000000"/>
              </w:rPr>
              <w:t>推荐县区二</w:t>
            </w:r>
          </w:p>
        </w:tc>
      </w:tr>
      <w:tr>
        <w:tblPrEx>
          <w:tblCellMar>
            <w:top w:w="0" w:type="dxa"/>
            <w:left w:w="10" w:type="dxa"/>
            <w:bottom w:w="0" w:type="dxa"/>
            <w:right w:w="10" w:type="dxa"/>
          </w:tblCellMar>
        </w:tblPrEx>
        <w:trPr>
          <w:trHeight w:val="310" w:hRule="exact"/>
          <w:jc w:val="center"/>
        </w:trPr>
        <w:tc>
          <w:tcPr>
            <w:tcW w:w="862" w:type="dxa"/>
            <w:vMerge w:val="restart"/>
            <w:tcBorders>
              <w:top w:val="single" w:color="auto" w:sz="4" w:space="0"/>
              <w:left w:val="single" w:color="auto" w:sz="4" w:space="0"/>
            </w:tcBorders>
            <w:shd w:val="clear" w:color="auto" w:fill="FFFFFF"/>
            <w:vAlign w:val="center"/>
          </w:tcPr>
          <w:p>
            <w:pPr>
              <w:pStyle w:val="10"/>
              <w:spacing w:after="120" w:line="240" w:lineRule="auto"/>
              <w:ind w:firstLine="0" w:firstLineChars="0"/>
              <w:jc w:val="center"/>
            </w:pPr>
            <w:r>
              <w:rPr>
                <w:rFonts w:hint="eastAsia"/>
                <w:color w:val="000000"/>
              </w:rPr>
              <w:t>组织管理</w:t>
            </w:r>
          </w:p>
        </w:tc>
        <w:tc>
          <w:tcPr>
            <w:tcW w:w="1824" w:type="dxa"/>
            <w:vMerge w:val="restart"/>
            <w:tcBorders>
              <w:top w:val="single" w:color="auto" w:sz="4" w:space="0"/>
              <w:left w:val="single" w:color="auto" w:sz="4" w:space="0"/>
            </w:tcBorders>
            <w:shd w:val="clear" w:color="auto" w:fill="FFFFFF"/>
            <w:vAlign w:val="center"/>
          </w:tcPr>
          <w:p>
            <w:pPr>
              <w:pStyle w:val="10"/>
              <w:spacing w:line="353" w:lineRule="exact"/>
              <w:ind w:firstLine="0" w:firstLineChars="0"/>
              <w:jc w:val="center"/>
            </w:pPr>
            <w:r>
              <w:rPr>
                <w:rFonts w:hint="eastAsia"/>
                <w:color w:val="000000"/>
                <w:lang w:val="en-US" w:eastAsia="en-US" w:bidi="en-US"/>
              </w:rPr>
              <w:t>1.</w:t>
            </w:r>
            <w:r>
              <w:rPr>
                <w:rFonts w:hint="eastAsia"/>
                <w:color w:val="000000"/>
              </w:rPr>
              <w:t>健康促进工作网络</w:t>
            </w: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网络内健康促进专兼职人员总数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人</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91"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tcPr>
          <w:p>
            <w:pPr>
              <w:pStyle w:val="10"/>
              <w:spacing w:line="360" w:lineRule="exact"/>
              <w:ind w:firstLine="400"/>
              <w:jc w:val="center"/>
            </w:pPr>
            <w:r>
              <w:rPr>
                <w:rFonts w:hint="eastAsia"/>
                <w:color w:val="000000"/>
              </w:rPr>
              <w:t>一年内健康促进人员培训总人次数</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人次</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48"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vAlign w:val="center"/>
          </w:tcPr>
          <w:p>
            <w:pPr>
              <w:pStyle w:val="10"/>
              <w:spacing w:after="120" w:line="240" w:lineRule="auto"/>
              <w:ind w:firstLine="0" w:firstLineChars="0"/>
              <w:jc w:val="center"/>
            </w:pPr>
            <w:r>
              <w:rPr>
                <w:rFonts w:hint="eastAsia"/>
                <w:color w:val="000000"/>
                <w:lang w:val="en-US" w:eastAsia="en-US" w:bidi="en-US"/>
              </w:rPr>
              <w:t>2.</w:t>
            </w:r>
            <w:r>
              <w:rPr>
                <w:rFonts w:hint="eastAsia"/>
                <w:color w:val="000000"/>
              </w:rPr>
              <w:t>健康促进专业网络</w:t>
            </w:r>
          </w:p>
        </w:tc>
        <w:tc>
          <w:tcPr>
            <w:tcW w:w="3960" w:type="dxa"/>
            <w:tcBorders>
              <w:top w:val="single" w:color="auto" w:sz="4" w:space="0"/>
              <w:left w:val="single" w:color="auto" w:sz="4" w:space="0"/>
            </w:tcBorders>
            <w:shd w:val="clear" w:color="auto" w:fill="FFFFFF"/>
            <w:vAlign w:val="bottom"/>
          </w:tcPr>
          <w:p>
            <w:pPr>
              <w:pStyle w:val="10"/>
              <w:spacing w:line="353" w:lineRule="exact"/>
              <w:ind w:firstLine="400"/>
              <w:jc w:val="center"/>
            </w:pPr>
            <w:r>
              <w:rPr>
                <w:rFonts w:hint="eastAsia"/>
                <w:color w:val="000000"/>
              </w:rPr>
              <w:t>网络内健康促进与教育专业人员总数</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人</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79"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tcPr>
          <w:p>
            <w:pPr>
              <w:pStyle w:val="10"/>
              <w:spacing w:line="367" w:lineRule="exact"/>
              <w:ind w:firstLine="400"/>
              <w:jc w:val="center"/>
            </w:pPr>
            <w:r>
              <w:rPr>
                <w:rFonts w:hint="eastAsia"/>
                <w:color w:val="000000"/>
              </w:rPr>
              <w:t>一年内网络内专业人员总数培训总人次数</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人次</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03" w:hRule="exact"/>
          <w:jc w:val="center"/>
        </w:trPr>
        <w:tc>
          <w:tcPr>
            <w:tcW w:w="862" w:type="dxa"/>
            <w:vMerge w:val="restart"/>
            <w:tcBorders>
              <w:top w:val="single" w:color="auto" w:sz="4" w:space="0"/>
              <w:left w:val="single" w:color="auto" w:sz="4" w:space="0"/>
            </w:tcBorders>
            <w:shd w:val="clear" w:color="auto" w:fill="FFFFFF"/>
            <w:vAlign w:val="center"/>
          </w:tcPr>
          <w:p>
            <w:pPr>
              <w:pStyle w:val="10"/>
              <w:spacing w:line="353" w:lineRule="exact"/>
              <w:ind w:firstLine="0" w:firstLineChars="0"/>
              <w:jc w:val="center"/>
            </w:pPr>
            <w:r>
              <w:rPr>
                <w:rFonts w:hint="eastAsia"/>
                <w:color w:val="000000"/>
              </w:rPr>
              <w:t>健康政策</w:t>
            </w:r>
          </w:p>
        </w:tc>
        <w:tc>
          <w:tcPr>
            <w:tcW w:w="18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lang w:val="en-US" w:eastAsia="en-US" w:bidi="en-US"/>
              </w:rPr>
              <w:t>1.</w:t>
            </w:r>
            <w:r>
              <w:rPr>
                <w:rFonts w:hint="eastAsia"/>
                <w:color w:val="000000"/>
              </w:rPr>
              <w:t>宣传普及</w:t>
            </w: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启动以来专题培训班次数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次</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vAlign w:val="bottom"/>
          </w:tcPr>
          <w:p>
            <w:pPr>
              <w:pStyle w:val="10"/>
              <w:spacing w:line="374" w:lineRule="exact"/>
              <w:ind w:firstLine="0" w:firstLineChars="0"/>
              <w:jc w:val="center"/>
            </w:pPr>
            <w:r>
              <w:rPr>
                <w:rFonts w:hint="eastAsia"/>
                <w:color w:val="000000"/>
                <w:lang w:val="en-US" w:eastAsia="en-US" w:bidi="en-US"/>
              </w:rPr>
              <w:t>2.</w:t>
            </w:r>
            <w:r>
              <w:rPr>
                <w:rFonts w:hint="eastAsia"/>
                <w:color w:val="000000"/>
              </w:rPr>
              <w:t>健康政策审查机制</w:t>
            </w:r>
          </w:p>
        </w:tc>
        <w:tc>
          <w:tcPr>
            <w:tcW w:w="3960" w:type="dxa"/>
            <w:tcBorders>
              <w:top w:val="single" w:color="auto" w:sz="4" w:space="0"/>
              <w:left w:val="single" w:color="auto" w:sz="4" w:space="0"/>
            </w:tcBorders>
            <w:shd w:val="clear" w:color="auto" w:fill="FFFFFF"/>
          </w:tcPr>
          <w:p>
            <w:pPr>
              <w:pStyle w:val="10"/>
              <w:spacing w:line="240" w:lineRule="auto"/>
              <w:ind w:firstLine="400"/>
              <w:jc w:val="center"/>
            </w:pPr>
            <w:r>
              <w:rPr>
                <w:rFonts w:hint="eastAsia"/>
                <w:color w:val="000000"/>
              </w:rPr>
              <w:t>成立健康专家委员会（1是、</w:t>
            </w:r>
            <w:r>
              <w:rPr>
                <w:rFonts w:hint="eastAsia"/>
                <w:color w:val="000000"/>
                <w:lang w:val="zh-CN" w:eastAsia="zh-CN" w:bidi="zh-CN"/>
              </w:rPr>
              <w:t>否）</w:t>
            </w:r>
          </w:p>
        </w:tc>
        <w:tc>
          <w:tcPr>
            <w:tcW w:w="1024" w:type="dxa"/>
            <w:tcBorders>
              <w:top w:val="single" w:color="auto" w:sz="4" w:space="0"/>
              <w:left w:val="single" w:color="auto" w:sz="4" w:space="0"/>
            </w:tcBorders>
            <w:shd w:val="clear" w:color="auto" w:fill="FFFFFF"/>
          </w:tcPr>
          <w:p>
            <w:pPr>
              <w:pStyle w:val="10"/>
              <w:spacing w:line="240" w:lineRule="auto"/>
              <w:ind w:firstLine="0" w:firstLineChars="0"/>
              <w:jc w:val="center"/>
            </w:pPr>
            <w:r>
              <w:rPr>
                <w:rFonts w:hint="eastAsia"/>
                <w:color w:val="000000"/>
              </w:rPr>
              <w:t>选择</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bottom"/>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启动以来健康政策审查次数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次</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462"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tcBorders>
              <w:top w:val="single" w:color="auto" w:sz="4" w:space="0"/>
              <w:left w:val="single" w:color="auto" w:sz="4" w:space="0"/>
            </w:tcBorders>
            <w:shd w:val="clear" w:color="auto" w:fill="FFFFFF"/>
            <w:vAlign w:val="bottom"/>
          </w:tcPr>
          <w:p>
            <w:pPr>
              <w:pStyle w:val="10"/>
              <w:spacing w:after="120" w:line="240" w:lineRule="auto"/>
              <w:ind w:firstLine="0" w:firstLineChars="0"/>
              <w:jc w:val="center"/>
            </w:pPr>
            <w:r>
              <w:rPr>
                <w:rFonts w:hint="eastAsia"/>
                <w:color w:val="000000"/>
              </w:rPr>
              <w:t>3.多部门健康政策</w:t>
            </w:r>
          </w:p>
        </w:tc>
        <w:tc>
          <w:tcPr>
            <w:tcW w:w="3960" w:type="dxa"/>
            <w:tcBorders>
              <w:top w:val="single" w:color="auto" w:sz="4" w:space="0"/>
              <w:left w:val="single" w:color="auto" w:sz="4" w:space="0"/>
            </w:tcBorders>
            <w:shd w:val="clear" w:color="auto" w:fill="FFFFFF"/>
            <w:vAlign w:val="center"/>
          </w:tcPr>
          <w:p>
            <w:pPr>
              <w:pStyle w:val="10"/>
              <w:spacing w:line="240" w:lineRule="auto"/>
              <w:ind w:firstLine="400"/>
              <w:jc w:val="center"/>
            </w:pPr>
            <w:r>
              <w:rPr>
                <w:rFonts w:hint="eastAsia"/>
                <w:color w:val="000000"/>
              </w:rPr>
              <w:t>启动以来多部门健康政策数量</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条</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62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tcBorders>
              <w:top w:val="single" w:color="auto" w:sz="4" w:space="0"/>
              <w:left w:val="single" w:color="auto" w:sz="4" w:space="0"/>
            </w:tcBorders>
            <w:shd w:val="clear" w:color="auto" w:fill="FFFFFF"/>
            <w:vAlign w:val="bottom"/>
          </w:tcPr>
          <w:p>
            <w:pPr>
              <w:pStyle w:val="10"/>
              <w:spacing w:after="140" w:line="240" w:lineRule="auto"/>
              <w:ind w:firstLine="0" w:firstLineChars="0"/>
              <w:jc w:val="center"/>
            </w:pPr>
            <w:r>
              <w:rPr>
                <w:rFonts w:hint="eastAsia"/>
                <w:color w:val="000000"/>
                <w:lang w:val="en-US" w:eastAsia="en-US" w:bidi="en-US"/>
              </w:rPr>
              <w:t>4.</w:t>
            </w:r>
            <w:r>
              <w:rPr>
                <w:rFonts w:hint="eastAsia"/>
                <w:color w:val="000000"/>
              </w:rPr>
              <w:t>多部门健康行动</w:t>
            </w:r>
          </w:p>
        </w:tc>
        <w:tc>
          <w:tcPr>
            <w:tcW w:w="3960" w:type="dxa"/>
            <w:tcBorders>
              <w:top w:val="single" w:color="auto" w:sz="4" w:space="0"/>
              <w:left w:val="single" w:color="auto" w:sz="4" w:space="0"/>
            </w:tcBorders>
            <w:shd w:val="clear" w:color="auto" w:fill="FFFFFF"/>
            <w:vAlign w:val="bottom"/>
          </w:tcPr>
          <w:p>
            <w:pPr>
              <w:pStyle w:val="10"/>
              <w:spacing w:line="360" w:lineRule="exact"/>
              <w:ind w:firstLine="400"/>
              <w:jc w:val="center"/>
            </w:pPr>
            <w:r>
              <w:rPr>
                <w:rFonts w:hint="eastAsia"/>
                <w:color w:val="000000"/>
              </w:rPr>
              <w:t>启动以来两个及以上部门联合的健康行动数量</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次</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restart"/>
            <w:tcBorders>
              <w:top w:val="single" w:color="auto" w:sz="4" w:space="0"/>
              <w:left w:val="single" w:color="auto" w:sz="4" w:space="0"/>
            </w:tcBorders>
            <w:shd w:val="clear" w:color="auto" w:fill="FFFFFF"/>
            <w:vAlign w:val="center"/>
          </w:tcPr>
          <w:p>
            <w:pPr>
              <w:pStyle w:val="10"/>
              <w:spacing w:after="120" w:line="240" w:lineRule="auto"/>
              <w:ind w:firstLine="0" w:firstLineChars="0"/>
              <w:jc w:val="center"/>
              <w:rPr>
                <w:lang w:val="en-US" w:eastAsia="zh-CN"/>
              </w:rPr>
            </w:pPr>
            <w:r>
              <w:rPr>
                <w:rFonts w:hint="eastAsia"/>
                <w:color w:val="000000"/>
              </w:rPr>
              <w:t>健康</w:t>
            </w:r>
            <w:r>
              <w:rPr>
                <w:rFonts w:hint="eastAsia"/>
                <w:color w:val="000000"/>
                <w:lang w:val="en-US" w:eastAsia="zh-CN"/>
              </w:rPr>
              <w:t>细胞及支持环境</w:t>
            </w:r>
          </w:p>
        </w:tc>
        <w:tc>
          <w:tcPr>
            <w:tcW w:w="1824" w:type="dxa"/>
            <w:vMerge w:val="restart"/>
            <w:tcBorders>
              <w:top w:val="single" w:color="auto" w:sz="4" w:space="0"/>
              <w:left w:val="single" w:color="auto" w:sz="4" w:space="0"/>
            </w:tcBorders>
            <w:shd w:val="clear" w:color="auto" w:fill="FFFFFF"/>
            <w:vAlign w:val="center"/>
          </w:tcPr>
          <w:p>
            <w:pPr>
              <w:pStyle w:val="10"/>
              <w:spacing w:line="240" w:lineRule="auto"/>
              <w:ind w:firstLine="0" w:firstLineChars="0"/>
              <w:jc w:val="center"/>
              <w:rPr>
                <w:lang w:val="en-US" w:eastAsia="zh-CN"/>
              </w:rPr>
            </w:pPr>
            <w:r>
              <w:rPr>
                <w:rFonts w:hint="eastAsia"/>
                <w:lang w:val="en-US" w:eastAsia="zh-CN"/>
              </w:rPr>
              <w:t>1.健康乡镇（街道）</w:t>
            </w: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lang w:val="en-US" w:eastAsia="zh-CN"/>
              </w:rPr>
              <w:t>乡镇（街道）</w:t>
            </w:r>
            <w:r>
              <w:rPr>
                <w:rFonts w:hint="eastAsia"/>
                <w:color w:val="000000"/>
              </w:rPr>
              <w:t>总数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健康</w:t>
            </w:r>
            <w:r>
              <w:rPr>
                <w:rFonts w:hint="eastAsia"/>
                <w:color w:val="000000"/>
                <w:lang w:val="en-US" w:eastAsia="zh-CN"/>
              </w:rPr>
              <w:t>乡镇（街道）</w:t>
            </w:r>
            <w:r>
              <w:rPr>
                <w:rFonts w:hint="eastAsia"/>
                <w:color w:val="000000"/>
              </w:rPr>
              <w:t>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center"/>
          </w:tcPr>
          <w:p>
            <w:pPr>
              <w:pStyle w:val="10"/>
              <w:spacing w:line="240" w:lineRule="auto"/>
              <w:ind w:firstLine="400"/>
              <w:jc w:val="center"/>
            </w:pPr>
            <w:r>
              <w:rPr>
                <w:rFonts w:hint="eastAsia"/>
                <w:color w:val="000000"/>
              </w:rPr>
              <w:t>健康</w:t>
            </w:r>
            <w:r>
              <w:rPr>
                <w:rFonts w:hint="eastAsia"/>
                <w:color w:val="000000"/>
                <w:lang w:val="en-US" w:eastAsia="zh-CN"/>
              </w:rPr>
              <w:t>乡镇（街道）</w:t>
            </w:r>
            <w:r>
              <w:rPr>
                <w:rFonts w:hint="eastAsia"/>
                <w:color w:val="000000"/>
              </w:rPr>
              <w:t>覆盖率</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left w:val="single" w:color="auto" w:sz="4" w:space="0"/>
            </w:tcBorders>
            <w:shd w:val="clear" w:color="auto" w:fill="FFFFFF"/>
            <w:vAlign w:val="center"/>
          </w:tcPr>
          <w:p>
            <w:pPr>
              <w:pStyle w:val="10"/>
              <w:spacing w:line="240" w:lineRule="auto"/>
              <w:ind w:firstLine="0" w:firstLineChars="0"/>
              <w:jc w:val="center"/>
            </w:pPr>
            <w:r>
              <w:rPr>
                <w:rFonts w:hint="eastAsia"/>
                <w:color w:val="000000"/>
                <w:lang w:val="en-US" w:eastAsia="zh-CN" w:bidi="en-US"/>
              </w:rPr>
              <w:t>2</w:t>
            </w:r>
            <w:r>
              <w:rPr>
                <w:rFonts w:hint="eastAsia"/>
                <w:color w:val="000000"/>
                <w:lang w:val="en-US" w:eastAsia="en-US" w:bidi="en-US"/>
              </w:rPr>
              <w:t>.</w:t>
            </w:r>
            <w:r>
              <w:rPr>
                <w:rFonts w:hint="eastAsia"/>
                <w:color w:val="000000"/>
              </w:rPr>
              <w:t>健康社区</w:t>
            </w: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社区总数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健康社区数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center"/>
          </w:tcPr>
          <w:p>
            <w:pPr>
              <w:pStyle w:val="10"/>
              <w:spacing w:line="240" w:lineRule="auto"/>
              <w:ind w:firstLine="400"/>
              <w:jc w:val="center"/>
            </w:pPr>
            <w:r>
              <w:rPr>
                <w:rFonts w:hint="eastAsia"/>
                <w:color w:val="000000"/>
              </w:rPr>
              <w:t>健康社区覆盖率</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lang w:val="en-US" w:eastAsia="zh-CN" w:bidi="en-US"/>
              </w:rPr>
              <w:t>3</w:t>
            </w:r>
            <w:r>
              <w:rPr>
                <w:rFonts w:hint="eastAsia"/>
                <w:color w:val="000000"/>
                <w:lang w:val="en-US" w:eastAsia="en-US" w:bidi="en-US"/>
              </w:rPr>
              <w:t>.</w:t>
            </w:r>
            <w:r>
              <w:rPr>
                <w:rFonts w:hint="eastAsia"/>
                <w:color w:val="000000"/>
              </w:rPr>
              <w:t>健康村</w:t>
            </w:r>
          </w:p>
        </w:tc>
        <w:tc>
          <w:tcPr>
            <w:tcW w:w="3960" w:type="dxa"/>
            <w:tcBorders>
              <w:top w:val="single" w:color="auto" w:sz="4" w:space="0"/>
              <w:left w:val="single" w:color="auto" w:sz="4" w:space="0"/>
            </w:tcBorders>
            <w:shd w:val="clear" w:color="auto" w:fill="FFFFFF"/>
          </w:tcPr>
          <w:p>
            <w:pPr>
              <w:pStyle w:val="10"/>
              <w:spacing w:line="240" w:lineRule="auto"/>
              <w:ind w:firstLine="400"/>
              <w:jc w:val="center"/>
            </w:pPr>
            <w:r>
              <w:rPr>
                <w:rFonts w:hint="eastAsia"/>
                <w:color w:val="000000"/>
              </w:rPr>
              <w:t>行政村总数</w:t>
            </w:r>
          </w:p>
        </w:tc>
        <w:tc>
          <w:tcPr>
            <w:tcW w:w="1024" w:type="dxa"/>
            <w:tcBorders>
              <w:top w:val="single" w:color="auto" w:sz="4" w:space="0"/>
              <w:left w:val="single" w:color="auto" w:sz="4" w:space="0"/>
            </w:tcBorders>
            <w:shd w:val="clear" w:color="auto" w:fill="FFFFFF"/>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tcPr>
          <w:p>
            <w:pPr>
              <w:pStyle w:val="10"/>
              <w:spacing w:line="240" w:lineRule="auto"/>
              <w:ind w:firstLine="400"/>
              <w:jc w:val="center"/>
            </w:pPr>
            <w:r>
              <w:rPr>
                <w:rFonts w:hint="eastAsia"/>
                <w:color w:val="000000"/>
              </w:rPr>
              <w:t>健康村数</w:t>
            </w:r>
          </w:p>
        </w:tc>
        <w:tc>
          <w:tcPr>
            <w:tcW w:w="1024" w:type="dxa"/>
            <w:tcBorders>
              <w:top w:val="single" w:color="auto" w:sz="4" w:space="0"/>
              <w:left w:val="single" w:color="auto" w:sz="4" w:space="0"/>
            </w:tcBorders>
            <w:shd w:val="clear" w:color="auto" w:fill="FFFFFF"/>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center"/>
          </w:tcPr>
          <w:p>
            <w:pPr>
              <w:pStyle w:val="10"/>
              <w:spacing w:line="240" w:lineRule="auto"/>
              <w:ind w:firstLine="400"/>
              <w:jc w:val="center"/>
            </w:pPr>
            <w:r>
              <w:rPr>
                <w:rFonts w:hint="eastAsia"/>
                <w:color w:val="000000"/>
              </w:rPr>
              <w:t>健康村覆盖率</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lang w:val="en-US" w:eastAsia="zh-CN"/>
              </w:rPr>
              <w:t>4</w:t>
            </w:r>
            <w:r>
              <w:rPr>
                <w:rFonts w:hint="eastAsia"/>
                <w:color w:val="000000"/>
              </w:rPr>
              <w:t>.健康家庭</w:t>
            </w: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家庭数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健康家庭数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center"/>
          </w:tcPr>
          <w:p>
            <w:pPr>
              <w:pStyle w:val="10"/>
              <w:spacing w:line="240" w:lineRule="auto"/>
              <w:ind w:firstLine="400"/>
              <w:jc w:val="center"/>
            </w:pPr>
            <w:r>
              <w:rPr>
                <w:rFonts w:hint="eastAsia"/>
                <w:color w:val="000000"/>
              </w:rPr>
              <w:t>健康家庭覆盖率</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rPr>
                <w:sz w:val="24"/>
                <w:szCs w:val="24"/>
              </w:rPr>
            </w:pPr>
            <w:r>
              <w:rPr>
                <w:rFonts w:hint="eastAsia"/>
                <w:i/>
                <w:iCs/>
                <w:color w:val="000000"/>
                <w:sz w:val="24"/>
                <w:szCs w:val="24"/>
              </w:rPr>
              <w:t>%</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tcPr>
          <w:p>
            <w:pPr>
              <w:pStyle w:val="10"/>
              <w:spacing w:after="140" w:line="240" w:lineRule="auto"/>
              <w:ind w:firstLine="0" w:firstLineChars="0"/>
              <w:jc w:val="center"/>
            </w:pPr>
            <w:r>
              <w:rPr>
                <w:rFonts w:hint="eastAsia"/>
                <w:color w:val="000000"/>
                <w:lang w:val="en-US" w:eastAsia="zh-CN" w:bidi="en-US"/>
              </w:rPr>
              <w:t>5</w:t>
            </w:r>
            <w:r>
              <w:rPr>
                <w:rFonts w:hint="eastAsia"/>
                <w:color w:val="000000"/>
                <w:lang w:val="en-US" w:eastAsia="en-US" w:bidi="en-US"/>
              </w:rPr>
              <w:t>.</w:t>
            </w:r>
            <w:r>
              <w:rPr>
                <w:rFonts w:hint="eastAsia"/>
                <w:color w:val="000000"/>
              </w:rPr>
              <w:t>健康支持性环境</w:t>
            </w: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健康步道数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tcPr>
          <w:p>
            <w:pPr>
              <w:pStyle w:val="10"/>
              <w:spacing w:line="240" w:lineRule="auto"/>
              <w:ind w:firstLine="400"/>
              <w:jc w:val="center"/>
            </w:pPr>
            <w:r>
              <w:rPr>
                <w:rFonts w:hint="eastAsia"/>
                <w:color w:val="000000"/>
              </w:rPr>
              <w:t>健康主题公园数</w:t>
            </w:r>
          </w:p>
        </w:tc>
        <w:tc>
          <w:tcPr>
            <w:tcW w:w="1024" w:type="dxa"/>
            <w:tcBorders>
              <w:top w:val="single" w:color="auto" w:sz="4" w:space="0"/>
              <w:left w:val="single" w:color="auto" w:sz="4" w:space="0"/>
            </w:tcBorders>
            <w:shd w:val="clear" w:color="auto" w:fill="FFFFFF"/>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734"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vAlign w:val="center"/>
          </w:tcPr>
          <w:p>
            <w:pPr>
              <w:pStyle w:val="10"/>
              <w:spacing w:line="353" w:lineRule="exact"/>
              <w:ind w:firstLine="0" w:firstLineChars="0"/>
              <w:jc w:val="center"/>
            </w:pPr>
            <w:r>
              <w:rPr>
                <w:rFonts w:hint="eastAsia"/>
                <w:color w:val="000000"/>
                <w:lang w:val="en-US" w:eastAsia="zh-CN"/>
              </w:rPr>
              <w:t>6</w:t>
            </w:r>
            <w:r>
              <w:rPr>
                <w:rFonts w:hint="eastAsia"/>
                <w:color w:val="000000"/>
              </w:rPr>
              <w:t>.健康学校</w:t>
            </w:r>
          </w:p>
        </w:tc>
        <w:tc>
          <w:tcPr>
            <w:tcW w:w="3960" w:type="dxa"/>
            <w:tcBorders>
              <w:top w:val="single" w:color="auto" w:sz="4" w:space="0"/>
              <w:left w:val="single" w:color="auto" w:sz="4" w:space="0"/>
            </w:tcBorders>
            <w:shd w:val="clear" w:color="auto" w:fill="FFFFFF"/>
          </w:tcPr>
          <w:p>
            <w:pPr>
              <w:pStyle w:val="10"/>
              <w:spacing w:line="240" w:lineRule="auto"/>
              <w:ind w:firstLine="400"/>
              <w:jc w:val="center"/>
              <w:rPr>
                <w:rFonts w:hint="eastAsia"/>
                <w:color w:val="000000"/>
              </w:rPr>
            </w:pPr>
            <w:r>
              <w:rPr>
                <w:rFonts w:hint="eastAsia"/>
                <w:color w:val="000000"/>
              </w:rPr>
              <w:t>学校总数</w:t>
            </w:r>
          </w:p>
          <w:p>
            <w:pPr>
              <w:pStyle w:val="10"/>
              <w:spacing w:line="240" w:lineRule="auto"/>
              <w:ind w:firstLine="400"/>
              <w:jc w:val="center"/>
              <w:rPr>
                <w:rFonts w:hint="eastAsia" w:eastAsia="宋体"/>
                <w:color w:val="000000"/>
                <w:lang w:eastAsia="zh-CN"/>
              </w:rPr>
            </w:pPr>
            <w:r>
              <w:rPr>
                <w:rFonts w:hint="eastAsia"/>
                <w:color w:val="000000"/>
                <w:lang w:eastAsia="zh-CN"/>
              </w:rPr>
              <w:t>（</w:t>
            </w:r>
            <w:r>
              <w:rPr>
                <w:rFonts w:hint="eastAsia"/>
                <w:color w:val="000000"/>
                <w:lang w:val="en-US" w:eastAsia="zh-CN"/>
              </w:rPr>
              <w:t>托幼机构、中小学、中等职业学校及普通高等学校</w:t>
            </w:r>
            <w:r>
              <w:rPr>
                <w:rFonts w:hint="eastAsia"/>
                <w:color w:val="000000"/>
                <w:lang w:eastAsia="zh-CN"/>
              </w:rPr>
              <w:t>）</w:t>
            </w:r>
          </w:p>
        </w:tc>
        <w:tc>
          <w:tcPr>
            <w:tcW w:w="1024" w:type="dxa"/>
            <w:tcBorders>
              <w:top w:val="single" w:color="auto" w:sz="4" w:space="0"/>
              <w:left w:val="single" w:color="auto" w:sz="4" w:space="0"/>
            </w:tcBorders>
            <w:shd w:val="clear" w:color="auto" w:fill="FFFFFF"/>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bottom"/>
          </w:tcPr>
          <w:p>
            <w:pPr>
              <w:pStyle w:val="10"/>
              <w:spacing w:line="240" w:lineRule="auto"/>
              <w:ind w:firstLine="400"/>
              <w:jc w:val="center"/>
            </w:pPr>
            <w:r>
              <w:rPr>
                <w:rFonts w:hint="eastAsia"/>
                <w:color w:val="000000"/>
              </w:rPr>
              <w:t>健康学校数</w:t>
            </w:r>
          </w:p>
        </w:tc>
        <w:tc>
          <w:tcPr>
            <w:tcW w:w="1024" w:type="dxa"/>
            <w:tcBorders>
              <w:top w:val="single" w:color="auto" w:sz="4" w:space="0"/>
              <w:left w:val="single" w:color="auto" w:sz="4" w:space="0"/>
            </w:tcBorders>
            <w:shd w:val="clear" w:color="auto" w:fill="FFFFFF"/>
            <w:vAlign w:val="bottom"/>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vAlign w:val="center"/>
          </w:tcPr>
          <w:p>
            <w:pPr>
              <w:pStyle w:val="10"/>
              <w:spacing w:line="240" w:lineRule="auto"/>
              <w:ind w:firstLine="400"/>
              <w:jc w:val="center"/>
            </w:pPr>
            <w:r>
              <w:rPr>
                <w:rFonts w:hint="eastAsia"/>
                <w:color w:val="000000"/>
              </w:rPr>
              <w:t>健康学校覆盖率</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6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top w:val="single" w:color="auto" w:sz="4" w:space="0"/>
              <w:left w:val="single" w:color="auto" w:sz="4" w:space="0"/>
            </w:tcBorders>
            <w:shd w:val="clear" w:color="auto" w:fill="FFFFFF"/>
            <w:vAlign w:val="center"/>
          </w:tcPr>
          <w:p>
            <w:pPr>
              <w:pStyle w:val="10"/>
              <w:spacing w:line="374" w:lineRule="exact"/>
              <w:ind w:firstLine="0" w:firstLineChars="0"/>
              <w:jc w:val="center"/>
            </w:pPr>
            <w:r>
              <w:rPr>
                <w:rFonts w:hint="eastAsia"/>
                <w:color w:val="000000"/>
                <w:lang w:val="en-US" w:eastAsia="zh-CN" w:bidi="en-US"/>
              </w:rPr>
              <w:t>7</w:t>
            </w:r>
            <w:r>
              <w:rPr>
                <w:rFonts w:hint="eastAsia"/>
                <w:color w:val="000000"/>
                <w:lang w:val="en-US" w:eastAsia="en-US" w:bidi="en-US"/>
              </w:rPr>
              <w:t>.</w:t>
            </w:r>
            <w:r>
              <w:rPr>
                <w:rFonts w:hint="eastAsia"/>
                <w:color w:val="000000"/>
              </w:rPr>
              <w:t>健康促进医院</w:t>
            </w:r>
          </w:p>
        </w:tc>
        <w:tc>
          <w:tcPr>
            <w:tcW w:w="3960" w:type="dxa"/>
            <w:tcBorders>
              <w:top w:val="single" w:color="auto" w:sz="4" w:space="0"/>
              <w:left w:val="single" w:color="auto" w:sz="4" w:space="0"/>
            </w:tcBorders>
            <w:shd w:val="clear" w:color="auto" w:fill="FFFFFF"/>
            <w:vAlign w:val="bottom"/>
          </w:tcPr>
          <w:p>
            <w:pPr>
              <w:pStyle w:val="10"/>
              <w:spacing w:line="367" w:lineRule="exact"/>
              <w:ind w:firstLine="0" w:firstLineChars="0"/>
              <w:jc w:val="center"/>
            </w:pPr>
            <w:r>
              <w:rPr>
                <w:rFonts w:hint="eastAsia"/>
                <w:color w:val="000000"/>
              </w:rPr>
              <w:t>乡镇卫生院及以上医疗卫生机构数</w:t>
            </w:r>
          </w:p>
        </w:tc>
        <w:tc>
          <w:tcPr>
            <w:tcW w:w="1024" w:type="dxa"/>
            <w:tcBorders>
              <w:top w:val="single" w:color="auto" w:sz="4" w:space="0"/>
              <w:left w:val="single" w:color="auto" w:sz="4" w:space="0"/>
            </w:tcBorders>
            <w:shd w:val="clear" w:color="auto" w:fill="FFFFFF"/>
            <w:vAlign w:val="center"/>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0"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tcBorders>
            <w:shd w:val="clear" w:color="auto" w:fill="FFFFFF"/>
          </w:tcPr>
          <w:p>
            <w:pPr>
              <w:pStyle w:val="10"/>
              <w:spacing w:line="240" w:lineRule="auto"/>
              <w:ind w:firstLine="400"/>
              <w:jc w:val="center"/>
            </w:pPr>
            <w:r>
              <w:rPr>
                <w:rFonts w:hint="eastAsia"/>
                <w:color w:val="000000"/>
              </w:rPr>
              <w:t>健康促进医院数</w:t>
            </w:r>
          </w:p>
        </w:tc>
        <w:tc>
          <w:tcPr>
            <w:tcW w:w="1024" w:type="dxa"/>
            <w:tcBorders>
              <w:top w:val="single" w:color="auto" w:sz="4" w:space="0"/>
              <w:left w:val="single" w:color="auto" w:sz="4" w:space="0"/>
            </w:tcBorders>
            <w:shd w:val="clear" w:color="auto" w:fill="FFFFFF"/>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bottom w:val="single" w:color="auto" w:sz="4" w:space="0"/>
            </w:tcBorders>
            <w:shd w:val="clear" w:color="auto" w:fill="FFFFFF"/>
            <w:vAlign w:val="center"/>
          </w:tcPr>
          <w:p>
            <w:pPr>
              <w:pStyle w:val="10"/>
              <w:spacing w:line="240" w:lineRule="auto"/>
              <w:ind w:firstLine="400"/>
              <w:jc w:val="center"/>
            </w:pPr>
            <w:r>
              <w:rPr>
                <w:rFonts w:hint="eastAsia"/>
                <w:color w:val="000000"/>
              </w:rPr>
              <w:t>健康促进医院覆盖率</w:t>
            </w:r>
          </w:p>
        </w:tc>
        <w:tc>
          <w:tcPr>
            <w:tcW w:w="1024" w:type="dxa"/>
            <w:tcBorders>
              <w:top w:val="single" w:color="auto" w:sz="4" w:space="0"/>
              <w:left w:val="single" w:color="auto" w:sz="4" w:space="0"/>
              <w:bottom w:val="single" w:color="auto" w:sz="4" w:space="0"/>
            </w:tcBorders>
            <w:shd w:val="clear" w:color="auto" w:fill="FFFFFF"/>
            <w:vAlign w:val="center"/>
          </w:tcPr>
          <w:p>
            <w:pPr>
              <w:pStyle w:val="10"/>
              <w:spacing w:line="240" w:lineRule="auto"/>
              <w:ind w:firstLine="0" w:firstLineChars="0"/>
              <w:jc w:val="center"/>
            </w:pPr>
            <w:r>
              <w:rPr>
                <w:rFonts w:hint="eastAsia"/>
                <w:color w:val="000000"/>
              </w:rPr>
              <w:t>%</w:t>
            </w:r>
          </w:p>
        </w:tc>
        <w:tc>
          <w:tcPr>
            <w:tcW w:w="777" w:type="dxa"/>
            <w:tcBorders>
              <w:top w:val="single" w:color="auto" w:sz="4" w:space="0"/>
              <w:left w:val="single" w:color="auto" w:sz="4" w:space="0"/>
              <w:bottom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bottom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restart"/>
            <w:tcBorders>
              <w:left w:val="single" w:color="auto" w:sz="4" w:space="0"/>
            </w:tcBorders>
            <w:shd w:val="clear" w:color="auto" w:fill="FFFFFF"/>
            <w:vAlign w:val="center"/>
          </w:tcPr>
          <w:p>
            <w:pPr>
              <w:pStyle w:val="10"/>
              <w:spacing w:line="374" w:lineRule="exact"/>
              <w:ind w:firstLine="0" w:firstLineChars="0"/>
              <w:jc w:val="center"/>
              <w:rPr>
                <w:lang w:eastAsia="zh-CN"/>
              </w:rPr>
            </w:pPr>
            <w:r>
              <w:rPr>
                <w:rFonts w:hint="eastAsia"/>
                <w:color w:val="000000"/>
                <w:lang w:val="en-US" w:eastAsia="zh-CN" w:bidi="en-US"/>
              </w:rPr>
              <w:t>8</w:t>
            </w:r>
            <w:r>
              <w:rPr>
                <w:rFonts w:hint="eastAsia"/>
                <w:color w:val="000000"/>
                <w:lang w:val="en-US" w:eastAsia="en-US" w:bidi="en-US"/>
              </w:rPr>
              <w:t>.</w:t>
            </w:r>
            <w:r>
              <w:rPr>
                <w:rFonts w:hint="eastAsia"/>
                <w:color w:val="000000"/>
              </w:rPr>
              <w:t>健康</w:t>
            </w:r>
            <w:r>
              <w:rPr>
                <w:rFonts w:hint="eastAsia"/>
                <w:color w:val="000000"/>
                <w:lang w:val="en-US" w:eastAsia="zh-CN"/>
              </w:rPr>
              <w:t>企业</w:t>
            </w:r>
          </w:p>
        </w:tc>
        <w:tc>
          <w:tcPr>
            <w:tcW w:w="3960" w:type="dxa"/>
            <w:tcBorders>
              <w:top w:val="single" w:color="auto" w:sz="4" w:space="0"/>
              <w:left w:val="single" w:color="auto" w:sz="4" w:space="0"/>
              <w:bottom w:val="single" w:color="auto" w:sz="4" w:space="0"/>
            </w:tcBorders>
            <w:shd w:val="clear" w:color="auto" w:fill="FFFFFF"/>
            <w:vAlign w:val="bottom"/>
          </w:tcPr>
          <w:p>
            <w:pPr>
              <w:pStyle w:val="10"/>
              <w:spacing w:line="367" w:lineRule="exact"/>
              <w:ind w:firstLine="0" w:firstLineChars="0"/>
              <w:jc w:val="center"/>
            </w:pPr>
            <w:r>
              <w:rPr>
                <w:rFonts w:hint="eastAsia"/>
                <w:color w:val="000000"/>
                <w:lang w:val="en-US" w:eastAsia="zh-CN"/>
              </w:rPr>
              <w:t>大中型以上企业</w:t>
            </w:r>
            <w:r>
              <w:rPr>
                <w:rFonts w:hint="eastAsia"/>
                <w:color w:val="000000"/>
              </w:rPr>
              <w:t>数</w:t>
            </w:r>
          </w:p>
        </w:tc>
        <w:tc>
          <w:tcPr>
            <w:tcW w:w="1024" w:type="dxa"/>
            <w:tcBorders>
              <w:top w:val="single" w:color="auto" w:sz="4" w:space="0"/>
              <w:left w:val="single" w:color="auto" w:sz="4" w:space="0"/>
              <w:bottom w:val="single" w:color="auto" w:sz="4" w:space="0"/>
            </w:tcBorders>
            <w:shd w:val="clear" w:color="auto" w:fill="FFFFFF"/>
            <w:vAlign w:val="center"/>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bottom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bottom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15" w:hRule="exact"/>
          <w:jc w:val="center"/>
        </w:trPr>
        <w:tc>
          <w:tcPr>
            <w:tcW w:w="862" w:type="dxa"/>
            <w:tcBorders>
              <w:left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bottom w:val="single" w:color="auto" w:sz="4" w:space="0"/>
            </w:tcBorders>
            <w:shd w:val="clear" w:color="auto" w:fill="FFFFFF"/>
          </w:tcPr>
          <w:p>
            <w:pPr>
              <w:pStyle w:val="10"/>
              <w:spacing w:line="240" w:lineRule="auto"/>
              <w:ind w:firstLine="400"/>
              <w:jc w:val="center"/>
            </w:pPr>
            <w:r>
              <w:rPr>
                <w:rFonts w:hint="eastAsia"/>
                <w:color w:val="000000"/>
              </w:rPr>
              <w:t>健康</w:t>
            </w:r>
            <w:r>
              <w:rPr>
                <w:rFonts w:hint="eastAsia"/>
                <w:color w:val="000000"/>
                <w:lang w:val="en-US" w:eastAsia="zh-CN"/>
              </w:rPr>
              <w:t>企业</w:t>
            </w:r>
            <w:r>
              <w:rPr>
                <w:rFonts w:hint="eastAsia"/>
                <w:color w:val="000000"/>
              </w:rPr>
              <w:t>数</w:t>
            </w:r>
          </w:p>
        </w:tc>
        <w:tc>
          <w:tcPr>
            <w:tcW w:w="1024" w:type="dxa"/>
            <w:tcBorders>
              <w:top w:val="single" w:color="auto" w:sz="4" w:space="0"/>
              <w:left w:val="single" w:color="auto" w:sz="4" w:space="0"/>
              <w:bottom w:val="single" w:color="auto" w:sz="4" w:space="0"/>
            </w:tcBorders>
            <w:shd w:val="clear" w:color="auto" w:fill="FFFFFF"/>
          </w:tcPr>
          <w:p>
            <w:pPr>
              <w:pStyle w:val="10"/>
              <w:spacing w:line="240" w:lineRule="auto"/>
              <w:ind w:firstLine="0" w:firstLineChars="0"/>
              <w:jc w:val="center"/>
            </w:pPr>
            <w:r>
              <w:rPr>
                <w:rFonts w:hint="eastAsia"/>
                <w:color w:val="000000"/>
              </w:rPr>
              <w:t>个</w:t>
            </w:r>
          </w:p>
        </w:tc>
        <w:tc>
          <w:tcPr>
            <w:tcW w:w="777" w:type="dxa"/>
            <w:tcBorders>
              <w:top w:val="single" w:color="auto" w:sz="4" w:space="0"/>
              <w:left w:val="single" w:color="auto" w:sz="4" w:space="0"/>
              <w:bottom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bottom w:val="single" w:color="auto" w:sz="4" w:space="0"/>
              <w:right w:val="single" w:color="auto" w:sz="4" w:space="0"/>
            </w:tcBorders>
            <w:shd w:val="clear" w:color="auto" w:fill="FFFFFF"/>
          </w:tcPr>
          <w:p>
            <w:pPr>
              <w:jc w:val="center"/>
              <w:rPr>
                <w:rFonts w:ascii="宋体" w:hAnsi="宋体" w:eastAsia="宋体" w:cs="宋体"/>
                <w:sz w:val="10"/>
                <w:szCs w:val="10"/>
              </w:rPr>
            </w:pPr>
          </w:p>
        </w:tc>
      </w:tr>
      <w:tr>
        <w:tblPrEx>
          <w:tblCellMar>
            <w:top w:w="0" w:type="dxa"/>
            <w:left w:w="10" w:type="dxa"/>
            <w:bottom w:w="0" w:type="dxa"/>
            <w:right w:w="10" w:type="dxa"/>
          </w:tblCellMar>
        </w:tblPrEx>
        <w:trPr>
          <w:trHeight w:val="369" w:hRule="exact"/>
          <w:jc w:val="center"/>
        </w:trPr>
        <w:tc>
          <w:tcPr>
            <w:tcW w:w="862" w:type="dxa"/>
            <w:tcBorders>
              <w:left w:val="single" w:color="auto" w:sz="4" w:space="0"/>
              <w:bottom w:val="single" w:color="auto" w:sz="4" w:space="0"/>
            </w:tcBorders>
            <w:shd w:val="clear" w:color="auto" w:fill="FFFFFF"/>
            <w:vAlign w:val="center"/>
          </w:tcPr>
          <w:p>
            <w:pPr>
              <w:ind w:firstLine="640"/>
              <w:jc w:val="center"/>
              <w:rPr>
                <w:rFonts w:ascii="宋体" w:hAnsi="宋体" w:eastAsia="宋体" w:cs="宋体"/>
              </w:rPr>
            </w:pPr>
          </w:p>
        </w:tc>
        <w:tc>
          <w:tcPr>
            <w:tcW w:w="1824" w:type="dxa"/>
            <w:vMerge w:val="continue"/>
            <w:tcBorders>
              <w:left w:val="single" w:color="auto" w:sz="4" w:space="0"/>
              <w:bottom w:val="single" w:color="auto" w:sz="4" w:space="0"/>
            </w:tcBorders>
            <w:shd w:val="clear" w:color="auto" w:fill="FFFFFF"/>
            <w:vAlign w:val="center"/>
          </w:tcPr>
          <w:p>
            <w:pPr>
              <w:ind w:firstLine="640"/>
              <w:jc w:val="center"/>
              <w:rPr>
                <w:rFonts w:ascii="宋体" w:hAnsi="宋体" w:eastAsia="宋体" w:cs="宋体"/>
              </w:rPr>
            </w:pPr>
          </w:p>
        </w:tc>
        <w:tc>
          <w:tcPr>
            <w:tcW w:w="3960" w:type="dxa"/>
            <w:tcBorders>
              <w:top w:val="single" w:color="auto" w:sz="4" w:space="0"/>
              <w:left w:val="single" w:color="auto" w:sz="4" w:space="0"/>
              <w:bottom w:val="single" w:color="auto" w:sz="4" w:space="0"/>
            </w:tcBorders>
            <w:shd w:val="clear" w:color="auto" w:fill="FFFFFF"/>
            <w:vAlign w:val="center"/>
          </w:tcPr>
          <w:p>
            <w:pPr>
              <w:pStyle w:val="10"/>
              <w:spacing w:line="240" w:lineRule="auto"/>
              <w:ind w:firstLine="400"/>
              <w:jc w:val="center"/>
            </w:pPr>
            <w:r>
              <w:rPr>
                <w:rFonts w:hint="eastAsia"/>
                <w:color w:val="000000"/>
              </w:rPr>
              <w:t>健康</w:t>
            </w:r>
            <w:r>
              <w:rPr>
                <w:rFonts w:hint="eastAsia"/>
                <w:color w:val="000000"/>
                <w:lang w:val="en-US" w:eastAsia="zh-CN"/>
              </w:rPr>
              <w:t>企业</w:t>
            </w:r>
            <w:r>
              <w:rPr>
                <w:rFonts w:hint="eastAsia"/>
                <w:color w:val="000000"/>
              </w:rPr>
              <w:t>覆盖率</w:t>
            </w:r>
          </w:p>
        </w:tc>
        <w:tc>
          <w:tcPr>
            <w:tcW w:w="1024" w:type="dxa"/>
            <w:tcBorders>
              <w:top w:val="single" w:color="auto" w:sz="4" w:space="0"/>
              <w:left w:val="single" w:color="auto" w:sz="4" w:space="0"/>
              <w:bottom w:val="single" w:color="auto" w:sz="4" w:space="0"/>
            </w:tcBorders>
            <w:shd w:val="clear" w:color="auto" w:fill="FFFFFF"/>
            <w:vAlign w:val="center"/>
          </w:tcPr>
          <w:p>
            <w:pPr>
              <w:pStyle w:val="10"/>
              <w:spacing w:line="240" w:lineRule="auto"/>
              <w:ind w:firstLine="0" w:firstLineChars="0"/>
              <w:jc w:val="center"/>
            </w:pPr>
            <w:r>
              <w:rPr>
                <w:rFonts w:hint="eastAsia"/>
                <w:color w:val="000000"/>
              </w:rPr>
              <w:t>%</w:t>
            </w:r>
          </w:p>
        </w:tc>
        <w:tc>
          <w:tcPr>
            <w:tcW w:w="777" w:type="dxa"/>
            <w:tcBorders>
              <w:top w:val="single" w:color="auto" w:sz="4" w:space="0"/>
              <w:left w:val="single" w:color="auto" w:sz="4" w:space="0"/>
              <w:bottom w:val="single" w:color="auto" w:sz="4" w:space="0"/>
            </w:tcBorders>
            <w:shd w:val="clear" w:color="auto" w:fill="FFFFFF"/>
          </w:tcPr>
          <w:p>
            <w:pPr>
              <w:jc w:val="center"/>
              <w:rPr>
                <w:rFonts w:ascii="宋体" w:hAnsi="宋体" w:eastAsia="宋体" w:cs="宋体"/>
                <w:sz w:val="10"/>
                <w:szCs w:val="10"/>
              </w:rPr>
            </w:pPr>
          </w:p>
        </w:tc>
        <w:tc>
          <w:tcPr>
            <w:tcW w:w="750" w:type="dxa"/>
            <w:tcBorders>
              <w:top w:val="single" w:color="auto" w:sz="4" w:space="0"/>
              <w:left w:val="single" w:color="auto" w:sz="4" w:space="0"/>
              <w:bottom w:val="single" w:color="auto" w:sz="4" w:space="0"/>
              <w:right w:val="single" w:color="auto" w:sz="4" w:space="0"/>
            </w:tcBorders>
            <w:shd w:val="clear" w:color="auto" w:fill="FFFFFF"/>
          </w:tcPr>
          <w:p>
            <w:pPr>
              <w:jc w:val="center"/>
              <w:rPr>
                <w:rFonts w:ascii="宋体" w:hAnsi="宋体" w:eastAsia="宋体" w:cs="宋体"/>
                <w:sz w:val="10"/>
                <w:szCs w:val="10"/>
              </w:rPr>
            </w:pPr>
          </w:p>
        </w:tc>
      </w:tr>
    </w:tbl>
    <w:p>
      <w:pPr>
        <w:spacing w:line="580" w:lineRule="exact"/>
        <w:ind w:firstLine="0" w:firstLineChars="0"/>
        <w:rPr>
          <w:rFonts w:ascii="宋体" w:hAnsi="宋体" w:eastAsia="宋体" w:cs="宋体"/>
        </w:rPr>
      </w:pPr>
    </w:p>
    <w:p>
      <w:pPr>
        <w:spacing w:line="580" w:lineRule="exact"/>
        <w:ind w:firstLine="0" w:firstLineChars="0"/>
        <w:rPr>
          <w:rFonts w:hint="eastAsia" w:ascii="黑体" w:hAnsi="黑体" w:eastAsia="黑体" w:cs="黑体"/>
        </w:rPr>
      </w:pPr>
      <w:r>
        <w:rPr>
          <w:rFonts w:hint="eastAsia" w:ascii="黑体" w:hAnsi="黑体" w:eastAsia="黑体" w:cs="黑体"/>
        </w:rPr>
        <w:t>附件3</w:t>
      </w:r>
    </w:p>
    <w:p>
      <w:pPr>
        <w:spacing w:line="560" w:lineRule="exact"/>
        <w:ind w:firstLine="0" w:firstLineChars="0"/>
        <w:jc w:val="center"/>
        <w:rPr>
          <w:rFonts w:hint="eastAsia" w:ascii="方正小标宋简体" w:hAnsi="方正小标宋简体" w:eastAsia="方正小标宋简体" w:cs="方正小标宋简体"/>
          <w:b w:val="0"/>
          <w:bCs/>
          <w:sz w:val="44"/>
          <w:szCs w:val="22"/>
        </w:rPr>
      </w:pPr>
      <w:r>
        <w:rPr>
          <w:rFonts w:hint="eastAsia" w:ascii="方正小标宋简体" w:hAnsi="方正小标宋简体" w:eastAsia="方正小标宋简体" w:cs="方正小标宋简体"/>
          <w:b w:val="0"/>
          <w:bCs/>
          <w:sz w:val="44"/>
          <w:szCs w:val="22"/>
        </w:rPr>
        <w:t>健康县（区）评估报告模板</w:t>
      </w:r>
    </w:p>
    <w:p>
      <w:pPr>
        <w:spacing w:line="560" w:lineRule="exact"/>
        <w:ind w:firstLine="2570" w:firstLineChars="800"/>
        <w:jc w:val="both"/>
        <w:rPr>
          <w:rFonts w:eastAsia="楷体"/>
          <w:b/>
        </w:rPr>
      </w:pPr>
      <w:r>
        <w:rPr>
          <w:rFonts w:ascii="楷体" w:hAnsi="楷体" w:eastAsia="楷体"/>
          <w:b/>
        </w:rPr>
        <w:t>（省</w:t>
      </w:r>
      <w:r>
        <w:rPr>
          <w:rFonts w:eastAsia="楷体"/>
          <w:b/>
        </w:rPr>
        <w:t>/</w:t>
      </w:r>
      <w:r>
        <w:rPr>
          <w:rFonts w:ascii="楷体" w:hAnsi="楷体" w:eastAsia="楷体"/>
          <w:b/>
        </w:rPr>
        <w:t>市级）</w:t>
      </w:r>
    </w:p>
    <w:p>
      <w:pPr>
        <w:spacing w:line="560" w:lineRule="exact"/>
        <w:ind w:firstLine="640"/>
        <w:jc w:val="center"/>
      </w:pPr>
      <w:r>
        <w:t xml:space="preserve"> </w:t>
      </w:r>
    </w:p>
    <w:p>
      <w:pPr>
        <w:spacing w:line="560" w:lineRule="exact"/>
        <w:ind w:firstLine="640"/>
        <w:rPr>
          <w:rFonts w:eastAsia="黑体"/>
        </w:rPr>
      </w:pPr>
      <w:r>
        <w:rPr>
          <w:rFonts w:ascii="黑体" w:hAnsi="黑体" w:eastAsia="黑体"/>
        </w:rPr>
        <w:t>一、全省（市）项目组织实施（约</w:t>
      </w:r>
      <w:r>
        <w:rPr>
          <w:rFonts w:eastAsia="黑体"/>
        </w:rPr>
        <w:t>400</w:t>
      </w:r>
      <w:r>
        <w:rPr>
          <w:rFonts w:ascii="黑体" w:hAnsi="黑体" w:eastAsia="黑体"/>
        </w:rPr>
        <w:t>字）</w:t>
      </w:r>
    </w:p>
    <w:p>
      <w:pPr>
        <w:spacing w:line="560" w:lineRule="exact"/>
        <w:ind w:firstLine="632"/>
        <w:rPr>
          <w:spacing w:val="-2"/>
        </w:rPr>
      </w:pPr>
      <w:r>
        <w:rPr>
          <w:rFonts w:ascii="仿宋_GB2312" w:hAnsi="仿宋_GB2312"/>
          <w:spacing w:val="-2"/>
        </w:rPr>
        <w:t>包括建设范围、经费、项目管理、技术支持、评估组织实施等基本情况</w:t>
      </w:r>
      <w:r>
        <w:rPr>
          <w:rFonts w:hint="eastAsia" w:ascii="宋体" w:hAnsi="宋体" w:eastAsia="宋体" w:cs="宋体"/>
          <w:spacing w:val="-2"/>
        </w:rPr>
        <w:t>。</w:t>
      </w:r>
    </w:p>
    <w:p>
      <w:pPr>
        <w:spacing w:line="560" w:lineRule="exact"/>
        <w:ind w:firstLine="640"/>
        <w:rPr>
          <w:rFonts w:eastAsia="黑体"/>
        </w:rPr>
      </w:pPr>
      <w:r>
        <w:rPr>
          <w:rFonts w:ascii="黑体" w:hAnsi="黑体" w:eastAsia="黑体"/>
        </w:rPr>
        <w:t>二、</w:t>
      </w:r>
      <w:r>
        <w:rPr>
          <w:rFonts w:hint="eastAsia" w:ascii="黑体" w:hAnsi="黑体" w:eastAsia="黑体"/>
        </w:rPr>
        <w:t>项目</w:t>
      </w:r>
      <w:r>
        <w:rPr>
          <w:rFonts w:ascii="黑体" w:hAnsi="黑体" w:eastAsia="黑体"/>
        </w:rPr>
        <w:t>评估结论</w:t>
      </w:r>
      <w:r>
        <w:rPr>
          <w:rFonts w:eastAsia="黑体"/>
        </w:rPr>
        <w:t xml:space="preserve"> </w:t>
      </w:r>
    </w:p>
    <w:p>
      <w:pPr>
        <w:spacing w:line="560" w:lineRule="exact"/>
        <w:ind w:firstLine="640"/>
        <w:rPr>
          <w:rFonts w:ascii="仿宋" w:hAnsi="仿宋" w:eastAsia="仿宋"/>
        </w:rPr>
      </w:pPr>
      <w:r>
        <w:rPr>
          <w:rFonts w:hint="eastAsia" w:ascii="宋体" w:hAnsi="宋体" w:eastAsia="宋体" w:cs="宋体"/>
        </w:rPr>
        <w:t>（一）县（区）一</w:t>
      </w:r>
      <w:r>
        <w:rPr>
          <w:rFonts w:ascii="楷体_GB2312" w:hAnsi="楷体_GB2312"/>
        </w:rPr>
        <w:t>：</w:t>
      </w:r>
      <w:r>
        <w:rPr>
          <w:rFonts w:hint="eastAsia" w:ascii="仿宋" w:hAnsi="仿宋" w:eastAsia="仿宋"/>
        </w:rPr>
        <w:t>评估得分和结论</w:t>
      </w:r>
    </w:p>
    <w:p>
      <w:pPr>
        <w:spacing w:line="560" w:lineRule="exact"/>
        <w:ind w:firstLine="640"/>
        <w:rPr>
          <w:rFonts w:ascii="仿宋" w:hAnsi="仿宋" w:eastAsia="仿宋"/>
        </w:rPr>
      </w:pPr>
      <w:r>
        <w:rPr>
          <w:rFonts w:hint="eastAsia" w:ascii="宋体" w:hAnsi="宋体" w:eastAsia="宋体" w:cs="宋体"/>
        </w:rPr>
        <w:t>（二）县（区）二</w:t>
      </w:r>
      <w:r>
        <w:rPr>
          <w:rFonts w:ascii="楷体_GB2312" w:hAnsi="楷体_GB2312"/>
        </w:rPr>
        <w:t>：</w:t>
      </w:r>
      <w:r>
        <w:rPr>
          <w:rFonts w:hint="eastAsia" w:ascii="仿宋" w:hAnsi="仿宋" w:eastAsia="仿宋"/>
        </w:rPr>
        <w:t>评估得分和结论</w:t>
      </w:r>
    </w:p>
    <w:p>
      <w:pPr>
        <w:spacing w:line="560" w:lineRule="exact"/>
        <w:ind w:firstLine="640"/>
        <w:rPr>
          <w:rFonts w:eastAsia="楷体_GB2312"/>
        </w:rPr>
      </w:pPr>
      <w:r>
        <w:rPr>
          <w:rFonts w:eastAsia="楷体_GB2312"/>
        </w:rPr>
        <w:t xml:space="preserve"> </w:t>
      </w:r>
    </w:p>
    <w:p>
      <w:pPr>
        <w:spacing w:line="560" w:lineRule="exact"/>
        <w:ind w:firstLine="640"/>
        <w:rPr>
          <w:rFonts w:eastAsia="黑体"/>
        </w:rPr>
      </w:pPr>
      <w:r>
        <w:rPr>
          <w:rFonts w:ascii="黑体" w:hAnsi="黑体" w:eastAsia="黑体"/>
        </w:rPr>
        <w:t>三、建设成效（约</w:t>
      </w:r>
      <w:r>
        <w:rPr>
          <w:rFonts w:eastAsia="黑体"/>
        </w:rPr>
        <w:t>500</w:t>
      </w:r>
      <w:r>
        <w:rPr>
          <w:rFonts w:ascii="黑体" w:hAnsi="黑体" w:eastAsia="黑体"/>
        </w:rPr>
        <w:t>字）</w:t>
      </w:r>
    </w:p>
    <w:p>
      <w:pPr>
        <w:spacing w:line="560" w:lineRule="exact"/>
        <w:ind w:firstLine="640"/>
        <w:rPr>
          <w:rFonts w:eastAsia="黑体"/>
        </w:rPr>
      </w:pPr>
      <w:r>
        <w:rPr>
          <w:rFonts w:eastAsia="黑体"/>
        </w:rPr>
        <w:t xml:space="preserve"> </w:t>
      </w:r>
    </w:p>
    <w:p>
      <w:pPr>
        <w:spacing w:line="560" w:lineRule="exact"/>
        <w:ind w:firstLine="640"/>
        <w:rPr>
          <w:rFonts w:eastAsia="黑体"/>
        </w:rPr>
      </w:pPr>
      <w:r>
        <w:rPr>
          <w:rFonts w:ascii="黑体" w:hAnsi="黑体" w:eastAsia="黑体"/>
        </w:rPr>
        <w:t>四、存在问题（约</w:t>
      </w:r>
      <w:r>
        <w:rPr>
          <w:rFonts w:eastAsia="黑体"/>
        </w:rPr>
        <w:t>500</w:t>
      </w:r>
      <w:r>
        <w:rPr>
          <w:rFonts w:ascii="黑体" w:hAnsi="黑体" w:eastAsia="黑体"/>
        </w:rPr>
        <w:t>字）</w:t>
      </w:r>
    </w:p>
    <w:p>
      <w:pPr>
        <w:spacing w:line="560" w:lineRule="exact"/>
        <w:ind w:firstLine="640"/>
        <w:rPr>
          <w:rFonts w:eastAsia="黑体"/>
        </w:rPr>
      </w:pPr>
      <w:r>
        <w:rPr>
          <w:rFonts w:eastAsia="黑体"/>
        </w:rPr>
        <w:t xml:space="preserve"> </w:t>
      </w:r>
    </w:p>
    <w:p>
      <w:pPr>
        <w:spacing w:line="560" w:lineRule="exact"/>
        <w:ind w:firstLine="640"/>
        <w:rPr>
          <w:rFonts w:ascii="黑体" w:hAnsi="黑体" w:eastAsia="黑体"/>
        </w:rPr>
      </w:pPr>
      <w:r>
        <w:rPr>
          <w:rFonts w:ascii="黑体" w:hAnsi="黑体" w:eastAsia="黑体"/>
        </w:rPr>
        <w:t>五、下一步工作计划（约</w:t>
      </w:r>
      <w:r>
        <w:rPr>
          <w:rFonts w:eastAsia="黑体"/>
        </w:rPr>
        <w:t>500</w:t>
      </w:r>
      <w:r>
        <w:rPr>
          <w:rFonts w:ascii="黑体" w:hAnsi="黑体" w:eastAsia="黑体"/>
        </w:rPr>
        <w:t>字）</w:t>
      </w:r>
    </w:p>
    <w:p>
      <w:pPr>
        <w:spacing w:line="560" w:lineRule="exact"/>
        <w:ind w:firstLine="640"/>
        <w:rPr>
          <w:rFonts w:ascii="黑体" w:hAnsi="黑体" w:eastAsia="黑体"/>
        </w:rPr>
      </w:pPr>
      <w:r>
        <w:rPr>
          <w:rFonts w:hint="eastAsia" w:ascii="黑体" w:hAnsi="黑体" w:eastAsia="黑体"/>
        </w:rPr>
        <w:t xml:space="preserve"> </w:t>
      </w:r>
    </w:p>
    <w:p>
      <w:pPr>
        <w:pStyle w:val="2"/>
      </w:pPr>
    </w:p>
    <w:p>
      <w:pPr>
        <w:spacing w:line="560" w:lineRule="exact"/>
        <w:ind w:firstLine="0" w:firstLineChars="0"/>
        <w:rPr>
          <w:rFonts w:ascii="仿宋" w:hAnsi="仿宋" w:eastAsia="仿宋"/>
        </w:rPr>
      </w:pPr>
      <w:r>
        <w:rPr>
          <w:rFonts w:hint="eastAsia" w:ascii="仿宋" w:hAnsi="仿宋" w:eastAsia="仿宋"/>
        </w:rPr>
        <w:t>附：1.市州级健康县（区）考核评估打分表（</w:t>
      </w:r>
      <w:r>
        <w:rPr>
          <w:rFonts w:hint="eastAsia" w:ascii="仿宋" w:hAnsi="仿宋" w:eastAsia="仿宋"/>
          <w:lang w:val="en-US" w:eastAsia="zh-CN"/>
        </w:rPr>
        <w:t>1000</w:t>
      </w:r>
      <w:r>
        <w:rPr>
          <w:rFonts w:hint="eastAsia" w:ascii="仿宋" w:hAnsi="仿宋" w:eastAsia="仿宋"/>
        </w:rPr>
        <w:t xml:space="preserve">分） </w:t>
      </w:r>
    </w:p>
    <w:p>
      <w:pPr>
        <w:spacing w:line="560" w:lineRule="exact"/>
        <w:ind w:firstLine="640" w:firstLineChars="200"/>
        <w:rPr>
          <w:rFonts w:ascii="仿宋" w:hAnsi="仿宋" w:eastAsia="仿宋"/>
        </w:rPr>
      </w:pPr>
      <w:r>
        <w:rPr>
          <w:rFonts w:hint="eastAsia" w:ascii="仿宋" w:hAnsi="仿宋" w:eastAsia="仿宋"/>
        </w:rPr>
        <w:t xml:space="preserve">2.市州级评估健康细胞打分表（健康乡镇、健康社区/村、健康学校、健康机关、健康企业、健康促进医院） </w:t>
      </w:r>
    </w:p>
    <w:p>
      <w:pPr>
        <w:spacing w:line="560" w:lineRule="exact"/>
        <w:ind w:left="0" w:firstLine="640"/>
        <w:rPr>
          <w:rFonts w:ascii="仿宋" w:hAnsi="仿宋" w:eastAsia="仿宋"/>
        </w:rPr>
      </w:pPr>
      <w:r>
        <w:rPr>
          <w:rFonts w:hint="eastAsia" w:ascii="仿宋" w:hAnsi="仿宋" w:eastAsia="仿宋"/>
        </w:rPr>
        <w:t xml:space="preserve">3.县（区）级提交的所有自评材料 </w:t>
      </w:r>
    </w:p>
    <w:p>
      <w:pPr>
        <w:widowControl/>
        <w:spacing w:line="500" w:lineRule="exact"/>
        <w:ind w:firstLine="0" w:firstLineChars="0"/>
        <w:jc w:val="center"/>
        <w:rPr>
          <w:rFonts w:ascii="宋体" w:hAnsi="宋体" w:eastAsia="宋体" w:cs="宋体"/>
          <w:b/>
          <w:bCs/>
          <w:color w:val="000000"/>
          <w:kern w:val="0"/>
          <w:sz w:val="40"/>
          <w:szCs w:val="40"/>
        </w:rPr>
      </w:pPr>
    </w:p>
    <w:p>
      <w:pPr>
        <w:widowControl/>
        <w:spacing w:line="500" w:lineRule="exact"/>
        <w:ind w:firstLine="0" w:firstLineChars="0"/>
        <w:jc w:val="center"/>
        <w:rPr>
          <w:rFonts w:ascii="宋体" w:hAnsi="宋体" w:eastAsia="宋体" w:cs="宋体"/>
          <w:b/>
          <w:bCs/>
          <w:color w:val="000000"/>
          <w:kern w:val="0"/>
          <w:sz w:val="40"/>
          <w:szCs w:val="40"/>
        </w:rPr>
      </w:pPr>
    </w:p>
    <w:p>
      <w:pPr>
        <w:widowControl/>
        <w:spacing w:line="500" w:lineRule="exact"/>
        <w:ind w:firstLine="0" w:firstLineChars="0"/>
        <w:jc w:val="center"/>
        <w:rPr>
          <w:rFonts w:ascii="宋体" w:hAnsi="宋体" w:eastAsia="宋体" w:cs="宋体"/>
          <w:b/>
          <w:bCs/>
          <w:color w:val="000000"/>
          <w:kern w:val="0"/>
          <w:sz w:val="40"/>
          <w:szCs w:val="40"/>
        </w:rPr>
        <w:sectPr>
          <w:pgSz w:w="11906" w:h="16838"/>
          <w:pgMar w:top="1531" w:right="1985" w:bottom="1531" w:left="2098" w:header="851" w:footer="992" w:gutter="0"/>
          <w:pgNumType w:fmt="numberInDash"/>
          <w:cols w:space="0" w:num="1"/>
        </w:sectPr>
      </w:pPr>
    </w:p>
    <w:p>
      <w:pPr>
        <w:numPr>
          <w:ilvl w:val="0"/>
          <w:numId w:val="0"/>
        </w:numPr>
        <w:spacing w:line="580" w:lineRule="exact"/>
        <w:rPr>
          <w:rFonts w:hint="eastAsia" w:ascii="黑体" w:hAnsi="黑体" w:eastAsia="黑体" w:cs="黑体"/>
          <w:b w:val="0"/>
          <w:bCs w:val="0"/>
          <w:lang w:val="en-US" w:eastAsia="zh-CN"/>
        </w:rPr>
      </w:pPr>
      <w:r>
        <w:rPr>
          <w:rFonts w:hint="eastAsia" w:ascii="黑体" w:hAnsi="黑体" w:eastAsia="黑体" w:cs="黑体"/>
          <w:b w:val="0"/>
          <w:bCs w:val="0"/>
          <w:lang w:val="en-US" w:eastAsia="zh-CN"/>
        </w:rPr>
        <w:t xml:space="preserve">附件4   </w:t>
      </w:r>
    </w:p>
    <w:p>
      <w:pPr>
        <w:numPr>
          <w:ilvl w:val="0"/>
          <w:numId w:val="0"/>
        </w:numPr>
        <w:spacing w:line="58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 w:val="0"/>
          <w:bCs/>
          <w:sz w:val="44"/>
          <w:szCs w:val="44"/>
        </w:rPr>
        <w:t>省级健康县区评估标准（2023版）</w:t>
      </w:r>
    </w:p>
    <w:tbl>
      <w:tblPr>
        <w:tblStyle w:val="7"/>
        <w:tblpPr w:leftFromText="180" w:rightFromText="180" w:vertAnchor="text" w:horzAnchor="page" w:tblpX="853" w:tblpY="937"/>
        <w:tblOverlap w:val="never"/>
        <w:tblW w:w="15193" w:type="dxa"/>
        <w:tblInd w:w="0" w:type="dxa"/>
        <w:tblLayout w:type="fixed"/>
        <w:tblCellMar>
          <w:top w:w="0" w:type="dxa"/>
          <w:left w:w="108" w:type="dxa"/>
          <w:bottom w:w="0" w:type="dxa"/>
          <w:right w:w="108" w:type="dxa"/>
        </w:tblCellMar>
      </w:tblPr>
      <w:tblGrid>
        <w:gridCol w:w="1819"/>
        <w:gridCol w:w="1281"/>
        <w:gridCol w:w="1900"/>
        <w:gridCol w:w="2456"/>
        <w:gridCol w:w="1800"/>
        <w:gridCol w:w="2831"/>
        <w:gridCol w:w="980"/>
        <w:gridCol w:w="1216"/>
        <w:gridCol w:w="910"/>
      </w:tblGrid>
      <w:tr>
        <w:tblPrEx>
          <w:tblCellMar>
            <w:top w:w="0" w:type="dxa"/>
            <w:left w:w="108" w:type="dxa"/>
            <w:bottom w:w="0" w:type="dxa"/>
            <w:right w:w="108" w:type="dxa"/>
          </w:tblCellMar>
        </w:tblPrEx>
        <w:trPr>
          <w:trHeight w:val="393" w:hRule="atLeast"/>
        </w:trPr>
        <w:tc>
          <w:tcPr>
            <w:tcW w:w="15193" w:type="dxa"/>
            <w:gridSpan w:val="9"/>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健康县区评估细则（试行）</w:t>
            </w:r>
          </w:p>
        </w:tc>
      </w:tr>
      <w:tr>
        <w:tblPrEx>
          <w:tblCellMar>
            <w:top w:w="0" w:type="dxa"/>
            <w:left w:w="108" w:type="dxa"/>
            <w:bottom w:w="0" w:type="dxa"/>
            <w:right w:w="108" w:type="dxa"/>
          </w:tblCellMar>
        </w:tblPrEx>
        <w:trPr>
          <w:trHeight w:val="314" w:hRule="atLeast"/>
        </w:trPr>
        <w:tc>
          <w:tcPr>
            <w:tcW w:w="1819" w:type="dxa"/>
            <w:tcBorders>
              <w:top w:val="nil"/>
              <w:left w:val="nil"/>
              <w:bottom w:val="nil"/>
              <w:right w:val="nil"/>
            </w:tcBorders>
            <w:shd w:val="clear" w:color="auto" w:fill="auto"/>
            <w:noWrap/>
            <w:vAlign w:val="center"/>
          </w:tcPr>
          <w:p>
            <w:pPr>
              <w:widowControl/>
              <w:jc w:val="left"/>
              <w:rPr>
                <w:rFonts w:ascii="黑体" w:hAnsi="黑体" w:eastAsia="黑体" w:cs="宋体"/>
                <w:color w:val="000000"/>
                <w:kern w:val="0"/>
                <w:sz w:val="28"/>
                <w:szCs w:val="28"/>
              </w:rPr>
            </w:pPr>
          </w:p>
        </w:tc>
        <w:tc>
          <w:tcPr>
            <w:tcW w:w="1281" w:type="dxa"/>
            <w:tcBorders>
              <w:top w:val="nil"/>
              <w:left w:val="nil"/>
              <w:bottom w:val="nil"/>
              <w:right w:val="nil"/>
            </w:tcBorders>
            <w:shd w:val="clear" w:color="auto" w:fill="auto"/>
            <w:noWrap w:val="0"/>
            <w:vAlign w:val="center"/>
          </w:tcPr>
          <w:p>
            <w:pPr>
              <w:widowControl/>
              <w:jc w:val="center"/>
              <w:rPr>
                <w:rFonts w:ascii="宋体" w:hAnsi="宋体" w:cs="宋体"/>
                <w:color w:val="000000"/>
                <w:kern w:val="0"/>
                <w:sz w:val="24"/>
              </w:rPr>
            </w:pPr>
          </w:p>
        </w:tc>
        <w:tc>
          <w:tcPr>
            <w:tcW w:w="1900" w:type="dxa"/>
            <w:tcBorders>
              <w:top w:val="nil"/>
              <w:left w:val="nil"/>
              <w:bottom w:val="nil"/>
              <w:right w:val="nil"/>
            </w:tcBorders>
            <w:shd w:val="clear" w:color="auto" w:fill="auto"/>
            <w:noWrap w:val="0"/>
            <w:vAlign w:val="center"/>
          </w:tcPr>
          <w:p>
            <w:pPr>
              <w:widowControl/>
              <w:jc w:val="left"/>
              <w:rPr>
                <w:rFonts w:ascii="宋体" w:hAnsi="宋体" w:cs="宋体"/>
                <w:b/>
                <w:bCs/>
                <w:color w:val="000000"/>
                <w:kern w:val="0"/>
                <w:sz w:val="24"/>
              </w:rPr>
            </w:pPr>
          </w:p>
        </w:tc>
        <w:tc>
          <w:tcPr>
            <w:tcW w:w="2456" w:type="dxa"/>
            <w:tcBorders>
              <w:top w:val="nil"/>
              <w:left w:val="nil"/>
              <w:bottom w:val="nil"/>
              <w:right w:val="nil"/>
            </w:tcBorders>
            <w:shd w:val="clear" w:color="auto" w:fill="auto"/>
            <w:noWrap w:val="0"/>
            <w:vAlign w:val="center"/>
          </w:tcPr>
          <w:p>
            <w:pPr>
              <w:widowControl/>
              <w:jc w:val="left"/>
              <w:rPr>
                <w:rFonts w:ascii="宋体" w:hAnsi="宋体" w:cs="宋体"/>
                <w:color w:val="000000"/>
                <w:kern w:val="0"/>
                <w:sz w:val="24"/>
              </w:rPr>
            </w:pPr>
          </w:p>
        </w:tc>
        <w:tc>
          <w:tcPr>
            <w:tcW w:w="1800" w:type="dxa"/>
            <w:tcBorders>
              <w:top w:val="nil"/>
              <w:left w:val="nil"/>
              <w:bottom w:val="nil"/>
              <w:right w:val="nil"/>
            </w:tcBorders>
            <w:shd w:val="clear" w:color="auto" w:fill="auto"/>
            <w:noWrap w:val="0"/>
            <w:vAlign w:val="center"/>
          </w:tcPr>
          <w:p>
            <w:pPr>
              <w:widowControl/>
              <w:jc w:val="left"/>
              <w:rPr>
                <w:rFonts w:ascii="宋体" w:hAnsi="宋体" w:cs="宋体"/>
                <w:color w:val="000000"/>
                <w:kern w:val="0"/>
                <w:sz w:val="24"/>
              </w:rPr>
            </w:pPr>
          </w:p>
        </w:tc>
        <w:tc>
          <w:tcPr>
            <w:tcW w:w="2831" w:type="dxa"/>
            <w:tcBorders>
              <w:top w:val="nil"/>
              <w:left w:val="nil"/>
              <w:bottom w:val="nil"/>
              <w:right w:val="nil"/>
            </w:tcBorders>
            <w:shd w:val="clear" w:color="auto" w:fill="auto"/>
            <w:noWrap w:val="0"/>
            <w:vAlign w:val="center"/>
          </w:tcPr>
          <w:p>
            <w:pPr>
              <w:widowControl/>
              <w:jc w:val="left"/>
              <w:rPr>
                <w:rFonts w:ascii="宋体" w:hAnsi="宋体" w:cs="宋体"/>
                <w:color w:val="000000"/>
                <w:kern w:val="0"/>
                <w:sz w:val="24"/>
              </w:rPr>
            </w:pPr>
          </w:p>
        </w:tc>
        <w:tc>
          <w:tcPr>
            <w:tcW w:w="980" w:type="dxa"/>
            <w:tcBorders>
              <w:top w:val="nil"/>
              <w:left w:val="nil"/>
              <w:bottom w:val="nil"/>
              <w:right w:val="nil"/>
            </w:tcBorders>
            <w:shd w:val="clear" w:color="auto" w:fill="auto"/>
            <w:noWrap w:val="0"/>
            <w:vAlign w:val="center"/>
          </w:tcPr>
          <w:p>
            <w:pPr>
              <w:widowControl/>
              <w:jc w:val="center"/>
              <w:rPr>
                <w:rFonts w:ascii="宋体" w:hAnsi="宋体" w:cs="宋体"/>
                <w:color w:val="000000"/>
                <w:kern w:val="0"/>
                <w:sz w:val="24"/>
              </w:rPr>
            </w:pPr>
          </w:p>
        </w:tc>
        <w:tc>
          <w:tcPr>
            <w:tcW w:w="1216" w:type="dxa"/>
            <w:tcBorders>
              <w:top w:val="nil"/>
              <w:left w:val="nil"/>
              <w:bottom w:val="nil"/>
              <w:right w:val="nil"/>
            </w:tcBorders>
            <w:shd w:val="clear" w:color="auto" w:fill="auto"/>
            <w:noWrap w:val="0"/>
            <w:vAlign w:val="center"/>
          </w:tcPr>
          <w:p>
            <w:pPr>
              <w:widowControl/>
              <w:jc w:val="left"/>
              <w:rPr>
                <w:rFonts w:ascii="宋体" w:hAnsi="宋体" w:cs="宋体"/>
                <w:color w:val="000000"/>
                <w:kern w:val="0"/>
                <w:sz w:val="24"/>
              </w:rPr>
            </w:pPr>
          </w:p>
        </w:tc>
        <w:tc>
          <w:tcPr>
            <w:tcW w:w="910" w:type="dxa"/>
            <w:tcBorders>
              <w:top w:val="nil"/>
              <w:left w:val="nil"/>
              <w:bottom w:val="nil"/>
              <w:right w:val="nil"/>
            </w:tcBorders>
            <w:shd w:val="clear" w:color="auto" w:fill="auto"/>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1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both"/>
              <w:rPr>
                <w:rFonts w:ascii="宋体" w:hAnsi="宋体" w:cs="宋体"/>
                <w:b/>
                <w:bCs/>
                <w:color w:val="000000"/>
                <w:kern w:val="0"/>
                <w:sz w:val="24"/>
              </w:rPr>
            </w:pPr>
            <w:r>
              <w:rPr>
                <w:rFonts w:hint="eastAsia" w:ascii="宋体" w:hAnsi="宋体" w:cs="宋体"/>
                <w:b/>
                <w:bCs/>
                <w:color w:val="000000"/>
                <w:kern w:val="0"/>
                <w:sz w:val="24"/>
              </w:rPr>
              <w:t>领域</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rPr>
            </w:pPr>
            <w:r>
              <w:rPr>
                <w:rFonts w:hint="eastAsia" w:ascii="宋体" w:hAnsi="宋体" w:cs="宋体"/>
                <w:b/>
                <w:bCs/>
                <w:color w:val="000000"/>
                <w:kern w:val="0"/>
                <w:sz w:val="24"/>
              </w:rPr>
              <w:t>建设规范对应条目</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rPr>
            </w:pPr>
            <w:r>
              <w:rPr>
                <w:rFonts w:hint="eastAsia" w:ascii="宋体" w:hAnsi="宋体" w:cs="宋体"/>
                <w:b/>
                <w:bCs/>
                <w:color w:val="000000"/>
                <w:kern w:val="0"/>
                <w:sz w:val="24"/>
              </w:rPr>
              <w:t>评估指标</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指标说明</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both"/>
              <w:rPr>
                <w:rFonts w:ascii="宋体" w:hAnsi="宋体" w:cs="宋体"/>
                <w:b/>
                <w:bCs/>
                <w:color w:val="000000"/>
                <w:kern w:val="0"/>
                <w:sz w:val="24"/>
              </w:rPr>
            </w:pPr>
            <w:r>
              <w:rPr>
                <w:rFonts w:hint="eastAsia" w:ascii="宋体" w:hAnsi="宋体" w:cs="宋体"/>
                <w:b/>
                <w:bCs/>
                <w:color w:val="000000"/>
                <w:kern w:val="0"/>
                <w:sz w:val="24"/>
              </w:rPr>
              <w:t>评估方式</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firstLine="723" w:firstLineChars="300"/>
              <w:jc w:val="both"/>
              <w:rPr>
                <w:rFonts w:ascii="宋体" w:hAnsi="宋体" w:cs="宋体"/>
                <w:b/>
                <w:bCs/>
                <w:color w:val="000000"/>
                <w:kern w:val="0"/>
                <w:sz w:val="24"/>
              </w:rPr>
            </w:pPr>
            <w:r>
              <w:rPr>
                <w:rFonts w:hint="eastAsia" w:ascii="宋体" w:hAnsi="宋体" w:cs="宋体"/>
                <w:b/>
                <w:bCs/>
                <w:color w:val="000000"/>
                <w:kern w:val="0"/>
                <w:sz w:val="24"/>
              </w:rPr>
              <w:t>赋分标准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分值</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文件依据</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rPr>
            </w:pPr>
            <w:r>
              <w:rPr>
                <w:rFonts w:hint="eastAsia" w:ascii="宋体" w:hAnsi="宋体" w:cs="宋体"/>
                <w:b/>
                <w:bCs/>
                <w:color w:val="000000"/>
                <w:kern w:val="0"/>
                <w:sz w:val="24"/>
              </w:rPr>
              <w:t>得分</w:t>
            </w: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b/>
                <w:bCs/>
                <w:color w:val="000000"/>
                <w:kern w:val="0"/>
                <w:sz w:val="24"/>
              </w:rPr>
              <w:t>一、健康政策</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第六条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1.纳入县区发展规划</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工作报告、发展规划等文件中，体现健康县区建设内容。</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查阅资料：工作报告、发展规划等文件。</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文件中体现健康县区建设内容，得10分；未体现，不得分。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34" w:hRule="atLeast"/>
        </w:trPr>
        <w:tc>
          <w:tcPr>
            <w:tcW w:w="18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第七条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2.人群健康状</w:t>
            </w:r>
            <w:r>
              <w:rPr>
                <w:rFonts w:hint="eastAsia" w:ascii="宋体" w:hAnsi="宋体" w:cs="宋体"/>
                <w:color w:val="000000"/>
                <w:kern w:val="0"/>
                <w:sz w:val="24"/>
              </w:rPr>
              <w:br w:type="textWrapping"/>
            </w:r>
            <w:r>
              <w:rPr>
                <w:rFonts w:hint="eastAsia" w:ascii="宋体" w:hAnsi="宋体" w:cs="宋体"/>
                <w:color w:val="000000"/>
                <w:kern w:val="0"/>
                <w:sz w:val="24"/>
              </w:rPr>
              <w:t>况及影响因素</w:t>
            </w:r>
            <w:r>
              <w:rPr>
                <w:rFonts w:hint="eastAsia" w:ascii="宋体" w:hAnsi="宋体" w:cs="宋体"/>
                <w:color w:val="000000"/>
                <w:kern w:val="0"/>
                <w:sz w:val="24"/>
              </w:rPr>
              <w:br w:type="textWrapping"/>
            </w:r>
            <w:r>
              <w:rPr>
                <w:rFonts w:hint="eastAsia" w:ascii="宋体" w:hAnsi="宋体" w:cs="宋体"/>
                <w:color w:val="000000"/>
                <w:kern w:val="0"/>
                <w:sz w:val="24"/>
              </w:rPr>
              <w:t>分析</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收集人群健康状况及影响因素相关信息，分析辖区内主要健康问题，提出优先干预策略。</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查阅资料：相关调查报告。</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1.有相关调查报告，得4分；无报告，不得分。</w:t>
            </w:r>
            <w:r>
              <w:rPr>
                <w:rFonts w:hint="eastAsia" w:ascii="宋体" w:hAnsi="宋体" w:cs="宋体"/>
                <w:color w:val="000000"/>
                <w:kern w:val="0"/>
                <w:sz w:val="24"/>
              </w:rPr>
              <w:br w:type="textWrapping"/>
            </w:r>
            <w:r>
              <w:rPr>
                <w:rFonts w:hint="eastAsia" w:ascii="宋体" w:hAnsi="宋体" w:cs="宋体"/>
                <w:color w:val="000000"/>
                <w:kern w:val="0"/>
                <w:sz w:val="24"/>
              </w:rPr>
              <w:t>2.资料收集方法合理，得4分；不合理，不得分。</w:t>
            </w:r>
            <w:r>
              <w:rPr>
                <w:rFonts w:hint="eastAsia" w:ascii="宋体" w:hAnsi="宋体" w:cs="宋体"/>
                <w:color w:val="000000"/>
                <w:kern w:val="0"/>
                <w:sz w:val="24"/>
              </w:rPr>
              <w:br w:type="textWrapping"/>
            </w:r>
            <w:r>
              <w:rPr>
                <w:rFonts w:hint="eastAsia" w:ascii="宋体" w:hAnsi="宋体" w:cs="宋体"/>
                <w:color w:val="000000"/>
                <w:kern w:val="0"/>
                <w:sz w:val="24"/>
              </w:rPr>
              <w:t>3.分析思路清晰，方法得当，得4分；未达到要求，不得分。</w:t>
            </w:r>
            <w:r>
              <w:rPr>
                <w:rFonts w:hint="eastAsia" w:ascii="宋体" w:hAnsi="宋体" w:cs="宋体"/>
                <w:color w:val="000000"/>
                <w:kern w:val="0"/>
                <w:sz w:val="24"/>
              </w:rPr>
              <w:br w:type="textWrapping"/>
            </w:r>
            <w:r>
              <w:rPr>
                <w:rFonts w:hint="eastAsia" w:ascii="宋体" w:hAnsi="宋体" w:cs="宋体"/>
                <w:color w:val="000000"/>
                <w:kern w:val="0"/>
                <w:sz w:val="24"/>
              </w:rPr>
              <w:t>4.提出主要的健康问题和影响因素，得4分；未提出，不得分。</w:t>
            </w:r>
            <w:r>
              <w:rPr>
                <w:rFonts w:hint="eastAsia" w:ascii="宋体" w:hAnsi="宋体" w:cs="宋体"/>
                <w:color w:val="000000"/>
                <w:kern w:val="0"/>
                <w:sz w:val="24"/>
              </w:rPr>
              <w:br w:type="textWrapping"/>
            </w:r>
            <w:r>
              <w:rPr>
                <w:rFonts w:hint="eastAsia" w:ascii="宋体" w:hAnsi="宋体" w:cs="宋体"/>
                <w:color w:val="000000"/>
                <w:kern w:val="0"/>
                <w:sz w:val="24"/>
              </w:rPr>
              <w:t>5.提出明确的干预策略建议，得4分；未提出，不得分。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该指标满分为20分。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46" w:hRule="atLeast"/>
        </w:trPr>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3.健康县区实施方案</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出台健康县区实施方案，明确建设目标、工作内容、任务分工、时间进度。</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查阅资料：健康县区实施方案。</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出台健康县区实施方案，并体现健康中国、乡村振兴和积极应对人口老龄化等国家战略，得10分；仅有实施方案，但未体现三个国家战略的统筹考虑，得5分；无实施方案，不得分。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12" w:hRule="atLeast"/>
        </w:trPr>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4.跨部门健康行动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相关部门针对当地突出的健康问题，开展跨部门行动。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查阅资料：相关公共政策。</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以多部门联合方式出台相关健康文件，每项文件得4分（针对同一健康问题如有多个文件，算作1项，如某地针对艾滋病防控出台多个文件，仅能视为1项），满分为20分；未出台文件，不得分。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第八条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5.相关部门履行健康责任</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非卫生健康部门根据健康县区建设任务分工，各自出台落实文件。</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查阅资料：非卫生健康部门出台的相关文件。</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健康县区建设任务分工所涉及到的非卫生健康部门中，出台落实文件的部门占比达到100%，得20分；未达到100%者按实际比例得分；非卫生健康部门未出台落实文件，不得分。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6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第九条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6.健康影响评估制度建设</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初步建立健康影响评估制度，出台相关文件，明确部门职责，明确评估范围和机制，明确日常办事机构和办事流程，建立专家委员会。</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查阅资料：健康影响评估制度建设相关文件。</w:t>
            </w:r>
            <w:r>
              <w:rPr>
                <w:rFonts w:hint="eastAsia" w:ascii="宋体" w:hAnsi="宋体" w:cs="宋体"/>
                <w:color w:val="000000"/>
                <w:kern w:val="0"/>
                <w:sz w:val="24"/>
              </w:rPr>
              <w:br w:type="textWrapping"/>
            </w:r>
            <w:r>
              <w:rPr>
                <w:rFonts w:hint="eastAsia" w:ascii="宋体" w:hAnsi="宋体" w:cs="宋体"/>
                <w:color w:val="000000"/>
                <w:kern w:val="0"/>
                <w:sz w:val="24"/>
              </w:rPr>
              <w:t>资料来源：健康影响评估办事机构、相关部门等。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1.印发专门文件，得4分；未印发，不得分。</w:t>
            </w:r>
            <w:r>
              <w:rPr>
                <w:rFonts w:hint="eastAsia" w:ascii="宋体" w:hAnsi="宋体" w:cs="宋体"/>
                <w:color w:val="000000"/>
                <w:kern w:val="0"/>
                <w:sz w:val="24"/>
              </w:rPr>
              <w:br w:type="textWrapping"/>
            </w:r>
            <w:r>
              <w:rPr>
                <w:rFonts w:hint="eastAsia" w:ascii="宋体" w:hAnsi="宋体" w:cs="宋体"/>
                <w:color w:val="000000"/>
                <w:kern w:val="0"/>
                <w:sz w:val="24"/>
              </w:rPr>
              <w:t>2.明确评估范围，得2分；未明确，不得分。</w:t>
            </w:r>
            <w:r>
              <w:rPr>
                <w:rFonts w:hint="eastAsia" w:ascii="宋体" w:hAnsi="宋体" w:cs="宋体"/>
                <w:color w:val="000000"/>
                <w:kern w:val="0"/>
                <w:sz w:val="24"/>
              </w:rPr>
              <w:br w:type="textWrapping"/>
            </w:r>
            <w:r>
              <w:rPr>
                <w:rFonts w:hint="eastAsia" w:ascii="宋体" w:hAnsi="宋体" w:cs="宋体"/>
                <w:color w:val="000000"/>
                <w:kern w:val="0"/>
                <w:sz w:val="24"/>
              </w:rPr>
              <w:t>3.明确评估机制，得2分；未明确，不得分。</w:t>
            </w:r>
            <w:r>
              <w:rPr>
                <w:rFonts w:hint="eastAsia" w:ascii="宋体" w:hAnsi="宋体" w:cs="宋体"/>
                <w:color w:val="000000"/>
                <w:kern w:val="0"/>
                <w:sz w:val="24"/>
              </w:rPr>
              <w:br w:type="textWrapping"/>
            </w:r>
            <w:r>
              <w:rPr>
                <w:rFonts w:hint="eastAsia" w:ascii="宋体" w:hAnsi="宋体" w:cs="宋体"/>
                <w:color w:val="000000"/>
                <w:kern w:val="0"/>
                <w:sz w:val="24"/>
              </w:rPr>
              <w:t>4.明确办事机构，得2分；未明确，不得分。</w:t>
            </w:r>
            <w:r>
              <w:rPr>
                <w:rFonts w:hint="eastAsia" w:ascii="宋体" w:hAnsi="宋体" w:cs="宋体"/>
                <w:color w:val="000000"/>
                <w:kern w:val="0"/>
                <w:sz w:val="24"/>
              </w:rPr>
              <w:br w:type="textWrapping"/>
            </w:r>
            <w:r>
              <w:rPr>
                <w:rFonts w:hint="eastAsia" w:ascii="宋体" w:hAnsi="宋体" w:cs="宋体"/>
                <w:color w:val="000000"/>
                <w:kern w:val="0"/>
                <w:sz w:val="24"/>
              </w:rPr>
              <w:t>5.建立部门工作网络，得2分；未建立，不得分。</w:t>
            </w:r>
            <w:r>
              <w:rPr>
                <w:rFonts w:hint="eastAsia" w:ascii="宋体" w:hAnsi="宋体" w:cs="宋体"/>
                <w:color w:val="000000"/>
                <w:kern w:val="0"/>
                <w:sz w:val="24"/>
              </w:rPr>
              <w:br w:type="textWrapping"/>
            </w:r>
            <w:r>
              <w:rPr>
                <w:rFonts w:hint="eastAsia" w:ascii="宋体" w:hAnsi="宋体" w:cs="宋体"/>
                <w:color w:val="000000"/>
                <w:kern w:val="0"/>
                <w:sz w:val="24"/>
              </w:rPr>
              <w:t>6.组建专家委员会，得2分；未组建，不得分。</w:t>
            </w:r>
            <w:r>
              <w:rPr>
                <w:rFonts w:hint="eastAsia" w:ascii="宋体" w:hAnsi="宋体" w:cs="宋体"/>
                <w:color w:val="000000"/>
                <w:kern w:val="0"/>
                <w:sz w:val="24"/>
              </w:rPr>
              <w:br w:type="textWrapping"/>
            </w:r>
            <w:r>
              <w:rPr>
                <w:rFonts w:hint="eastAsia" w:ascii="宋体" w:hAnsi="宋体" w:cs="宋体"/>
                <w:color w:val="000000"/>
                <w:kern w:val="0"/>
                <w:sz w:val="24"/>
              </w:rPr>
              <w:t>（如仅开展公共政策健康审查，尚未系统建立健康影响评估制度，该指标得4分。）</w:t>
            </w:r>
            <w:r>
              <w:rPr>
                <w:rFonts w:hint="eastAsia" w:ascii="宋体" w:hAnsi="宋体" w:cs="宋体"/>
                <w:color w:val="000000"/>
                <w:kern w:val="0"/>
                <w:sz w:val="24"/>
              </w:rPr>
              <w:br w:type="textWrapping"/>
            </w:r>
            <w:r>
              <w:rPr>
                <w:rFonts w:hint="eastAsia" w:ascii="宋体" w:hAnsi="宋体" w:cs="宋体"/>
                <w:color w:val="000000"/>
                <w:kern w:val="0"/>
                <w:sz w:val="24"/>
              </w:rPr>
              <w:t>该指标满分为14分。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见附录2：1-4。</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3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7.公共政策健康影响评估</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近1年内，对当地拟下发的公共政策开展健康影响评价，提出修改建议，政策制订部门采纳或部分采纳后正式下发。</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查阅资料：开展健康影响评价的相关文件、工作记录及工作报告等。</w:t>
            </w:r>
            <w:r>
              <w:rPr>
                <w:rFonts w:hint="eastAsia" w:ascii="宋体" w:hAnsi="宋体" w:cs="宋体"/>
                <w:color w:val="000000"/>
                <w:kern w:val="0"/>
                <w:sz w:val="24"/>
              </w:rPr>
              <w:br w:type="textWrapping"/>
            </w:r>
            <w:r>
              <w:rPr>
                <w:rFonts w:hint="eastAsia" w:ascii="宋体" w:hAnsi="宋体" w:cs="宋体"/>
                <w:color w:val="000000"/>
                <w:kern w:val="0"/>
                <w:sz w:val="24"/>
              </w:rPr>
              <w:t>资料来源：健康影响评估办事机构、相关部门等。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对于当地方案中要求进行评估的公共政策，评估完成率达到100%，得8分；≥50%且＜100%，得4分；仅对若干政策选择性评估，得2分；未开展评估，不得分。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23"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8.重大工程项目健康影响评估</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近1年内，对当地拟建重大工程项目开展健康影响评价，提出修改建议，工程项目负责部门采纳或部分采纳。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查阅资料：开展健康影响评价的相关文件、工作记录及工作报告等。</w:t>
            </w:r>
            <w:r>
              <w:rPr>
                <w:rFonts w:hint="eastAsia" w:ascii="宋体" w:hAnsi="宋体" w:cs="宋体"/>
                <w:color w:val="000000"/>
                <w:kern w:val="0"/>
                <w:sz w:val="24"/>
              </w:rPr>
              <w:br w:type="textWrapping"/>
            </w:r>
            <w:r>
              <w:rPr>
                <w:rFonts w:hint="eastAsia" w:ascii="宋体" w:hAnsi="宋体" w:cs="宋体"/>
                <w:color w:val="000000"/>
                <w:kern w:val="0"/>
                <w:sz w:val="24"/>
              </w:rPr>
              <w:t>资料来源：健康影响评估办事机构、相关部门等。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对于当地方案中要求进行评估的重大工程项目，评估完成率达到100%，得8分；≥50%且＜100%，得4分；仅对若干工程项目选择性评估，得2分；未开展评估，不得分。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b/>
                <w:bCs/>
                <w:color w:val="000000"/>
                <w:kern w:val="0"/>
                <w:sz w:val="24"/>
              </w:rPr>
              <w:t>二、健康环境</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230分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90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br w:type="textWrapping"/>
            </w:r>
            <w:r>
              <w:rPr>
                <w:rFonts w:hint="eastAsia" w:ascii="宋体" w:hAnsi="宋体" w:cs="宋体"/>
                <w:color w:val="000000"/>
                <w:kern w:val="0"/>
                <w:sz w:val="24"/>
              </w:rPr>
              <w:t>9.县区人居环境</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br w:type="textWrapping"/>
            </w:r>
            <w:r>
              <w:rPr>
                <w:rFonts w:hint="eastAsia" w:ascii="宋体" w:hAnsi="宋体" w:cs="宋体"/>
                <w:color w:val="000000"/>
                <w:kern w:val="0"/>
                <w:sz w:val="24"/>
              </w:rPr>
              <w:t>通过完善供水、排水、供电、供气、道路、通信、广播电视、环卫等基础设施提升县区健康环境；</w:t>
            </w:r>
            <w:r>
              <w:rPr>
                <w:rFonts w:hint="eastAsia" w:ascii="宋体" w:hAnsi="宋体" w:cs="宋体"/>
                <w:color w:val="000000"/>
                <w:kern w:val="0"/>
                <w:sz w:val="24"/>
              </w:rPr>
              <w:br w:type="textWrapping"/>
            </w:r>
            <w:r>
              <w:rPr>
                <w:rFonts w:hint="eastAsia" w:ascii="宋体" w:hAnsi="宋体" w:cs="宋体"/>
                <w:color w:val="000000"/>
                <w:kern w:val="0"/>
                <w:sz w:val="24"/>
              </w:rPr>
              <w:t>通过绿化、亮化、美化、净化等具体措施改善县区人居环境。</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查阅资料：市政基础设施专项规划及开展建设佐证资料；道路及周边环境综合整治改造提升工程相关资料。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资料来源：住房和城乡建设主管部门。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1.按照市政基础设施专项规划建设健康环境设施，得6分；未按规划建设，不得分。</w:t>
            </w:r>
            <w:r>
              <w:rPr>
                <w:rFonts w:hint="eastAsia" w:ascii="宋体" w:hAnsi="宋体" w:cs="宋体"/>
                <w:color w:val="000000"/>
                <w:kern w:val="0"/>
                <w:sz w:val="24"/>
              </w:rPr>
              <w:br w:type="textWrapping"/>
            </w:r>
            <w:r>
              <w:rPr>
                <w:rFonts w:hint="eastAsia" w:ascii="宋体" w:hAnsi="宋体" w:cs="宋体"/>
                <w:color w:val="000000"/>
                <w:kern w:val="0"/>
                <w:sz w:val="24"/>
              </w:rPr>
              <w:t>2.开展道路及周边环境综合整治改造提升人居工程，得6分；未开展，不得分。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该指标满分为12分。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见附录2：5-11。</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5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10.无障碍设施</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按照《建筑与市政工程无障碍通用规范》要求，建设和运行维护人行道、盲道、人行过街设施以及出入口、无障碍卫生间（无障碍厕位）、低位服务设施、无障碍停车位、无障碍标志等无障碍设施，满足相关人群出行需求。</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现场抽查：随机抽查1个城区居民小区和1家当地较大规模的商场，现场查看无障碍设施的建设情况。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抽查的场所中，至少建有盲道、无障碍卫生间（厕位）、出入口无障碍设施、低位服务设施、无障碍停车位、无障碍标志这6种无障碍设施的3种及以上，得4分；＜3种，得2分；未建设无障碍设施，不得分；2个抽查场所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61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11.健康主题公园</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建设和管理健康主题公园，向公众传播健康知识，促进公众身体活动。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现场抽查：随机抽查1个健康主题公园，依据下列标准进行评分：（其中第5条查阅资料，其余现场查看。）</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1.公园内有禁烟标识（1分）。</w:t>
            </w:r>
            <w:r>
              <w:rPr>
                <w:rFonts w:hint="eastAsia" w:ascii="宋体" w:hAnsi="宋体" w:cs="宋体"/>
                <w:color w:val="000000"/>
                <w:kern w:val="0"/>
                <w:sz w:val="24"/>
              </w:rPr>
              <w:br w:type="textWrapping"/>
            </w:r>
            <w:r>
              <w:rPr>
                <w:rFonts w:hint="eastAsia" w:ascii="宋体" w:hAnsi="宋体" w:cs="宋体"/>
                <w:color w:val="000000"/>
                <w:kern w:val="0"/>
                <w:sz w:val="24"/>
              </w:rPr>
              <w:t>2.位置便利，环境优美，配有休息椅凳等设施，至少有1条健康</w:t>
            </w:r>
            <w:r>
              <w:rPr>
                <w:rFonts w:hint="eastAsia" w:ascii="宋体" w:hAnsi="宋体" w:cs="宋体"/>
                <w:color w:val="000000"/>
                <w:kern w:val="0"/>
                <w:sz w:val="24"/>
              </w:rPr>
              <w:br w:type="textWrapping"/>
            </w:r>
            <w:r>
              <w:rPr>
                <w:rFonts w:hint="eastAsia" w:ascii="宋体" w:hAnsi="宋体" w:cs="宋体"/>
                <w:color w:val="000000"/>
                <w:kern w:val="0"/>
                <w:sz w:val="24"/>
              </w:rPr>
              <w:t>步道（1分）。</w:t>
            </w:r>
            <w:r>
              <w:rPr>
                <w:rFonts w:hint="eastAsia" w:ascii="宋体" w:hAnsi="宋体" w:cs="宋体"/>
                <w:color w:val="000000"/>
                <w:kern w:val="0"/>
                <w:sz w:val="24"/>
              </w:rPr>
              <w:br w:type="textWrapping"/>
            </w:r>
            <w:r>
              <w:rPr>
                <w:rFonts w:hint="eastAsia" w:ascii="宋体" w:hAnsi="宋体" w:cs="宋体"/>
                <w:color w:val="000000"/>
                <w:kern w:val="0"/>
                <w:sz w:val="24"/>
              </w:rPr>
              <w:t>3.配备适合儿童青少年等不同人群身体锻炼的体育设施,且设施器材可正常使用（1分）。</w:t>
            </w:r>
            <w:r>
              <w:rPr>
                <w:rFonts w:hint="eastAsia" w:ascii="宋体" w:hAnsi="宋体" w:cs="宋体"/>
                <w:color w:val="000000"/>
                <w:kern w:val="0"/>
                <w:sz w:val="24"/>
              </w:rPr>
              <w:br w:type="textWrapping"/>
            </w:r>
            <w:r>
              <w:rPr>
                <w:rFonts w:hint="eastAsia" w:ascii="宋体" w:hAnsi="宋体" w:cs="宋体"/>
                <w:color w:val="000000"/>
                <w:kern w:val="0"/>
                <w:sz w:val="24"/>
              </w:rPr>
              <w:t>4.定期更新健康宣传材料（1分）。</w:t>
            </w:r>
            <w:r>
              <w:rPr>
                <w:rFonts w:hint="eastAsia" w:ascii="宋体" w:hAnsi="宋体" w:cs="宋体"/>
                <w:color w:val="000000"/>
                <w:kern w:val="0"/>
                <w:sz w:val="24"/>
              </w:rPr>
              <w:br w:type="textWrapping"/>
            </w:r>
            <w:r>
              <w:rPr>
                <w:rFonts w:hint="eastAsia" w:ascii="宋体" w:hAnsi="宋体" w:cs="宋体"/>
                <w:color w:val="000000"/>
                <w:kern w:val="0"/>
                <w:sz w:val="24"/>
              </w:rPr>
              <w:t>5.开展健康生活方式宣传活动（1分）。</w:t>
            </w:r>
            <w:r>
              <w:rPr>
                <w:rFonts w:hint="eastAsia" w:ascii="宋体" w:hAnsi="宋体" w:cs="宋体"/>
                <w:color w:val="000000"/>
                <w:kern w:val="0"/>
                <w:sz w:val="24"/>
              </w:rPr>
              <w:br w:type="textWrapping"/>
            </w:r>
            <w:r>
              <w:rPr>
                <w:rFonts w:hint="eastAsia" w:ascii="宋体" w:hAnsi="宋体" w:cs="宋体"/>
                <w:color w:val="000000"/>
                <w:kern w:val="0"/>
                <w:sz w:val="24"/>
              </w:rPr>
              <w:t>符合1项，得1分，满分为5分；无健康主题公园，不得分。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96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12.健康步道</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在社区、单位、公园等公共场所建设健康步道，供公众开展健步走等健身活动，获取健康知识和技能。</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现场抽查：随机抽查1条健康步道。</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依据下列标准进行评分：</w:t>
            </w:r>
            <w:r>
              <w:rPr>
                <w:rFonts w:hint="eastAsia" w:ascii="宋体" w:hAnsi="宋体" w:cs="宋体"/>
                <w:color w:val="000000"/>
                <w:kern w:val="0"/>
                <w:sz w:val="24"/>
              </w:rPr>
              <w:br w:type="textWrapping"/>
            </w:r>
            <w:r>
              <w:rPr>
                <w:rFonts w:hint="eastAsia" w:ascii="宋体" w:hAnsi="宋体" w:cs="宋体"/>
                <w:color w:val="000000"/>
                <w:kern w:val="0"/>
                <w:sz w:val="24"/>
              </w:rPr>
              <w:t>1.设置健康标识（2分）。</w:t>
            </w:r>
            <w:r>
              <w:rPr>
                <w:rFonts w:hint="eastAsia" w:ascii="宋体" w:hAnsi="宋体" w:cs="宋体"/>
                <w:color w:val="000000"/>
                <w:kern w:val="0"/>
                <w:sz w:val="24"/>
              </w:rPr>
              <w:br w:type="textWrapping"/>
            </w:r>
            <w:r>
              <w:rPr>
                <w:rFonts w:hint="eastAsia" w:ascii="宋体" w:hAnsi="宋体" w:cs="宋体"/>
                <w:color w:val="000000"/>
                <w:kern w:val="0"/>
                <w:sz w:val="24"/>
              </w:rPr>
              <w:t>2.位置便利，路面整洁安全，无车辆穿行（2分）。</w:t>
            </w:r>
            <w:r>
              <w:rPr>
                <w:rFonts w:hint="eastAsia" w:ascii="宋体" w:hAnsi="宋体" w:cs="宋体"/>
                <w:color w:val="000000"/>
                <w:kern w:val="0"/>
                <w:sz w:val="24"/>
              </w:rPr>
              <w:br w:type="textWrapping"/>
            </w:r>
            <w:r>
              <w:rPr>
                <w:rFonts w:hint="eastAsia" w:ascii="宋体" w:hAnsi="宋体" w:cs="宋体"/>
                <w:color w:val="000000"/>
                <w:kern w:val="0"/>
                <w:sz w:val="24"/>
              </w:rPr>
              <w:t>3.步道宽度不小于1.2米，总长度不小于1000米或环形步道周长不小于300米（2分）。</w:t>
            </w:r>
            <w:r>
              <w:rPr>
                <w:rFonts w:hint="eastAsia" w:ascii="宋体" w:hAnsi="宋体" w:cs="宋体"/>
                <w:color w:val="000000"/>
                <w:kern w:val="0"/>
                <w:sz w:val="24"/>
              </w:rPr>
              <w:br w:type="textWrapping"/>
            </w:r>
            <w:r>
              <w:rPr>
                <w:rFonts w:hint="eastAsia" w:ascii="宋体" w:hAnsi="宋体" w:cs="宋体"/>
                <w:color w:val="000000"/>
                <w:kern w:val="0"/>
                <w:sz w:val="24"/>
              </w:rPr>
              <w:t>符合1项，得2分，满分为6分；无健康步道，不得分。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61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13.绿道</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建设绿道，为市民绿色出行、游憩、休闲提供环境。</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现场抽查：随机抽查1条绿道。</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依据下列标准进行评分：</w:t>
            </w:r>
            <w:r>
              <w:rPr>
                <w:rFonts w:hint="eastAsia" w:ascii="宋体" w:hAnsi="宋体" w:cs="宋体"/>
                <w:color w:val="000000"/>
                <w:kern w:val="0"/>
                <w:sz w:val="24"/>
              </w:rPr>
              <w:br w:type="textWrapping"/>
            </w:r>
            <w:r>
              <w:rPr>
                <w:rFonts w:hint="eastAsia" w:ascii="宋体" w:hAnsi="宋体" w:cs="宋体"/>
                <w:color w:val="000000"/>
                <w:kern w:val="0"/>
                <w:sz w:val="24"/>
              </w:rPr>
              <w:t>1.串联公园绿地、广场、防护绿地等（1分）。</w:t>
            </w:r>
            <w:r>
              <w:rPr>
                <w:rFonts w:hint="eastAsia" w:ascii="宋体" w:hAnsi="宋体" w:cs="宋体"/>
                <w:color w:val="000000"/>
                <w:kern w:val="0"/>
                <w:sz w:val="24"/>
              </w:rPr>
              <w:br w:type="textWrapping"/>
            </w:r>
            <w:r>
              <w:rPr>
                <w:rFonts w:hint="eastAsia" w:ascii="宋体" w:hAnsi="宋体" w:cs="宋体"/>
                <w:color w:val="000000"/>
                <w:kern w:val="0"/>
                <w:sz w:val="24"/>
              </w:rPr>
              <w:t>2.与公交、步行及自行车交通系统相衔接，设置指示、警示等标识（1分）。</w:t>
            </w:r>
            <w:r>
              <w:rPr>
                <w:rFonts w:hint="eastAsia" w:ascii="宋体" w:hAnsi="宋体" w:cs="宋体"/>
                <w:color w:val="000000"/>
                <w:kern w:val="0"/>
                <w:sz w:val="24"/>
              </w:rPr>
              <w:br w:type="textWrapping"/>
            </w:r>
            <w:r>
              <w:rPr>
                <w:rFonts w:hint="eastAsia" w:ascii="宋体" w:hAnsi="宋体" w:cs="宋体"/>
                <w:color w:val="000000"/>
                <w:kern w:val="0"/>
                <w:sz w:val="24"/>
              </w:rPr>
              <w:t>3.铺装材料透水防滑，与周边环境协调（1分）。</w:t>
            </w:r>
            <w:r>
              <w:rPr>
                <w:rFonts w:hint="eastAsia" w:ascii="宋体" w:hAnsi="宋体" w:cs="宋体"/>
                <w:color w:val="000000"/>
                <w:kern w:val="0"/>
                <w:sz w:val="24"/>
              </w:rPr>
              <w:br w:type="textWrapping"/>
            </w:r>
            <w:r>
              <w:rPr>
                <w:rFonts w:hint="eastAsia" w:ascii="宋体" w:hAnsi="宋体" w:cs="宋体"/>
                <w:color w:val="000000"/>
                <w:kern w:val="0"/>
                <w:sz w:val="24"/>
              </w:rPr>
              <w:t>4.连接城乡居民点、公共空间及历史文化节点，设置科普解说及展示设施（1分）。</w:t>
            </w:r>
            <w:r>
              <w:rPr>
                <w:rFonts w:hint="eastAsia" w:ascii="宋体" w:hAnsi="宋体" w:cs="宋体"/>
                <w:color w:val="000000"/>
                <w:kern w:val="0"/>
                <w:sz w:val="24"/>
              </w:rPr>
              <w:br w:type="textWrapping"/>
            </w:r>
            <w:r>
              <w:rPr>
                <w:rFonts w:hint="eastAsia" w:ascii="宋体" w:hAnsi="宋体" w:cs="宋体"/>
                <w:color w:val="000000"/>
                <w:kern w:val="0"/>
                <w:sz w:val="24"/>
              </w:rPr>
              <w:t>5.步行道宽度不小于1.5m；自行车道宽度单向不小于1.5m，双向不小于3m（1分）。</w:t>
            </w:r>
            <w:r>
              <w:rPr>
                <w:rFonts w:hint="eastAsia" w:ascii="宋体" w:hAnsi="宋体" w:cs="宋体"/>
                <w:color w:val="000000"/>
                <w:kern w:val="0"/>
                <w:sz w:val="24"/>
              </w:rPr>
              <w:br w:type="textWrapping"/>
            </w:r>
            <w:r>
              <w:rPr>
                <w:rFonts w:hint="eastAsia" w:ascii="宋体" w:hAnsi="宋体" w:cs="宋体"/>
                <w:color w:val="000000"/>
                <w:kern w:val="0"/>
                <w:sz w:val="24"/>
              </w:rPr>
              <w:t>符合1项，得1分，满分为5分；无绿道，不得分。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0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第十一条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14.农村人居环境</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通过实施农村厕所革命，开展农村生活污水和生活垃圾处理，改善农村基础设施，促进农村人居环境整治和美丽乡村建设，提高农村公共服务水平，促进乡村文明建设。</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查阅资料：农村人居环境整治和美丽乡村建设相关资料。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资料来源：农业农村、乡村振兴、生态环境、住房和城乡建设等部</w:t>
            </w:r>
            <w:r>
              <w:rPr>
                <w:rFonts w:hint="eastAsia" w:ascii="宋体" w:hAnsi="宋体" w:cs="宋体"/>
                <w:color w:val="000000"/>
                <w:kern w:val="0"/>
                <w:sz w:val="24"/>
              </w:rPr>
              <w:br w:type="textWrapping"/>
            </w:r>
            <w:r>
              <w:rPr>
                <w:rFonts w:hint="eastAsia" w:ascii="宋体" w:hAnsi="宋体" w:cs="宋体"/>
                <w:color w:val="000000"/>
                <w:kern w:val="0"/>
                <w:sz w:val="24"/>
              </w:rPr>
              <w:t>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1.实施美丽乡村建设，得4分；未实施，不得分。</w:t>
            </w:r>
            <w:r>
              <w:rPr>
                <w:rFonts w:hint="eastAsia" w:ascii="宋体" w:hAnsi="宋体" w:cs="宋体"/>
                <w:color w:val="000000"/>
                <w:kern w:val="0"/>
                <w:sz w:val="24"/>
              </w:rPr>
              <w:br w:type="textWrapping"/>
            </w:r>
            <w:r>
              <w:rPr>
                <w:rFonts w:hint="eastAsia" w:ascii="宋体" w:hAnsi="宋体" w:cs="宋体"/>
                <w:color w:val="000000"/>
                <w:kern w:val="0"/>
                <w:sz w:val="24"/>
              </w:rPr>
              <w:t>2.开展农村人居环境整治行动，得4分；未开展，不得分。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64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第十一条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15.生态环境质量</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加强大气污染治理，环境空气质量、水环境质量、土壤环境质量等良好或持续改善；环境空气主要污染物包括温室气体排放达到要求；防治工业、建筑施工、交通运输和社会生活等噪声。</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查阅资料：上3年度生态环境质量相关监测数据、报告、行政处罚案件等。</w:t>
            </w:r>
            <w:r>
              <w:rPr>
                <w:rFonts w:hint="eastAsia" w:ascii="宋体" w:hAnsi="宋体" w:cs="宋体"/>
                <w:color w:val="000000"/>
                <w:kern w:val="0"/>
                <w:sz w:val="24"/>
              </w:rPr>
              <w:br w:type="textWrapping"/>
            </w:r>
            <w:r>
              <w:rPr>
                <w:rFonts w:hint="eastAsia" w:ascii="宋体" w:hAnsi="宋体" w:cs="宋体"/>
                <w:color w:val="000000"/>
                <w:kern w:val="0"/>
                <w:sz w:val="24"/>
              </w:rPr>
              <w:t>资料来源：生态环境部门。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1.上1年度环境空气质量优良天数高于全国同期平均水平，得4分；≤全国同期水平但＞前1年水平，得2分；≤全国同期水平且≤前1年水平，不得分。</w:t>
            </w:r>
            <w:r>
              <w:rPr>
                <w:rFonts w:hint="eastAsia" w:ascii="宋体" w:hAnsi="宋体" w:cs="宋体"/>
                <w:color w:val="000000"/>
                <w:kern w:val="0"/>
                <w:sz w:val="24"/>
              </w:rPr>
              <w:br w:type="textWrapping"/>
            </w:r>
            <w:r>
              <w:rPr>
                <w:rFonts w:hint="eastAsia" w:ascii="宋体" w:hAnsi="宋体" w:cs="宋体"/>
                <w:color w:val="000000"/>
                <w:kern w:val="0"/>
                <w:sz w:val="24"/>
              </w:rPr>
              <w:t>2.上1年度地表水水质达到或优于Ⅲ类水的比例高于全国同期平均水平，得3分；≤全国同期水平但＞前1年水平，得2分；≤全国同期水平且≤前1年水平，不得分。</w:t>
            </w:r>
            <w:r>
              <w:rPr>
                <w:rFonts w:hint="eastAsia" w:ascii="宋体" w:hAnsi="宋体" w:cs="宋体"/>
                <w:color w:val="000000"/>
                <w:kern w:val="0"/>
                <w:sz w:val="24"/>
              </w:rPr>
              <w:br w:type="textWrapping"/>
            </w:r>
            <w:r>
              <w:rPr>
                <w:rFonts w:hint="eastAsia" w:ascii="宋体" w:hAnsi="宋体" w:cs="宋体"/>
                <w:color w:val="000000"/>
                <w:kern w:val="0"/>
                <w:sz w:val="24"/>
              </w:rPr>
              <w:t>3.近3年地下水水质达到或优于Ⅲ类水的比例保持稳定或持续改善，得3分；比例下降，不得分。</w:t>
            </w:r>
            <w:r>
              <w:rPr>
                <w:rFonts w:hint="eastAsia" w:ascii="宋体" w:hAnsi="宋体" w:cs="宋体"/>
                <w:color w:val="000000"/>
                <w:kern w:val="0"/>
                <w:sz w:val="24"/>
              </w:rPr>
              <w:br w:type="textWrapping"/>
            </w:r>
            <w:r>
              <w:rPr>
                <w:rFonts w:hint="eastAsia" w:ascii="宋体" w:hAnsi="宋体" w:cs="宋体"/>
                <w:color w:val="000000"/>
                <w:kern w:val="0"/>
                <w:sz w:val="24"/>
              </w:rPr>
              <w:t>4.城市功能区声环境达标率达到功能区要求，得2分；未达到要求，不得分。</w:t>
            </w:r>
            <w:r>
              <w:rPr>
                <w:rFonts w:hint="eastAsia" w:ascii="宋体" w:hAnsi="宋体" w:cs="宋体"/>
                <w:color w:val="000000"/>
                <w:kern w:val="0"/>
                <w:sz w:val="24"/>
              </w:rPr>
              <w:br w:type="textWrapping"/>
            </w:r>
            <w:r>
              <w:rPr>
                <w:rFonts w:hint="eastAsia" w:ascii="宋体" w:hAnsi="宋体" w:cs="宋体"/>
                <w:color w:val="000000"/>
                <w:kern w:val="0"/>
                <w:sz w:val="24"/>
              </w:rPr>
              <w:t>5.年内无噪声污染行政处罚案件，得2分；有案件，不得分。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该指标满分为14分。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见附录2：14-27。</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5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16.重特大环境污染事件</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采取综合防控措施，杜绝发生重特大环境污染事件；制定环境突发事件应急预案并进行演练。</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查阅资料：环境突发事件应急预案及其演练的工作记录、照片等。</w:t>
            </w:r>
            <w:r>
              <w:rPr>
                <w:rFonts w:hint="eastAsia" w:ascii="宋体" w:hAnsi="宋体" w:cs="宋体"/>
                <w:color w:val="000000"/>
                <w:kern w:val="0"/>
                <w:sz w:val="24"/>
              </w:rPr>
              <w:br w:type="textWrapping"/>
            </w:r>
            <w:r>
              <w:rPr>
                <w:rFonts w:hint="eastAsia" w:ascii="宋体" w:hAnsi="宋体" w:cs="宋体"/>
                <w:color w:val="000000"/>
                <w:kern w:val="0"/>
                <w:sz w:val="24"/>
              </w:rPr>
              <w:t>资料来源：生态环境及应急部门、相关企事业单位等。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1.近3年辖区无重特大环境污染事件，得3分；有重特大环境污染事件，不得分。</w:t>
            </w:r>
            <w:r>
              <w:rPr>
                <w:rFonts w:hint="eastAsia" w:ascii="宋体" w:hAnsi="宋体" w:cs="宋体"/>
                <w:color w:val="000000"/>
                <w:kern w:val="0"/>
                <w:sz w:val="24"/>
              </w:rPr>
              <w:br w:type="textWrapping"/>
            </w:r>
            <w:r>
              <w:rPr>
                <w:rFonts w:hint="eastAsia" w:ascii="宋体" w:hAnsi="宋体" w:cs="宋体"/>
                <w:color w:val="000000"/>
                <w:kern w:val="0"/>
                <w:sz w:val="24"/>
              </w:rPr>
              <w:t>2.制定环境突发事件应急预案并进行演练，得3分；制定预案但未进行演练，得2分；未制定预案，不得分。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9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17.绿色低碳转型</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工业、能源、建筑、交通等领域形成绿色低碳循环发展的经济体系。</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查阅资料：上1年度相关年鉴、统计报表、报告等。</w:t>
            </w:r>
            <w:r>
              <w:rPr>
                <w:rFonts w:hint="eastAsia" w:ascii="宋体" w:hAnsi="宋体" w:cs="宋体"/>
                <w:color w:val="000000"/>
                <w:kern w:val="0"/>
                <w:sz w:val="24"/>
              </w:rPr>
              <w:br w:type="textWrapping"/>
            </w:r>
            <w:r>
              <w:rPr>
                <w:rFonts w:hint="eastAsia" w:ascii="宋体" w:hAnsi="宋体" w:cs="宋体"/>
                <w:color w:val="000000"/>
                <w:kern w:val="0"/>
                <w:sz w:val="24"/>
              </w:rPr>
              <w:t>资料来源：统计局、发改委、工信、生态环境等部门。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单位地区生产总值能耗、单位地区生产总值用水量、碳排放强度，完成上级规定的目标任务，每完成1项得2分，总分为6分；均未完成，不得分。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9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第十二条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18.饮用水水源地安全保障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饮用水水源地达到国家供水安全要求，保障饮水安全。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查阅资料：相关文件、预案方案、监测报告、评估报告、网站信息公开、工作记录、工作总结等。</w:t>
            </w:r>
            <w:r>
              <w:rPr>
                <w:rFonts w:hint="eastAsia" w:ascii="宋体" w:hAnsi="宋体" w:cs="宋体"/>
                <w:color w:val="000000"/>
                <w:kern w:val="0"/>
                <w:sz w:val="24"/>
              </w:rPr>
              <w:br w:type="textWrapping"/>
            </w:r>
            <w:r>
              <w:rPr>
                <w:rFonts w:hint="eastAsia" w:ascii="宋体" w:hAnsi="宋体" w:cs="宋体"/>
                <w:color w:val="000000"/>
                <w:kern w:val="0"/>
                <w:sz w:val="24"/>
              </w:rPr>
              <w:t>资料来源：水务、生态环境等部门。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1.按照规定划定饮用水水源保护区，得1分；未划定，不得分。</w:t>
            </w:r>
            <w:r>
              <w:rPr>
                <w:rFonts w:hint="eastAsia" w:ascii="宋体" w:hAnsi="宋体" w:cs="宋体"/>
                <w:color w:val="000000"/>
                <w:kern w:val="0"/>
                <w:sz w:val="24"/>
              </w:rPr>
              <w:br w:type="textWrapping"/>
            </w:r>
            <w:r>
              <w:rPr>
                <w:rFonts w:hint="eastAsia" w:ascii="宋体" w:hAnsi="宋体" w:cs="宋体"/>
                <w:color w:val="000000"/>
                <w:kern w:val="0"/>
                <w:sz w:val="24"/>
              </w:rPr>
              <w:t>2.开展饮用水水源地规范化建设，得1分；未开展，不得分。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3.持续开展饮用水水源保护区环境问题排查，得1分；未开展，不得分。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见附录2：23-32。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3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18.饮用水水源地安全保障（续）</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饮用水水源地达到国家供水安全要求，保障饮水安全。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查阅资料：相关文件、预案方案、监测报告、评估报告、网站信息公开、工作记录、工作总结等。</w:t>
            </w:r>
            <w:r>
              <w:rPr>
                <w:rFonts w:hint="eastAsia" w:ascii="宋体" w:hAnsi="宋体" w:cs="宋体"/>
                <w:color w:val="000000"/>
                <w:kern w:val="0"/>
                <w:sz w:val="24"/>
              </w:rPr>
              <w:br w:type="textWrapping"/>
            </w:r>
            <w:r>
              <w:rPr>
                <w:rFonts w:hint="eastAsia" w:ascii="宋体" w:hAnsi="宋体" w:cs="宋体"/>
                <w:color w:val="000000"/>
                <w:kern w:val="0"/>
                <w:sz w:val="24"/>
              </w:rPr>
              <w:t>资料来源：水务、生态环境等部门。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4.县级以上水源保护区水质达标率达到100%，得1分；＜100%，不得分。</w:t>
            </w:r>
            <w:r>
              <w:rPr>
                <w:rFonts w:hint="eastAsia" w:ascii="宋体" w:hAnsi="宋体" w:cs="宋体"/>
                <w:color w:val="000000"/>
                <w:kern w:val="0"/>
                <w:sz w:val="24"/>
              </w:rPr>
              <w:br w:type="textWrapping"/>
            </w:r>
            <w:r>
              <w:rPr>
                <w:rFonts w:hint="eastAsia" w:ascii="宋体" w:hAnsi="宋体" w:cs="宋体"/>
                <w:color w:val="000000"/>
                <w:kern w:val="0"/>
                <w:sz w:val="24"/>
              </w:rPr>
              <w:t>5.开展备用水源地相关工作，得1分；未开展，不得分。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6.公示水源地水质情况，公开问题清单及整改情况，得1分；未公示公开，不得分。</w:t>
            </w:r>
            <w:r>
              <w:rPr>
                <w:rFonts w:hint="eastAsia" w:ascii="宋体" w:hAnsi="宋体" w:cs="宋体"/>
                <w:color w:val="000000"/>
                <w:kern w:val="0"/>
                <w:sz w:val="24"/>
              </w:rPr>
              <w:br w:type="textWrapping"/>
            </w:r>
            <w:r>
              <w:rPr>
                <w:rFonts w:hint="eastAsia" w:ascii="宋体" w:hAnsi="宋体" w:cs="宋体"/>
                <w:color w:val="000000"/>
                <w:kern w:val="0"/>
                <w:sz w:val="24"/>
              </w:rPr>
              <w:t>7.开展水源地保护的宣传工作，得1分；未开展，不得分。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该指标满分为7分。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90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19.水功能区水质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水环境功能区划分合理，水质监测项目频次符合要求，水质达到功能区类别对应的要求。规范开展断面监测。河流、湖泊、沟渠、塘等水体无“黑臭”现象，水体水质不低于五类。</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查阅资料：相关文件、监测报告、政府网站信息等。</w:t>
            </w:r>
            <w:r>
              <w:rPr>
                <w:rFonts w:hint="eastAsia" w:ascii="宋体" w:hAnsi="宋体" w:cs="宋体"/>
                <w:color w:val="000000"/>
                <w:kern w:val="0"/>
                <w:sz w:val="24"/>
              </w:rPr>
              <w:br w:type="textWrapping"/>
            </w:r>
            <w:r>
              <w:rPr>
                <w:rFonts w:hint="eastAsia" w:ascii="宋体" w:hAnsi="宋体" w:cs="宋体"/>
                <w:color w:val="000000"/>
                <w:kern w:val="0"/>
                <w:sz w:val="24"/>
              </w:rPr>
              <w:t>资料来源：水务、生态环境等部门。</w:t>
            </w:r>
            <w:r>
              <w:rPr>
                <w:rFonts w:hint="eastAsia" w:ascii="宋体" w:hAnsi="宋体" w:cs="宋体"/>
                <w:color w:val="000000"/>
                <w:kern w:val="0"/>
                <w:sz w:val="24"/>
              </w:rPr>
              <w:br w:type="textWrapping"/>
            </w:r>
            <w:r>
              <w:rPr>
                <w:rFonts w:hint="eastAsia" w:ascii="宋体" w:hAnsi="宋体" w:cs="宋体"/>
                <w:color w:val="000000"/>
                <w:kern w:val="0"/>
                <w:sz w:val="24"/>
              </w:rPr>
              <w:t>现场查看：河流、湖泊、沟渠、塘等水体有无黑臭现象。</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1.水质达到功能区类别对应的要求，得3分；部分达到要求，得2分；均未达到要求，不得分。</w:t>
            </w:r>
            <w:r>
              <w:rPr>
                <w:rFonts w:hint="eastAsia" w:ascii="宋体" w:hAnsi="宋体" w:cs="宋体"/>
                <w:color w:val="000000"/>
                <w:kern w:val="0"/>
                <w:sz w:val="24"/>
              </w:rPr>
              <w:br w:type="textWrapping"/>
            </w:r>
            <w:r>
              <w:rPr>
                <w:rFonts w:hint="eastAsia" w:ascii="宋体" w:hAnsi="宋体" w:cs="宋体"/>
                <w:color w:val="000000"/>
                <w:kern w:val="0"/>
                <w:sz w:val="24"/>
              </w:rPr>
              <w:t>2.现场查看未发现黑臭水体，得3分；有黑臭水体，不得分。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0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第十二条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20.饮水安全保障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多部门联合工作机制，全面保障取水、制水、供水（二次供水）及涉水产品安全。加强供水工程设施建设、饮用水水质卫生监督检测、水质安全监督管理、预警应急处置、饮水安全科普宣传等工作，生活饮用水水质卫生达到国家标准要求。</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查阅资料：相关文件、方案、工作记录、检测报告等。</w:t>
            </w:r>
            <w:r>
              <w:rPr>
                <w:rFonts w:hint="eastAsia" w:ascii="宋体" w:hAnsi="宋体" w:cs="宋体"/>
                <w:color w:val="000000"/>
                <w:kern w:val="0"/>
                <w:sz w:val="24"/>
              </w:rPr>
              <w:br w:type="textWrapping"/>
            </w:r>
            <w:r>
              <w:rPr>
                <w:rFonts w:hint="eastAsia" w:ascii="宋体" w:hAnsi="宋体" w:cs="宋体"/>
                <w:color w:val="000000"/>
                <w:kern w:val="0"/>
                <w:sz w:val="24"/>
              </w:rPr>
              <w:t>资料来源：水务、生态环境、卫生健康等部门。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年内辖区生活饮用水水质监测达标率为100%，得8分；未达到100%者按实际比例得分；未开展监测，不得分。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见附录2：23-32。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9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21.农村自来水普及</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br w:type="textWrapping"/>
            </w:r>
            <w:r>
              <w:rPr>
                <w:rFonts w:hint="eastAsia" w:ascii="宋体" w:hAnsi="宋体" w:cs="宋体"/>
                <w:color w:val="000000"/>
                <w:kern w:val="0"/>
                <w:sz w:val="24"/>
              </w:rPr>
              <w:t>制定城镇供水设施向农村延伸工作目标或方案，因地制宜推进城乡供水一体化工程建设。农村自来水普及率不低于85%。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现场抽查：随机抽取1个行政村，再随机抽取5户农村家庭，查看自来水入户情况。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在查看家户中，实现自来水入户，得2分；无入户者，不得分；5户农村家庭满分为10分。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6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22.污水处理</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因地制宜实施雨污分流、老旧破损污水管网改造，基本消除城市建成区生活污水直排口和收集处理设施空白区，生活污水收集管网基本全覆盖，污水处理厂建成并达标运行。</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查阅资料：建成区污水收集处理、污水管网建设运行等资料。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资料来源：相关部门、运行管理单位等。</w:t>
            </w:r>
            <w:r>
              <w:rPr>
                <w:rFonts w:hint="eastAsia" w:ascii="宋体" w:hAnsi="宋体" w:cs="宋体"/>
                <w:color w:val="000000"/>
                <w:kern w:val="0"/>
                <w:sz w:val="24"/>
              </w:rPr>
              <w:br w:type="textWrapping"/>
            </w:r>
            <w:r>
              <w:rPr>
                <w:rFonts w:hint="eastAsia" w:ascii="宋体" w:hAnsi="宋体" w:cs="宋体"/>
                <w:color w:val="000000"/>
                <w:kern w:val="0"/>
                <w:sz w:val="24"/>
              </w:rPr>
              <w:t>现场抽查：抽查1家污水处理厂。</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1.建成区污水收集率≥75%，得4分；≥70%且＜75%，得2分；＜70%，不得分。</w:t>
            </w:r>
            <w:r>
              <w:rPr>
                <w:rFonts w:hint="eastAsia" w:ascii="宋体" w:hAnsi="宋体" w:cs="宋体"/>
                <w:color w:val="000000"/>
                <w:kern w:val="0"/>
                <w:sz w:val="24"/>
              </w:rPr>
              <w:br w:type="textWrapping"/>
            </w:r>
            <w:r>
              <w:rPr>
                <w:rFonts w:hint="eastAsia" w:ascii="宋体" w:hAnsi="宋体" w:cs="宋体"/>
                <w:color w:val="000000"/>
                <w:kern w:val="0"/>
                <w:sz w:val="24"/>
              </w:rPr>
              <w:t>2.被抽查污水处理厂达标运行，得4分；基本达标运行，得2分；运行较差，不得分。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见附录2：33-59。</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38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23.生活垃圾源头减量和分类</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出台生活垃圾源头减量和分类工作方案，建成生活垃圾分类工作协调机制，加快建立分类投放、分类收集、分类运输、分类处理的生活垃圾管理系统，实现生活垃圾分类制度有效覆盖，城市生活垃圾回收利用率＞35%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查阅资料：生活垃圾减量、分类等工作方案，生活垃圾分类收集、运输和处理设施设备情况等资料。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资料来源：相关部门和运行管理单位。</w:t>
            </w:r>
            <w:r>
              <w:rPr>
                <w:rFonts w:hint="eastAsia" w:ascii="宋体" w:hAnsi="宋体" w:cs="宋体"/>
                <w:color w:val="000000"/>
                <w:kern w:val="0"/>
                <w:sz w:val="24"/>
              </w:rPr>
              <w:br w:type="textWrapping"/>
            </w:r>
            <w:r>
              <w:rPr>
                <w:rFonts w:hint="eastAsia" w:ascii="宋体" w:hAnsi="宋体" w:cs="宋体"/>
                <w:color w:val="000000"/>
                <w:kern w:val="0"/>
                <w:sz w:val="24"/>
              </w:rPr>
              <w:t>现场抽查：随机抽查1个城区居民小区和1个行政村，查看其垃圾分类情况。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1.城市生活垃圾回收利用率＞35%，得6分；＞30%且≤35%，得3分；≤30%，不得分。</w:t>
            </w:r>
            <w:r>
              <w:rPr>
                <w:rFonts w:hint="eastAsia" w:ascii="宋体" w:hAnsi="宋体" w:cs="宋体"/>
                <w:color w:val="000000"/>
                <w:kern w:val="0"/>
                <w:sz w:val="24"/>
              </w:rPr>
              <w:br w:type="textWrapping"/>
            </w:r>
            <w:r>
              <w:rPr>
                <w:rFonts w:hint="eastAsia" w:ascii="宋体" w:hAnsi="宋体" w:cs="宋体"/>
                <w:color w:val="000000"/>
                <w:kern w:val="0"/>
                <w:sz w:val="24"/>
              </w:rPr>
              <w:t>2.在抽查社区中，垃圾分类符合城乡垃圾分类相关规范要求者，得2.5分；不符合者，不得分；2个社区满分为5分。</w:t>
            </w:r>
            <w:r>
              <w:rPr>
                <w:rFonts w:hint="eastAsia" w:ascii="宋体" w:hAnsi="宋体" w:cs="宋体"/>
                <w:color w:val="000000"/>
                <w:kern w:val="0"/>
                <w:sz w:val="24"/>
              </w:rPr>
              <w:br w:type="textWrapping"/>
            </w:r>
            <w:r>
              <w:rPr>
                <w:rFonts w:hint="eastAsia" w:ascii="宋体" w:hAnsi="宋体" w:cs="宋体"/>
                <w:color w:val="000000"/>
                <w:kern w:val="0"/>
                <w:sz w:val="24"/>
              </w:rPr>
              <w:t>该指标满分为11分。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见附录2：33-59。</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4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24.生活垃圾污染治理</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br w:type="textWrapping"/>
            </w:r>
            <w:r>
              <w:rPr>
                <w:rFonts w:hint="eastAsia" w:ascii="宋体" w:hAnsi="宋体" w:cs="宋体"/>
                <w:color w:val="000000"/>
                <w:kern w:val="0"/>
                <w:sz w:val="24"/>
              </w:rPr>
              <w:t>生活垃圾收运臭气控制达标，无露天焚烧垃圾、违规填埋垃圾和在铁路沿线乱堆放垃圾等现象。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现场抽查：随机抽查1处铁路沿线（无铁路的县区可抽查1处当地主要公路沿线），查看有无垃圾乱堆情况，途中可同时观察有无露天焚烧垃圾、违规填埋现象。</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1.抽查铁路（公路）沿线无垃圾乱堆现象，得4分；有乱堆现象，不得分。</w:t>
            </w:r>
            <w:r>
              <w:rPr>
                <w:rFonts w:hint="eastAsia" w:ascii="宋体" w:hAnsi="宋体" w:cs="宋体"/>
                <w:color w:val="000000"/>
                <w:kern w:val="0"/>
                <w:sz w:val="24"/>
              </w:rPr>
              <w:br w:type="textWrapping"/>
            </w:r>
            <w:r>
              <w:rPr>
                <w:rFonts w:hint="eastAsia" w:ascii="宋体" w:hAnsi="宋体" w:cs="宋体"/>
                <w:color w:val="000000"/>
                <w:kern w:val="0"/>
                <w:sz w:val="24"/>
              </w:rPr>
              <w:t>2.沿途未发现露天焚烧垃圾或违规填埋现象，得4分；有露天焚烧或违规填埋现象，不得分。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4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25.医疗废物处置</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医疗废物管理责任明确，规章制度健全，规范操作，源头分类和分类收集、运送、暂存、交接、集中处置符合《医疗废物分类目录》《医疗废物管理条例》等规定，实现医疗废物收集处理全覆盖。</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现场抽查：抽查1家县级医院和1家乡镇卫生院，了解医疗废物管理情况。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被抽查的医疗机构中：</w:t>
            </w:r>
            <w:r>
              <w:rPr>
                <w:rFonts w:hint="eastAsia" w:ascii="宋体" w:hAnsi="宋体" w:cs="宋体"/>
                <w:color w:val="000000"/>
                <w:kern w:val="0"/>
                <w:sz w:val="24"/>
              </w:rPr>
              <w:br w:type="textWrapping"/>
            </w:r>
            <w:r>
              <w:rPr>
                <w:rFonts w:hint="eastAsia" w:ascii="宋体" w:hAnsi="宋体" w:cs="宋体"/>
                <w:color w:val="000000"/>
                <w:kern w:val="0"/>
                <w:sz w:val="24"/>
              </w:rPr>
              <w:t>1.医疗废物管理制度健全，得2分；不健全，不得分。</w:t>
            </w:r>
            <w:r>
              <w:rPr>
                <w:rFonts w:hint="eastAsia" w:ascii="宋体" w:hAnsi="宋体" w:cs="宋体"/>
                <w:color w:val="000000"/>
                <w:kern w:val="0"/>
                <w:sz w:val="24"/>
              </w:rPr>
              <w:br w:type="textWrapping"/>
            </w:r>
            <w:r>
              <w:rPr>
                <w:rFonts w:hint="eastAsia" w:ascii="宋体" w:hAnsi="宋体" w:cs="宋体"/>
                <w:color w:val="000000"/>
                <w:kern w:val="0"/>
                <w:sz w:val="24"/>
              </w:rPr>
              <w:t>2.医疗废物处置规范，得2分；不规范，不得分。</w:t>
            </w:r>
            <w:r>
              <w:rPr>
                <w:rFonts w:hint="eastAsia" w:ascii="宋体" w:hAnsi="宋体" w:cs="宋体"/>
                <w:color w:val="000000"/>
                <w:kern w:val="0"/>
                <w:sz w:val="24"/>
              </w:rPr>
              <w:br w:type="textWrapping"/>
            </w:r>
            <w:r>
              <w:rPr>
                <w:rFonts w:hint="eastAsia" w:ascii="宋体" w:hAnsi="宋体" w:cs="宋体"/>
                <w:color w:val="000000"/>
                <w:kern w:val="0"/>
                <w:sz w:val="24"/>
              </w:rPr>
              <w:t>2家医疗机构满分为8分。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61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26.城镇公共厕所建设和管理</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辖区内城镇公共厕所规划布局合理，公厕的数量、间距、类别、功能等符合《公共厕所卫生规范》《城市公共厕所设计标准》等国家标准，管理规范、免费开放、方便群众使用。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现场抽查：随机抽取2处独立式公共厕所和2处附属式公共厕所（从1家娱乐场所和1个当地规模较大的商场、超市或菜市场中，各抽取1处附属式公共厕所），查看其建设和管理情况。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抽取的每处公共厕所符合要求，得2.5分，具体如下：免费开放（0.5分）、厕所标识醒目（0.5分）、洗手设施完好（0.5分）、无蚊蝇（0.5分）、基本无臭味（0.5分）；不符合要求，不得分；4处厕所满分为10分。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见附录2：41、60。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09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27.农村卫生厕所</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统筹推进辖区内农村户厕改造工作，农村卫生厕所普及率达到95%以上，地处偏远、经济欠发达的地区农村卫生厕所普及率达到85%以上。</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查阅资料：农村户厕改造相关资料。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资料来源：农业农村、住房和城乡建设等部门。</w:t>
            </w:r>
            <w:r>
              <w:rPr>
                <w:rFonts w:hint="eastAsia" w:ascii="宋体" w:hAnsi="宋体" w:cs="宋体"/>
                <w:color w:val="000000"/>
                <w:kern w:val="0"/>
                <w:sz w:val="24"/>
              </w:rPr>
              <w:br w:type="textWrapping"/>
            </w:r>
            <w:r>
              <w:rPr>
                <w:rFonts w:hint="eastAsia" w:ascii="宋体" w:hAnsi="宋体" w:cs="宋体"/>
                <w:color w:val="000000"/>
                <w:kern w:val="0"/>
                <w:sz w:val="24"/>
              </w:rPr>
              <w:t>现场抽查：随机抽取1个行政村，现场随机抽取5户农村家庭，查看其卫生厕所情况。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现场查验标准：卫生厕所指有墙、有顶、有门，厕屋清洁、无臭，粪池无渗漏、无粪便暴露、无蝇蛆，厕所粪污就地处理处置，或转移至户厕外进行处理处置，达到无害化卫生要求。</w:t>
            </w:r>
            <w:r>
              <w:rPr>
                <w:rFonts w:hint="eastAsia" w:ascii="宋体" w:hAnsi="宋体" w:cs="宋体"/>
                <w:color w:val="000000"/>
                <w:kern w:val="0"/>
                <w:sz w:val="24"/>
              </w:rPr>
              <w:br w:type="textWrapping"/>
            </w:r>
            <w:r>
              <w:rPr>
                <w:rFonts w:hint="eastAsia" w:ascii="宋体" w:hAnsi="宋体" w:cs="宋体"/>
                <w:color w:val="000000"/>
                <w:kern w:val="0"/>
                <w:sz w:val="24"/>
              </w:rPr>
              <w:t>1.农村卫生厕所普及率≥95%，地处偏远、经济欠发达的地区农村卫生厕所普及率≥85%，得4分；农村卫生厕所普及率≥85%且＜95%，地处偏远、经济欠发达的地区农村卫生厕所普及率≥75%且＜85%，得2分；农村卫生厕所普及率＜85%，地处偏远、经济欠发达的地区农村卫生厕所普及率＜75%，不得分。</w:t>
            </w:r>
            <w:r>
              <w:rPr>
                <w:rFonts w:hint="eastAsia" w:ascii="宋体" w:hAnsi="宋体" w:cs="宋体"/>
                <w:color w:val="000000"/>
                <w:kern w:val="0"/>
                <w:sz w:val="24"/>
              </w:rPr>
              <w:br w:type="textWrapping"/>
            </w:r>
            <w:r>
              <w:rPr>
                <w:rFonts w:hint="eastAsia" w:ascii="宋体" w:hAnsi="宋体" w:cs="宋体"/>
                <w:color w:val="000000"/>
                <w:kern w:val="0"/>
                <w:sz w:val="24"/>
              </w:rPr>
              <w:t>2.在查看的农户中，符合农村卫生厕所标准者，得1分；不符合者,不得分；5户农村家庭满分为5分。</w:t>
            </w:r>
            <w:r>
              <w:rPr>
                <w:rFonts w:hint="eastAsia" w:ascii="宋体" w:hAnsi="宋体" w:cs="宋体"/>
                <w:color w:val="000000"/>
                <w:kern w:val="0"/>
                <w:sz w:val="24"/>
              </w:rPr>
              <w:br w:type="textWrapping"/>
            </w:r>
            <w:r>
              <w:rPr>
                <w:rFonts w:hint="eastAsia" w:ascii="宋体" w:hAnsi="宋体" w:cs="宋体"/>
                <w:color w:val="000000"/>
                <w:kern w:val="0"/>
                <w:sz w:val="24"/>
              </w:rPr>
              <w:t>该指标满分为9分。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60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28.病媒孳生地治理及密度控制</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对蚊、蝇孳生地进行有效管理，鼠、蚊、蝇、蟑螂的密度达到国家病媒生物密度控制水平。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查阅资料：蚊、蝇孳生地治理或管理方案等,查看1个城市居民小区所在街道的病媒生物密度控制的监测、自评报告等资料。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资料来源：卫生健康等部门、街道或相关部门。</w:t>
            </w:r>
            <w:r>
              <w:rPr>
                <w:rFonts w:hint="eastAsia" w:ascii="宋体" w:hAnsi="宋体" w:cs="宋体"/>
                <w:color w:val="000000"/>
                <w:kern w:val="0"/>
                <w:sz w:val="24"/>
              </w:rPr>
              <w:br w:type="textWrapping"/>
            </w:r>
            <w:r>
              <w:rPr>
                <w:rFonts w:hint="eastAsia" w:ascii="宋体" w:hAnsi="宋体" w:cs="宋体"/>
                <w:color w:val="000000"/>
                <w:kern w:val="0"/>
                <w:sz w:val="24"/>
              </w:rPr>
              <w:t>现场抽查：抽取1个城区的居民小区，查看蚊蝇孳生地情况。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1.制定孳生地治理或管理方案，得2分；未制定，不得分。</w:t>
            </w:r>
            <w:r>
              <w:rPr>
                <w:rFonts w:hint="eastAsia" w:ascii="宋体" w:hAnsi="宋体" w:cs="宋体"/>
                <w:color w:val="000000"/>
                <w:kern w:val="0"/>
                <w:sz w:val="24"/>
              </w:rPr>
              <w:br w:type="textWrapping"/>
            </w:r>
            <w:r>
              <w:rPr>
                <w:rFonts w:hint="eastAsia" w:ascii="宋体" w:hAnsi="宋体" w:cs="宋体"/>
                <w:color w:val="000000"/>
                <w:kern w:val="0"/>
                <w:sz w:val="24"/>
              </w:rPr>
              <w:t>2.被抽查街道鼠、蚊、蝇、蟑螂的密度达到国家标准B级，每项2分，合计8分；达到C级，每项0.5分，合计2分；C级以下，不得分。</w:t>
            </w:r>
            <w:r>
              <w:rPr>
                <w:rFonts w:hint="eastAsia" w:ascii="宋体" w:hAnsi="宋体" w:cs="宋体"/>
                <w:color w:val="000000"/>
                <w:kern w:val="0"/>
                <w:sz w:val="24"/>
              </w:rPr>
              <w:br w:type="textWrapping"/>
            </w:r>
            <w:r>
              <w:rPr>
                <w:rFonts w:hint="eastAsia" w:ascii="宋体" w:hAnsi="宋体" w:cs="宋体"/>
                <w:color w:val="000000"/>
                <w:kern w:val="0"/>
                <w:sz w:val="24"/>
              </w:rPr>
              <w:t>3.在抽查的社区中：</w:t>
            </w:r>
            <w:r>
              <w:rPr>
                <w:rFonts w:hint="eastAsia" w:ascii="宋体" w:hAnsi="宋体" w:cs="宋体"/>
                <w:color w:val="000000"/>
                <w:kern w:val="0"/>
                <w:sz w:val="24"/>
              </w:rPr>
              <w:br w:type="textWrapping"/>
            </w:r>
            <w:r>
              <w:rPr>
                <w:rFonts w:hint="eastAsia" w:ascii="宋体" w:hAnsi="宋体" w:cs="宋体"/>
                <w:color w:val="000000"/>
                <w:kern w:val="0"/>
                <w:sz w:val="24"/>
              </w:rPr>
              <w:t>（1）未发现无盖的瓶瓶罐罐、轮胎积水、坑洼等小型积水，得2分；发现者，不得分。</w:t>
            </w:r>
            <w:r>
              <w:rPr>
                <w:rFonts w:hint="eastAsia" w:ascii="宋体" w:hAnsi="宋体" w:cs="宋体"/>
                <w:color w:val="000000"/>
                <w:kern w:val="0"/>
                <w:sz w:val="24"/>
              </w:rPr>
              <w:br w:type="textWrapping"/>
            </w:r>
            <w:r>
              <w:rPr>
                <w:rFonts w:hint="eastAsia" w:ascii="宋体" w:hAnsi="宋体" w:cs="宋体"/>
                <w:color w:val="000000"/>
                <w:kern w:val="0"/>
                <w:sz w:val="24"/>
              </w:rPr>
              <w:t>（2）雨水道口等排水系统无积水，得2分；有积水，不得分。</w:t>
            </w:r>
            <w:r>
              <w:rPr>
                <w:rFonts w:hint="eastAsia" w:ascii="宋体" w:hAnsi="宋体" w:cs="宋体"/>
                <w:color w:val="000000"/>
                <w:kern w:val="0"/>
                <w:sz w:val="24"/>
              </w:rPr>
              <w:br w:type="textWrapping"/>
            </w:r>
            <w:r>
              <w:rPr>
                <w:rFonts w:hint="eastAsia" w:ascii="宋体" w:hAnsi="宋体" w:cs="宋体"/>
                <w:color w:val="000000"/>
                <w:kern w:val="0"/>
                <w:sz w:val="24"/>
              </w:rPr>
              <w:t>（3）垃圾桶加盖得2分；未加盖，不得分。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见附录2：61-64。</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9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29.规范饲养禽畜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倡导禽畜圈养，指导养殖户或居民规范处理禽畜粪污，按要求对动物实施免疫接种。城市建成区内禁止饲养鸡、鸭、鹅、兔、羊、猪等家畜家禽。</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现场抽查：随机抽取1个行政村，再随机抽取5户农村家庭，查看其禽畜饲养情况。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评判标准：禽畜圈养；及时清理粪便。</w:t>
            </w:r>
            <w:r>
              <w:rPr>
                <w:rFonts w:hint="eastAsia" w:ascii="宋体" w:hAnsi="宋体" w:cs="宋体"/>
                <w:color w:val="000000"/>
                <w:kern w:val="0"/>
                <w:sz w:val="24"/>
              </w:rPr>
              <w:br w:type="textWrapping"/>
            </w:r>
            <w:r>
              <w:rPr>
                <w:rFonts w:hint="eastAsia" w:ascii="宋体" w:hAnsi="宋体" w:cs="宋体"/>
                <w:color w:val="000000"/>
                <w:kern w:val="0"/>
                <w:sz w:val="24"/>
              </w:rPr>
              <w:t>在查看的农户中，符合禽畜饲养评判标准者，得2分；不符合者，不得分；5户农村家庭满分为10分。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见附录2：65、66。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0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30.文明饲养宠物</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倡导居民文明饲养宠物，饲养犬只定期免疫接种狂犬病疫苗，携带犬只出户采取系犬绳等措施，防止犬只伤人，及时清理宠物粪便。流浪犬、猫得到妥善控制和处置，防止疫病传播。</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现场查看：有无遛狗不系狗绳者、马路边有无宠物粪便。</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1.未发现有遛狗不系狗绳者，得4分；发现有，不得分。</w:t>
            </w:r>
            <w:r>
              <w:rPr>
                <w:rFonts w:hint="eastAsia" w:ascii="宋体" w:hAnsi="宋体" w:cs="宋体"/>
                <w:color w:val="000000"/>
                <w:kern w:val="0"/>
                <w:sz w:val="24"/>
              </w:rPr>
              <w:br w:type="textWrapping"/>
            </w:r>
            <w:r>
              <w:rPr>
                <w:rFonts w:hint="eastAsia" w:ascii="宋体" w:hAnsi="宋体" w:cs="宋体"/>
                <w:color w:val="000000"/>
                <w:kern w:val="0"/>
                <w:sz w:val="24"/>
              </w:rPr>
              <w:t>2.马路边未发现宠物粪便，得3分；偶见，得2分；多见，不得分。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该指标满分为7分。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2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31.禁止贩卖、制售、食用野生动物</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严格落实《全国人民代表大会常务委员会关于全面禁止非法野生动物交易、革除滥食野生动物陋习、切实保障人民群众生命健康安全的决定》《国家林业和草原局关于规范禁食野生动物分类管理范围的通知》等规定，加大宣传，严格执法，禁止贩卖、制售、食用野生动物。</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查阅资料：相关落实文件、执法记录等。</w:t>
            </w:r>
            <w:r>
              <w:rPr>
                <w:rFonts w:hint="eastAsia" w:ascii="宋体" w:hAnsi="宋体" w:cs="宋体"/>
                <w:color w:val="000000"/>
                <w:kern w:val="0"/>
                <w:sz w:val="24"/>
              </w:rPr>
              <w:br w:type="textWrapping"/>
            </w:r>
            <w:r>
              <w:rPr>
                <w:rFonts w:hint="eastAsia" w:ascii="宋体" w:hAnsi="宋体" w:cs="宋体"/>
                <w:color w:val="000000"/>
                <w:kern w:val="0"/>
                <w:sz w:val="24"/>
              </w:rPr>
              <w:t>资料来源：市场监管、公安、司法等部门。</w:t>
            </w:r>
            <w:r>
              <w:rPr>
                <w:rFonts w:hint="eastAsia" w:ascii="宋体" w:hAnsi="宋体" w:cs="宋体"/>
                <w:color w:val="000000"/>
                <w:kern w:val="0"/>
                <w:sz w:val="24"/>
              </w:rPr>
              <w:br w:type="textWrapping"/>
            </w:r>
            <w:r>
              <w:rPr>
                <w:rFonts w:hint="eastAsia" w:ascii="宋体" w:hAnsi="宋体" w:cs="宋体"/>
                <w:color w:val="000000"/>
                <w:kern w:val="0"/>
                <w:sz w:val="24"/>
              </w:rPr>
              <w:t>现场抽查：随机抽查1处农贸市场、或集市、或宠物市场，查看有无贩卖、制售、食用野生动物情况。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1.有相关落实文件，得3分；无相关文件，不得分。</w:t>
            </w:r>
            <w:r>
              <w:rPr>
                <w:rFonts w:hint="eastAsia" w:ascii="宋体" w:hAnsi="宋体" w:cs="宋体"/>
                <w:color w:val="000000"/>
                <w:kern w:val="0"/>
                <w:sz w:val="24"/>
              </w:rPr>
              <w:br w:type="textWrapping"/>
            </w:r>
            <w:r>
              <w:rPr>
                <w:rFonts w:hint="eastAsia" w:ascii="宋体" w:hAnsi="宋体" w:cs="宋体"/>
                <w:color w:val="000000"/>
                <w:kern w:val="0"/>
                <w:sz w:val="24"/>
              </w:rPr>
              <w:t>2.在抽查的场所未发现贩卖、制售、食用野生动物情况，得3分；发现上述情况，不得分。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w:t>
            </w:r>
            <w:r>
              <w:rPr>
                <w:rFonts w:hint="eastAsia" w:ascii="宋体" w:hAnsi="宋体" w:cs="宋体"/>
                <w:color w:val="000000"/>
                <w:kern w:val="0"/>
                <w:sz w:val="24"/>
              </w:rPr>
              <w:br w:type="textWrapping"/>
            </w:r>
            <w:r>
              <w:rPr>
                <w:rFonts w:hint="eastAsia" w:ascii="宋体" w:hAnsi="宋体" w:cs="宋体"/>
                <w:color w:val="000000"/>
                <w:kern w:val="0"/>
                <w:sz w:val="24"/>
              </w:rPr>
              <w:t>2：65、</w:t>
            </w:r>
            <w:r>
              <w:rPr>
                <w:rFonts w:hint="eastAsia" w:ascii="宋体" w:hAnsi="宋体" w:cs="宋体"/>
                <w:color w:val="000000"/>
                <w:kern w:val="0"/>
                <w:sz w:val="24"/>
              </w:rPr>
              <w:br w:type="textWrapping"/>
            </w:r>
            <w:r>
              <w:rPr>
                <w:rFonts w:hint="eastAsia" w:ascii="宋体" w:hAnsi="宋体" w:cs="宋体"/>
                <w:color w:val="000000"/>
                <w:kern w:val="0"/>
                <w:sz w:val="24"/>
              </w:rPr>
              <w:t>66。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20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32.食品生产经营单位油烟净化</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排放油烟的饮食业单位需按照《饮食业油烟排放标准》规定，安装油烟净化设施，排气罩面积与灶头数的比≥1.1，油烟排放浓度≤2mg/m3，并保证操作期间按要求运行。</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现场抽查：随机抽查＞500平米的1家餐馆和1家单位食堂，查阅抽查单位相关检测报告。</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根据检测报告进行评分：</w:t>
            </w:r>
            <w:r>
              <w:rPr>
                <w:rFonts w:hint="eastAsia" w:ascii="宋体" w:hAnsi="宋体" w:cs="宋体"/>
                <w:color w:val="000000"/>
                <w:kern w:val="0"/>
                <w:sz w:val="24"/>
              </w:rPr>
              <w:br w:type="textWrapping"/>
            </w:r>
            <w:r>
              <w:rPr>
                <w:rFonts w:hint="eastAsia" w:ascii="宋体" w:hAnsi="宋体" w:cs="宋体"/>
                <w:color w:val="000000"/>
                <w:kern w:val="0"/>
                <w:sz w:val="24"/>
              </w:rPr>
              <w:t>1.安装油烟净化装置，得1分；未安装，不得分。</w:t>
            </w:r>
            <w:r>
              <w:rPr>
                <w:rFonts w:hint="eastAsia" w:ascii="宋体" w:hAnsi="宋体" w:cs="宋体"/>
                <w:color w:val="000000"/>
                <w:kern w:val="0"/>
                <w:sz w:val="24"/>
              </w:rPr>
              <w:br w:type="textWrapping"/>
            </w:r>
            <w:r>
              <w:rPr>
                <w:rFonts w:hint="eastAsia" w:ascii="宋体" w:hAnsi="宋体" w:cs="宋体"/>
                <w:color w:val="000000"/>
                <w:kern w:val="0"/>
                <w:sz w:val="24"/>
              </w:rPr>
              <w:t>2.排烟口设置合理，得1分；设置不合理，不得分。</w:t>
            </w:r>
            <w:r>
              <w:rPr>
                <w:rFonts w:hint="eastAsia" w:ascii="宋体" w:hAnsi="宋体" w:cs="宋体"/>
                <w:color w:val="000000"/>
                <w:kern w:val="0"/>
                <w:sz w:val="24"/>
              </w:rPr>
              <w:br w:type="textWrapping"/>
            </w:r>
            <w:r>
              <w:rPr>
                <w:rFonts w:hint="eastAsia" w:ascii="宋体" w:hAnsi="宋体" w:cs="宋体"/>
                <w:color w:val="000000"/>
                <w:kern w:val="0"/>
                <w:sz w:val="24"/>
              </w:rPr>
              <w:t>3.操作期间正常运行，得1分；未正常运行，不得分。</w:t>
            </w:r>
            <w:r>
              <w:rPr>
                <w:rFonts w:hint="eastAsia" w:ascii="宋体" w:hAnsi="宋体" w:cs="宋体"/>
                <w:color w:val="000000"/>
                <w:kern w:val="0"/>
                <w:sz w:val="24"/>
              </w:rPr>
              <w:br w:type="textWrapping"/>
            </w:r>
            <w:r>
              <w:rPr>
                <w:rFonts w:hint="eastAsia" w:ascii="宋体" w:hAnsi="宋体" w:cs="宋体"/>
                <w:color w:val="000000"/>
                <w:kern w:val="0"/>
                <w:sz w:val="24"/>
              </w:rPr>
              <w:t>4.排放浓度达标，得1分；不达标或未能提供检测报告，不得分。</w:t>
            </w:r>
            <w:r>
              <w:rPr>
                <w:rFonts w:hint="eastAsia" w:ascii="宋体" w:hAnsi="宋体" w:cs="宋体"/>
                <w:color w:val="000000"/>
                <w:kern w:val="0"/>
                <w:sz w:val="24"/>
              </w:rPr>
              <w:br w:type="textWrapping"/>
            </w:r>
            <w:r>
              <w:rPr>
                <w:rFonts w:hint="eastAsia" w:ascii="宋体" w:hAnsi="宋体" w:cs="宋体"/>
                <w:color w:val="000000"/>
                <w:kern w:val="0"/>
                <w:sz w:val="24"/>
              </w:rPr>
              <w:t>2家抽查单位满分为8分。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见附录2：67-69。</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8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33.明厨亮灶</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餐饮服务经营者实施明厨亮灶管理，采用透明、视频等方式，将厨房环境卫生、冷食类食品加工制作、生食类食品加工制作、烹饪和餐饮具清洗消毒等过程，向社会公众展示。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现场抽查：随机抽查＞500平米的1家餐馆和1家单位食堂。</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在抽查的单位中：</w:t>
            </w:r>
            <w:r>
              <w:rPr>
                <w:rFonts w:hint="eastAsia" w:ascii="宋体" w:hAnsi="宋体" w:cs="宋体"/>
                <w:color w:val="000000"/>
                <w:kern w:val="0"/>
                <w:sz w:val="24"/>
              </w:rPr>
              <w:br w:type="textWrapping"/>
            </w:r>
            <w:r>
              <w:rPr>
                <w:rFonts w:hint="eastAsia" w:ascii="宋体" w:hAnsi="宋体" w:cs="宋体"/>
                <w:color w:val="000000"/>
                <w:kern w:val="0"/>
                <w:sz w:val="24"/>
              </w:rPr>
              <w:t>1.实施明厨亮灶设施，得2分；未实施，不得分。</w:t>
            </w:r>
            <w:r>
              <w:rPr>
                <w:rFonts w:hint="eastAsia" w:ascii="宋体" w:hAnsi="宋体" w:cs="宋体"/>
                <w:color w:val="000000"/>
                <w:kern w:val="0"/>
                <w:sz w:val="24"/>
              </w:rPr>
              <w:br w:type="textWrapping"/>
            </w:r>
            <w:r>
              <w:rPr>
                <w:rFonts w:hint="eastAsia" w:ascii="宋体" w:hAnsi="宋体" w:cs="宋体"/>
                <w:color w:val="000000"/>
                <w:kern w:val="0"/>
                <w:sz w:val="24"/>
              </w:rPr>
              <w:t>2.展示位置符合规定要求，得2分；不符合规定要求，不得分。</w:t>
            </w:r>
            <w:r>
              <w:rPr>
                <w:rFonts w:hint="eastAsia" w:ascii="宋体" w:hAnsi="宋体" w:cs="宋体"/>
                <w:color w:val="000000"/>
                <w:kern w:val="0"/>
                <w:sz w:val="24"/>
              </w:rPr>
              <w:br w:type="textWrapping"/>
            </w:r>
            <w:r>
              <w:rPr>
                <w:rFonts w:hint="eastAsia" w:ascii="宋体" w:hAnsi="宋体" w:cs="宋体"/>
                <w:color w:val="000000"/>
                <w:kern w:val="0"/>
                <w:sz w:val="24"/>
              </w:rPr>
              <w:t>2家抽查单位满分为8分。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81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34.食品安全管理</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食品采购、贮存、加工制作、销售符合食品安全要求。</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现场抽查：随机抽查＞500平米的1家餐馆和1家单位食堂，了解食品安全管理情况。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管理要求：1.采购食品建立食品采购索证索票和登记台账制度。2.食品贮存做到分类分架、隔墙离地、生熟分开，并按照包装标识的条件进行存放。3.食品加工制作场所布局及工艺流程合理，防止原料与成品、生食品与熟食品交叉污染，避免食品接触有毒及不洁物。</w:t>
            </w:r>
            <w:r>
              <w:rPr>
                <w:rFonts w:hint="eastAsia" w:ascii="宋体" w:hAnsi="宋体" w:cs="宋体"/>
                <w:color w:val="000000"/>
                <w:kern w:val="0"/>
                <w:sz w:val="24"/>
              </w:rPr>
              <w:br w:type="textWrapping"/>
            </w:r>
            <w:r>
              <w:rPr>
                <w:rFonts w:hint="eastAsia" w:ascii="宋体" w:hAnsi="宋体" w:cs="宋体"/>
                <w:color w:val="000000"/>
                <w:kern w:val="0"/>
                <w:sz w:val="24"/>
              </w:rPr>
              <w:t>在抽查的单位中：1.食品采购符合要求，得1分；不符合要求，不得分。2.食品贮存符合要求，得1分；不符合要求，不得分。3.食品加工制作符合要求，得2分；不符合要求，不得分。2家抽查单位满分为8分。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见附录2：67-69。</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3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35.农药化肥使用及废弃农膜回收利用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以农药化肥减量增效为重点，推行绿色防控和病虫害统防统治，应用新型高效植保机械和高效低毒低残留农药，推广科学施肥技术和新型肥料，推进有机肥替代化肥，健全废旧农膜和农药化肥包装物等白色污染回收利用机制，建立回收利用体系，强化田间监测。</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查阅资料：农药化肥减量增效和农膜的统计年鉴、工作记录、年度总结报告等。</w:t>
            </w:r>
            <w:r>
              <w:rPr>
                <w:rFonts w:hint="eastAsia" w:ascii="宋体" w:hAnsi="宋体" w:cs="宋体"/>
                <w:color w:val="000000"/>
                <w:kern w:val="0"/>
                <w:sz w:val="24"/>
              </w:rPr>
              <w:br w:type="textWrapping"/>
            </w:r>
            <w:r>
              <w:rPr>
                <w:rFonts w:hint="eastAsia" w:ascii="宋体" w:hAnsi="宋体" w:cs="宋体"/>
                <w:color w:val="000000"/>
                <w:kern w:val="0"/>
                <w:sz w:val="24"/>
              </w:rPr>
              <w:t>资料来源：农业农村、统计等行政主管部门。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1.主要作物农药利用率＞40%，得2分；≤40%，不得分。</w:t>
            </w:r>
            <w:r>
              <w:rPr>
                <w:rFonts w:hint="eastAsia" w:ascii="宋体" w:hAnsi="宋体" w:cs="宋体"/>
                <w:color w:val="000000"/>
                <w:kern w:val="0"/>
                <w:sz w:val="24"/>
              </w:rPr>
              <w:br w:type="textWrapping"/>
            </w:r>
            <w:r>
              <w:rPr>
                <w:rFonts w:hint="eastAsia" w:ascii="宋体" w:hAnsi="宋体" w:cs="宋体"/>
                <w:color w:val="000000"/>
                <w:kern w:val="0"/>
                <w:sz w:val="24"/>
              </w:rPr>
              <w:t>2.主要作物化肥利用率＞40%，得2分；≤40%，不得分。</w:t>
            </w:r>
            <w:r>
              <w:rPr>
                <w:rFonts w:hint="eastAsia" w:ascii="宋体" w:hAnsi="宋体" w:cs="宋体"/>
                <w:color w:val="000000"/>
                <w:kern w:val="0"/>
                <w:sz w:val="24"/>
              </w:rPr>
              <w:br w:type="textWrapping"/>
            </w:r>
            <w:r>
              <w:rPr>
                <w:rFonts w:hint="eastAsia" w:ascii="宋体" w:hAnsi="宋体" w:cs="宋体"/>
                <w:color w:val="000000"/>
                <w:kern w:val="0"/>
                <w:sz w:val="24"/>
              </w:rPr>
              <w:t>3.废旧农膜回收率＞80%，得2分；≤80%，不得分。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3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36.畜禽粪污和秸秆资源化利用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畜禽粪污资源化利用和秸秆综合利用工作，建立秸秆台账和养殖场直联直报系统，支持规模养殖场粪污处理和粪肥还田设施建设与管理机制创新，支持开展秸秆肥料化、饲料化、能源化等“五料化”利用，不断提升促进畜禽粪污和秸秆资源化利用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查阅资料：畜禽粪污资源化利用、秸秆综合利用的工作记录、年度总结报告，以及养殖场直联直报系统和秸秆台账。</w:t>
            </w:r>
            <w:r>
              <w:rPr>
                <w:rFonts w:hint="eastAsia" w:ascii="宋体" w:hAnsi="宋体" w:cs="宋体"/>
                <w:color w:val="000000"/>
                <w:kern w:val="0"/>
                <w:sz w:val="24"/>
              </w:rPr>
              <w:br w:type="textWrapping"/>
            </w:r>
            <w:r>
              <w:rPr>
                <w:rFonts w:hint="eastAsia" w:ascii="宋体" w:hAnsi="宋体" w:cs="宋体"/>
                <w:color w:val="000000"/>
                <w:kern w:val="0"/>
                <w:sz w:val="24"/>
              </w:rPr>
              <w:t>资料来源：农业农村行政主管部门。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1.畜禽粪污综合利用率＞76%，得4分；≤76%，不得分。</w:t>
            </w:r>
            <w:r>
              <w:rPr>
                <w:rFonts w:hint="eastAsia" w:ascii="宋体" w:hAnsi="宋体" w:cs="宋体"/>
                <w:color w:val="000000"/>
                <w:kern w:val="0"/>
                <w:sz w:val="24"/>
              </w:rPr>
              <w:br w:type="textWrapping"/>
            </w:r>
            <w:r>
              <w:rPr>
                <w:rFonts w:hint="eastAsia" w:ascii="宋体" w:hAnsi="宋体" w:cs="宋体"/>
                <w:color w:val="000000"/>
                <w:kern w:val="0"/>
                <w:sz w:val="24"/>
              </w:rPr>
              <w:t>2.秸秆综合利用率＞86%，得2分；≤86%，不得分。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b/>
                <w:bCs/>
                <w:color w:val="000000"/>
                <w:kern w:val="0"/>
                <w:sz w:val="24"/>
              </w:rPr>
              <w:t>三、健康社会</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230分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83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37.健康乡镇和健康细胞建设管理</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辖区内参照全国爱卫办、健康中国行动推进办下发的健康乡镇和健康村、健康社区、健康机关、健康企业、健康学校、健康促进医院、健康家庭等建设规范，全面推进健康乡镇建设，并广泛开展7类健康细胞建设。建立推进机制，出台相关文件、实施方案等，并开展人员培训、指导评估、总结宣传等管理工作。</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查阅资料：健康细胞建设实施方案、工作报告等相关资料。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资料来源：健康细胞建设主管部门及相关部门等。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1.在辖区内开展健康乡镇建设，得6分；未开展，不得分。</w:t>
            </w:r>
            <w:r>
              <w:rPr>
                <w:rFonts w:hint="eastAsia" w:ascii="宋体" w:hAnsi="宋体" w:cs="宋体"/>
                <w:color w:val="000000"/>
                <w:kern w:val="0"/>
                <w:sz w:val="24"/>
              </w:rPr>
              <w:br w:type="textWrapping"/>
            </w:r>
            <w:r>
              <w:rPr>
                <w:rFonts w:hint="eastAsia" w:ascii="宋体" w:hAnsi="宋体" w:cs="宋体"/>
                <w:color w:val="000000"/>
                <w:kern w:val="0"/>
                <w:sz w:val="24"/>
              </w:rPr>
              <w:t>2.在辖区内开展前述7类健康细胞建设，每开展1类，得2分；</w:t>
            </w:r>
            <w:r>
              <w:rPr>
                <w:rFonts w:hint="eastAsia" w:ascii="宋体" w:hAnsi="宋体" w:cs="宋体"/>
                <w:color w:val="000000"/>
                <w:kern w:val="0"/>
                <w:sz w:val="24"/>
              </w:rPr>
              <w:br w:type="textWrapping"/>
            </w:r>
            <w:r>
              <w:rPr>
                <w:rFonts w:hint="eastAsia" w:ascii="宋体" w:hAnsi="宋体" w:cs="宋体"/>
                <w:color w:val="000000"/>
                <w:kern w:val="0"/>
                <w:sz w:val="24"/>
              </w:rPr>
              <w:t>未开展建设，不得分；满分14分。</w:t>
            </w:r>
            <w:r>
              <w:rPr>
                <w:rFonts w:hint="eastAsia" w:ascii="宋体" w:hAnsi="宋体" w:cs="宋体"/>
                <w:color w:val="000000"/>
                <w:kern w:val="0"/>
                <w:sz w:val="24"/>
              </w:rPr>
              <w:br w:type="textWrapping"/>
            </w:r>
            <w:r>
              <w:rPr>
                <w:rFonts w:hint="eastAsia" w:ascii="宋体" w:hAnsi="宋体" w:cs="宋体"/>
                <w:color w:val="000000"/>
                <w:kern w:val="0"/>
                <w:sz w:val="24"/>
              </w:rPr>
              <w:t>该指标满分为20分。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见附录2：70、71。</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38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38.健康乡镇和健康细胞建设</w:t>
            </w:r>
            <w:r>
              <w:rPr>
                <w:rFonts w:hint="eastAsia" w:ascii="宋体" w:hAnsi="宋体" w:cs="宋体"/>
                <w:color w:val="000000"/>
                <w:kern w:val="0"/>
                <w:sz w:val="24"/>
                <w:lang w:val="en-US" w:eastAsia="zh-CN"/>
              </w:rPr>
              <w:t>建成</w:t>
            </w:r>
            <w:r>
              <w:rPr>
                <w:rFonts w:hint="eastAsia" w:ascii="宋体" w:hAnsi="宋体" w:cs="宋体"/>
                <w:color w:val="000000"/>
                <w:kern w:val="0"/>
                <w:sz w:val="24"/>
              </w:rPr>
              <w:t>率</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健康乡镇、健康促进医院和健康企业建设的比例和数量达到要求，其他5类健康细胞建设的覆盖率逐年提升。建设覆盖率达到100%的继续保持。</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查阅资料：健康细胞建设清单及本底资料等。</w:t>
            </w:r>
            <w:r>
              <w:rPr>
                <w:rFonts w:hint="eastAsia" w:ascii="宋体" w:hAnsi="宋体" w:cs="宋体"/>
                <w:color w:val="000000"/>
                <w:kern w:val="0"/>
                <w:sz w:val="24"/>
              </w:rPr>
              <w:br w:type="textWrapping"/>
            </w:r>
            <w:r>
              <w:rPr>
                <w:rFonts w:hint="eastAsia" w:ascii="宋体" w:hAnsi="宋体" w:cs="宋体"/>
                <w:color w:val="000000"/>
                <w:kern w:val="0"/>
                <w:sz w:val="24"/>
              </w:rPr>
              <w:t>资料来源：健康细胞建设主管部门及相关部门等。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1.辖区内健康乡镇建设覆盖率≥30%</w:t>
            </w:r>
            <w:r>
              <w:rPr>
                <w:rFonts w:hint="eastAsia" w:ascii="宋体" w:hAnsi="宋体" w:cs="宋体"/>
                <w:color w:val="000000"/>
                <w:kern w:val="0"/>
                <w:sz w:val="24"/>
                <w:lang w:val="en-US" w:eastAsia="zh-CN"/>
              </w:rPr>
              <w:t>或不低于当年省级要求比例</w:t>
            </w:r>
            <w:r>
              <w:rPr>
                <w:rFonts w:hint="eastAsia" w:ascii="宋体" w:hAnsi="宋体" w:cs="宋体"/>
                <w:color w:val="000000"/>
                <w:kern w:val="0"/>
                <w:sz w:val="24"/>
              </w:rPr>
              <w:t>，得9分；＜30%</w:t>
            </w:r>
            <w:r>
              <w:rPr>
                <w:rFonts w:hint="eastAsia" w:ascii="宋体" w:hAnsi="宋体" w:cs="宋体"/>
                <w:color w:val="000000"/>
                <w:kern w:val="0"/>
                <w:sz w:val="24"/>
                <w:lang w:val="en-US" w:eastAsia="zh-CN"/>
              </w:rPr>
              <w:t>或低于当年省级要求比例</w:t>
            </w:r>
            <w:r>
              <w:rPr>
                <w:rFonts w:hint="eastAsia" w:ascii="宋体" w:hAnsi="宋体" w:cs="宋体"/>
                <w:color w:val="000000"/>
                <w:kern w:val="0"/>
                <w:sz w:val="24"/>
              </w:rPr>
              <w:t>，得5分；未开展建设，不得分。</w:t>
            </w:r>
            <w:r>
              <w:rPr>
                <w:rFonts w:hint="eastAsia" w:ascii="宋体" w:hAnsi="宋体" w:cs="宋体"/>
                <w:color w:val="000000"/>
                <w:kern w:val="0"/>
                <w:sz w:val="24"/>
              </w:rPr>
              <w:br w:type="textWrapping"/>
            </w:r>
            <w:r>
              <w:rPr>
                <w:rFonts w:hint="eastAsia" w:ascii="宋体" w:hAnsi="宋体" w:cs="宋体"/>
                <w:color w:val="000000"/>
                <w:kern w:val="0"/>
                <w:sz w:val="24"/>
              </w:rPr>
              <w:t>2.辖区内二级及以上医院中，健康促进医院建设比例</w:t>
            </w:r>
            <w:r>
              <w:rPr>
                <w:rFonts w:hint="eastAsia" w:ascii="宋体" w:hAnsi="宋体" w:cs="宋体"/>
                <w:color w:val="000000"/>
                <w:kern w:val="0"/>
                <w:sz w:val="24"/>
                <w:lang w:val="en-US" w:eastAsia="zh-CN"/>
              </w:rPr>
              <w:t>不低于当年省级要求比例</w:t>
            </w:r>
            <w:r>
              <w:rPr>
                <w:rFonts w:hint="eastAsia" w:ascii="宋体" w:hAnsi="宋体" w:cs="宋体"/>
                <w:color w:val="000000"/>
                <w:kern w:val="0"/>
                <w:sz w:val="24"/>
              </w:rPr>
              <w:t>，得6分；</w:t>
            </w:r>
            <w:r>
              <w:rPr>
                <w:rFonts w:hint="eastAsia" w:ascii="宋体" w:hAnsi="宋体" w:cs="宋体"/>
                <w:color w:val="000000"/>
                <w:kern w:val="0"/>
                <w:sz w:val="24"/>
                <w:lang w:val="en-US" w:eastAsia="zh-CN"/>
              </w:rPr>
              <w:t>低于当年省级要求比例</w:t>
            </w:r>
            <w:r>
              <w:rPr>
                <w:rFonts w:hint="eastAsia" w:ascii="宋体" w:hAnsi="宋体" w:cs="宋体"/>
                <w:color w:val="000000"/>
                <w:kern w:val="0"/>
                <w:sz w:val="24"/>
              </w:rPr>
              <w:t>，得3分；未开展建设，不得分。</w:t>
            </w:r>
            <w:r>
              <w:rPr>
                <w:rFonts w:hint="eastAsia" w:ascii="宋体" w:hAnsi="宋体" w:cs="宋体"/>
                <w:color w:val="000000"/>
                <w:kern w:val="0"/>
                <w:sz w:val="24"/>
              </w:rPr>
              <w:br w:type="textWrapping"/>
            </w:r>
            <w:r>
              <w:rPr>
                <w:rFonts w:hint="eastAsia" w:ascii="宋体" w:hAnsi="宋体" w:cs="宋体"/>
                <w:color w:val="000000"/>
                <w:kern w:val="0"/>
                <w:sz w:val="24"/>
              </w:rPr>
              <w:t>3.辖区内中等及以上规模健康企业数量</w:t>
            </w:r>
            <w:r>
              <w:rPr>
                <w:rFonts w:hint="eastAsia" w:ascii="宋体" w:hAnsi="宋体" w:cs="宋体"/>
                <w:color w:val="000000"/>
                <w:kern w:val="0"/>
                <w:sz w:val="24"/>
                <w:lang w:val="en-US" w:eastAsia="zh-CN"/>
              </w:rPr>
              <w:t>不低于当年省级要求比例</w:t>
            </w:r>
            <w:r>
              <w:rPr>
                <w:rFonts w:hint="eastAsia" w:ascii="宋体" w:hAnsi="宋体" w:cs="宋体"/>
                <w:color w:val="000000"/>
                <w:kern w:val="0"/>
                <w:sz w:val="24"/>
              </w:rPr>
              <w:t>，得3分；</w:t>
            </w:r>
            <w:r>
              <w:rPr>
                <w:rFonts w:hint="eastAsia" w:ascii="宋体" w:hAnsi="宋体" w:cs="宋体"/>
                <w:color w:val="000000"/>
                <w:kern w:val="0"/>
                <w:sz w:val="24"/>
                <w:lang w:val="en-US" w:eastAsia="zh-CN"/>
              </w:rPr>
              <w:t>低于当年省级要求比例</w:t>
            </w:r>
            <w:r>
              <w:rPr>
                <w:rFonts w:hint="eastAsia" w:ascii="宋体" w:hAnsi="宋体" w:cs="宋体"/>
                <w:color w:val="000000"/>
                <w:kern w:val="0"/>
                <w:sz w:val="24"/>
              </w:rPr>
              <w:t>，得2分；无健康企业，不得分。</w:t>
            </w:r>
            <w:r>
              <w:rPr>
                <w:rFonts w:hint="eastAsia" w:ascii="宋体" w:hAnsi="宋体" w:cs="宋体"/>
                <w:color w:val="000000"/>
                <w:kern w:val="0"/>
                <w:sz w:val="24"/>
              </w:rPr>
              <w:br w:type="textWrapping"/>
            </w:r>
            <w:r>
              <w:rPr>
                <w:rFonts w:hint="eastAsia" w:ascii="宋体" w:hAnsi="宋体" w:cs="宋体"/>
                <w:color w:val="000000"/>
                <w:kern w:val="0"/>
                <w:sz w:val="24"/>
                <w:lang w:val="en-US" w:eastAsia="zh-CN"/>
              </w:rPr>
              <w:t>4</w:t>
            </w:r>
            <w:r>
              <w:rPr>
                <w:rFonts w:hint="eastAsia" w:ascii="宋体" w:hAnsi="宋体" w:cs="宋体"/>
                <w:color w:val="000000"/>
                <w:kern w:val="0"/>
                <w:sz w:val="24"/>
              </w:rPr>
              <w:t>.辖区内其他5类健康细胞建</w:t>
            </w:r>
            <w:r>
              <w:rPr>
                <w:rFonts w:hint="eastAsia" w:ascii="宋体" w:hAnsi="宋体" w:cs="宋体"/>
                <w:color w:val="000000"/>
                <w:kern w:val="0"/>
                <w:sz w:val="24"/>
                <w:lang w:val="en-US" w:eastAsia="zh-CN"/>
              </w:rPr>
              <w:t>成</w:t>
            </w:r>
            <w:r>
              <w:rPr>
                <w:rFonts w:hint="eastAsia" w:ascii="宋体" w:hAnsi="宋体" w:cs="宋体"/>
                <w:color w:val="000000"/>
                <w:kern w:val="0"/>
                <w:sz w:val="24"/>
              </w:rPr>
              <w:t>率</w:t>
            </w:r>
            <w:r>
              <w:rPr>
                <w:rFonts w:hint="eastAsia" w:ascii="宋体" w:hAnsi="宋体" w:cs="宋体"/>
                <w:color w:val="000000"/>
                <w:kern w:val="0"/>
                <w:sz w:val="24"/>
                <w:lang w:val="en-US" w:eastAsia="zh-CN"/>
              </w:rPr>
              <w:t>不低于当年省级要求比例</w:t>
            </w:r>
            <w:r>
              <w:rPr>
                <w:rFonts w:hint="eastAsia" w:ascii="宋体" w:hAnsi="宋体" w:cs="宋体"/>
                <w:color w:val="000000"/>
                <w:kern w:val="0"/>
                <w:sz w:val="24"/>
              </w:rPr>
              <w:t>，每类得5分；</w:t>
            </w:r>
            <w:r>
              <w:rPr>
                <w:rFonts w:hint="eastAsia" w:ascii="宋体" w:hAnsi="宋体" w:cs="宋体"/>
                <w:color w:val="000000"/>
                <w:kern w:val="0"/>
                <w:sz w:val="24"/>
                <w:lang w:val="en-US" w:eastAsia="zh-CN"/>
              </w:rPr>
              <w:t>低于当年省级要求比例</w:t>
            </w:r>
            <w:r>
              <w:rPr>
                <w:rFonts w:hint="eastAsia" w:ascii="宋体" w:hAnsi="宋体" w:cs="宋体"/>
                <w:color w:val="000000"/>
                <w:kern w:val="0"/>
                <w:sz w:val="24"/>
              </w:rPr>
              <w:t>，每类得3分；未开展建设，不得分；满分25分。</w:t>
            </w:r>
            <w:r>
              <w:rPr>
                <w:rFonts w:hint="eastAsia" w:ascii="宋体" w:hAnsi="宋体" w:cs="宋体"/>
                <w:color w:val="000000"/>
                <w:kern w:val="0"/>
                <w:sz w:val="24"/>
              </w:rPr>
              <w:br w:type="textWrapping"/>
            </w:r>
            <w:r>
              <w:rPr>
                <w:rFonts w:hint="eastAsia" w:ascii="宋体" w:hAnsi="宋体" w:cs="宋体"/>
                <w:color w:val="000000"/>
                <w:kern w:val="0"/>
                <w:sz w:val="24"/>
              </w:rPr>
              <w:t>该指标满分为46分。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4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nil"/>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39.健康细胞建设质量</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提升各类健康细胞建设水平，达到本省或当地健康细胞建设要求。</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现场抽查：在已完成建设的健康细胞中，随机抽取10个场所，结合本省或当地健康细胞评价标准，对其建设情况进行评价。</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随机抽样数量：1个城区的居民小区、1个行政村、2家党政机关、2家企业、1个小学和1个中学、1家县级医院和1家乡镇卫生院。</w:t>
            </w:r>
            <w:r>
              <w:rPr>
                <w:rFonts w:hint="eastAsia" w:ascii="宋体" w:hAnsi="宋体" w:cs="宋体"/>
                <w:color w:val="000000"/>
                <w:kern w:val="0"/>
                <w:sz w:val="24"/>
              </w:rPr>
              <w:br w:type="textWrapping"/>
            </w:r>
            <w:r>
              <w:rPr>
                <w:rFonts w:hint="eastAsia" w:ascii="宋体" w:hAnsi="宋体" w:cs="宋体"/>
                <w:color w:val="000000"/>
                <w:kern w:val="0"/>
                <w:sz w:val="24"/>
              </w:rPr>
              <w:t>赋分标准：在抽取的10个场所中，每个场所达到合格及以上评分，得4分；未达到合格，不得分；10个场所满分为40分。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见附录2：70、71。</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5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第十七条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40.基本医疗保险覆盖率</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基本医疗保险参保率每年稳定在95%以上。</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查阅资料：医疗保障信息平台。</w:t>
            </w:r>
            <w:r>
              <w:rPr>
                <w:rFonts w:hint="eastAsia" w:ascii="宋体" w:hAnsi="宋体" w:cs="宋体"/>
                <w:color w:val="000000"/>
                <w:kern w:val="0"/>
                <w:sz w:val="24"/>
              </w:rPr>
              <w:br w:type="textWrapping"/>
            </w:r>
            <w:r>
              <w:rPr>
                <w:rFonts w:hint="eastAsia" w:ascii="宋体" w:hAnsi="宋体" w:cs="宋体"/>
                <w:color w:val="000000"/>
                <w:kern w:val="0"/>
                <w:sz w:val="24"/>
              </w:rPr>
              <w:t>资料来源：医保等部门。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参保率≥95%，得8分；＜95%者，计算公式为：（N%/95%）×8，N%为受评对象参保率。</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见附录2：72-75。</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41.医疗保障水平</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城乡居民基本医疗保险政策范围内住院费用基金支付比例稳定在70%左右。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查阅资料：医疗保障信息平台。</w:t>
            </w:r>
            <w:r>
              <w:rPr>
                <w:rFonts w:hint="eastAsia" w:ascii="宋体" w:hAnsi="宋体" w:cs="宋体"/>
                <w:color w:val="000000"/>
                <w:kern w:val="0"/>
                <w:sz w:val="24"/>
              </w:rPr>
              <w:br w:type="textWrapping"/>
            </w:r>
            <w:r>
              <w:rPr>
                <w:rFonts w:hint="eastAsia" w:ascii="宋体" w:hAnsi="宋体" w:cs="宋体"/>
                <w:color w:val="000000"/>
                <w:kern w:val="0"/>
                <w:sz w:val="24"/>
              </w:rPr>
              <w:t>资料来源：医保等部门。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城乡居民基本医疗保险政策范围内住院费用基金支付比例≥65%且≤75%者，得8分；＜65%者，计算公式为：（N%/65%）×8，N%为受评对象基金支付比例；＞75%者，计算公式为：（75%/N%）×8,N%为受评对象基金支付比例。</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36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42.强化社会福利保障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合理确定社会福利保障范围，确保老年人、残疾人、孤儿、精神障碍患者等特殊群体有尊严地生活和平等参与社会发展。</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查阅资料：相关统计信息系统。</w:t>
            </w:r>
            <w:r>
              <w:rPr>
                <w:rFonts w:hint="eastAsia" w:ascii="宋体" w:hAnsi="宋体" w:cs="宋体"/>
                <w:color w:val="000000"/>
                <w:kern w:val="0"/>
                <w:sz w:val="24"/>
              </w:rPr>
              <w:br w:type="textWrapping"/>
            </w:r>
            <w:r>
              <w:rPr>
                <w:rFonts w:hint="eastAsia" w:ascii="宋体" w:hAnsi="宋体" w:cs="宋体"/>
                <w:color w:val="000000"/>
                <w:kern w:val="0"/>
                <w:sz w:val="24"/>
              </w:rPr>
              <w:t>资料来源：民政、社保等部门。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1.基本养老保险参保率≥95%，得4分；＜95%者，计算公式为:（N%/95%）×4，N%为受评对象基本养老保险参保率。</w:t>
            </w:r>
            <w:r>
              <w:rPr>
                <w:rFonts w:hint="eastAsia" w:ascii="宋体" w:hAnsi="宋体" w:cs="宋体"/>
                <w:color w:val="000000"/>
                <w:kern w:val="0"/>
                <w:sz w:val="24"/>
              </w:rPr>
              <w:br w:type="textWrapping"/>
            </w:r>
            <w:r>
              <w:rPr>
                <w:rFonts w:hint="eastAsia" w:ascii="宋体" w:hAnsi="宋体" w:cs="宋体"/>
                <w:color w:val="000000"/>
                <w:kern w:val="0"/>
                <w:sz w:val="24"/>
              </w:rPr>
              <w:t>2.困难残疾人生活补贴目标人群覆盖率达到100%，得4分；＜100%者，计算公式为：（N%/100%）×4，N%为受评对象覆盖率。</w:t>
            </w:r>
            <w:r>
              <w:rPr>
                <w:rFonts w:hint="eastAsia" w:ascii="宋体" w:hAnsi="宋体" w:cs="宋体"/>
                <w:color w:val="000000"/>
                <w:kern w:val="0"/>
                <w:sz w:val="24"/>
              </w:rPr>
              <w:br w:type="textWrapping"/>
            </w:r>
            <w:r>
              <w:rPr>
                <w:rFonts w:hint="eastAsia" w:ascii="宋体" w:hAnsi="宋体" w:cs="宋体"/>
                <w:color w:val="000000"/>
                <w:kern w:val="0"/>
                <w:sz w:val="24"/>
              </w:rPr>
              <w:t>3.重度残疾人护理补贴目标人群覆盖率达到100%，得4分；＜100%者，计算公式为：（N%/100%）×4，N%为受评对象覆盖率。</w:t>
            </w:r>
            <w:r>
              <w:rPr>
                <w:rFonts w:hint="eastAsia" w:ascii="宋体" w:hAnsi="宋体" w:cs="宋体"/>
                <w:color w:val="000000"/>
                <w:kern w:val="0"/>
                <w:sz w:val="24"/>
              </w:rPr>
              <w:br w:type="textWrapping"/>
            </w:r>
            <w:r>
              <w:rPr>
                <w:rFonts w:hint="eastAsia" w:ascii="宋体" w:hAnsi="宋体" w:cs="宋体"/>
                <w:color w:val="000000"/>
                <w:kern w:val="0"/>
                <w:sz w:val="24"/>
              </w:rPr>
              <w:t>4.孤儿和事实无人抚养儿童保障覆盖率达到100%，得4分；＜100%者，计算公式为：（N%/100%）×4，N%为受评对象覆盖率。</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88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第十八条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43.强化老龄工作顶层设计</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依据《“十四五”国家老龄事业发展和养老服务体系规划》，将老龄事业发展和养老服务体系主要任务指标纳入当地经济社会发展规划，纳入为民办实事项目，纳入政府工作议事日程和目标责任考核内容。落实《中共中央国务院关于加强新时代老龄工作的意见》、国家和省级老龄事业发展和养老服务体系规划。</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查阅资料：工作报告、会议纪要、相关规划和实施方案等政策文件。</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1.根据工作需要召开老龄委工作会议，得2分；未召开，不得分。</w:t>
            </w:r>
            <w:r>
              <w:rPr>
                <w:rFonts w:hint="eastAsia" w:ascii="宋体" w:hAnsi="宋体" w:cs="宋体"/>
                <w:color w:val="000000"/>
                <w:kern w:val="0"/>
                <w:sz w:val="24"/>
              </w:rPr>
              <w:br w:type="textWrapping"/>
            </w:r>
            <w:r>
              <w:rPr>
                <w:rFonts w:hint="eastAsia" w:ascii="宋体" w:hAnsi="宋体" w:cs="宋体"/>
                <w:color w:val="000000"/>
                <w:kern w:val="0"/>
                <w:sz w:val="24"/>
              </w:rPr>
              <w:t>2.制定《中共中央国务院关于加强新时代老龄工作的意见》、老龄事业发展和养老服务体系规划的实施方案，得3分；未制定，不得分。</w:t>
            </w:r>
            <w:r>
              <w:rPr>
                <w:rFonts w:hint="eastAsia" w:ascii="宋体" w:hAnsi="宋体" w:cs="宋体"/>
                <w:color w:val="000000"/>
                <w:kern w:val="0"/>
                <w:sz w:val="24"/>
              </w:rPr>
              <w:br w:type="textWrapping"/>
            </w:r>
            <w:r>
              <w:rPr>
                <w:rFonts w:hint="eastAsia" w:ascii="宋体" w:hAnsi="宋体" w:cs="宋体"/>
                <w:color w:val="000000"/>
                <w:kern w:val="0"/>
                <w:sz w:val="24"/>
              </w:rPr>
              <w:t>3.将老龄工作纳入本地区经济社会发展规划，得3分；未纳入，不得分。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见附录2：74、76、77。</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40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44.健康养老服务</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养老服务覆盖城乡，兜底与普惠养老服务健全。发展医养结合服务，为老年人提供多层次、多样化养老服务，保障独居、空巢、失能（含失智）、重残计划生育特殊家庭等特殊困难老年人的养老服务需求。</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查阅资料：健康养老服务相关资料。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资料来源：民政、卫生健康等相关部门。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1.至少有1个县级特困人员供养服务设施（敬老院），得4分；没有，不得分。</w:t>
            </w:r>
            <w:r>
              <w:rPr>
                <w:rFonts w:hint="eastAsia" w:ascii="宋体" w:hAnsi="宋体" w:cs="宋体"/>
                <w:color w:val="000000"/>
                <w:kern w:val="0"/>
                <w:sz w:val="24"/>
              </w:rPr>
              <w:br w:type="textWrapping"/>
            </w:r>
            <w:r>
              <w:rPr>
                <w:rFonts w:hint="eastAsia" w:ascii="宋体" w:hAnsi="宋体" w:cs="宋体"/>
                <w:color w:val="000000"/>
                <w:kern w:val="0"/>
                <w:sz w:val="24"/>
              </w:rPr>
              <w:t>2.发展医养结合服务：①制定推进医养结合发展的政策措施，得1分；未制定，不得分。②开展多种形式的医养结合服务，得1分；未开展，不得分。③养老机构以不同形式为入住老年人提供医疗卫生服务的比例≥90%，得2分；＜90%，不得分。</w:t>
            </w:r>
            <w:r>
              <w:rPr>
                <w:rFonts w:hint="eastAsia" w:ascii="宋体" w:hAnsi="宋体" w:cs="宋体"/>
                <w:color w:val="000000"/>
                <w:kern w:val="0"/>
                <w:sz w:val="24"/>
              </w:rPr>
              <w:br w:type="textWrapping"/>
            </w:r>
            <w:r>
              <w:rPr>
                <w:rFonts w:hint="eastAsia" w:ascii="宋体" w:hAnsi="宋体" w:cs="宋体"/>
                <w:color w:val="000000"/>
                <w:kern w:val="0"/>
                <w:sz w:val="24"/>
              </w:rPr>
              <w:t>3.养老机构护理型床位占比≥55%，得3分；＜55%，不得分。</w:t>
            </w:r>
            <w:r>
              <w:rPr>
                <w:rFonts w:hint="eastAsia" w:ascii="宋体" w:hAnsi="宋体" w:cs="宋体"/>
                <w:color w:val="000000"/>
                <w:kern w:val="0"/>
                <w:sz w:val="24"/>
              </w:rPr>
              <w:br w:type="textWrapping"/>
            </w:r>
            <w:r>
              <w:rPr>
                <w:rFonts w:hint="eastAsia" w:ascii="宋体" w:hAnsi="宋体" w:cs="宋体"/>
                <w:color w:val="000000"/>
                <w:kern w:val="0"/>
                <w:sz w:val="24"/>
              </w:rPr>
              <w:t>4.综合性医院、康复医院、护理院和基层医疗卫生机构中老年友善医疗卫生机构占比≥85%，得3分；＜85%，不得分。</w:t>
            </w:r>
            <w:r>
              <w:rPr>
                <w:rFonts w:hint="eastAsia" w:ascii="宋体" w:hAnsi="宋体" w:cs="宋体"/>
                <w:color w:val="000000"/>
                <w:kern w:val="0"/>
                <w:sz w:val="24"/>
              </w:rPr>
              <w:br w:type="textWrapping"/>
            </w:r>
            <w:r>
              <w:rPr>
                <w:rFonts w:hint="eastAsia" w:ascii="宋体" w:hAnsi="宋体" w:cs="宋体"/>
                <w:color w:val="000000"/>
                <w:kern w:val="0"/>
                <w:sz w:val="24"/>
              </w:rPr>
              <w:t>5.特殊困难老年人远程或上门形式的月探访率达到100%，得4分；＜100%，不得分。</w:t>
            </w:r>
            <w:r>
              <w:rPr>
                <w:rFonts w:hint="eastAsia" w:ascii="宋体" w:hAnsi="宋体" w:cs="宋体"/>
                <w:color w:val="000000"/>
                <w:kern w:val="0"/>
                <w:sz w:val="24"/>
              </w:rPr>
              <w:br w:type="textWrapping"/>
            </w:r>
            <w:r>
              <w:rPr>
                <w:rFonts w:hint="eastAsia" w:ascii="宋体" w:hAnsi="宋体" w:cs="宋体"/>
                <w:color w:val="000000"/>
                <w:kern w:val="0"/>
                <w:sz w:val="24"/>
              </w:rPr>
              <w:t>6.每千名老年人配备社会工作者人数≥1人，得4分；＜1人，得2分；未配备，不得分。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该指标满分为22分。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22分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9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第十八条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45.居家适老化改造</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对有需求的经济困难的失能、残疾、高龄等老年人家庭实施适老化改造，提供引导支持。</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查阅资料：相关文件和数据记录等。</w:t>
            </w:r>
            <w:r>
              <w:rPr>
                <w:rFonts w:hint="eastAsia" w:ascii="宋体" w:hAnsi="宋体" w:cs="宋体"/>
                <w:color w:val="000000"/>
                <w:kern w:val="0"/>
                <w:sz w:val="24"/>
              </w:rPr>
              <w:br w:type="textWrapping"/>
            </w:r>
            <w:r>
              <w:rPr>
                <w:rFonts w:hint="eastAsia" w:ascii="宋体" w:hAnsi="宋体" w:cs="宋体"/>
                <w:color w:val="000000"/>
                <w:kern w:val="0"/>
                <w:sz w:val="24"/>
              </w:rPr>
              <w:t>资料来源：民政、住房和城乡建设等相关部门。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1.有家庭适老化改造相关文件，得2分；无文件，不得分。</w:t>
            </w:r>
            <w:r>
              <w:rPr>
                <w:rFonts w:hint="eastAsia" w:ascii="宋体" w:hAnsi="宋体" w:cs="宋体"/>
                <w:color w:val="000000"/>
                <w:kern w:val="0"/>
                <w:sz w:val="24"/>
              </w:rPr>
              <w:br w:type="textWrapping"/>
            </w:r>
            <w:r>
              <w:rPr>
                <w:rFonts w:hint="eastAsia" w:ascii="宋体" w:hAnsi="宋体" w:cs="宋体"/>
                <w:color w:val="000000"/>
                <w:kern w:val="0"/>
                <w:sz w:val="24"/>
              </w:rPr>
              <w:t>2.有需求的特殊困难老年人居家适老化改造覆盖率≥80%，得6分；≥50%且＜80%，得3分；＜50%，得2分；未实施改造，不得分。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见附录2：74、76、77。</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3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第十九条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46.特殊儿童医疗康复和教育资助</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建立针对孤儿、事实无人抚养儿童、困境儿童等特殊儿童群体的康复和教育资助制度，出台相关文件，明确相关部门职责，规范认定和申领流程。</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查阅资料：特殊儿童康复和教育资助制度建设相关资料。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资料来源：民政、卫生健康、教育、残联等相关部门。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1.印发专门文件，得2分；未印发，不得分。</w:t>
            </w:r>
            <w:r>
              <w:rPr>
                <w:rFonts w:hint="eastAsia" w:ascii="宋体" w:hAnsi="宋体" w:cs="宋体"/>
                <w:color w:val="000000"/>
                <w:kern w:val="0"/>
                <w:sz w:val="24"/>
              </w:rPr>
              <w:br w:type="textWrapping"/>
            </w:r>
            <w:r>
              <w:rPr>
                <w:rFonts w:hint="eastAsia" w:ascii="宋体" w:hAnsi="宋体" w:cs="宋体"/>
                <w:color w:val="000000"/>
                <w:kern w:val="0"/>
                <w:sz w:val="24"/>
              </w:rPr>
              <w:t>2.明确相关部门职责，得2分；未明确，不得分。</w:t>
            </w:r>
            <w:r>
              <w:rPr>
                <w:rFonts w:hint="eastAsia" w:ascii="宋体" w:hAnsi="宋体" w:cs="宋体"/>
                <w:color w:val="000000"/>
                <w:kern w:val="0"/>
                <w:sz w:val="24"/>
              </w:rPr>
              <w:br w:type="textWrapping"/>
            </w:r>
            <w:r>
              <w:rPr>
                <w:rFonts w:hint="eastAsia" w:ascii="宋体" w:hAnsi="宋体" w:cs="宋体"/>
                <w:color w:val="000000"/>
                <w:kern w:val="0"/>
                <w:sz w:val="24"/>
              </w:rPr>
              <w:t>3.具有规范的认定和申领流程，得2分；无流程，不得分。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见附录2：78-81。</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83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47.托位数年增长率</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通过新建、改扩建、支持一批嵌入式、分布式、连锁化、专业化的社区托育服务设施建设，提供多样化的普惠托育服务，提高社区托育服务设施覆盖率。完善婴幼儿照护服务设施，辖区内托位数逐年增长。</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查阅资料：近2年婴幼儿托位数统计数据。</w:t>
            </w:r>
            <w:r>
              <w:rPr>
                <w:rFonts w:hint="eastAsia" w:ascii="宋体" w:hAnsi="宋体" w:cs="宋体"/>
                <w:color w:val="000000"/>
                <w:kern w:val="0"/>
                <w:sz w:val="24"/>
              </w:rPr>
              <w:br w:type="textWrapping"/>
            </w:r>
            <w:r>
              <w:rPr>
                <w:rFonts w:hint="eastAsia" w:ascii="宋体" w:hAnsi="宋体" w:cs="宋体"/>
                <w:color w:val="000000"/>
                <w:kern w:val="0"/>
                <w:sz w:val="24"/>
              </w:rPr>
              <w:t>资料来源：民政、卫生健康、教育等相关部门。</w:t>
            </w:r>
            <w:r>
              <w:rPr>
                <w:rFonts w:hint="eastAsia" w:ascii="宋体" w:hAnsi="宋体" w:cs="宋体"/>
                <w:color w:val="000000"/>
                <w:kern w:val="0"/>
                <w:sz w:val="24"/>
              </w:rPr>
              <w:br w:type="textWrapping"/>
            </w:r>
            <w:r>
              <w:rPr>
                <w:rFonts w:hint="eastAsia" w:ascii="宋体" w:hAnsi="宋体" w:cs="宋体"/>
                <w:color w:val="000000"/>
                <w:kern w:val="0"/>
                <w:sz w:val="24"/>
              </w:rPr>
              <w:t>现场抽查：随机抽查1个城区居民小区，现场查看托育服务设施的建设情况。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1.被抽查的城区居民小区中，有建设托育服务设施，得5分；未建设，不得分。</w:t>
            </w:r>
            <w:r>
              <w:rPr>
                <w:rFonts w:hint="eastAsia" w:ascii="宋体" w:hAnsi="宋体" w:cs="宋体"/>
                <w:color w:val="000000"/>
                <w:kern w:val="0"/>
                <w:sz w:val="24"/>
              </w:rPr>
              <w:br w:type="textWrapping"/>
            </w:r>
            <w:r>
              <w:rPr>
                <w:rFonts w:hint="eastAsia" w:ascii="宋体" w:hAnsi="宋体" w:cs="宋体"/>
                <w:color w:val="000000"/>
                <w:kern w:val="0"/>
                <w:sz w:val="24"/>
              </w:rPr>
              <w:t>2.托位数增长率≥20%，得5分；≥10%且＜20%，得3分；＞0且＜10%，得1分；无增长或负增长，不得分。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5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第十九条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48.精神卫生工作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登记在册的严重精神障碍患者规范管理率达到80%，精神分裂症服药率达到80%。开展精神障碍社区康复服务，覆盖50%以上的居家精神障碍患者。</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查阅资料：精神卫生相关资料。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1.至少有1所县级公立医院根据要求设置精神科/精神心理门诊，得1分；未设置，不得分。</w:t>
            </w:r>
            <w:r>
              <w:rPr>
                <w:rFonts w:hint="eastAsia" w:ascii="宋体" w:hAnsi="宋体" w:cs="宋体"/>
                <w:color w:val="000000"/>
                <w:kern w:val="0"/>
                <w:sz w:val="24"/>
              </w:rPr>
              <w:br w:type="textWrapping"/>
            </w:r>
            <w:r>
              <w:rPr>
                <w:rFonts w:hint="eastAsia" w:ascii="宋体" w:hAnsi="宋体" w:cs="宋体"/>
                <w:color w:val="000000"/>
                <w:kern w:val="0"/>
                <w:sz w:val="24"/>
              </w:rPr>
              <w:t>2.登记在册的严重精神障碍患者规范管理率≥80%，得2分；＜80%，不得分。</w:t>
            </w:r>
            <w:r>
              <w:rPr>
                <w:rFonts w:hint="eastAsia" w:ascii="宋体" w:hAnsi="宋体" w:cs="宋体"/>
                <w:color w:val="000000"/>
                <w:kern w:val="0"/>
                <w:sz w:val="24"/>
              </w:rPr>
              <w:br w:type="textWrapping"/>
            </w:r>
            <w:r>
              <w:rPr>
                <w:rFonts w:hint="eastAsia" w:ascii="宋体" w:hAnsi="宋体" w:cs="宋体"/>
                <w:color w:val="000000"/>
                <w:kern w:val="0"/>
                <w:sz w:val="24"/>
              </w:rPr>
              <w:t>3.精神分裂症服药率≥80%，得2分；＜80%，不得分。</w:t>
            </w:r>
            <w:r>
              <w:rPr>
                <w:rFonts w:hint="eastAsia" w:ascii="宋体" w:hAnsi="宋体" w:cs="宋体"/>
                <w:color w:val="000000"/>
                <w:kern w:val="0"/>
                <w:sz w:val="24"/>
              </w:rPr>
              <w:br w:type="textWrapping"/>
            </w:r>
            <w:r>
              <w:rPr>
                <w:rFonts w:hint="eastAsia" w:ascii="宋体" w:hAnsi="宋体" w:cs="宋体"/>
                <w:color w:val="000000"/>
                <w:kern w:val="0"/>
                <w:sz w:val="24"/>
              </w:rPr>
              <w:t>4.组织开展精神障碍社区康复服务，得1分；未开展，不得分。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见附录2：81-86。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12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49.精神障碍社区康复服务体系</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精神卫生医疗机构、社区康复机构及社会组织、家庭相互衔接的精神障碍社区康复服务体系，建立和完善心理健康教育、心理热线服务、心理评估、心理咨询、心理治疗、精神科治疗等衔接合作的心理危机干预和心理援助服务模式。</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查阅资料：精神卫生相关资料。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1.出台关于加强精神障碍社区康复服务体系建设相关文件，得3分；未出台文件，不得分。</w:t>
            </w:r>
            <w:r>
              <w:rPr>
                <w:rFonts w:hint="eastAsia" w:ascii="宋体" w:hAnsi="宋体" w:cs="宋体"/>
                <w:color w:val="000000"/>
                <w:kern w:val="0"/>
                <w:sz w:val="24"/>
              </w:rPr>
              <w:br w:type="textWrapping"/>
            </w:r>
            <w:r>
              <w:rPr>
                <w:rFonts w:hint="eastAsia" w:ascii="宋体" w:hAnsi="宋体" w:cs="宋体"/>
                <w:color w:val="000000"/>
                <w:kern w:val="0"/>
                <w:sz w:val="24"/>
              </w:rPr>
              <w:t>2.将心理危机干预和心理救援纳入各类突发事件应急预案和技术方案并定期开展培训和演练，得3分；纳入应急预案和技术方案但未开展培训和演练，得2分；未纳入应急预案和技术方案，不得分。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10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50.交通和安全管理</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强化治安防控、交通和安全管理，落实安全生产责任制，杜绝重特大安全事件。</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查阅资料：交通事故相关数据，近3年内重特大安全事件发生情况。</w:t>
            </w:r>
            <w:r>
              <w:rPr>
                <w:rFonts w:hint="eastAsia" w:ascii="宋体" w:hAnsi="宋体" w:cs="宋体"/>
                <w:color w:val="000000"/>
                <w:kern w:val="0"/>
                <w:sz w:val="24"/>
              </w:rPr>
              <w:br w:type="textWrapping"/>
            </w:r>
            <w:r>
              <w:rPr>
                <w:rFonts w:hint="eastAsia" w:ascii="宋体" w:hAnsi="宋体" w:cs="宋体"/>
                <w:color w:val="000000"/>
                <w:kern w:val="0"/>
                <w:sz w:val="24"/>
              </w:rPr>
              <w:t>资料来源：交通运输部门或统计部门、应急管理部门等。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1.每万人交通事故发生数＜全国平均水平（可从国家统计局网站查询年度全国交通事故相关数据），得4分；≥全国平均水平，不得分。</w:t>
            </w:r>
            <w:r>
              <w:rPr>
                <w:rFonts w:hint="eastAsia" w:ascii="宋体" w:hAnsi="宋体" w:cs="宋体"/>
                <w:color w:val="000000"/>
                <w:kern w:val="0"/>
                <w:sz w:val="24"/>
              </w:rPr>
              <w:br w:type="textWrapping"/>
            </w:r>
            <w:r>
              <w:rPr>
                <w:rFonts w:hint="eastAsia" w:ascii="宋体" w:hAnsi="宋体" w:cs="宋体"/>
                <w:color w:val="000000"/>
                <w:kern w:val="0"/>
                <w:sz w:val="24"/>
              </w:rPr>
              <w:t>2.每万人交通事故死亡人数＜全国平均水平，得4分；≥全国平均水平，不得分。</w:t>
            </w:r>
            <w:r>
              <w:rPr>
                <w:rFonts w:hint="eastAsia" w:ascii="宋体" w:hAnsi="宋体" w:cs="宋体"/>
                <w:color w:val="000000"/>
                <w:kern w:val="0"/>
                <w:sz w:val="24"/>
              </w:rPr>
              <w:br w:type="textWrapping"/>
            </w:r>
            <w:r>
              <w:rPr>
                <w:rFonts w:hint="eastAsia" w:ascii="宋体" w:hAnsi="宋体" w:cs="宋体"/>
                <w:color w:val="000000"/>
                <w:kern w:val="0"/>
                <w:sz w:val="24"/>
              </w:rPr>
              <w:t>3.近3年内没有发生过重特大安全事件，得4分；发生过，不得分。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该指标满分为12分。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6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51.医疗秩序安全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避免发生社会影响恶劣的伤医案件和严重扰乱正常医疗秩序的案件。</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查阅资料：近3年内发生社会影响恶劣的伤医案件和严重扰乱正常医疗秩序的案件情况。</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资料来源：卫生健康、公安等部门。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1.近3年内没有发生过社会影响恶劣的伤医案件,得3分；发生过，不得分。</w:t>
            </w:r>
            <w:r>
              <w:rPr>
                <w:rFonts w:hint="eastAsia" w:ascii="宋体" w:hAnsi="宋体" w:cs="宋体"/>
                <w:color w:val="000000"/>
                <w:kern w:val="0"/>
                <w:sz w:val="24"/>
              </w:rPr>
              <w:br w:type="textWrapping"/>
            </w:r>
            <w:r>
              <w:rPr>
                <w:rFonts w:hint="eastAsia" w:ascii="宋体" w:hAnsi="宋体" w:cs="宋体"/>
                <w:color w:val="000000"/>
                <w:kern w:val="0"/>
                <w:sz w:val="24"/>
              </w:rPr>
              <w:t>2.近3年内没有发生过严重扰乱正常医疗秩序的案件，得3分；发生过，不得分。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3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52.消防安全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各单位和居民住宅消防设施齐全、完好，消防车通道通畅。</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现场抽查：随机抽取1个城区的居民小区和1家娱乐场所，查看消防安全相关资料，实地了解其消防设施配置、消防车通道等情况。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在抽查的社区或场所中：</w:t>
            </w:r>
            <w:r>
              <w:rPr>
                <w:rFonts w:hint="eastAsia" w:ascii="宋体" w:hAnsi="宋体" w:cs="宋体"/>
                <w:color w:val="000000"/>
                <w:kern w:val="0"/>
                <w:sz w:val="24"/>
              </w:rPr>
              <w:br w:type="textWrapping"/>
            </w:r>
            <w:r>
              <w:rPr>
                <w:rFonts w:hint="eastAsia" w:ascii="宋体" w:hAnsi="宋体" w:cs="宋体"/>
                <w:color w:val="000000"/>
                <w:kern w:val="0"/>
                <w:sz w:val="24"/>
              </w:rPr>
              <w:t>1.消防设施齐全、完好（火灾自动报警系统、自动灭火系统、消火栓系统、防烟排烟系统以及应急广播和应急照明、安全疏散设施等），得2分；未达标，不得分。</w:t>
            </w:r>
            <w:r>
              <w:rPr>
                <w:rFonts w:hint="eastAsia" w:ascii="宋体" w:hAnsi="宋体" w:cs="宋体"/>
                <w:color w:val="000000"/>
                <w:kern w:val="0"/>
                <w:sz w:val="24"/>
              </w:rPr>
              <w:br w:type="textWrapping"/>
            </w:r>
            <w:r>
              <w:rPr>
                <w:rFonts w:hint="eastAsia" w:ascii="宋体" w:hAnsi="宋体" w:cs="宋体"/>
                <w:color w:val="000000"/>
                <w:kern w:val="0"/>
                <w:sz w:val="24"/>
              </w:rPr>
              <w:t>2.消防车通道畅通，得2分；未达标，不得分。</w:t>
            </w:r>
            <w:r>
              <w:rPr>
                <w:rFonts w:hint="eastAsia" w:ascii="宋体" w:hAnsi="宋体" w:cs="宋体"/>
                <w:color w:val="000000"/>
                <w:kern w:val="0"/>
                <w:sz w:val="24"/>
              </w:rPr>
              <w:br w:type="textWrapping"/>
            </w:r>
            <w:r>
              <w:rPr>
                <w:rFonts w:hint="eastAsia" w:ascii="宋体" w:hAnsi="宋体" w:cs="宋体"/>
                <w:color w:val="000000"/>
                <w:kern w:val="0"/>
                <w:sz w:val="24"/>
              </w:rPr>
              <w:t>2家抽查单位满分为8分。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b/>
                <w:bCs/>
                <w:color w:val="000000"/>
                <w:kern w:val="0"/>
                <w:sz w:val="24"/>
              </w:rPr>
              <w:t>四、健康服务</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190分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23"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第二十一条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53.县域内基本医疗卫生资源配置</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专业公共卫生机构、医院、基层医疗卫生机构等按常住人口和服务半径合理布局，各级各类医疗卫生机构符合国家设置和建设标准，促进人人享有均等化的基本医疗卫生服务。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查阅资料：医疗卫生服务体系建设相关资料。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1.每万人口公共卫生人员数近3年持续增长，得1分；维持不变或有下降趋势，不得分。</w:t>
            </w:r>
            <w:r>
              <w:rPr>
                <w:rFonts w:hint="eastAsia" w:ascii="宋体" w:hAnsi="宋体" w:cs="宋体"/>
                <w:color w:val="000000"/>
                <w:kern w:val="0"/>
                <w:sz w:val="24"/>
              </w:rPr>
              <w:br w:type="textWrapping"/>
            </w:r>
            <w:r>
              <w:rPr>
                <w:rFonts w:hint="eastAsia" w:ascii="宋体" w:hAnsi="宋体" w:cs="宋体"/>
                <w:color w:val="000000"/>
                <w:kern w:val="0"/>
                <w:sz w:val="24"/>
              </w:rPr>
              <w:t>2.每千人口执业（助理）医师数≥所在省份同期平均水平，得1分；＜平均水平，不得分。</w:t>
            </w:r>
            <w:r>
              <w:rPr>
                <w:rFonts w:hint="eastAsia" w:ascii="宋体" w:hAnsi="宋体" w:cs="宋体"/>
                <w:color w:val="000000"/>
                <w:kern w:val="0"/>
                <w:sz w:val="24"/>
              </w:rPr>
              <w:br w:type="textWrapping"/>
            </w:r>
            <w:r>
              <w:rPr>
                <w:rFonts w:hint="eastAsia" w:ascii="宋体" w:hAnsi="宋体" w:cs="宋体"/>
                <w:color w:val="000000"/>
                <w:kern w:val="0"/>
                <w:sz w:val="24"/>
              </w:rPr>
              <w:t>3.每万人全科医生数≥所在省份同期平均水平，得1分；＜平均水平，不得分。</w:t>
            </w:r>
            <w:r>
              <w:rPr>
                <w:rFonts w:hint="eastAsia" w:ascii="宋体" w:hAnsi="宋体" w:cs="宋体"/>
                <w:color w:val="000000"/>
                <w:kern w:val="0"/>
                <w:sz w:val="24"/>
              </w:rPr>
              <w:br w:type="textWrapping"/>
            </w:r>
            <w:r>
              <w:rPr>
                <w:rFonts w:hint="eastAsia" w:ascii="宋体" w:hAnsi="宋体" w:cs="宋体"/>
                <w:color w:val="000000"/>
                <w:kern w:val="0"/>
                <w:sz w:val="24"/>
              </w:rPr>
              <w:t>4.辖区社区卫生服务中心配置达到要求，即每个街道办或每3万-10万人口设置1所社区卫生服务中心，得1分；未达标，不得分。</w:t>
            </w:r>
            <w:r>
              <w:rPr>
                <w:rFonts w:hint="eastAsia" w:ascii="宋体" w:hAnsi="宋体" w:cs="宋体"/>
                <w:color w:val="000000"/>
                <w:kern w:val="0"/>
                <w:sz w:val="24"/>
              </w:rPr>
              <w:br w:type="textWrapping"/>
            </w:r>
            <w:r>
              <w:rPr>
                <w:rFonts w:hint="eastAsia" w:ascii="宋体" w:hAnsi="宋体" w:cs="宋体"/>
                <w:color w:val="000000"/>
                <w:kern w:val="0"/>
                <w:sz w:val="24"/>
              </w:rPr>
              <w:t>5.辖区社区卫生服务站配置达到要求，即每3-5个居委会或每1万-2万人口设置1所社区卫生服务站，得1分；未达标，不得分。</w:t>
            </w:r>
            <w:r>
              <w:rPr>
                <w:rFonts w:hint="eastAsia" w:ascii="宋体" w:hAnsi="宋体" w:cs="宋体"/>
                <w:color w:val="000000"/>
                <w:kern w:val="0"/>
                <w:sz w:val="24"/>
              </w:rPr>
              <w:br w:type="textWrapping"/>
            </w:r>
            <w:r>
              <w:rPr>
                <w:rFonts w:hint="eastAsia" w:ascii="宋体" w:hAnsi="宋体" w:cs="宋体"/>
                <w:color w:val="000000"/>
                <w:kern w:val="0"/>
                <w:sz w:val="24"/>
              </w:rPr>
              <w:t>6.每个乡镇都建有标准化乡镇卫生院，得1分；乡镇卫生院未能全覆盖，不得分。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见附录2：87-95。</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63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第二十一条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54.全方位全周期健康服务</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建立完善全方位全周期健康服务体系，满足辖区健康服务需求。加强高血压、糖尿病患者管理，逐步实现高血压、糖尿病患者管理干预全覆盖。</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查阅资料：全方位全周期健康服务体系建设相关资料。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1.辖区内建有标准化的妇幼保健机构，得2分；未建，不得分。</w:t>
            </w:r>
            <w:r>
              <w:rPr>
                <w:rFonts w:hint="eastAsia" w:ascii="宋体" w:hAnsi="宋体" w:cs="宋体"/>
                <w:color w:val="000000"/>
                <w:kern w:val="0"/>
                <w:sz w:val="24"/>
              </w:rPr>
              <w:br w:type="textWrapping"/>
            </w:r>
            <w:r>
              <w:rPr>
                <w:rFonts w:hint="eastAsia" w:ascii="宋体" w:hAnsi="宋体" w:cs="宋体"/>
                <w:color w:val="000000"/>
                <w:kern w:val="0"/>
                <w:sz w:val="24"/>
              </w:rPr>
              <w:t>2.辖区内≥80%的乡镇卫生院、社区卫生服务中心配备2名以上专业从事儿童保健的医生，得2分；≥60％且＜80％，得1分；≥50％且＜60％，得0.5分；＜50％，不得分。</w:t>
            </w:r>
            <w:r>
              <w:rPr>
                <w:rFonts w:hint="eastAsia" w:ascii="宋体" w:hAnsi="宋体" w:cs="宋体"/>
                <w:color w:val="000000"/>
                <w:kern w:val="0"/>
                <w:sz w:val="24"/>
              </w:rPr>
              <w:br w:type="textWrapping"/>
            </w:r>
            <w:r>
              <w:rPr>
                <w:rFonts w:hint="eastAsia" w:ascii="宋体" w:hAnsi="宋体" w:cs="宋体"/>
                <w:color w:val="000000"/>
                <w:kern w:val="0"/>
                <w:sz w:val="24"/>
              </w:rPr>
              <w:t>3.县区范围内至少有1家承担职业健康检查的医疗卫生机构，得2分；没有，不得分。</w:t>
            </w:r>
            <w:r>
              <w:rPr>
                <w:rFonts w:hint="eastAsia" w:ascii="宋体" w:hAnsi="宋体" w:cs="宋体"/>
                <w:color w:val="000000"/>
                <w:kern w:val="0"/>
                <w:sz w:val="24"/>
              </w:rPr>
              <w:br w:type="textWrapping"/>
            </w:r>
            <w:r>
              <w:rPr>
                <w:rFonts w:hint="eastAsia" w:ascii="宋体" w:hAnsi="宋体" w:cs="宋体"/>
                <w:color w:val="000000"/>
                <w:kern w:val="0"/>
                <w:sz w:val="24"/>
              </w:rPr>
              <w:t>4.慢性病管理率：</w:t>
            </w:r>
            <w:r>
              <w:rPr>
                <w:rFonts w:hint="eastAsia" w:ascii="宋体" w:hAnsi="宋体" w:cs="宋体"/>
                <w:color w:val="000000"/>
                <w:kern w:val="0"/>
                <w:sz w:val="24"/>
              </w:rPr>
              <w:br w:type="textWrapping"/>
            </w:r>
            <w:r>
              <w:rPr>
                <w:rFonts w:hint="eastAsia" w:ascii="宋体" w:hAnsi="宋体" w:cs="宋体"/>
                <w:color w:val="000000"/>
                <w:kern w:val="0"/>
                <w:sz w:val="24"/>
              </w:rPr>
              <w:t>①高血压患者规范管理率≥60%，得1分；＜60%，不得分。</w:t>
            </w:r>
            <w:r>
              <w:rPr>
                <w:rFonts w:hint="eastAsia" w:ascii="宋体" w:hAnsi="宋体" w:cs="宋体"/>
                <w:color w:val="000000"/>
                <w:kern w:val="0"/>
                <w:sz w:val="24"/>
              </w:rPr>
              <w:br w:type="textWrapping"/>
            </w:r>
            <w:r>
              <w:rPr>
                <w:rFonts w:hint="eastAsia" w:ascii="宋体" w:hAnsi="宋体" w:cs="宋体"/>
                <w:color w:val="000000"/>
                <w:kern w:val="0"/>
                <w:sz w:val="24"/>
              </w:rPr>
              <w:t>②糖尿病患者规范管理率≥60%，得1分；＜60%，不得分。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w:t>
            </w:r>
            <w:r>
              <w:rPr>
                <w:rFonts w:hint="eastAsia" w:ascii="宋体" w:hAnsi="宋体" w:cs="宋体"/>
                <w:color w:val="000000"/>
                <w:kern w:val="0"/>
                <w:sz w:val="24"/>
              </w:rPr>
              <w:br w:type="textWrapping"/>
            </w:r>
            <w:r>
              <w:rPr>
                <w:rFonts w:hint="eastAsia" w:ascii="宋体" w:hAnsi="宋体" w:cs="宋体"/>
                <w:color w:val="000000"/>
                <w:kern w:val="0"/>
                <w:sz w:val="24"/>
              </w:rPr>
              <w:t>2：87-95。</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3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第二十二条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55.家庭医生签约服务</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健全家庭医生签约服务团队，增加签约服务供给，扩大签约服务覆盖面，强化签约服务内涵，推进有效签约、规范签约。</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现场抽查：随机抽取1家社区卫生服务中心或1家乡镇卫生院，查阅家庭医生签约服务开展、质量控制等情况。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1.定期开展家庭医生签约服务质量考核，得1分；未考核，不得分。</w:t>
            </w:r>
            <w:r>
              <w:rPr>
                <w:rFonts w:hint="eastAsia" w:ascii="宋体" w:hAnsi="宋体" w:cs="宋体"/>
                <w:color w:val="000000"/>
                <w:kern w:val="0"/>
                <w:sz w:val="24"/>
              </w:rPr>
              <w:br w:type="textWrapping"/>
            </w:r>
            <w:r>
              <w:rPr>
                <w:rFonts w:hint="eastAsia" w:ascii="宋体" w:hAnsi="宋体" w:cs="宋体"/>
                <w:color w:val="000000"/>
                <w:kern w:val="0"/>
                <w:sz w:val="24"/>
              </w:rPr>
              <w:t>2.能够为签约居民提供优先转诊、检查、住院等服务，得1.5分；不能提供，不得分。</w:t>
            </w:r>
            <w:r>
              <w:rPr>
                <w:rFonts w:hint="eastAsia" w:ascii="宋体" w:hAnsi="宋体" w:cs="宋体"/>
                <w:color w:val="000000"/>
                <w:kern w:val="0"/>
                <w:sz w:val="24"/>
              </w:rPr>
              <w:br w:type="textWrapping"/>
            </w:r>
            <w:r>
              <w:rPr>
                <w:rFonts w:hint="eastAsia" w:ascii="宋体" w:hAnsi="宋体" w:cs="宋体"/>
                <w:color w:val="000000"/>
                <w:kern w:val="0"/>
                <w:sz w:val="24"/>
              </w:rPr>
              <w:t>3.能够为签约慢病患者提供大于4周长处方服务，得1.5分；不能提供，不得分。</w:t>
            </w:r>
            <w:r>
              <w:rPr>
                <w:rFonts w:hint="eastAsia" w:ascii="宋体" w:hAnsi="宋体" w:cs="宋体"/>
                <w:color w:val="000000"/>
                <w:kern w:val="0"/>
                <w:sz w:val="24"/>
              </w:rPr>
              <w:br w:type="textWrapping"/>
            </w:r>
            <w:r>
              <w:rPr>
                <w:rFonts w:hint="eastAsia" w:ascii="宋体" w:hAnsi="宋体" w:cs="宋体"/>
                <w:color w:val="000000"/>
                <w:kern w:val="0"/>
                <w:sz w:val="24"/>
              </w:rPr>
              <w:t>4.重点人群签约服务覆盖率≥70%，得2分；＜70%，不得分。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0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56.县域内就诊率逐年提升</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县域内就诊率达到90%且近3年县域内就诊率逐年提升。</w:t>
            </w:r>
            <w:r>
              <w:rPr>
                <w:rFonts w:hint="eastAsia" w:ascii="宋体" w:hAnsi="宋体" w:cs="宋体"/>
                <w:color w:val="000000"/>
                <w:kern w:val="0"/>
                <w:sz w:val="24"/>
              </w:rPr>
              <w:br w:type="textWrapping"/>
            </w:r>
            <w:r>
              <w:rPr>
                <w:rFonts w:hint="eastAsia" w:ascii="宋体" w:hAnsi="宋体" w:cs="宋体"/>
                <w:color w:val="000000"/>
                <w:kern w:val="0"/>
                <w:sz w:val="24"/>
              </w:rPr>
              <w:t>县域就诊率（%）=参保人员县域内门急诊人次/参保人员门急诊总人次×100%。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查阅资料：县域内就诊率相关资料。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资料来源：卫生健康部门或医保信息系统。</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1.县域内就诊率≥90%，得4分；＜90%，不得分。</w:t>
            </w:r>
            <w:r>
              <w:rPr>
                <w:rFonts w:hint="eastAsia" w:ascii="宋体" w:hAnsi="宋体" w:cs="宋体"/>
                <w:color w:val="000000"/>
                <w:kern w:val="0"/>
                <w:sz w:val="24"/>
              </w:rPr>
              <w:br w:type="textWrapping"/>
            </w:r>
            <w:r>
              <w:rPr>
                <w:rFonts w:hint="eastAsia" w:ascii="宋体" w:hAnsi="宋体" w:cs="宋体"/>
                <w:color w:val="000000"/>
                <w:kern w:val="0"/>
                <w:sz w:val="24"/>
              </w:rPr>
              <w:t>2.近3年县域内就诊率逐年提高，得4分；其中有1年下降，得2分；逐年下降，不得分。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8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第二十三条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57.改善疾病预防控制基础条件</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不断完善疾病预防控制体系，加强疾病预防控制基础设施建设，强化疾病预防控制人才队伍，提高疾病预防控制网络安全和信息化水平。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查阅资料：疾病预防控制工作相关资料。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当地疾病预防控制机构基础设施和设备配置达到《疾病预防控制中心建设标准》，得8分；未达到标准，不得分。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w:t>
            </w:r>
            <w:r>
              <w:rPr>
                <w:rFonts w:hint="eastAsia" w:ascii="宋体" w:hAnsi="宋体" w:cs="宋体"/>
                <w:color w:val="000000"/>
                <w:kern w:val="0"/>
                <w:sz w:val="24"/>
              </w:rPr>
              <w:br w:type="textWrapping"/>
            </w:r>
            <w:r>
              <w:rPr>
                <w:rFonts w:hint="eastAsia" w:ascii="宋体" w:hAnsi="宋体" w:cs="宋体"/>
                <w:color w:val="000000"/>
                <w:kern w:val="0"/>
                <w:sz w:val="24"/>
              </w:rPr>
              <w:t>2：91、</w:t>
            </w:r>
            <w:r>
              <w:rPr>
                <w:rFonts w:hint="eastAsia" w:ascii="宋体" w:hAnsi="宋体" w:cs="宋体"/>
                <w:color w:val="000000"/>
                <w:kern w:val="0"/>
                <w:sz w:val="24"/>
              </w:rPr>
              <w:br w:type="textWrapping"/>
            </w:r>
            <w:r>
              <w:rPr>
                <w:rFonts w:hint="eastAsia" w:ascii="宋体" w:hAnsi="宋体" w:cs="宋体"/>
                <w:color w:val="000000"/>
                <w:kern w:val="0"/>
                <w:sz w:val="24"/>
              </w:rPr>
              <w:t>94-</w:t>
            </w:r>
            <w:r>
              <w:rPr>
                <w:rFonts w:hint="eastAsia" w:ascii="宋体" w:hAnsi="宋体" w:cs="宋体"/>
                <w:color w:val="000000"/>
                <w:kern w:val="0"/>
                <w:sz w:val="24"/>
              </w:rPr>
              <w:br w:type="textWrapping"/>
            </w:r>
            <w:r>
              <w:rPr>
                <w:rFonts w:hint="eastAsia" w:ascii="宋体" w:hAnsi="宋体" w:cs="宋体"/>
                <w:color w:val="000000"/>
                <w:kern w:val="0"/>
                <w:sz w:val="24"/>
              </w:rPr>
              <w:t>102。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2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58.强化基层公共卫生责任</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居（村）委会设立公共卫生委员会，完善基层疾病防控网络，落实网格化防控管理职责。乡镇卫生院和社区卫生服务中心设置预防保健科室，为每个社区卫生服务中心和乡镇卫生院至少配置1名公共卫生医师，开展疾病预防控制工作。</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查阅资料：基层公共卫生工作相关资料。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1.辖区所有居委会（行政村）设立公共卫生委员会，得4分；部分设立，得2分；未设立，不得分。</w:t>
            </w:r>
            <w:r>
              <w:rPr>
                <w:rFonts w:hint="eastAsia" w:ascii="宋体" w:hAnsi="宋体" w:cs="宋体"/>
                <w:color w:val="000000"/>
                <w:kern w:val="0"/>
                <w:sz w:val="24"/>
              </w:rPr>
              <w:br w:type="textWrapping"/>
            </w:r>
            <w:r>
              <w:rPr>
                <w:rFonts w:hint="eastAsia" w:ascii="宋体" w:hAnsi="宋体" w:cs="宋体"/>
                <w:color w:val="000000"/>
                <w:kern w:val="0"/>
                <w:sz w:val="24"/>
              </w:rPr>
              <w:t>2.辖区所有乡镇卫生院和社区卫生服务中心设置预防保健室，得4分；部分设立，得2分；未设立，不得分。</w:t>
            </w:r>
            <w:r>
              <w:rPr>
                <w:rFonts w:hint="eastAsia" w:ascii="宋体" w:hAnsi="宋体" w:cs="宋体"/>
                <w:color w:val="000000"/>
                <w:kern w:val="0"/>
                <w:sz w:val="24"/>
              </w:rPr>
              <w:br w:type="textWrapping"/>
            </w:r>
            <w:r>
              <w:rPr>
                <w:rFonts w:hint="eastAsia" w:ascii="宋体" w:hAnsi="宋体" w:cs="宋体"/>
                <w:color w:val="000000"/>
                <w:kern w:val="0"/>
                <w:sz w:val="24"/>
              </w:rPr>
              <w:t>3.每个社区卫生服务中心和乡镇卫生院至少配备1名公共卫生医师，得4分；部分配备，得2分；未配备，不得分。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该指标满分为12分。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5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59.强化医院公共卫生责任</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二级以上医疗机构设置公共卫生科并配备公共卫生医师。制定医疗机构公共卫生责任清单。</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查阅资料：医院公共卫生工作相关资料。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1.辖区二级以上医疗机构设置公共卫生科并配备公共卫生医师，得4分；部分设立，得2分；未设立，不得分。</w:t>
            </w:r>
            <w:r>
              <w:rPr>
                <w:rFonts w:hint="eastAsia" w:ascii="宋体" w:hAnsi="宋体" w:cs="宋体"/>
                <w:color w:val="000000"/>
                <w:kern w:val="0"/>
                <w:sz w:val="24"/>
              </w:rPr>
              <w:br w:type="textWrapping"/>
            </w:r>
            <w:r>
              <w:rPr>
                <w:rFonts w:hint="eastAsia" w:ascii="宋体" w:hAnsi="宋体" w:cs="宋体"/>
                <w:color w:val="000000"/>
                <w:kern w:val="0"/>
                <w:sz w:val="24"/>
              </w:rPr>
              <w:t>2.制定医疗机构公共卫生责任清单，得4分；未制定，不得分。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8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60.突发公共卫生事件和重大疫情防控联防联控机制</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县区建立突发公共卫生事件和重大疫情联防联控机制，明确政府、相关部门和单位在突发公共卫生事件和重大疫情应对中的职责和任务，建立完善协同工作机制。</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查阅资料：联防联控机制相关资料。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资料来源：文件印发部门、企事业单位等。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1.建立突发公共卫生事件和重大疫情联防联控机制，得6分；未建立，不得分。</w:t>
            </w:r>
            <w:r>
              <w:rPr>
                <w:rFonts w:hint="eastAsia" w:ascii="宋体" w:hAnsi="宋体" w:cs="宋体"/>
                <w:color w:val="000000"/>
                <w:kern w:val="0"/>
                <w:sz w:val="24"/>
              </w:rPr>
              <w:br w:type="textWrapping"/>
            </w:r>
            <w:r>
              <w:rPr>
                <w:rFonts w:hint="eastAsia" w:ascii="宋体" w:hAnsi="宋体" w:cs="宋体"/>
                <w:color w:val="000000"/>
                <w:kern w:val="0"/>
                <w:sz w:val="24"/>
              </w:rPr>
              <w:t>2.明确政府、相关部门和单位在突发公共卫生事件和重大疫情应对中的职责和任务，得4分；未明确，不得分。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4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第二十三条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61.重大传染病防控应急处置预案</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县区组织制定属地重大传染病防控方案和应急处置预案，开展应急培训和实战演练，做好人员设施设备和物资储备。</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查阅资料：应急预案、技术方案、演习和培训记录等。</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1.有应急预案，得4分；无预案，不得分。</w:t>
            </w:r>
            <w:r>
              <w:rPr>
                <w:rFonts w:hint="eastAsia" w:ascii="宋体" w:hAnsi="宋体" w:cs="宋体"/>
                <w:color w:val="000000"/>
                <w:kern w:val="0"/>
                <w:sz w:val="24"/>
              </w:rPr>
              <w:br w:type="textWrapping"/>
            </w:r>
            <w:r>
              <w:rPr>
                <w:rFonts w:hint="eastAsia" w:ascii="宋体" w:hAnsi="宋体" w:cs="宋体"/>
                <w:color w:val="000000"/>
                <w:kern w:val="0"/>
                <w:sz w:val="24"/>
              </w:rPr>
              <w:t>2.过去1年开展过至少1次应急培训，得3分；未开展，不得分。</w:t>
            </w:r>
            <w:r>
              <w:rPr>
                <w:rFonts w:hint="eastAsia" w:ascii="宋体" w:hAnsi="宋体" w:cs="宋体"/>
                <w:color w:val="000000"/>
                <w:kern w:val="0"/>
                <w:sz w:val="24"/>
              </w:rPr>
              <w:br w:type="textWrapping"/>
            </w:r>
            <w:r>
              <w:rPr>
                <w:rFonts w:hint="eastAsia" w:ascii="宋体" w:hAnsi="宋体" w:cs="宋体"/>
                <w:color w:val="000000"/>
                <w:kern w:val="0"/>
                <w:sz w:val="24"/>
              </w:rPr>
              <w:t>3.过去1年开展过至少1次实战演练，得3分；未开展，不得分。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w:t>
            </w:r>
            <w:r>
              <w:rPr>
                <w:rFonts w:hint="eastAsia" w:ascii="宋体" w:hAnsi="宋体" w:cs="宋体"/>
                <w:color w:val="000000"/>
                <w:kern w:val="0"/>
                <w:sz w:val="24"/>
              </w:rPr>
              <w:br w:type="textWrapping"/>
            </w:r>
            <w:r>
              <w:rPr>
                <w:rFonts w:hint="eastAsia" w:ascii="宋体" w:hAnsi="宋体" w:cs="宋体"/>
                <w:color w:val="000000"/>
                <w:kern w:val="0"/>
                <w:sz w:val="24"/>
              </w:rPr>
              <w:t>2：91、</w:t>
            </w:r>
            <w:r>
              <w:rPr>
                <w:rFonts w:hint="eastAsia" w:ascii="宋体" w:hAnsi="宋体" w:cs="宋体"/>
                <w:color w:val="000000"/>
                <w:kern w:val="0"/>
                <w:sz w:val="24"/>
              </w:rPr>
              <w:br w:type="textWrapping"/>
            </w:r>
            <w:r>
              <w:rPr>
                <w:rFonts w:hint="eastAsia" w:ascii="宋体" w:hAnsi="宋体" w:cs="宋体"/>
                <w:color w:val="000000"/>
                <w:kern w:val="0"/>
                <w:sz w:val="24"/>
              </w:rPr>
              <w:t>94-</w:t>
            </w:r>
            <w:r>
              <w:rPr>
                <w:rFonts w:hint="eastAsia" w:ascii="宋体" w:hAnsi="宋体" w:cs="宋体"/>
                <w:color w:val="000000"/>
                <w:kern w:val="0"/>
                <w:sz w:val="24"/>
              </w:rPr>
              <w:br w:type="textWrapping"/>
            </w:r>
            <w:r>
              <w:rPr>
                <w:rFonts w:hint="eastAsia" w:ascii="宋体" w:hAnsi="宋体" w:cs="宋体"/>
                <w:color w:val="000000"/>
                <w:kern w:val="0"/>
                <w:sz w:val="24"/>
              </w:rPr>
              <w:t>102。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79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62.急救能力建设</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县区规划和实施辖区内院前医疗急救体系建设；定期开展重点行业人群急救知识与技能培训；向公众普及心肺复苏等急救技能，提高公众急救能力。</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查阅资料：急救能力建设相关文件、方案、培训记录等。</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资料来源：卫生健康及相关部门等。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1.制定辖区院前医疗急救体系建设规划、实施方案等，得4分；未制定，不得分。</w:t>
            </w:r>
            <w:r>
              <w:rPr>
                <w:rFonts w:hint="eastAsia" w:ascii="宋体" w:hAnsi="宋体" w:cs="宋体"/>
                <w:color w:val="000000"/>
                <w:kern w:val="0"/>
                <w:sz w:val="24"/>
              </w:rPr>
              <w:br w:type="textWrapping"/>
            </w:r>
            <w:r>
              <w:rPr>
                <w:rFonts w:hint="eastAsia" w:ascii="宋体" w:hAnsi="宋体" w:cs="宋体"/>
                <w:color w:val="000000"/>
                <w:kern w:val="0"/>
                <w:sz w:val="24"/>
              </w:rPr>
              <w:t>2.过去1年中开展过重点行业人群急救知识与技能培训，得3分；未开展，不得分。</w:t>
            </w:r>
            <w:r>
              <w:rPr>
                <w:rFonts w:hint="eastAsia" w:ascii="宋体" w:hAnsi="宋体" w:cs="宋体"/>
                <w:color w:val="000000"/>
                <w:kern w:val="0"/>
                <w:sz w:val="24"/>
              </w:rPr>
              <w:br w:type="textWrapping"/>
            </w:r>
            <w:r>
              <w:rPr>
                <w:rFonts w:hint="eastAsia" w:ascii="宋体" w:hAnsi="宋体" w:cs="宋体"/>
                <w:color w:val="000000"/>
                <w:kern w:val="0"/>
                <w:sz w:val="24"/>
              </w:rPr>
              <w:t>3.向公众普及心肺复苏等急救技能，得3分；未开展，不得分。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0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第二十四条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63.基层健康教育服务项目</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落实国家基本公共卫生服务健康教育项目和健康素养促进项目，面向城乡居民普及健康知识和技能，倡导健康生活方式。</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现场抽查：随机抽取1家社区卫生服务中心和1家乡镇卫生院，查阅资料，了解国家基本公共卫生服务健康教育项目执行情况。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在抽查的社区卫生服务中心和乡镇卫生院中，能够按照基本公共卫生服务规范实施健康教育项目，得7分；未规范实施，得4分；未实施，不得分；2家抽查单位满分为14分。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6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64.健康主题活动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结合卫生健康相关节日、纪念日或者卫生健康重点工作，开展多部门参与的、有媒体深入宣传的健康主题活动，因地制宜建设健康小屋，普及健康知识和技能，努力营造良好的健康氛围。</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查阅资料：随机抽取2次健康主题活动的材料，了解活动开展情况。</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针对被抽查的健康主题活动；</w:t>
            </w:r>
            <w:r>
              <w:rPr>
                <w:rFonts w:hint="eastAsia" w:ascii="宋体" w:hAnsi="宋体" w:cs="宋体"/>
                <w:color w:val="000000"/>
                <w:kern w:val="0"/>
                <w:sz w:val="24"/>
              </w:rPr>
              <w:br w:type="textWrapping"/>
            </w:r>
            <w:r>
              <w:rPr>
                <w:rFonts w:hint="eastAsia" w:ascii="宋体" w:hAnsi="宋体" w:cs="宋体"/>
                <w:color w:val="000000"/>
                <w:kern w:val="0"/>
                <w:sz w:val="24"/>
              </w:rPr>
              <w:t>1.多部门联合举办，得3分；仅1个部门主办，得1分。</w:t>
            </w:r>
            <w:r>
              <w:rPr>
                <w:rFonts w:hint="eastAsia" w:ascii="宋体" w:hAnsi="宋体" w:cs="宋体"/>
                <w:color w:val="000000"/>
                <w:kern w:val="0"/>
                <w:sz w:val="24"/>
              </w:rPr>
              <w:br w:type="textWrapping"/>
            </w:r>
            <w:r>
              <w:rPr>
                <w:rFonts w:hint="eastAsia" w:ascii="宋体" w:hAnsi="宋体" w:cs="宋体"/>
                <w:color w:val="000000"/>
                <w:kern w:val="0"/>
                <w:sz w:val="24"/>
              </w:rPr>
              <w:t>2.有媒体参与，得3分；无媒体参与，不得分。</w:t>
            </w:r>
            <w:r>
              <w:rPr>
                <w:rFonts w:hint="eastAsia" w:ascii="宋体" w:hAnsi="宋体" w:cs="宋体"/>
                <w:color w:val="000000"/>
                <w:kern w:val="0"/>
                <w:sz w:val="24"/>
              </w:rPr>
              <w:br w:type="textWrapping"/>
            </w:r>
            <w:r>
              <w:rPr>
                <w:rFonts w:hint="eastAsia" w:ascii="宋体" w:hAnsi="宋体" w:cs="宋体"/>
                <w:color w:val="000000"/>
                <w:kern w:val="0"/>
                <w:sz w:val="24"/>
              </w:rPr>
              <w:t>2次活动满分为12分；未开展健康主题活动，不得分。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7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第二十四条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65.提升居民健康素养水平</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使用国家统一的监测方案和问卷开展辖区居民健康素养监测，且相关统计调查工作经本级统计部门审核同意；健康素养水平不断提升。</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查阅资料：健康素养监测相关资料。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资料来源：健康教育专业机构。</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1.有监测方案，得2分；无方案，不得分。</w:t>
            </w:r>
            <w:r>
              <w:rPr>
                <w:rFonts w:hint="eastAsia" w:ascii="宋体" w:hAnsi="宋体" w:cs="宋体"/>
                <w:color w:val="000000"/>
                <w:kern w:val="0"/>
                <w:sz w:val="24"/>
              </w:rPr>
              <w:br w:type="textWrapping"/>
            </w:r>
            <w:r>
              <w:rPr>
                <w:rFonts w:hint="eastAsia" w:ascii="宋体" w:hAnsi="宋体" w:cs="宋体"/>
                <w:color w:val="000000"/>
                <w:kern w:val="0"/>
                <w:sz w:val="24"/>
              </w:rPr>
              <w:t>2.有培训相关资料，得2分；未培训，不得分。</w:t>
            </w:r>
            <w:r>
              <w:rPr>
                <w:rFonts w:hint="eastAsia" w:ascii="宋体" w:hAnsi="宋体" w:cs="宋体"/>
                <w:color w:val="000000"/>
                <w:kern w:val="0"/>
                <w:sz w:val="24"/>
              </w:rPr>
              <w:br w:type="textWrapping"/>
            </w:r>
            <w:r>
              <w:rPr>
                <w:rFonts w:hint="eastAsia" w:ascii="宋体" w:hAnsi="宋体" w:cs="宋体"/>
                <w:color w:val="000000"/>
                <w:kern w:val="0"/>
                <w:sz w:val="24"/>
              </w:rPr>
              <w:t>3.有原始数据库，得3分；无数据库，不得分。</w:t>
            </w:r>
            <w:r>
              <w:rPr>
                <w:rFonts w:hint="eastAsia" w:ascii="宋体" w:hAnsi="宋体" w:cs="宋体"/>
                <w:color w:val="000000"/>
                <w:kern w:val="0"/>
                <w:sz w:val="24"/>
              </w:rPr>
              <w:br w:type="textWrapping"/>
            </w:r>
            <w:r>
              <w:rPr>
                <w:rFonts w:hint="eastAsia" w:ascii="宋体" w:hAnsi="宋体" w:cs="宋体"/>
                <w:color w:val="000000"/>
                <w:kern w:val="0"/>
                <w:sz w:val="24"/>
              </w:rPr>
              <w:t>4.有监测报告，得3分；无报告，不得分。</w:t>
            </w:r>
            <w:r>
              <w:rPr>
                <w:rFonts w:hint="eastAsia" w:ascii="宋体" w:hAnsi="宋体" w:cs="宋体"/>
                <w:color w:val="000000"/>
                <w:kern w:val="0"/>
                <w:sz w:val="24"/>
              </w:rPr>
              <w:br w:type="textWrapping"/>
            </w:r>
            <w:r>
              <w:rPr>
                <w:rFonts w:hint="eastAsia" w:ascii="宋体" w:hAnsi="宋体" w:cs="宋体"/>
                <w:color w:val="000000"/>
                <w:kern w:val="0"/>
                <w:sz w:val="24"/>
              </w:rPr>
              <w:t>5.健康素养水平近3年呈上升趋势，得6分；近3年呈下降趋势，不得分。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bookmarkStart w:id="1" w:name="_GoBack"/>
            <w:bookmarkEnd w:id="1"/>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见附录2：103。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56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第二十五条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66.健康教育纳入医疗卫生机构绩效考核</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县区卫生健康行政部门将健康教育工作纳入各级医疗卫生机构绩效考核，纳入医务人员日常业务考核以及评先评优、职称晋升的考核内容。</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查阅资料：绩效考核相关资料。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资料来源：卫生健康行政部门及各级医疗卫生机构等。</w:t>
            </w:r>
            <w:r>
              <w:rPr>
                <w:rFonts w:hint="eastAsia" w:ascii="宋体" w:hAnsi="宋体" w:cs="宋体"/>
                <w:color w:val="000000"/>
                <w:kern w:val="0"/>
                <w:sz w:val="24"/>
              </w:rPr>
              <w:br w:type="textWrapping"/>
            </w:r>
            <w:r>
              <w:rPr>
                <w:rFonts w:hint="eastAsia" w:ascii="宋体" w:hAnsi="宋体" w:cs="宋体"/>
                <w:color w:val="000000"/>
                <w:kern w:val="0"/>
                <w:sz w:val="24"/>
              </w:rPr>
              <w:t>现场抽查:抽取1家县级医院和1家乡镇卫生院，了解将健康教育纳入绩效考核情况。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1.有关于将健康教育纳入医疗卫生机构绩效考核的文件，得4分；无文件，不得分。</w:t>
            </w:r>
            <w:r>
              <w:rPr>
                <w:rFonts w:hint="eastAsia" w:ascii="宋体" w:hAnsi="宋体" w:cs="宋体"/>
                <w:color w:val="000000"/>
                <w:kern w:val="0"/>
                <w:sz w:val="24"/>
              </w:rPr>
              <w:br w:type="textWrapping"/>
            </w:r>
            <w:r>
              <w:rPr>
                <w:rFonts w:hint="eastAsia" w:ascii="宋体" w:hAnsi="宋体" w:cs="宋体"/>
                <w:color w:val="000000"/>
                <w:kern w:val="0"/>
                <w:sz w:val="24"/>
              </w:rPr>
              <w:t>2.被抽查的县级医院或乡镇卫生院有相关落实制度，得2分；</w:t>
            </w:r>
            <w:r>
              <w:rPr>
                <w:rFonts w:hint="eastAsia" w:ascii="宋体" w:hAnsi="宋体" w:cs="宋体"/>
                <w:color w:val="000000"/>
                <w:kern w:val="0"/>
                <w:sz w:val="24"/>
              </w:rPr>
              <w:br w:type="textWrapping"/>
            </w:r>
            <w:r>
              <w:rPr>
                <w:rFonts w:hint="eastAsia" w:ascii="宋体" w:hAnsi="宋体" w:cs="宋体"/>
                <w:color w:val="000000"/>
                <w:kern w:val="0"/>
                <w:sz w:val="24"/>
              </w:rPr>
              <w:t>无落实制度，不得分；2家医疗机构满分为4分。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见附录2：3、81、104-107。</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57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67.患者健康教育服务</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辖区医疗卫生机构建立完善候诊、门诊、住院、随访等业务工作全周期健康教育工作流程，向患者提供健康教育处方，帮助患者养成有利于健康的行为。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查阅资料：医疗卫生机构相关工作资料。</w:t>
            </w:r>
            <w:r>
              <w:rPr>
                <w:rFonts w:hint="eastAsia" w:ascii="宋体" w:hAnsi="宋体" w:cs="宋体"/>
                <w:color w:val="000000"/>
                <w:kern w:val="0"/>
                <w:sz w:val="24"/>
              </w:rPr>
              <w:br w:type="textWrapping"/>
            </w:r>
            <w:r>
              <w:rPr>
                <w:rFonts w:hint="eastAsia" w:ascii="宋体" w:hAnsi="宋体" w:cs="宋体"/>
                <w:color w:val="000000"/>
                <w:kern w:val="0"/>
                <w:sz w:val="24"/>
              </w:rPr>
              <w:t>资料来源：医疗卫生机构。</w:t>
            </w:r>
            <w:r>
              <w:rPr>
                <w:rFonts w:hint="eastAsia" w:ascii="宋体" w:hAnsi="宋体" w:cs="宋体"/>
                <w:color w:val="000000"/>
                <w:kern w:val="0"/>
                <w:sz w:val="24"/>
              </w:rPr>
              <w:br w:type="textWrapping"/>
            </w:r>
            <w:r>
              <w:rPr>
                <w:rFonts w:hint="eastAsia" w:ascii="宋体" w:hAnsi="宋体" w:cs="宋体"/>
                <w:color w:val="000000"/>
                <w:kern w:val="0"/>
                <w:sz w:val="24"/>
              </w:rPr>
              <w:t>现场抽查:抽取1家县级医院和1家乡镇卫生院，了解健康教育服务提供情况。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被抽取的医疗机构中：</w:t>
            </w:r>
            <w:r>
              <w:rPr>
                <w:rFonts w:hint="eastAsia" w:ascii="宋体" w:hAnsi="宋体" w:cs="宋体"/>
                <w:color w:val="000000"/>
                <w:kern w:val="0"/>
                <w:sz w:val="24"/>
              </w:rPr>
              <w:br w:type="textWrapping"/>
            </w:r>
            <w:r>
              <w:rPr>
                <w:rFonts w:hint="eastAsia" w:ascii="宋体" w:hAnsi="宋体" w:cs="宋体"/>
                <w:color w:val="000000"/>
                <w:kern w:val="0"/>
                <w:sz w:val="24"/>
              </w:rPr>
              <w:t>1.有患者健康教育工作流程，得3分；无工作流程，不得分。</w:t>
            </w:r>
            <w:r>
              <w:rPr>
                <w:rFonts w:hint="eastAsia" w:ascii="宋体" w:hAnsi="宋体" w:cs="宋体"/>
                <w:color w:val="000000"/>
                <w:kern w:val="0"/>
                <w:sz w:val="24"/>
              </w:rPr>
              <w:br w:type="textWrapping"/>
            </w:r>
            <w:r>
              <w:rPr>
                <w:rFonts w:hint="eastAsia" w:ascii="宋体" w:hAnsi="宋体" w:cs="宋体"/>
                <w:color w:val="000000"/>
                <w:kern w:val="0"/>
                <w:sz w:val="24"/>
              </w:rPr>
              <w:t>2.在诊疗中使用健康教育处方，得3分；未使用，不得分。</w:t>
            </w:r>
            <w:r>
              <w:rPr>
                <w:rFonts w:hint="eastAsia" w:ascii="宋体" w:hAnsi="宋体" w:cs="宋体"/>
                <w:color w:val="000000"/>
                <w:kern w:val="0"/>
                <w:sz w:val="24"/>
              </w:rPr>
              <w:br w:type="textWrapping"/>
            </w:r>
            <w:r>
              <w:rPr>
                <w:rFonts w:hint="eastAsia" w:ascii="宋体" w:hAnsi="宋体" w:cs="宋体"/>
                <w:color w:val="000000"/>
                <w:kern w:val="0"/>
                <w:sz w:val="24"/>
              </w:rPr>
              <w:t>2家医疗机构满分为12分。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58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第二十五条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68.医疗卫生人员开展健康科普</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建立县域健康科普专家库，定期组织专家深入社区、单位、学校等场所开展健康讲座和健康咨询。鼓励和规范医务人员利用各类媒体开展健康科普。</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查阅资料：健康科普专家库及医务人员参与媒体健康科普相关工作资料等。</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1.建立县级健康科普专家库，得2分；未建立，不得分。</w:t>
            </w:r>
            <w:r>
              <w:rPr>
                <w:rFonts w:hint="eastAsia" w:ascii="宋体" w:hAnsi="宋体" w:cs="宋体"/>
                <w:color w:val="000000"/>
                <w:kern w:val="0"/>
                <w:sz w:val="24"/>
              </w:rPr>
              <w:br w:type="textWrapping"/>
            </w:r>
            <w:r>
              <w:rPr>
                <w:rFonts w:hint="eastAsia" w:ascii="宋体" w:hAnsi="宋体" w:cs="宋体"/>
                <w:color w:val="000000"/>
                <w:kern w:val="0"/>
                <w:sz w:val="24"/>
              </w:rPr>
              <w:t>2.组织专家深入社区、单位、学校等场所开展健康讲座和健康咨询，有工作记录，得3分；无工作记录，不得分。</w:t>
            </w:r>
            <w:r>
              <w:rPr>
                <w:rFonts w:hint="eastAsia" w:ascii="宋体" w:hAnsi="宋体" w:cs="宋体"/>
                <w:color w:val="000000"/>
                <w:kern w:val="0"/>
                <w:sz w:val="24"/>
              </w:rPr>
              <w:br w:type="textWrapping"/>
            </w:r>
            <w:r>
              <w:rPr>
                <w:rFonts w:hint="eastAsia" w:ascii="宋体" w:hAnsi="宋体" w:cs="宋体"/>
                <w:color w:val="000000"/>
                <w:kern w:val="0"/>
                <w:sz w:val="24"/>
              </w:rPr>
              <w:t>3.县级出台医务人员参与媒体健康科普的工作制度或规范，得2分；无制度或规范，不得分。</w:t>
            </w:r>
            <w:r>
              <w:rPr>
                <w:rFonts w:hint="eastAsia" w:ascii="宋体" w:hAnsi="宋体" w:cs="宋体"/>
                <w:color w:val="000000"/>
                <w:kern w:val="0"/>
                <w:sz w:val="24"/>
              </w:rPr>
              <w:br w:type="textWrapping"/>
            </w:r>
            <w:r>
              <w:rPr>
                <w:rFonts w:hint="eastAsia" w:ascii="宋体" w:hAnsi="宋体" w:cs="宋体"/>
                <w:color w:val="000000"/>
                <w:kern w:val="0"/>
                <w:sz w:val="24"/>
              </w:rPr>
              <w:t>4.医务人员利用各类媒体开展健康科普，有工作记录，得3分；未开展或无记录，不得分。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见附录2：3、81、104-107。</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5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第二十六条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69.县级中医医院特色专科建设</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开展县级中医医院特色专科建设，逐步建立健全适宜技术推广工作机制。</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查阅资料：各县级中医医院特色专科建设相关资料。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1.县级中医医院完成2个中医特色优势专科的建设任务，得4分；完成1个建设任务，得2分；未完成建设任务，不得分。</w:t>
            </w:r>
            <w:r>
              <w:rPr>
                <w:rFonts w:hint="eastAsia" w:ascii="宋体" w:hAnsi="宋体" w:cs="宋体"/>
                <w:color w:val="000000"/>
                <w:kern w:val="0"/>
                <w:sz w:val="24"/>
              </w:rPr>
              <w:br w:type="textWrapping"/>
            </w:r>
            <w:r>
              <w:rPr>
                <w:rFonts w:hint="eastAsia" w:ascii="宋体" w:hAnsi="宋体" w:cs="宋体"/>
                <w:color w:val="000000"/>
                <w:kern w:val="0"/>
                <w:sz w:val="24"/>
              </w:rPr>
              <w:t>2.出台中医药适宜技术推广责任制的相关文件，得2分；未出台文件，不得分。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见附录2：90、108-110。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9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70.基层医疗卫生机构中医药服务能力</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辖区乡镇卫生院和社区卫生服务中心设置中医馆、配备中医师。建立相对独立的中医馆（中医综合服务区），达到服务标准和中医师配置标准、逐步完善服务内涵建设、接入健康信息平台并开展远程医疗服务。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查阅资料：中医馆建设和运行相关资料。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1.达标建设中医馆（中医综合服务区）的社区卫生服务中心占比达到100%，得5分；≥80%且＜100%，得3分；＜80%，得1分；未建设，不得分。</w:t>
            </w:r>
            <w:r>
              <w:rPr>
                <w:rFonts w:hint="eastAsia" w:ascii="宋体" w:hAnsi="宋体" w:cs="宋体"/>
                <w:color w:val="000000"/>
                <w:kern w:val="0"/>
                <w:sz w:val="24"/>
              </w:rPr>
              <w:br w:type="textWrapping"/>
            </w:r>
            <w:r>
              <w:rPr>
                <w:rFonts w:hint="eastAsia" w:ascii="宋体" w:hAnsi="宋体" w:cs="宋体"/>
                <w:color w:val="000000"/>
                <w:kern w:val="0"/>
                <w:sz w:val="24"/>
              </w:rPr>
              <w:t>2.达标建设中医馆（中医综合服务区）的乡镇卫生院占比达到100%，得5分；≥80%且＜100%，得3分；＜80%，得1分；未建设，不得分。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83"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第二十六条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71.家庭医生中医药服务</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将中医药服务纳入家庭医生签约服务内容，加强签约团队中医药人员配置，鼓励家庭医生（团队）掌握和使用针刺、推拿、拔罐、艾灸等中医药技术方法，提供中医治未病服务。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现场抽查：抽取1家社区卫生服务中心和1家乡镇卫生院，了解家庭医生中医药服务开展及中医治未病服务提供情况。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被抽取的医疗机构中：</w:t>
            </w:r>
            <w:r>
              <w:rPr>
                <w:rFonts w:hint="eastAsia" w:ascii="宋体" w:hAnsi="宋体" w:cs="宋体"/>
                <w:color w:val="000000"/>
                <w:kern w:val="0"/>
                <w:sz w:val="24"/>
              </w:rPr>
              <w:br w:type="textWrapping"/>
            </w:r>
            <w:r>
              <w:rPr>
                <w:rFonts w:hint="eastAsia" w:ascii="宋体" w:hAnsi="宋体" w:cs="宋体"/>
                <w:color w:val="000000"/>
                <w:kern w:val="0"/>
                <w:sz w:val="24"/>
              </w:rPr>
              <w:t>1.机构有包含中医药服务内容的签约服务包，得2分；没有，不得分。</w:t>
            </w:r>
            <w:r>
              <w:rPr>
                <w:rFonts w:hint="eastAsia" w:ascii="宋体" w:hAnsi="宋体" w:cs="宋体"/>
                <w:color w:val="000000"/>
                <w:kern w:val="0"/>
                <w:sz w:val="24"/>
              </w:rPr>
              <w:br w:type="textWrapping"/>
            </w:r>
            <w:r>
              <w:rPr>
                <w:rFonts w:hint="eastAsia" w:ascii="宋体" w:hAnsi="宋体" w:cs="宋体"/>
                <w:color w:val="000000"/>
                <w:kern w:val="0"/>
                <w:sz w:val="24"/>
              </w:rPr>
              <w:t>2.社区卫生服务中心或乡镇卫生院有家庭医生团队或个人通过针刺、推拿、拔罐、艾灸等中医药技术方法为签约居民提供中医药治未病服务，得2分；不能提供，不得分。</w:t>
            </w:r>
            <w:r>
              <w:rPr>
                <w:rFonts w:hint="eastAsia" w:ascii="宋体" w:hAnsi="宋体" w:cs="宋体"/>
                <w:color w:val="000000"/>
                <w:kern w:val="0"/>
                <w:sz w:val="24"/>
              </w:rPr>
              <w:br w:type="textWrapping"/>
            </w:r>
            <w:r>
              <w:rPr>
                <w:rFonts w:hint="eastAsia" w:ascii="宋体" w:hAnsi="宋体" w:cs="宋体"/>
                <w:color w:val="000000"/>
                <w:kern w:val="0"/>
                <w:sz w:val="24"/>
              </w:rPr>
              <w:t>2家抽查单位满分为8分。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见附录2：90、108-110。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383"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72.传承中医药文化</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依托县级医院设置中医健康宣教基地；在社区卫生服务中心、乡镇卫生院、基层中医馆、社区居委会、乡村群众活动场所等建设一批中医药健康文化知识角；建设中医药科普专家队伍，组织开展中医药文化科普巡讲活动；将中医药科普知识和《中国公民中医养生保健素养》作为健康教育重要内容。</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查阅资料：中医健康宣教基地、中医药健康文化知识角、中医药健康科普等相关工作资料。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1.辖区建有中医健康宣教基地，得2分；未建设，不得分。</w:t>
            </w:r>
            <w:r>
              <w:rPr>
                <w:rFonts w:hint="eastAsia" w:ascii="宋体" w:hAnsi="宋体" w:cs="宋体"/>
                <w:color w:val="000000"/>
                <w:kern w:val="0"/>
                <w:sz w:val="24"/>
              </w:rPr>
              <w:br w:type="textWrapping"/>
            </w:r>
            <w:r>
              <w:rPr>
                <w:rFonts w:hint="eastAsia" w:ascii="宋体" w:hAnsi="宋体" w:cs="宋体"/>
                <w:color w:val="000000"/>
                <w:kern w:val="0"/>
                <w:sz w:val="24"/>
              </w:rPr>
              <w:t>2.辖区建有中医药健康文化知识角，得2分；未建设，不得分。</w:t>
            </w:r>
            <w:r>
              <w:rPr>
                <w:rFonts w:hint="eastAsia" w:ascii="宋体" w:hAnsi="宋体" w:cs="宋体"/>
                <w:color w:val="000000"/>
                <w:kern w:val="0"/>
                <w:sz w:val="24"/>
              </w:rPr>
              <w:br w:type="textWrapping"/>
            </w:r>
            <w:r>
              <w:rPr>
                <w:rFonts w:hint="eastAsia" w:ascii="宋体" w:hAnsi="宋体" w:cs="宋体"/>
                <w:color w:val="000000"/>
                <w:kern w:val="0"/>
                <w:sz w:val="24"/>
              </w:rPr>
              <w:t>3.建立中医药科普专家队伍，得2分；未建立，不得分。</w:t>
            </w:r>
            <w:r>
              <w:rPr>
                <w:rFonts w:hint="eastAsia" w:ascii="宋体" w:hAnsi="宋体" w:cs="宋体"/>
                <w:color w:val="000000"/>
                <w:kern w:val="0"/>
                <w:sz w:val="24"/>
              </w:rPr>
              <w:br w:type="textWrapping"/>
            </w:r>
            <w:r>
              <w:rPr>
                <w:rFonts w:hint="eastAsia" w:ascii="宋体" w:hAnsi="宋体" w:cs="宋体"/>
                <w:color w:val="000000"/>
                <w:kern w:val="0"/>
                <w:sz w:val="24"/>
              </w:rPr>
              <w:t>4.基层医疗卫生机构日常健康教育中包含中医药内容，得2分；未包含，不得分。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b/>
                <w:bCs/>
                <w:color w:val="000000"/>
                <w:kern w:val="0"/>
                <w:sz w:val="24"/>
              </w:rPr>
              <w:t>五、健康文化</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0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第二十七条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73.营造健康社会氛围</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面向公众广泛开展文明健康绿色环保生活方式宣传，营造全民关注健康的社会氛围。</w:t>
            </w:r>
            <w:r>
              <w:rPr>
                <w:rFonts w:hint="eastAsia" w:ascii="宋体" w:hAnsi="宋体" w:cs="宋体"/>
                <w:color w:val="000000"/>
                <w:kern w:val="0"/>
                <w:sz w:val="24"/>
              </w:rPr>
              <w:br w:type="textWrapping"/>
            </w:r>
            <w:r>
              <w:rPr>
                <w:rFonts w:hint="eastAsia" w:ascii="宋体" w:hAnsi="宋体" w:cs="宋体"/>
                <w:color w:val="000000"/>
                <w:kern w:val="0"/>
                <w:sz w:val="24"/>
              </w:rPr>
              <w:t>领导干部带头践行文明健康绿色环保生活方式。</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查阅资料：倡导文明健康绿色环保生活方式相关资料。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1.有践行文明健康绿色环保生活方式相关文件，得4分；无文件，不得分。</w:t>
            </w:r>
            <w:r>
              <w:rPr>
                <w:rFonts w:hint="eastAsia" w:ascii="宋体" w:hAnsi="宋体" w:cs="宋体"/>
                <w:color w:val="000000"/>
                <w:kern w:val="0"/>
                <w:sz w:val="24"/>
              </w:rPr>
              <w:br w:type="textWrapping"/>
            </w:r>
            <w:r>
              <w:rPr>
                <w:rFonts w:hint="eastAsia" w:ascii="宋体" w:hAnsi="宋体" w:cs="宋体"/>
                <w:color w:val="000000"/>
                <w:kern w:val="0"/>
                <w:sz w:val="24"/>
              </w:rPr>
              <w:t>2.利用大众媒体、公交媒体、公共场所或社区宣传栏、广告牌、横幅、新媒体等形式开展相关宣传活动且有记录，每种形式得2分，最高得12分；未开展宣传活动，不得分。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47"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第二十八条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74.健康科普信息发布制度</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建立健康科普信息发布制度，加强对各类媒体健康科普信息的监管。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查阅资料：健康科普信息发布制度建设相关资料。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1.建立健康知识和技能核心信息发布制度，得6分；未建立，不得分。</w:t>
            </w:r>
            <w:r>
              <w:rPr>
                <w:rFonts w:hint="eastAsia" w:ascii="宋体" w:hAnsi="宋体" w:cs="宋体"/>
                <w:color w:val="000000"/>
                <w:kern w:val="0"/>
                <w:sz w:val="24"/>
              </w:rPr>
              <w:br w:type="textWrapping"/>
            </w:r>
            <w:r>
              <w:rPr>
                <w:rFonts w:hint="eastAsia" w:ascii="宋体" w:hAnsi="宋体" w:cs="宋体"/>
                <w:color w:val="000000"/>
                <w:kern w:val="0"/>
                <w:sz w:val="24"/>
              </w:rPr>
              <w:t>2.明确相关部门职责，得4分；未明确，不得分。</w:t>
            </w:r>
            <w:r>
              <w:rPr>
                <w:rFonts w:hint="eastAsia" w:ascii="宋体" w:hAnsi="宋体" w:cs="宋体"/>
                <w:color w:val="000000"/>
                <w:kern w:val="0"/>
                <w:sz w:val="24"/>
              </w:rPr>
              <w:br w:type="textWrapping"/>
            </w:r>
            <w:r>
              <w:rPr>
                <w:rFonts w:hint="eastAsia" w:ascii="宋体" w:hAnsi="宋体" w:cs="宋体"/>
                <w:color w:val="000000"/>
                <w:kern w:val="0"/>
                <w:sz w:val="24"/>
              </w:rPr>
              <w:t>3.当地电视台对健康栏目或节目有明确的审核、监管流程，得6分；无相应流程，不得分。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见附录2：3、80、106。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6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75.媒体参与健康科普</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当地电视台、广播电台、报纸等当地主流媒体开设健康栏目，推广普及健康知识；县域主要新媒体开设健康栏目，传播健康知识与理念。</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查阅资料：当地主流媒体和主要新媒体健康栏目工作档案和记录。</w:t>
            </w:r>
            <w:r>
              <w:rPr>
                <w:rFonts w:hint="eastAsia" w:ascii="宋体" w:hAnsi="宋体" w:cs="宋体"/>
                <w:color w:val="000000"/>
                <w:kern w:val="0"/>
                <w:sz w:val="24"/>
              </w:rPr>
              <w:br w:type="textWrapping"/>
            </w:r>
            <w:r>
              <w:rPr>
                <w:rFonts w:hint="eastAsia" w:ascii="宋体" w:hAnsi="宋体" w:cs="宋体"/>
                <w:color w:val="000000"/>
                <w:kern w:val="0"/>
                <w:sz w:val="24"/>
              </w:rPr>
              <w:t>资料来源：当地电视台、广播电台、报纸、县域主要新媒体。</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1.电视台开设健康栏目，得5分；未开设，不得分。</w:t>
            </w:r>
            <w:r>
              <w:rPr>
                <w:rFonts w:hint="eastAsia" w:ascii="宋体" w:hAnsi="宋体" w:cs="宋体"/>
                <w:color w:val="000000"/>
                <w:kern w:val="0"/>
                <w:sz w:val="24"/>
              </w:rPr>
              <w:br w:type="textWrapping"/>
            </w:r>
            <w:r>
              <w:rPr>
                <w:rFonts w:hint="eastAsia" w:ascii="宋体" w:hAnsi="宋体" w:cs="宋体"/>
                <w:color w:val="000000"/>
                <w:kern w:val="0"/>
                <w:sz w:val="24"/>
              </w:rPr>
              <w:t>2.广播电台开设健康栏目，得5分；未开设，不得分。</w:t>
            </w:r>
            <w:r>
              <w:rPr>
                <w:rFonts w:hint="eastAsia" w:ascii="宋体" w:hAnsi="宋体" w:cs="宋体"/>
                <w:color w:val="000000"/>
                <w:kern w:val="0"/>
                <w:sz w:val="24"/>
              </w:rPr>
              <w:br w:type="textWrapping"/>
            </w:r>
            <w:r>
              <w:rPr>
                <w:rFonts w:hint="eastAsia" w:ascii="宋体" w:hAnsi="宋体" w:cs="宋体"/>
                <w:color w:val="000000"/>
                <w:kern w:val="0"/>
                <w:sz w:val="24"/>
              </w:rPr>
              <w:t>3.县域主要新媒体开设健康栏目，得5分；未开设，不得分。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该指标满分为15分。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15分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60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第二十九条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76.健康教育课程</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辖区各类学校开设体育与健康课程，保障健康教育课时。与各学科教学有机融合，做到教学计划、教学材料、课时、师资“四到位”。</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现场抽查：随机抽取1个小学和1个中学，查看健康教育课落实情况。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被抽查的学校中：</w:t>
            </w:r>
            <w:r>
              <w:rPr>
                <w:rFonts w:hint="eastAsia" w:ascii="宋体" w:hAnsi="宋体" w:cs="宋体"/>
                <w:color w:val="000000"/>
                <w:kern w:val="0"/>
                <w:sz w:val="24"/>
              </w:rPr>
              <w:br w:type="textWrapping"/>
            </w:r>
            <w:r>
              <w:rPr>
                <w:rFonts w:hint="eastAsia" w:ascii="宋体" w:hAnsi="宋体" w:cs="宋体"/>
                <w:color w:val="000000"/>
                <w:kern w:val="0"/>
                <w:sz w:val="24"/>
              </w:rPr>
              <w:t>1.健康教育纳入课程计划，得1分；未纳入，不得分。</w:t>
            </w:r>
            <w:r>
              <w:rPr>
                <w:rFonts w:hint="eastAsia" w:ascii="宋体" w:hAnsi="宋体" w:cs="宋体"/>
                <w:color w:val="000000"/>
                <w:kern w:val="0"/>
                <w:sz w:val="24"/>
              </w:rPr>
              <w:br w:type="textWrapping"/>
            </w:r>
            <w:r>
              <w:rPr>
                <w:rFonts w:hint="eastAsia" w:ascii="宋体" w:hAnsi="宋体" w:cs="宋体"/>
                <w:color w:val="000000"/>
                <w:kern w:val="0"/>
                <w:sz w:val="24"/>
              </w:rPr>
              <w:t>2.有专兼职健康教育师资，得1分；无师资，不得分。</w:t>
            </w:r>
            <w:r>
              <w:rPr>
                <w:rFonts w:hint="eastAsia" w:ascii="宋体" w:hAnsi="宋体" w:cs="宋体"/>
                <w:color w:val="000000"/>
                <w:kern w:val="0"/>
                <w:sz w:val="24"/>
              </w:rPr>
              <w:br w:type="textWrapping"/>
            </w:r>
            <w:r>
              <w:rPr>
                <w:rFonts w:hint="eastAsia" w:ascii="宋体" w:hAnsi="宋体" w:cs="宋体"/>
                <w:color w:val="000000"/>
                <w:kern w:val="0"/>
                <w:sz w:val="24"/>
              </w:rPr>
              <w:t>3.有健康教育教学材料，得1分；无教学材料，不得分。</w:t>
            </w:r>
            <w:r>
              <w:rPr>
                <w:rFonts w:hint="eastAsia" w:ascii="宋体" w:hAnsi="宋体" w:cs="宋体"/>
                <w:color w:val="000000"/>
                <w:kern w:val="0"/>
                <w:sz w:val="24"/>
              </w:rPr>
              <w:br w:type="textWrapping"/>
            </w:r>
            <w:r>
              <w:rPr>
                <w:rFonts w:hint="eastAsia" w:ascii="宋体" w:hAnsi="宋体" w:cs="宋体"/>
                <w:color w:val="000000"/>
                <w:kern w:val="0"/>
                <w:sz w:val="24"/>
              </w:rPr>
              <w:t>4.体现有健康教育的学科渗透（在生物、道德法制、劳动等课程中），得1分；未体现，不得分。</w:t>
            </w:r>
            <w:r>
              <w:rPr>
                <w:rFonts w:hint="eastAsia" w:ascii="宋体" w:hAnsi="宋体" w:cs="宋体"/>
                <w:color w:val="000000"/>
                <w:kern w:val="0"/>
                <w:sz w:val="24"/>
              </w:rPr>
              <w:br w:type="textWrapping"/>
            </w:r>
            <w:r>
              <w:rPr>
                <w:rFonts w:hint="eastAsia" w:ascii="宋体" w:hAnsi="宋体" w:cs="宋体"/>
                <w:color w:val="000000"/>
                <w:kern w:val="0"/>
                <w:sz w:val="24"/>
              </w:rPr>
              <w:t>5.落实每学期4课时健康教育，得1分；未落实，不得分。</w:t>
            </w:r>
            <w:r>
              <w:rPr>
                <w:rFonts w:hint="eastAsia" w:ascii="宋体" w:hAnsi="宋体" w:cs="宋体"/>
                <w:color w:val="000000"/>
                <w:kern w:val="0"/>
                <w:sz w:val="24"/>
              </w:rPr>
              <w:br w:type="textWrapping"/>
            </w:r>
            <w:r>
              <w:rPr>
                <w:rFonts w:hint="eastAsia" w:ascii="宋体" w:hAnsi="宋体" w:cs="宋体"/>
                <w:color w:val="000000"/>
                <w:kern w:val="0"/>
                <w:sz w:val="24"/>
              </w:rPr>
              <w:t>6.开展学生健康教育课考试或测评，得2分；未开展，不得分。</w:t>
            </w:r>
            <w:r>
              <w:rPr>
                <w:rFonts w:hint="eastAsia" w:ascii="宋体" w:hAnsi="宋体" w:cs="宋体"/>
                <w:color w:val="000000"/>
                <w:kern w:val="0"/>
                <w:sz w:val="24"/>
              </w:rPr>
              <w:br w:type="textWrapping"/>
            </w:r>
            <w:r>
              <w:rPr>
                <w:rFonts w:hint="eastAsia" w:ascii="宋体" w:hAnsi="宋体" w:cs="宋体"/>
                <w:color w:val="000000"/>
                <w:kern w:val="0"/>
                <w:sz w:val="24"/>
              </w:rPr>
              <w:t>2个抽查学校满分为14分。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见附录2：70、111-113。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133"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第二十九条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77.学校健康教育活动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依托健康主题健康教育，结合重要活动和时间节点，通过课堂、讲座、知识竞赛、主题班队会等，以及电子屏、宣传栏、健康标识等多种形式、多种渠道向学生教授健康知识和技能，提高学生健康素养，引导学生养成健康生活方式。</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现场抽查：随机抽取1个小学和1个中学，查看健康教育活动开展情况。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被抽查的学校中：</w:t>
            </w:r>
            <w:r>
              <w:rPr>
                <w:rFonts w:hint="eastAsia" w:ascii="宋体" w:hAnsi="宋体" w:cs="宋体"/>
                <w:color w:val="000000"/>
                <w:kern w:val="0"/>
                <w:sz w:val="24"/>
              </w:rPr>
              <w:br w:type="textWrapping"/>
            </w:r>
            <w:r>
              <w:rPr>
                <w:rFonts w:hint="eastAsia" w:ascii="宋体" w:hAnsi="宋体" w:cs="宋体"/>
                <w:color w:val="000000"/>
                <w:kern w:val="0"/>
                <w:sz w:val="24"/>
              </w:rPr>
              <w:t>1.每学期健康教育活动≥4次，得2分；＜4次，得1分；未开展，不得分。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2.学生社团、志愿者开展卫生健康知识宣传教育，得1分；未开展，不得分。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3.利用网络或新媒体开展健康教育，得1分；未开展，不得分。</w:t>
            </w:r>
            <w:r>
              <w:rPr>
                <w:rFonts w:hint="eastAsia" w:ascii="宋体" w:hAnsi="宋体" w:cs="宋体"/>
                <w:color w:val="000000"/>
                <w:kern w:val="0"/>
                <w:sz w:val="24"/>
              </w:rPr>
              <w:br w:type="textWrapping"/>
            </w:r>
            <w:r>
              <w:rPr>
                <w:rFonts w:hint="eastAsia" w:ascii="宋体" w:hAnsi="宋体" w:cs="宋体"/>
                <w:color w:val="000000"/>
                <w:kern w:val="0"/>
                <w:sz w:val="24"/>
              </w:rPr>
              <w:t>2个抽查学校满分为8分。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见附录2：70、111-113。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99"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78.学生健康水平</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学生体质健康水平提高，近视、肥胖等不良健康状况有明显改善。</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现场抽查：随机抽取1个小学和1个中学，查看学生体质情况。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被抽查的学校中；</w:t>
            </w:r>
            <w:r>
              <w:rPr>
                <w:rFonts w:hint="eastAsia" w:ascii="宋体" w:hAnsi="宋体" w:cs="宋体"/>
                <w:color w:val="000000"/>
                <w:kern w:val="0"/>
                <w:sz w:val="24"/>
              </w:rPr>
              <w:br w:type="textWrapping"/>
            </w:r>
            <w:r>
              <w:rPr>
                <w:rFonts w:hint="eastAsia" w:ascii="宋体" w:hAnsi="宋体" w:cs="宋体"/>
                <w:color w:val="000000"/>
                <w:kern w:val="0"/>
                <w:sz w:val="24"/>
              </w:rPr>
              <w:t>1.近3年内，近视发生率逐年下降，得3分；未下降，不得分。</w:t>
            </w:r>
            <w:r>
              <w:rPr>
                <w:rFonts w:hint="eastAsia" w:ascii="宋体" w:hAnsi="宋体" w:cs="宋体"/>
                <w:color w:val="000000"/>
                <w:kern w:val="0"/>
                <w:sz w:val="24"/>
              </w:rPr>
              <w:br w:type="textWrapping"/>
            </w:r>
            <w:r>
              <w:rPr>
                <w:rFonts w:hint="eastAsia" w:ascii="宋体" w:hAnsi="宋体" w:cs="宋体"/>
                <w:color w:val="000000"/>
                <w:kern w:val="0"/>
                <w:sz w:val="24"/>
              </w:rPr>
              <w:t>2.近3年内，肥胖发生率逐年下降，得3分；未下降，不得分。</w:t>
            </w:r>
            <w:r>
              <w:rPr>
                <w:rFonts w:hint="eastAsia" w:ascii="宋体" w:hAnsi="宋体" w:cs="宋体"/>
                <w:color w:val="000000"/>
                <w:kern w:val="0"/>
                <w:sz w:val="24"/>
              </w:rPr>
              <w:br w:type="textWrapping"/>
            </w:r>
            <w:r>
              <w:rPr>
                <w:rFonts w:hint="eastAsia" w:ascii="宋体" w:hAnsi="宋体" w:cs="宋体"/>
                <w:color w:val="000000"/>
                <w:kern w:val="0"/>
                <w:sz w:val="24"/>
              </w:rPr>
              <w:t>3.近3年内，学生体质健康达标优良率逐年上升，得3分；未逐年上升，不得分。</w:t>
            </w:r>
            <w:r>
              <w:rPr>
                <w:rFonts w:hint="eastAsia" w:ascii="宋体" w:hAnsi="宋体" w:cs="宋体"/>
                <w:color w:val="000000"/>
                <w:kern w:val="0"/>
                <w:sz w:val="24"/>
              </w:rPr>
              <w:br w:type="textWrapping"/>
            </w:r>
            <w:r>
              <w:rPr>
                <w:rFonts w:hint="eastAsia" w:ascii="宋体" w:hAnsi="宋体" w:cs="宋体"/>
                <w:color w:val="000000"/>
                <w:kern w:val="0"/>
                <w:sz w:val="24"/>
              </w:rPr>
              <w:t>2个抽查学校满分为18分。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18分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01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79.健身场地设施供给</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加大全民健身场地设施供给，推进公共体育设施免费或低收费开放，实现县乡村三级公共健身设施和社区15分钟健身圈全覆盖。</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查阅资料：国家体育场地统计调查系统；公共体育场地设施免费或低收费开放文件等。</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r>
              <w:rPr>
                <w:rFonts w:hint="eastAsia" w:ascii="宋体" w:hAnsi="宋体" w:cs="宋体"/>
                <w:color w:val="000000"/>
                <w:kern w:val="0"/>
                <w:sz w:val="24"/>
              </w:rPr>
              <w:br w:type="textWrapping"/>
            </w:r>
            <w:r>
              <w:rPr>
                <w:rFonts w:hint="eastAsia" w:ascii="宋体" w:hAnsi="宋体" w:cs="宋体"/>
                <w:color w:val="000000"/>
                <w:kern w:val="0"/>
                <w:sz w:val="24"/>
              </w:rPr>
              <w:t>现场抽查：随机抽查1处公共体育设施，询问其收费情况。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1.人均体育场地面积≥2.3平方米，得6分；每低0.1平方米扣0.4分，扣完6分为止。</w:t>
            </w:r>
            <w:r>
              <w:rPr>
                <w:rFonts w:hint="eastAsia" w:ascii="宋体" w:hAnsi="宋体" w:cs="宋体"/>
                <w:color w:val="000000"/>
                <w:kern w:val="0"/>
                <w:sz w:val="24"/>
              </w:rPr>
              <w:br w:type="textWrapping"/>
            </w:r>
            <w:r>
              <w:rPr>
                <w:rFonts w:hint="eastAsia" w:ascii="宋体" w:hAnsi="宋体" w:cs="宋体"/>
                <w:color w:val="000000"/>
                <w:kern w:val="0"/>
                <w:sz w:val="24"/>
              </w:rPr>
              <w:t>2.被抽查的公共体育设施，有免费或低收费开放的措施，得2分；无相关措施，不得分。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见附录2：4。</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2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80.群众体育赛事活动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由县级及以上的体育主管部门或体育社会组织主办（承办）的群众性体育赛事和活动。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查阅资料：体育赛事和活动相关年内资料。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举办县级及以上的体育赛事或活动，每举办1次得2分，满分为10分。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见附录2：4。</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621"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第三十一条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81.无烟环境建设</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出台无烟环境建设相关文件，推动辖区室内公共场所、工作场所和公共交通工具全面禁烟。各级党政机关建设成无烟机关，推进无烟学校、无烟医院等无烟场所建设。</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查阅资料：无烟环境建设相关资料。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r>
              <w:rPr>
                <w:rFonts w:hint="eastAsia" w:ascii="宋体" w:hAnsi="宋体" w:cs="宋体"/>
                <w:color w:val="000000"/>
                <w:kern w:val="0"/>
                <w:sz w:val="24"/>
              </w:rPr>
              <w:br w:type="textWrapping"/>
            </w:r>
            <w:r>
              <w:rPr>
                <w:rFonts w:hint="eastAsia" w:ascii="宋体" w:hAnsi="宋体" w:cs="宋体"/>
                <w:color w:val="000000"/>
                <w:kern w:val="0"/>
                <w:sz w:val="24"/>
              </w:rPr>
              <w:t>现场抽查：随机抽取2家党政机关、1个小学和1个中学、1家县级医院和1家乡镇卫生院，了解无烟单位建设情况。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1.出台全面无烟环境建设相关文件，得4分；未出台文件，不得分。</w:t>
            </w:r>
            <w:r>
              <w:rPr>
                <w:rFonts w:hint="eastAsia" w:ascii="宋体" w:hAnsi="宋体" w:cs="宋体"/>
                <w:color w:val="000000"/>
                <w:kern w:val="0"/>
                <w:sz w:val="24"/>
              </w:rPr>
              <w:br w:type="textWrapping"/>
            </w:r>
            <w:r>
              <w:rPr>
                <w:rFonts w:hint="eastAsia" w:ascii="宋体" w:hAnsi="宋体" w:cs="宋体"/>
                <w:color w:val="000000"/>
                <w:kern w:val="0"/>
                <w:sz w:val="24"/>
              </w:rPr>
              <w:t>2.辖区内无任何形式的烟草广告，得2分；有烟草广告，不得分。</w:t>
            </w:r>
            <w:r>
              <w:rPr>
                <w:rFonts w:hint="eastAsia" w:ascii="宋体" w:hAnsi="宋体" w:cs="宋体"/>
                <w:color w:val="000000"/>
                <w:kern w:val="0"/>
                <w:sz w:val="24"/>
              </w:rPr>
              <w:br w:type="textWrapping"/>
            </w:r>
            <w:r>
              <w:rPr>
                <w:rFonts w:hint="eastAsia" w:ascii="宋体" w:hAnsi="宋体" w:cs="宋体"/>
                <w:color w:val="000000"/>
                <w:kern w:val="0"/>
                <w:sz w:val="24"/>
              </w:rPr>
              <w:t>3.在被抽查的场所中：</w:t>
            </w:r>
            <w:r>
              <w:rPr>
                <w:rFonts w:hint="eastAsia" w:ascii="宋体" w:hAnsi="宋体" w:cs="宋体"/>
                <w:color w:val="000000"/>
                <w:kern w:val="0"/>
                <w:sz w:val="24"/>
              </w:rPr>
              <w:br w:type="textWrapping"/>
            </w:r>
            <w:r>
              <w:rPr>
                <w:rFonts w:hint="eastAsia" w:ascii="宋体" w:hAnsi="宋体" w:cs="宋体"/>
                <w:color w:val="000000"/>
                <w:kern w:val="0"/>
                <w:sz w:val="24"/>
              </w:rPr>
              <w:t>（1）具备醒目的禁烟标识，得1分；无相应标识，不得分。</w:t>
            </w:r>
            <w:r>
              <w:rPr>
                <w:rFonts w:hint="eastAsia" w:ascii="宋体" w:hAnsi="宋体" w:cs="宋体"/>
                <w:color w:val="000000"/>
                <w:kern w:val="0"/>
                <w:sz w:val="24"/>
              </w:rPr>
              <w:br w:type="textWrapping"/>
            </w:r>
            <w:r>
              <w:rPr>
                <w:rFonts w:hint="eastAsia" w:ascii="宋体" w:hAnsi="宋体" w:cs="宋体"/>
                <w:color w:val="000000"/>
                <w:kern w:val="0"/>
                <w:sz w:val="24"/>
              </w:rPr>
              <w:t>（2）如果吸烟区设置不规范或缺乏醒目的引导标识，扣0.5分。</w:t>
            </w:r>
            <w:r>
              <w:rPr>
                <w:rFonts w:hint="eastAsia" w:ascii="宋体" w:hAnsi="宋体" w:cs="宋体"/>
                <w:color w:val="000000"/>
                <w:kern w:val="0"/>
                <w:sz w:val="24"/>
              </w:rPr>
              <w:br w:type="textWrapping"/>
            </w:r>
            <w:r>
              <w:rPr>
                <w:rFonts w:hint="eastAsia" w:ascii="宋体" w:hAnsi="宋体" w:cs="宋体"/>
                <w:color w:val="000000"/>
                <w:kern w:val="0"/>
                <w:sz w:val="24"/>
              </w:rPr>
              <w:t>（3）在非吸烟区（无吸烟区的单位，视为场所范围均为非吸烟区）未发现吸烟现象或烟蒂，得1分；如有发现，不得分。</w:t>
            </w:r>
            <w:r>
              <w:rPr>
                <w:rFonts w:hint="eastAsia" w:ascii="宋体" w:hAnsi="宋体" w:cs="宋体"/>
                <w:color w:val="000000"/>
                <w:kern w:val="0"/>
                <w:sz w:val="24"/>
              </w:rPr>
              <w:br w:type="textWrapping"/>
            </w:r>
            <w:r>
              <w:rPr>
                <w:rFonts w:hint="eastAsia" w:ascii="宋体" w:hAnsi="宋体" w:cs="宋体"/>
                <w:color w:val="000000"/>
                <w:kern w:val="0"/>
                <w:sz w:val="24"/>
              </w:rPr>
              <w:t>6个场所满分为12分。</w:t>
            </w:r>
            <w:r>
              <w:rPr>
                <w:rFonts w:hint="eastAsia" w:ascii="宋体" w:hAnsi="宋体" w:cs="宋体"/>
                <w:color w:val="000000"/>
                <w:kern w:val="0"/>
                <w:sz w:val="24"/>
              </w:rPr>
              <w:br w:type="textWrapping"/>
            </w:r>
            <w:r>
              <w:rPr>
                <w:rFonts w:hint="eastAsia" w:ascii="宋体" w:hAnsi="宋体" w:cs="宋体"/>
                <w:color w:val="000000"/>
                <w:kern w:val="0"/>
                <w:sz w:val="24"/>
              </w:rPr>
              <w:t>该指标满分为18分。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18分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见附录2：81、114-118。</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0"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82.不向未成年人售烟</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highlight w:val="yellow"/>
              </w:rPr>
              <w:t>学校周边</w:t>
            </w:r>
            <w:r>
              <w:rPr>
                <w:rFonts w:hint="eastAsia" w:ascii="宋体" w:hAnsi="宋体" w:cs="宋体"/>
                <w:color w:val="FF0000"/>
                <w:kern w:val="0"/>
                <w:sz w:val="24"/>
                <w:highlight w:val="yellow"/>
              </w:rPr>
              <w:t>50</w:t>
            </w:r>
            <w:r>
              <w:rPr>
                <w:rFonts w:hint="eastAsia" w:ascii="宋体" w:hAnsi="宋体" w:cs="宋体"/>
                <w:color w:val="000000"/>
                <w:kern w:val="0"/>
                <w:sz w:val="24"/>
                <w:highlight w:val="yellow"/>
              </w:rPr>
              <w:t>米内无烟草/电子烟零售点</w:t>
            </w:r>
            <w:r>
              <w:rPr>
                <w:rFonts w:hint="eastAsia" w:ascii="宋体" w:hAnsi="宋体" w:cs="宋体"/>
                <w:color w:val="000000"/>
                <w:kern w:val="0"/>
                <w:sz w:val="24"/>
              </w:rPr>
              <w:t>，不向未成年人销售烟草制品/电子烟。</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现场抽查：随机抽取1个小学和1个中学，观察周边50米是否有烟草/电子烟零售点。</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highlight w:val="yellow"/>
              </w:rPr>
              <w:t>学校周边</w:t>
            </w:r>
            <w:r>
              <w:rPr>
                <w:rFonts w:hint="eastAsia" w:ascii="宋体" w:hAnsi="宋体" w:cs="宋体"/>
                <w:color w:val="FF0000"/>
                <w:kern w:val="0"/>
                <w:sz w:val="24"/>
                <w:highlight w:val="yellow"/>
              </w:rPr>
              <w:t>50</w:t>
            </w:r>
            <w:r>
              <w:rPr>
                <w:rFonts w:hint="eastAsia" w:ascii="宋体" w:hAnsi="宋体" w:cs="宋体"/>
                <w:color w:val="000000"/>
                <w:kern w:val="0"/>
                <w:sz w:val="24"/>
                <w:highlight w:val="yellow"/>
              </w:rPr>
              <w:t>米内无烟草/电子烟零售点，</w:t>
            </w:r>
            <w:r>
              <w:rPr>
                <w:rFonts w:hint="eastAsia" w:ascii="宋体" w:hAnsi="宋体" w:cs="宋体"/>
                <w:color w:val="000000"/>
                <w:kern w:val="0"/>
                <w:sz w:val="24"/>
              </w:rPr>
              <w:t>得3分；有零售点，不得分；2个抽查学校满分为6分。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5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83.控烟宣传</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每年开展控烟主题宣传活动，提高公众对烟草危害健康的认知程度。</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查阅资料：控烟主题宣传活动资料。</w:t>
            </w:r>
            <w:r>
              <w:rPr>
                <w:rFonts w:hint="eastAsia" w:ascii="宋体" w:hAnsi="宋体" w:cs="宋体"/>
                <w:color w:val="000000"/>
                <w:kern w:val="0"/>
                <w:sz w:val="24"/>
              </w:rPr>
              <w:br w:type="textWrapping"/>
            </w:r>
            <w:r>
              <w:rPr>
                <w:rFonts w:hint="eastAsia" w:ascii="宋体" w:hAnsi="宋体" w:cs="宋体"/>
                <w:color w:val="000000"/>
                <w:kern w:val="0"/>
                <w:sz w:val="24"/>
              </w:rPr>
              <w:t>资料来源：卫生健康等部门。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1.多部门联合举办，得2分；仅1个部门主办，得1分。</w:t>
            </w:r>
            <w:r>
              <w:rPr>
                <w:rFonts w:hint="eastAsia" w:ascii="宋体" w:hAnsi="宋体" w:cs="宋体"/>
                <w:color w:val="000000"/>
                <w:kern w:val="0"/>
                <w:sz w:val="24"/>
              </w:rPr>
              <w:br w:type="textWrapping"/>
            </w:r>
            <w:r>
              <w:rPr>
                <w:rFonts w:hint="eastAsia" w:ascii="宋体" w:hAnsi="宋体" w:cs="宋体"/>
                <w:color w:val="000000"/>
                <w:kern w:val="0"/>
                <w:sz w:val="24"/>
              </w:rPr>
              <w:t>2.有媒体参与，得2分；无媒体参与，不得分。</w:t>
            </w:r>
            <w:r>
              <w:rPr>
                <w:rFonts w:hint="eastAsia" w:ascii="宋体" w:hAnsi="宋体" w:cs="宋体"/>
                <w:color w:val="000000"/>
                <w:kern w:val="0"/>
                <w:sz w:val="24"/>
              </w:rPr>
              <w:br w:type="textWrapping"/>
            </w:r>
            <w:r>
              <w:rPr>
                <w:rFonts w:hint="eastAsia" w:ascii="宋体" w:hAnsi="宋体" w:cs="宋体"/>
                <w:color w:val="000000"/>
                <w:kern w:val="0"/>
                <w:sz w:val="24"/>
              </w:rPr>
              <w:t>3.有控烟传播材料，得2分；无传播材料，不得分。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9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第三十二条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84.倡导公勺公筷和光盘行动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倡导餐馆向聚餐顾客提供公勺公筷，在全社会推进光盘行动。</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现场抽查：随机抽查＞500平米的1家餐馆，查看公勺公筷和光盘行动倡导宣传情况。</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1.有公勺公筷宣传材料，得3分；无宣传材料，不得分。</w:t>
            </w:r>
            <w:r>
              <w:rPr>
                <w:rFonts w:hint="eastAsia" w:ascii="宋体" w:hAnsi="宋体" w:cs="宋体"/>
                <w:color w:val="000000"/>
                <w:kern w:val="0"/>
                <w:sz w:val="24"/>
              </w:rPr>
              <w:br w:type="textWrapping"/>
            </w:r>
            <w:r>
              <w:rPr>
                <w:rFonts w:hint="eastAsia" w:ascii="宋体" w:hAnsi="宋体" w:cs="宋体"/>
                <w:color w:val="000000"/>
                <w:kern w:val="0"/>
                <w:sz w:val="24"/>
              </w:rPr>
              <w:t>2.餐馆配置有公勺公筷，得3分；未配置，不得分。</w:t>
            </w:r>
            <w:r>
              <w:rPr>
                <w:rFonts w:hint="eastAsia" w:ascii="宋体" w:hAnsi="宋体" w:cs="宋体"/>
                <w:color w:val="000000"/>
                <w:kern w:val="0"/>
                <w:sz w:val="24"/>
              </w:rPr>
              <w:br w:type="textWrapping"/>
            </w:r>
            <w:r>
              <w:rPr>
                <w:rFonts w:hint="eastAsia" w:ascii="宋体" w:hAnsi="宋体" w:cs="宋体"/>
                <w:color w:val="000000"/>
                <w:kern w:val="0"/>
                <w:sz w:val="24"/>
              </w:rPr>
              <w:t>3.有光盘行动宣传材料，得3分；无宣传材料，不得分。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618"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第三十三条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85.群众参与社会公益</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鼓励当地居民积极参与志愿服务等社会公益活动；鼓励群众积极参与无偿献血，年度千人口献血率高于全国平均水平。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查阅资料：有鼓励居民积极参与志愿服务等社会公益活动的专项计划、注册志愿者相关资料、无偿献血相关资料。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资料来源：民政部门、卫生健康部门、文明办等。</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1.有鼓励居民积极参与志愿服务等社会公益活动的专项计划，得4分；无专项计划，不得分。</w:t>
            </w:r>
            <w:r>
              <w:rPr>
                <w:rFonts w:hint="eastAsia" w:ascii="宋体" w:hAnsi="宋体" w:cs="宋体"/>
                <w:color w:val="000000"/>
                <w:kern w:val="0"/>
                <w:sz w:val="24"/>
              </w:rPr>
              <w:br w:type="textWrapping"/>
            </w:r>
            <w:r>
              <w:rPr>
                <w:rFonts w:hint="eastAsia" w:ascii="宋体" w:hAnsi="宋体" w:cs="宋体"/>
                <w:color w:val="000000"/>
                <w:kern w:val="0"/>
                <w:sz w:val="24"/>
              </w:rPr>
              <w:t>2.3年内当地注册志愿者比例逐年提升，得4分；未提升，不得分。</w:t>
            </w:r>
            <w:r>
              <w:rPr>
                <w:rFonts w:hint="eastAsia" w:ascii="宋体" w:hAnsi="宋体" w:cs="宋体"/>
                <w:color w:val="000000"/>
                <w:kern w:val="0"/>
                <w:sz w:val="24"/>
              </w:rPr>
              <w:br w:type="textWrapping"/>
            </w:r>
            <w:r>
              <w:rPr>
                <w:rFonts w:hint="eastAsia" w:ascii="宋体" w:hAnsi="宋体" w:cs="宋体"/>
                <w:color w:val="000000"/>
                <w:kern w:val="0"/>
                <w:sz w:val="24"/>
              </w:rPr>
              <w:t>3.年度千人口献血率≥全国同期平均水平，得8分；＜全国同期平均水平，不得分。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b/>
                <w:bCs/>
                <w:color w:val="000000"/>
                <w:kern w:val="0"/>
                <w:sz w:val="24"/>
              </w:rPr>
              <w:t>六、组织管理</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第三十四条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86.健康县区建设协调机制和部门分工</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建立健康县区建设领导协调机制，统筹推进健康县区建设。明确部门在健康县区建设中的职责和任务，形成工作合力。</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查阅资料：健康县区建设领导协调机制建设相关文件。</w:t>
            </w:r>
            <w:r>
              <w:rPr>
                <w:rFonts w:hint="eastAsia" w:ascii="宋体" w:hAnsi="宋体" w:cs="宋体"/>
                <w:color w:val="000000"/>
                <w:kern w:val="0"/>
                <w:sz w:val="24"/>
              </w:rPr>
              <w:br w:type="textWrapping"/>
            </w:r>
            <w:r>
              <w:rPr>
                <w:rFonts w:hint="eastAsia" w:ascii="宋体" w:hAnsi="宋体" w:cs="宋体"/>
                <w:color w:val="000000"/>
                <w:kern w:val="0"/>
                <w:sz w:val="24"/>
              </w:rPr>
              <w:t>资料来源：文件印发部门。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1.建立健康县区建设领导协调机制，得6分；未建立，不得分。</w:t>
            </w:r>
            <w:r>
              <w:rPr>
                <w:rFonts w:hint="eastAsia" w:ascii="宋体" w:hAnsi="宋体" w:cs="宋体"/>
                <w:color w:val="000000"/>
                <w:kern w:val="0"/>
                <w:sz w:val="24"/>
              </w:rPr>
              <w:br w:type="textWrapping"/>
            </w:r>
            <w:r>
              <w:rPr>
                <w:rFonts w:hint="eastAsia" w:ascii="宋体" w:hAnsi="宋体" w:cs="宋体"/>
                <w:color w:val="000000"/>
                <w:kern w:val="0"/>
                <w:sz w:val="24"/>
              </w:rPr>
              <w:t>2.明确相关部门职责和任务分工，得14分；未明确，不得分。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该指标满分为20分。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15"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第三十五条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87.健康县区建设工作网络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建立覆盖有关组成部门、乡镇（街道）、社区（村）、学校、机关、中等及以上规模企业的健康促进工作网络，并定期对专（兼）职健康促进与健康教育人员开展培训。</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查阅资料：查阅机构数量和工作网络人员名单及相关培训资料。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1.工作网络覆盖率100%，得8分；≥80%且＜100%，得4分；</w:t>
            </w:r>
            <w:r>
              <w:rPr>
                <w:rFonts w:hint="eastAsia" w:ascii="宋体" w:hAnsi="宋体" w:cs="宋体"/>
                <w:color w:val="000000"/>
                <w:kern w:val="0"/>
                <w:sz w:val="24"/>
              </w:rPr>
              <w:br w:type="textWrapping"/>
            </w:r>
            <w:r>
              <w:rPr>
                <w:rFonts w:hint="eastAsia" w:ascii="宋体" w:hAnsi="宋体" w:cs="宋体"/>
                <w:color w:val="000000"/>
                <w:kern w:val="0"/>
                <w:sz w:val="24"/>
              </w:rPr>
              <w:t>≥60%且＜80%，得2分；＜60%，不得分。</w:t>
            </w:r>
            <w:r>
              <w:rPr>
                <w:rFonts w:hint="eastAsia" w:ascii="宋体" w:hAnsi="宋体" w:cs="宋体"/>
                <w:color w:val="000000"/>
                <w:kern w:val="0"/>
                <w:sz w:val="24"/>
              </w:rPr>
              <w:br w:type="textWrapping"/>
            </w:r>
            <w:r>
              <w:rPr>
                <w:rFonts w:hint="eastAsia" w:ascii="宋体" w:hAnsi="宋体" w:cs="宋体"/>
                <w:color w:val="000000"/>
                <w:kern w:val="0"/>
                <w:sz w:val="24"/>
              </w:rPr>
              <w:t>2.工作网络培训覆盖率达到100%，得6分；≥80%且＜100%，得3分；≥60%且＜80%，得2分；＜60%，不得分。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该指标满分为14分。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14分</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066"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第三十五条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88.健康县区建设专业网络</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立以健康教育专业机构为核心、覆盖辖区内所有医院、公共卫生机构、计划生育服务机构、基层医疗卫生机构的健康促进专业网络。每单位有专（兼）职人员承担健康促进与健康教育工作。定期对专（兼）职人员开展培训。</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查阅资料：相关培训资料。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1.专业网络覆盖率100%，得10分；≥80%且＜100%，得5分；</w:t>
            </w:r>
            <w:r>
              <w:rPr>
                <w:rFonts w:hint="eastAsia" w:ascii="宋体" w:hAnsi="宋体" w:cs="宋体"/>
                <w:color w:val="000000"/>
                <w:kern w:val="0"/>
                <w:sz w:val="24"/>
              </w:rPr>
              <w:br w:type="textWrapping"/>
            </w:r>
            <w:r>
              <w:rPr>
                <w:rFonts w:hint="eastAsia" w:ascii="宋体" w:hAnsi="宋体" w:cs="宋体"/>
                <w:color w:val="000000"/>
                <w:kern w:val="0"/>
                <w:sz w:val="24"/>
              </w:rPr>
              <w:t>≥60%且＜80%，得3分；＜60%，不得分。</w:t>
            </w:r>
            <w:r>
              <w:rPr>
                <w:rFonts w:hint="eastAsia" w:ascii="宋体" w:hAnsi="宋体" w:cs="宋体"/>
                <w:color w:val="000000"/>
                <w:kern w:val="0"/>
                <w:sz w:val="24"/>
              </w:rPr>
              <w:br w:type="textWrapping"/>
            </w:r>
            <w:r>
              <w:rPr>
                <w:rFonts w:hint="eastAsia" w:ascii="宋体" w:hAnsi="宋体" w:cs="宋体"/>
                <w:color w:val="000000"/>
                <w:kern w:val="0"/>
                <w:sz w:val="24"/>
              </w:rPr>
              <w:t>2.专业网络培训覆盖率达到100%，得10分；≥80%且＜100%，</w:t>
            </w:r>
            <w:r>
              <w:rPr>
                <w:rFonts w:hint="eastAsia" w:ascii="宋体" w:hAnsi="宋体" w:cs="宋体"/>
                <w:color w:val="000000"/>
                <w:kern w:val="0"/>
                <w:sz w:val="24"/>
              </w:rPr>
              <w:br w:type="textWrapping"/>
            </w:r>
            <w:r>
              <w:rPr>
                <w:rFonts w:hint="eastAsia" w:ascii="宋体" w:hAnsi="宋体" w:cs="宋体"/>
                <w:color w:val="000000"/>
                <w:kern w:val="0"/>
                <w:sz w:val="24"/>
              </w:rPr>
              <w:t>得5分；≥60%且＜80%，得3分；＜60%，不得分。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该指标满分为20分。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见附录2：3。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6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第三十六条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89.健康县区建设自评</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定期开展健康县区建设自评工作，分析建设过程中遇到的困难和问题，适时调整优化建设策略和措施。</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查阅资料：评估文件、评估过程资料、评估报告等相关资料。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1.近2年开展了健康县区建设自评工作，有自评报告，得8分；未开展，不得分。</w:t>
            </w:r>
            <w:r>
              <w:rPr>
                <w:rFonts w:hint="eastAsia" w:ascii="宋体" w:hAnsi="宋体" w:cs="宋体"/>
                <w:color w:val="000000"/>
                <w:kern w:val="0"/>
                <w:sz w:val="24"/>
              </w:rPr>
              <w:br w:type="textWrapping"/>
            </w:r>
            <w:r>
              <w:rPr>
                <w:rFonts w:hint="eastAsia" w:ascii="宋体" w:hAnsi="宋体" w:cs="宋体"/>
                <w:color w:val="000000"/>
                <w:kern w:val="0"/>
                <w:sz w:val="24"/>
              </w:rPr>
              <w:t>2.在自评报告中，提出薄弱环节和改进措施，得8分；无自评报告或未提出，不得分。</w:t>
            </w:r>
            <w:r>
              <w:rPr>
                <w:rFonts w:hint="eastAsia" w:ascii="宋体" w:hAnsi="宋体" w:cs="宋体"/>
                <w:color w:val="000000"/>
                <w:kern w:val="0"/>
                <w:sz w:val="24"/>
              </w:rPr>
              <w:br w:type="textWrapping"/>
            </w:r>
            <w:r>
              <w:rPr>
                <w:rFonts w:hint="eastAsia" w:ascii="宋体" w:hAnsi="宋体" w:cs="宋体"/>
                <w:color w:val="000000"/>
                <w:kern w:val="0"/>
                <w:sz w:val="24"/>
              </w:rPr>
              <w:t>该指标满分为16分。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72"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第三十七条</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90.人工智能和大数据等新技术应用</w:t>
            </w: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在健康县区建设的组织实施、监测评价等管理环节中，或在各建设领域的具体工作中，使用人工智能和大数据等新技术，利用信息化手段提升健康县区建设水平。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查阅资料：人工智能和大数据等新技术应用的相关工作资料。</w:t>
            </w:r>
            <w:r>
              <w:rPr>
                <w:rFonts w:hint="eastAsia" w:ascii="宋体" w:hAnsi="宋体" w:cs="宋体"/>
                <w:color w:val="000000"/>
                <w:kern w:val="0"/>
                <w:sz w:val="24"/>
              </w:rPr>
              <w:br w:type="textWrapping"/>
            </w:r>
            <w:r>
              <w:rPr>
                <w:rFonts w:hint="eastAsia" w:ascii="宋体" w:hAnsi="宋体" w:cs="宋体"/>
                <w:color w:val="000000"/>
                <w:kern w:val="0"/>
                <w:sz w:val="24"/>
              </w:rPr>
              <w:t>资料来源：相关部门。</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在管理环节或具体工作中使用人工智能和大数据等新技术，每项应用得2分，满分为10分。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14" w:hRule="atLeast"/>
        </w:trPr>
        <w:tc>
          <w:tcPr>
            <w:tcW w:w="1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总分</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1000分</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15193" w:type="dxa"/>
            <w:gridSpan w:val="9"/>
            <w:tcBorders>
              <w:top w:val="single" w:color="000000" w:sz="4" w:space="0"/>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ascii="宋体" w:hAnsi="宋体" w:cs="宋体"/>
                <w:color w:val="800080"/>
                <w:kern w:val="0"/>
                <w:sz w:val="22"/>
                <w:szCs w:val="22"/>
                <w:u w:val="single"/>
              </w:rPr>
              <w:fldChar w:fldCharType="begin"/>
            </w:r>
            <w:r>
              <w:rPr>
                <w:rFonts w:ascii="宋体" w:hAnsi="宋体" w:cs="宋体"/>
                <w:color w:val="800080"/>
                <w:kern w:val="0"/>
                <w:sz w:val="22"/>
                <w:szCs w:val="22"/>
                <w:u w:val="single"/>
              </w:rPr>
              <w:instrText xml:space="preserve"> HYPERLINK "" \l "现场!A1#现场!A1" </w:instrText>
            </w:r>
            <w:r>
              <w:rPr>
                <w:rFonts w:ascii="宋体" w:hAnsi="宋体" w:cs="宋体"/>
                <w:color w:val="800080"/>
                <w:kern w:val="0"/>
                <w:sz w:val="22"/>
                <w:szCs w:val="22"/>
                <w:u w:val="single"/>
              </w:rPr>
              <w:fldChar w:fldCharType="separate"/>
            </w:r>
            <w:r>
              <w:rPr>
                <w:rFonts w:hint="eastAsia" w:ascii="宋体" w:hAnsi="宋体" w:cs="宋体"/>
                <w:color w:val="0000FF"/>
                <w:kern w:val="0"/>
                <w:sz w:val="22"/>
                <w:u w:val="single"/>
              </w:rPr>
              <w:t>附录1  现场抽查单位及查看内容</w:t>
            </w:r>
            <w:r>
              <w:rPr>
                <w:rFonts w:ascii="宋体" w:hAnsi="宋体" w:cs="宋体"/>
                <w:color w:val="800080"/>
                <w:kern w:val="0"/>
                <w:sz w:val="22"/>
                <w:szCs w:val="22"/>
                <w:u w:val="single"/>
              </w:rPr>
              <w:fldChar w:fldCharType="end"/>
            </w:r>
          </w:p>
        </w:tc>
      </w:tr>
      <w:tr>
        <w:tblPrEx>
          <w:tblCellMar>
            <w:top w:w="0" w:type="dxa"/>
            <w:left w:w="108" w:type="dxa"/>
            <w:bottom w:w="0" w:type="dxa"/>
            <w:right w:w="108" w:type="dxa"/>
          </w:tblCellMar>
        </w:tblPrEx>
        <w:trPr>
          <w:trHeight w:val="225" w:hRule="atLeast"/>
        </w:trPr>
        <w:tc>
          <w:tcPr>
            <w:tcW w:w="15193" w:type="dxa"/>
            <w:gridSpan w:val="9"/>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ascii="宋体" w:hAnsi="宋体" w:cs="宋体"/>
                <w:color w:val="800080"/>
                <w:kern w:val="0"/>
                <w:sz w:val="22"/>
                <w:szCs w:val="22"/>
                <w:u w:val="single"/>
              </w:rPr>
              <w:fldChar w:fldCharType="begin"/>
            </w:r>
            <w:r>
              <w:rPr>
                <w:rFonts w:ascii="宋体" w:hAnsi="宋体" w:cs="宋体"/>
                <w:color w:val="800080"/>
                <w:kern w:val="0"/>
                <w:sz w:val="22"/>
                <w:szCs w:val="22"/>
                <w:u w:val="single"/>
              </w:rPr>
              <w:instrText xml:space="preserve"> HYPERLINK "" \l "依据!A1#依据!A1" </w:instrText>
            </w:r>
            <w:r>
              <w:rPr>
                <w:rFonts w:ascii="宋体" w:hAnsi="宋体" w:cs="宋体"/>
                <w:color w:val="800080"/>
                <w:kern w:val="0"/>
                <w:sz w:val="22"/>
                <w:szCs w:val="22"/>
                <w:u w:val="single"/>
              </w:rPr>
              <w:fldChar w:fldCharType="separate"/>
            </w:r>
            <w:r>
              <w:rPr>
                <w:rFonts w:hint="eastAsia" w:ascii="宋体" w:hAnsi="宋体" w:cs="宋体"/>
                <w:color w:val="0000FF"/>
                <w:kern w:val="0"/>
                <w:sz w:val="22"/>
                <w:u w:val="single"/>
              </w:rPr>
              <w:t>附录2  评估细则中引用的标准和文件</w:t>
            </w:r>
            <w:r>
              <w:rPr>
                <w:rFonts w:ascii="宋体" w:hAnsi="宋体" w:cs="宋体"/>
                <w:color w:val="800080"/>
                <w:kern w:val="0"/>
                <w:sz w:val="22"/>
                <w:szCs w:val="22"/>
                <w:u w:val="single"/>
              </w:rPr>
              <w:fldChar w:fldCharType="end"/>
            </w:r>
          </w:p>
        </w:tc>
      </w:tr>
    </w:tbl>
    <w:p>
      <w:pPr>
        <w:rPr>
          <w:rFonts w:hint="default" w:ascii="宋体" w:hAnsi="宋体" w:eastAsia="宋体" w:cs="宋体"/>
          <w:lang w:val="en-US" w:eastAsia="zh-CN"/>
        </w:rPr>
      </w:pPr>
    </w:p>
    <w:tbl>
      <w:tblPr>
        <w:tblStyle w:val="7"/>
        <w:tblW w:w="13936" w:type="dxa"/>
        <w:jc w:val="center"/>
        <w:tblLayout w:type="fixed"/>
        <w:tblCellMar>
          <w:top w:w="0" w:type="dxa"/>
          <w:left w:w="108" w:type="dxa"/>
          <w:bottom w:w="0" w:type="dxa"/>
          <w:right w:w="108" w:type="dxa"/>
        </w:tblCellMar>
      </w:tblPr>
      <w:tblGrid>
        <w:gridCol w:w="2777"/>
        <w:gridCol w:w="9356"/>
        <w:gridCol w:w="1803"/>
      </w:tblGrid>
      <w:tr>
        <w:tblPrEx>
          <w:tblCellMar>
            <w:top w:w="0" w:type="dxa"/>
            <w:left w:w="108" w:type="dxa"/>
            <w:bottom w:w="0" w:type="dxa"/>
            <w:right w:w="108" w:type="dxa"/>
          </w:tblCellMar>
        </w:tblPrEx>
        <w:trPr>
          <w:trHeight w:val="480" w:hRule="atLeast"/>
          <w:jc w:val="center"/>
        </w:trPr>
        <w:tc>
          <w:tcPr>
            <w:tcW w:w="13936" w:type="dxa"/>
            <w:gridSpan w:val="3"/>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附录1：现场抽查单位及查看内容</w:t>
            </w:r>
          </w:p>
        </w:tc>
      </w:tr>
      <w:tr>
        <w:tblPrEx>
          <w:tblCellMar>
            <w:top w:w="0" w:type="dxa"/>
            <w:left w:w="108" w:type="dxa"/>
            <w:bottom w:w="0" w:type="dxa"/>
            <w:right w:w="108" w:type="dxa"/>
          </w:tblCellMar>
        </w:tblPrEx>
        <w:trPr>
          <w:trHeight w:val="375" w:hRule="atLeast"/>
          <w:jc w:val="center"/>
        </w:trPr>
        <w:tc>
          <w:tcPr>
            <w:tcW w:w="2777" w:type="dxa"/>
            <w:tcBorders>
              <w:top w:val="nil"/>
              <w:left w:val="nil"/>
              <w:bottom w:val="nil"/>
              <w:right w:val="nil"/>
            </w:tcBorders>
            <w:shd w:val="clear" w:color="auto" w:fill="auto"/>
            <w:noWrap/>
            <w:vAlign w:val="center"/>
          </w:tcPr>
          <w:p>
            <w:pPr>
              <w:widowControl/>
              <w:jc w:val="left"/>
              <w:rPr>
                <w:rFonts w:ascii="黑体" w:hAnsi="黑体" w:eastAsia="黑体" w:cs="宋体"/>
                <w:color w:val="000000"/>
                <w:kern w:val="0"/>
                <w:sz w:val="28"/>
                <w:szCs w:val="28"/>
              </w:rPr>
            </w:pPr>
          </w:p>
        </w:tc>
        <w:tc>
          <w:tcPr>
            <w:tcW w:w="9356" w:type="dxa"/>
            <w:tcBorders>
              <w:top w:val="nil"/>
              <w:left w:val="nil"/>
              <w:bottom w:val="nil"/>
              <w:right w:val="nil"/>
            </w:tcBorders>
            <w:shd w:val="clear" w:color="auto" w:fill="auto"/>
            <w:noWrap w:val="0"/>
            <w:vAlign w:val="center"/>
          </w:tcPr>
          <w:p>
            <w:pPr>
              <w:widowControl/>
              <w:jc w:val="left"/>
              <w:rPr>
                <w:rFonts w:ascii="宋体" w:hAnsi="宋体" w:cs="宋体"/>
                <w:color w:val="000000"/>
                <w:kern w:val="0"/>
                <w:sz w:val="22"/>
                <w:szCs w:val="22"/>
              </w:rPr>
            </w:pPr>
          </w:p>
        </w:tc>
        <w:tc>
          <w:tcPr>
            <w:tcW w:w="1803"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抽查单位</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现场查看内容</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left="0" w:leftChars="0" w:firstLine="0" w:firstLineChars="0"/>
              <w:jc w:val="both"/>
              <w:rPr>
                <w:rFonts w:hint="eastAsia"/>
                <w:sz w:val="24"/>
                <w:szCs w:val="24"/>
              </w:rPr>
            </w:pPr>
            <w:r>
              <w:rPr>
                <w:rFonts w:hint="eastAsia"/>
                <w:sz w:val="24"/>
                <w:szCs w:val="24"/>
              </w:rPr>
              <w:t>所属条目</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1个城区居民小区</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至少建有盲道、无障碍卫生间（厕位）、出入口无障碍设施、低位服务设施、无障碍停车位、无障碍标志这6种无障碍设施的3种及以上。</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第十条，10</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垃圾分类符合城乡垃圾分类相关规范要求。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第十三条，23</w:t>
            </w: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有无瓶瓶罐罐（无盖）、轮胎积水、坑洼等小型积水，雨水道口等排水系统无积水，垃圾桶加盖。</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第十四条，28</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被抽查居民小区所在街道病媒生物密度控制水平。</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第十四条，28</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健康细胞建设情况。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第十六条，39</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查看托育服务设施的建设情况。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第十九条，47</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消防设施齐全、完好（火灾自动报警系统、自动灭火系统、消火栓系统、防烟排烟系统以及应急广播和应急照明、安全疏散设施等），消防车通道通畅。</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第二十条，52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1个行政村</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垃圾分类符合城乡垃圾分类相关规范要求。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第十三条，23</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健康细胞建设情况。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第十六条，39</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1个行政村的5户农村家庭自来水入户情况。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第十二条，21</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卫生厕所查验标准：卫生厕所指有墙、有顶、有门，厕屋清洁、无臭，粪池无渗漏、无粪便暴露、无蝇蛆，厕所粪污就地处理处置，或转移至户厕外进行处理处置，达到无害化卫生要求。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第十四条，27</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查看禽畜饲养情况评判标准：禽畜圈养；及时清理粪便。</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第十四条，29</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1家县级医院和1家乡镇卫生院</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医疗废物管理制度健全、医疗废物处置规范。</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第十三条，25</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健康细胞建设情况。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第十六条，39</w:t>
            </w: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卫生健康行政部门印发关于将健康教育纳入医疗卫生机构绩效考核的文件；被抽查的县级医院或乡镇卫生院有相关落实制度。</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第二十五条，66</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有患者健康教育工作流程；在诊疗中使用健康教育处方。</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第二十五条，67</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具备醒目的禁烟标识；在非吸烟区（无吸烟区的单位，视为场所范围均为非吸烟区）未发现吸烟现象或烟蒂。如果吸烟区设置不规范或缺乏醒目的引导标识，扣0.5分。</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第三十一条，81</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1家社区卫生服务中心和1家乡镇卫生院</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被抽查社区卫生服务中心和乡镇卫生院能够按照基本公共卫生服务规范实施健康教育项目。</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第二十四条，63</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家庭医生中医药服务开展及中医治未病服务提供情况。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第二十六条，71</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查阅家庭医生签约服务开展、质量控制等情况。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第二十二条，55</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1个小学和1个中学</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健康细胞建设情况。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第十六条，39</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健康教育纳入课程计划、有专兼职健康教育师资、有健康教育教学材料、体现有健康教育的学科渗透、落实每学期4课时健康教育、开展学生健康教育课考试或测评。</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第二十九条，76</w:t>
            </w: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每学期健康教育活动≥4次、学生社团、志愿者开展卫生健康知识宣传教育、利用网络或新媒体开展健康教育。</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第二十九条，77</w:t>
            </w: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近3年内，近视发生率逐年下降、肥胖发生率逐年下降、学生体质健康达标优良率逐年上升。</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第二十九条，78</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具备醒目的禁烟标识;在非吸烟区（无吸烟区的单位，视为场所范围均为非吸烟区）未发现吸烟现象或烟蒂。如果吸烟区设置不规范或缺乏醒目的引导标识，扣0.5分。</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第三十一条，81</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观察周边100米是否有烟草/电子烟零售点。</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第三十一条，82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2家党政机关</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健康细胞建设情况。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第十六条，39</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具备醒目的禁烟标识;在非吸烟区（无吸烟区的单位，视为场所范围均为非吸烟区）未发现吸烟现象或烟蒂。如果吸烟区设置不规范或缺乏醒目的引导标识，扣0.5分。</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第三十一条，81</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＞500平米的1家餐馆</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根据抽查单位相关检测报告进行评分：安装油烟净化装置、排烟口设置合理、操作期间正常运行、排放浓度达标。</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第十五条，32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实施明厨亮灶设施、展示位置符合规定要求。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第十五条，33</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食品采购符合要求、食品贮存符合要求、食品加工制作符合要求。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第十五条，34</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查看公勺公筷和光盘行动倡导宣传情况。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第三十二条，84</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1家单位食堂</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根据抽查单位相关检测报告进行评分：安装油烟净化装置、排烟口设置合理、操作期间正常运行、排放浓度达标。</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第十五条，32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实施明厨亮灶设施、展示位置符合规定要求。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第十五条，33</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食品采购符合要求、食品贮存符合要求、食品加工制作符合要求。</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第十五条，34</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2家企业</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抽取2家中等及以上规模企业，查看其健康细胞建设情况。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第十六条，39</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2处独立式公共厕所和2处附属式公共厕所</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抽取2处独立式公共厕所和2处附属式公共厕所（从1家娱乐场所和1个当地规模较大的商场、超市或菜市场中，各抽取1处附属式公共厕所）</w:t>
            </w:r>
            <w:r>
              <w:rPr>
                <w:rFonts w:hint="eastAsia" w:ascii="宋体" w:hAnsi="宋体" w:cs="宋体"/>
                <w:color w:val="000000"/>
                <w:kern w:val="0"/>
                <w:sz w:val="24"/>
              </w:rPr>
              <w:br w:type="textWrapping"/>
            </w:r>
            <w:r>
              <w:rPr>
                <w:rFonts w:hint="eastAsia" w:ascii="宋体" w:hAnsi="宋体" w:cs="宋体"/>
                <w:color w:val="000000"/>
                <w:kern w:val="0"/>
                <w:sz w:val="24"/>
              </w:rPr>
              <w:t>免费开放、厕所标识醒目、洗手设施完好、无蚊蝇、基本无臭味。</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第十四条，26</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1家娱乐场所</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1处附属式公共厕所：免费开放、厕所标识醒目、洗手设施完好、无蚊蝇、基本无臭味。</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第十四条，26</w:t>
            </w:r>
          </w:p>
        </w:tc>
      </w:tr>
      <w:tr>
        <w:tblPrEx>
          <w:tblCellMar>
            <w:top w:w="0" w:type="dxa"/>
            <w:left w:w="108" w:type="dxa"/>
            <w:bottom w:w="0" w:type="dxa"/>
            <w:right w:w="108" w:type="dxa"/>
          </w:tblCellMar>
        </w:tblPrEx>
        <w:trPr>
          <w:trHeight w:val="81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消防设施齐全、完好（火灾自动报警系统、自动灭火系统、消火栓系统、防烟排烟系统以及应急广播和应急照明、安全疏散设施等），消防车通道通畅。</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第二十条，52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1个当地规模较大的商场</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至少建有盲道、无障碍卫生间（厕位）、出入口无障碍设施、低位服务设施、无障碍停车位、无障碍标志这6种无障碍设施的3种及以上。</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第十条，10</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1个当地规模较大的商场、超市或菜市场</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1处附属式公共厕所：免费开放、厕所标识醒目、洗手设施完好、无蚊蝇、基本无臭味。</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第十四条，26</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1个公园</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健康主题公园建设和管理情况。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第十条，11</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1条健康步道</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健康步道建设和管理情况。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第十条，12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1条绿道</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绿道建设和管理情况。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第十条，13</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1家污水处理厂</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被抽查污水处理厂是否达标运行。</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第十三条，22</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1处铁路沿线</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0"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（无铁路的县区可抽查1处当地主要公路沿线）</w:t>
            </w:r>
            <w:r>
              <w:rPr>
                <w:rFonts w:hint="eastAsia" w:ascii="宋体" w:hAnsi="宋体" w:cs="宋体"/>
                <w:color w:val="000000"/>
                <w:kern w:val="0"/>
                <w:sz w:val="24"/>
              </w:rPr>
              <w:br w:type="textWrapping"/>
            </w:r>
            <w:r>
              <w:rPr>
                <w:rFonts w:hint="eastAsia" w:ascii="宋体" w:hAnsi="宋体" w:cs="宋体"/>
                <w:color w:val="000000"/>
                <w:kern w:val="0"/>
                <w:sz w:val="24"/>
              </w:rPr>
              <w:t>无垃圾乱堆、露天焚烧垃圾或违规填埋现象。</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第十三条，24</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1处农贸市场、或集市、或宠物市场</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查看有无贩卖、制售、食用野生动物情况。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第十四条，31</w:t>
            </w: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r>
              <w:rPr>
                <w:rFonts w:hint="eastAsia" w:ascii="宋体" w:hAnsi="宋体" w:cs="宋体"/>
                <w:color w:val="000000"/>
                <w:kern w:val="0"/>
                <w:sz w:val="24"/>
              </w:rPr>
              <w:t>1处公共体育设施</w:t>
            </w: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75" w:hRule="atLeast"/>
          <w:jc w:val="center"/>
        </w:trPr>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hint="eastAsia" w:ascii="宋体" w:hAnsi="宋体" w:cs="宋体"/>
                <w:color w:val="000000"/>
                <w:kern w:val="0"/>
                <w:sz w:val="24"/>
              </w:rPr>
            </w:pPr>
          </w:p>
        </w:tc>
        <w:tc>
          <w:tcPr>
            <w:tcW w:w="93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抽查1处公共体育设施，询问其收费情况。</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第三十条，79</w:t>
            </w:r>
          </w:p>
        </w:tc>
      </w:tr>
    </w:tbl>
    <w:p>
      <w:pPr>
        <w:pStyle w:val="3"/>
        <w:ind w:firstLine="452"/>
        <w:rPr>
          <w:rFonts w:ascii="宋体" w:hAnsi="宋体" w:cs="宋体"/>
          <w:spacing w:val="8"/>
          <w:sz w:val="21"/>
          <w:szCs w:val="21"/>
        </w:rPr>
      </w:pPr>
    </w:p>
    <w:p>
      <w:pPr>
        <w:rPr>
          <w:rFonts w:hint="eastAsia" w:ascii="宋体" w:hAnsi="宋体" w:eastAsia="宋体"/>
          <w:b/>
          <w:sz w:val="44"/>
        </w:rPr>
      </w:pPr>
    </w:p>
    <w:p>
      <w:pPr>
        <w:pStyle w:val="2"/>
        <w:rPr>
          <w:rFonts w:hint="eastAsia" w:ascii="宋体" w:hAnsi="宋体" w:eastAsia="宋体"/>
          <w:b/>
          <w:sz w:val="44"/>
        </w:rPr>
      </w:pPr>
    </w:p>
    <w:p>
      <w:pPr>
        <w:pStyle w:val="3"/>
        <w:rPr>
          <w:rFonts w:hint="eastAsia"/>
        </w:rPr>
      </w:pPr>
    </w:p>
    <w:tbl>
      <w:tblPr>
        <w:tblStyle w:val="7"/>
        <w:tblW w:w="15268" w:type="dxa"/>
        <w:jc w:val="center"/>
        <w:tblLayout w:type="autofit"/>
        <w:tblCellMar>
          <w:top w:w="0" w:type="dxa"/>
          <w:left w:w="108" w:type="dxa"/>
          <w:bottom w:w="0" w:type="dxa"/>
          <w:right w:w="108" w:type="dxa"/>
        </w:tblCellMar>
      </w:tblPr>
      <w:tblGrid>
        <w:gridCol w:w="15268"/>
      </w:tblGrid>
      <w:tr>
        <w:tblPrEx>
          <w:tblCellMar>
            <w:top w:w="0" w:type="dxa"/>
            <w:left w:w="108" w:type="dxa"/>
            <w:bottom w:w="0" w:type="dxa"/>
            <w:right w:w="108" w:type="dxa"/>
          </w:tblCellMar>
        </w:tblPrEx>
        <w:trPr>
          <w:trHeight w:val="48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附录2：评估细则中引用的标准和文件</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1.《关于开展健康影响评价评估制度建设试点工作的通知》（全爱卫办函〔2021〕8号）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2.《健康影响评价实施操作手册（2021版）》（中国健康教育中心，人民卫生出版社）</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3.《中华人民共和国基本医疗卫生与健康促进法》（2019年12月28日第十三届全国人民代表大会常务委员会第十五次会议通过）</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4.《“健康中国2030”规划纲要》</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5.《中华人民共和国城乡规划法》（2019年4月23日第十三届全国人民代表大会常务委员会第十次会议《关于修改＜中华人民共和国建筑法＞等八部法律的决定》第二次修正）</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6.《中华人民共和国环境保护法》（2014年4月24日第十二届全国人民代表大会常务委员会第八次会议修订）</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7.《乡村建设行动实施方案》</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8.《国务院关于印发“十三五”加快残疾人小康进程规划纲要的通知》（国发〔2016〕47号）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9.《国务院关于印发“十三五”国家老龄事业发展和养老体系建设规划的通知》（国发〔2017〕13号）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10.《建筑与市政工程无障碍通用规范》（GB55019-2021）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11.《无障碍设施施工验收及维护规范》（GB50642-2011）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12.《住房城乡建设部关于印发绿道规划设计导则的通知》（建城函〔2016〕211号）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13.农业农村部国家发展改革委科技部自然资源部生态环境部国家林草局关于印发《“十四五”全国农业绿色发展规划》的通知（农规发〔2021〕8号）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14.《国务院办公厅关于印发国家突发环境事件应急预案的通知》（国办函〔2014〕119号）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15.《中华人民共和国大气污染防治法》（根据2018年10月26日第十三届全国人民代表大会常务委员会第六次会议《关于修改〈中华人民共和国野生动物保护法〉等十五部法律的决定》第二次修正）</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16.《环境空气质量标准》（GB3095-2012）</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17.《环境空气质量指数（AQI）技术规定（试行）》（HJ633-2012）</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18.《中华人民共和国噪声污染防治法》（2021年12月24日第十三届全国人民代表大会常务委员会第三十二次会议通过）</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19.《中共中央国务院关于深入打好污染防治攻坚战的意见》</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20.《声环境质量标准》（GB3096-2008）</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21.《声环境功能区划分技术规范》（GB/T15190-2014）</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22.《环境噪声监测技术规范城市声环境常规监测》（HJ640-2012）</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23.《中华人民共和国水法》（根据2016年7月2日第十二届全国人民代表大会常务委员会第二十一次会议《关于修改〈中华人民共和国节约能源法〉等六部法律的决定》第二次修正）</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24.《中华人民共和国水污染防治法》（根据2017年6月27日第十二届全国人民代表大会常务委员会第二十八次会议《关于修改〈中华人民共和国水污染防治法〉的决定》第二次修正）</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25.《地表水环境质量标准》（GB3838-2002）</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26.《地下水质量标准》（GB/T14848-2017）</w:t>
            </w:r>
          </w:p>
        </w:tc>
      </w:tr>
      <w:tr>
        <w:tblPrEx>
          <w:tblCellMar>
            <w:top w:w="0" w:type="dxa"/>
            <w:left w:w="108" w:type="dxa"/>
            <w:bottom w:w="0" w:type="dxa"/>
            <w:right w:w="108" w:type="dxa"/>
          </w:tblCellMar>
        </w:tblPrEx>
        <w:trPr>
          <w:trHeight w:val="81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27.《生态环境部关于印发〈国家生态文明建设示范市县建设指标〉〈国家生态文明建设示范市县管理规程〉和〈“绿水青山就是金山银山”实践创新基地建设管理规程（试行）〉的通知》（环生态〔2019〕76号）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28.《城市黑臭水体整治工作指南》</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29.《生活饮用水卫生监督管理办法》（中华人民共和国建设部、卫生部令第53号）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30.《饮用水水源保护区标志技术要求》（HJ/T433-2008）</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31.《生活饮用水卫生标准》（GB5749-2006）</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32.《水利部发展改革委财政部人力资源社会保障部生态环境部住房城乡建设部农业农村部卫生健康委乡村振兴局关于做好农村供水保障工作的指导意见》（水农〔2021〕244号）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33.《生活垃圾填埋场污染控制标准》（GB16889-2008）</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34.国家发展改革委住房城乡建设部关于印发《“十四五”城镇生活垃圾分类和处理设施发展规划》的通知（发改环资〔2021〕642号）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35.《国家发展改革委生态环境部关于印发“十四五”塑料污染治理行动方案的通知》（发改环资〔2021〕1298号）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36.《餐厨垃圾处理技术规范》（CJJ184-2012）</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37.《环境卫生技术规范》（GB51260-2017）</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38.《市容环卫工程项目规范》（GB55013-2021）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39.《环境卫生设施设置标准》（CJJ27-2012）</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40.《城镇环境卫生设施除臭技术标准》（CJJ274-2018）</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41.《城市公共厕所设计标准》（CJJ14-2016）</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42.《城镇污水处理厂运营质量评价标准》（CJJ/T228-2014）</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43.《城镇污水处理厂臭气处理技术规程》（CJJ/T243-2016）</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44.《生活垃圾焚烧厂评价标准》（CJJ/T137-2019）</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45.《生活垃圾焚烧污染控制标准》（GB18485-2014）</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46.《城镇污水处理厂污染物排放标准》（GB18918-2002）</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47.《城市环境卫生设施规划标准》（GB/T50337-2018）</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48.《生活垃圾分类标志》（GB/T19095-2019）</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49.《中华人民共和国固体废物污染环境防治法》（2020年4月29日第十三届全国人民代表大会常务委员会第十七次会议第二次修订）</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50.住房和城乡建设部等部门印发《关于进一步推进生活垃圾分类工作的若干意见》的通知（建城〔2020〕93号）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51.《国家发展改革委生态环境部关于进一步加强塑料污染治理的意见》（发改环资〔2020〕80号）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52.《国务院办公厅转发交通运输部等单位关于加强铁路沿线安全环境治理工作意见的通知》（国办函〔2021〕49号）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53.国家发展改革委住房城乡建设部关于印发《“十四五”城镇污水处理及资源化利用发展规划》的通知（发改环资〔2021〕827号）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54.《市容环卫工程项目规范》（GB55013-2021）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55.《医疗废物处理处置污染控制标准》（GB39707-2020）</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56.《住房城乡建设部国家铁路局中国铁路总公司关于建立高速铁路沿线环境综合整治长效机制的意见》</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57.《关于印发医疗废物分类目录（2021年版）的通知》（国卫医函〔2021〕238号）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58.《医疗废物管理条例》（根据2011年1月8日《国务院关于废止和修改部分行政法规的决定》修订）</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59.《住房和城乡建设部等部门关于在全国地级及以上城市全面开展生活垃圾分类工作的通知》</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60.《公共厕所卫生规范》（GB/T17217-2021）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61.《病媒生物密度控制水平鼠类》（GB/T27770-2011）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62.《病媒生物密度控制水平蚊虫》（GB/T27771-2011）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63.《病媒生物密度控制水平蝇类》（GB/T27772-2011）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64.《病媒生物密度控制水平蜚蠊》（GB/T27773-2011）</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65.《全国人民代表大会常务委员会关于全面禁止非法野生动物交易、革除滥食野生动物陋习、切实保障人民群众生命健康安全的决定》</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66.《国家林业和草原局关于规范禁食野生动物分类管理范围的通知》（林护发〔2020〕90号）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67.《饮食业油烟排放标准》（GB18483-2001）</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68.《市场监管总局关于印发餐饮服务明厨亮灶工作指导意见的通知》（国市监食监二〔2018〕32号）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69.《市场监管总局关于发布餐饮服务食品安全操作规范的公告》(2018第12号)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70.《关于印发健康村等健康细胞和健康乡镇、健康县区建设规范（试行）的通知》（全爱卫办发〔2021〕4号）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71.《国务院办公厅关于印发“十四五”国民健康规划的通知》（国办发〔2022〕11号）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72.《国务院办公厅关于印发“十四五”全民医疗保障规划的通知》（国办发〔2021〕36号）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73.关于印发《“十四五”公共服务规划》的通知（发改社会〔2021〕1946号）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74.民政部国家发展和改革委员会关于印发《“十四五”民政事业发展规划》的通知（民发〔2021〕51号）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75.《健康中国行动推进委员会关于印发健康中国行动2021-2022年考核实施方案的通知》（国健推委发〔2022〕1号）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76.《国务院关于印发“十四五”国家老龄事业发展和养老服务体系规划的通知》（国发〔2021〕35号）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77.《中共中央国务院关于加强新时代老龄工作的意见》</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78.《国务院未成年人保护工作领导小组关于加强未成年人保护工作的意见》（国未保组〔2021〕1号）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79.《中华人民共和国国民经济和社会发展第十四个五年规划和2035年远景目标纲要》</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80.《国家基本公共卫生服务规范（第三版）》</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81.《健康中国行动（2019—2030年）》</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82.《卫生健康委关于印发严重精神障碍管理治疗工作规范（2018年版）的通知》（国卫疾控发〔2018〕13号）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83.民政部国家卫生健康委中国残联关于印发《精神障碍社区康复服务工作规范》的通知（民发〔2020〕147号）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84.《关于加强心理健康服务的指导意见》（国卫疾控发〔2016〕77号）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85.《关于印发加强和完善精神专科医疗服务意见的通知》</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86.《民政部财政部卫生计生委中国残联关于加快精神障碍社区康复服务发展的意见》（民发〔2017〕167号）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87.国务院办公厅关于印发《中国防治慢性病中长期规划（2017—2025年）》的通知（国办发〔2017〕12号）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88.《乡镇卫生院建设标准》（建标107-2008）</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89.《妇幼健康服务机构建设标准》（建标189-2017）</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90.《国家卫生健康委财政部人力资源社会保障部国家医保局国家中医药局国家疾控局关于推进家庭医生签约服务高质量发展的指导意见》（国卫基层发〔2022〕10号）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91.《国家卫生健康委关于印发“十四五”卫生健康人才发展规划的通知》（国卫人发〔2022〕27号）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92.《中国儿童发展纲要（2021—2030年）》</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93.《关于印发国家职业病防治规划（2021-2025年）的通知》（国卫职健发〔2021〕39号）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94.《国务院办公厅关于印发全国医疗卫生服务体系规划纲要（2015—2020年）的通知》（国办发〔2015〕14号）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95.《十四五医疗卫生服务体系建设规划》</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96.《疾病预防控制中心建设标准》（建标127-2009）（以最新版为准）</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97.《中华人民共和国突发事件应对法》（主席令第六十九号）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98.《中华人民共和国传染病防治法》（根据2013年6月29日第十二届全国人民代表大会常务委员会第三次会议《关于修改&lt;中华人民共和国文物保护法&gt;等十二部法律的决定》修正）</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99.《突发公共卫生事件应急条例》（根据2011年1月8日《国务院关于废止和修改部分行政法规的决定》修订）</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100.《国家突发公共卫生事件应急预案》</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101.《院前医疗急救管理办法》（国家卫生和计划生育委员会令第3号）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102.《关于印发公共卫生防控救治能力建设方案的通知》（发改社会〔2020〕735号）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103.《中国居民及重点人群健康素养监测统计调查制度》</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104.《国务院关于实施健康中国行动的意见》（国发〔2019〕13号）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105.《国务院办公厅关于印发健康中国行动组织实施和考核方案的通知》（国办发〔2019〕32号）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106.《国家卫生计生委办公厅关于印发健康科普信息生成与传播指南（试行）的通知》（国卫办宣传函〔2015〕665号）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107.《国家卫生计生委办公厅关于加强健康教育信息服务管理的通知》（国卫办宣传函〔2017〕823号）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108.《国务院办公厅关于印发“十四五”中医药发展规划的通知》（国办发〔2022〕5号）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109.《关于印发基层中医药服务能力提升工程“十四五”行动计划的通知》（国中医药医政发〔2022〕3号）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110.关于发布《中国公民中医养生保健素养》的公告（国中医药办发〔2014〕15号）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111.《教育部等五部门关于全面加强和改进新时代学校卫生与健康教育工作的意见》（教体艺〔2021〕7号）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112.《教育部办公厅关于实施全国健康学校建设计划的通知》（教体艺厅函〔2022〕15号）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113.教育部关于印发《生命安全与健康教育进中小学课程教材指南》的通知（教材函〔2021〕3号）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114.《国家卫生健康委员会中央文明办全国爱卫办关于加强无烟党政机关建设的通知》（国卫规划函〔2020〕175号）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115.《关于进一步加强无烟医疗卫生机构建设工作的通知》（国卫规划函〔2020〕306号）</w:t>
            </w:r>
          </w:p>
        </w:tc>
      </w:tr>
      <w:tr>
        <w:tblPrEx>
          <w:tblCellMar>
            <w:top w:w="0" w:type="dxa"/>
            <w:left w:w="108" w:type="dxa"/>
            <w:bottom w:w="0" w:type="dxa"/>
            <w:right w:w="108" w:type="dxa"/>
          </w:tblCellMar>
        </w:tblPrEx>
        <w:trPr>
          <w:trHeight w:val="27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116.《国家卫生健康委教育部关于进一步加强无烟学校建设工作的通知》（国卫规划函〔2020〕455号）</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117.《中华人民共和国广告法》（根据2021年4月29日第十三届全国人民代表大会常务委员会第二十八次会议《关于修改〈中华人民共和国道路交通安全法〉等八部法律的决定》第二次修正）</w:t>
            </w:r>
          </w:p>
        </w:tc>
      </w:tr>
      <w:tr>
        <w:tblPrEx>
          <w:tblCellMar>
            <w:top w:w="0" w:type="dxa"/>
            <w:left w:w="108" w:type="dxa"/>
            <w:bottom w:w="0" w:type="dxa"/>
            <w:right w:w="108" w:type="dxa"/>
          </w:tblCellMar>
        </w:tblPrEx>
        <w:trPr>
          <w:trHeight w:val="540" w:hRule="atLeast"/>
          <w:jc w:val="center"/>
        </w:trPr>
        <w:tc>
          <w:tcPr>
            <w:tcW w:w="15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118.《中华人民共和国未成年人保护法》（2020年10月17日第十三届全国人民代表大会常务委员会第二十二次会议第二次修订）</w:t>
            </w:r>
          </w:p>
        </w:tc>
      </w:tr>
    </w:tbl>
    <w:p/>
    <w:p>
      <w:pPr>
        <w:rPr>
          <w:rFonts w:hint="eastAsia" w:ascii="宋体" w:hAnsi="宋体" w:eastAsia="宋体"/>
          <w:b/>
          <w:sz w:val="44"/>
        </w:rPr>
      </w:pPr>
    </w:p>
    <w:p>
      <w:pPr>
        <w:rPr>
          <w:rFonts w:hint="eastAsia" w:ascii="宋体" w:hAnsi="宋体" w:eastAsia="宋体"/>
          <w:b/>
          <w:sz w:val="44"/>
        </w:rPr>
      </w:pPr>
      <w:r>
        <w:rPr>
          <w:rFonts w:hint="eastAsia" w:ascii="宋体" w:hAnsi="宋体" w:eastAsia="宋体"/>
          <w:b/>
          <w:sz w:val="44"/>
        </w:rPr>
        <w:br w:type="page"/>
      </w:r>
    </w:p>
    <w:tbl>
      <w:tblPr>
        <w:tblStyle w:val="7"/>
        <w:tblW w:w="15400" w:type="dxa"/>
        <w:jc w:val="center"/>
        <w:tblLayout w:type="fixed"/>
        <w:tblCellMar>
          <w:top w:w="0" w:type="dxa"/>
          <w:left w:w="108" w:type="dxa"/>
          <w:bottom w:w="0" w:type="dxa"/>
          <w:right w:w="108" w:type="dxa"/>
        </w:tblCellMar>
      </w:tblPr>
      <w:tblGrid>
        <w:gridCol w:w="1336"/>
        <w:gridCol w:w="1096"/>
        <w:gridCol w:w="4065"/>
        <w:gridCol w:w="837"/>
        <w:gridCol w:w="1256"/>
        <w:gridCol w:w="5963"/>
        <w:gridCol w:w="847"/>
      </w:tblGrid>
      <w:tr>
        <w:tblPrEx>
          <w:tblCellMar>
            <w:top w:w="0" w:type="dxa"/>
            <w:left w:w="108" w:type="dxa"/>
            <w:bottom w:w="0" w:type="dxa"/>
            <w:right w:w="108" w:type="dxa"/>
          </w:tblCellMar>
        </w:tblPrEx>
        <w:trPr>
          <w:trHeight w:val="530" w:hRule="atLeast"/>
          <w:jc w:val="center"/>
        </w:trPr>
        <w:tc>
          <w:tcPr>
            <w:tcW w:w="15400" w:type="dxa"/>
            <w:gridSpan w:val="7"/>
            <w:tcBorders>
              <w:top w:val="nil"/>
              <w:left w:val="nil"/>
              <w:bottom w:val="nil"/>
              <w:right w:val="nil"/>
            </w:tcBorders>
            <w:shd w:val="clear" w:color="auto" w:fill="auto"/>
            <w:noWrap/>
            <w:vAlign w:val="center"/>
          </w:tcPr>
          <w:p>
            <w:pPr>
              <w:widowControl/>
              <w:jc w:val="center"/>
              <w:rPr>
                <w:rFonts w:ascii="宋体" w:hAnsi="宋体" w:cs="宋体"/>
                <w:b/>
                <w:bCs/>
                <w:color w:val="000000"/>
                <w:kern w:val="0"/>
                <w:sz w:val="44"/>
                <w:szCs w:val="44"/>
              </w:rPr>
            </w:pPr>
            <w:r>
              <w:rPr>
                <w:rFonts w:hint="eastAsia" w:ascii="宋体" w:hAnsi="宋体" w:cs="宋体"/>
                <w:b/>
                <w:bCs/>
                <w:color w:val="000000"/>
                <w:kern w:val="0"/>
                <w:sz w:val="44"/>
                <w:szCs w:val="44"/>
              </w:rPr>
              <w:t>贵州省健康乡镇建设现场评分表（2023版）</w:t>
            </w:r>
          </w:p>
        </w:tc>
      </w:tr>
      <w:tr>
        <w:tblPrEx>
          <w:tblCellMar>
            <w:top w:w="0" w:type="dxa"/>
            <w:left w:w="108" w:type="dxa"/>
            <w:bottom w:w="0" w:type="dxa"/>
            <w:right w:w="108" w:type="dxa"/>
          </w:tblCellMar>
        </w:tblPrEx>
        <w:trPr>
          <w:trHeight w:val="265" w:hRule="atLeast"/>
          <w:jc w:val="center"/>
        </w:trPr>
        <w:tc>
          <w:tcPr>
            <w:tcW w:w="15400" w:type="dxa"/>
            <w:gridSpan w:val="7"/>
            <w:tcBorders>
              <w:top w:val="nil"/>
              <w:left w:val="nil"/>
              <w:bottom w:val="nil"/>
              <w:right w:val="nil"/>
            </w:tcBorders>
            <w:shd w:val="clear" w:color="auto" w:fill="auto"/>
            <w:noWrap/>
            <w:vAlign w:val="center"/>
          </w:tcPr>
          <w:p>
            <w:pPr>
              <w:widowControl/>
              <w:jc w:val="left"/>
              <w:rPr>
                <w:rFonts w:ascii="黑体" w:hAnsi="黑体" w:eastAsia="黑体" w:cs="宋体"/>
                <w:b/>
                <w:bCs/>
                <w:color w:val="000000"/>
                <w:kern w:val="0"/>
                <w:sz w:val="24"/>
              </w:rPr>
            </w:pPr>
            <w:r>
              <w:rPr>
                <w:rFonts w:ascii="黑体" w:hAnsi="黑体" w:eastAsia="黑体" w:cs="宋体"/>
                <w:b/>
                <w:bCs/>
                <w:color w:val="000000"/>
                <w:kern w:val="0"/>
                <w:sz w:val="24"/>
              </w:rPr>
              <w:t xml:space="preserve"> 市（州）：</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 县（市、区）： </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            乡镇：</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               评估时间：</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  </w:t>
            </w:r>
          </w:p>
        </w:tc>
      </w:tr>
      <w:tr>
        <w:tblPrEx>
          <w:tblCellMar>
            <w:top w:w="0" w:type="dxa"/>
            <w:left w:w="108" w:type="dxa"/>
            <w:bottom w:w="0" w:type="dxa"/>
            <w:right w:w="108" w:type="dxa"/>
          </w:tblCellMar>
        </w:tblPrEx>
        <w:trPr>
          <w:trHeight w:val="537" w:hRule="atLeast"/>
          <w:jc w:val="center"/>
        </w:trPr>
        <w:tc>
          <w:tcPr>
            <w:tcW w:w="13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一级指标</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二级指标</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指标内容</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权重</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考核办法</w:t>
            </w: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评分标准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得分</w:t>
            </w:r>
          </w:p>
        </w:tc>
      </w:tr>
      <w:tr>
        <w:tblPrEx>
          <w:tblCellMar>
            <w:top w:w="0" w:type="dxa"/>
            <w:left w:w="108" w:type="dxa"/>
            <w:bottom w:w="0" w:type="dxa"/>
            <w:right w:w="108" w:type="dxa"/>
          </w:tblCellMar>
        </w:tblPrEx>
        <w:trPr>
          <w:trHeight w:val="537" w:hRule="atLeast"/>
          <w:jc w:val="center"/>
        </w:trPr>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一、组织管理（15分）</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1.党委领导</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（1）成立乡镇党委书记牵头的领导小组</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查阅档案现场查看</w:t>
            </w: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查阅相关文件资料：满足要求得1分，否则扣1分。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（2）指定专人负责健康乡镇建设工作。</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文件资料指定专人负责健康乡镇建设工作得1分，否则扣1分。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2.协调机制</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（1）积极动员辖区各类机关、企事业单位、社会组织、志愿者和居民参与健康乡镇建设。每年召开工作例会不少于4次。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查阅相关资料：根据工作开展情况适时召开工作例会，每年不少于4次，讨论辖区主要健康问题并提出应对措施的0.5分，有例会简报、照片、签到册、会议记录等</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（2）制定健康乡镇建设工作实施方案，明确部门职责和任务,多措并举推进健康乡镇建设。</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有健康乡镇建设工作实施方案1分，有各部门职责、任务各占0.5分。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3.规章制度</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（1）树立"大卫生、大健康"理念,统筹落实健康中国、乡村振兴、积极应对人口老龄化等战略,将健康乡镇建设纳入乡镇发展规划。</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乡镇发展规划中有健康乡镇内容，否则不得分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12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针对辖区主要健康问题制定健康乡镇建设的规章制度和措施不少于4条，如改善镇村环境卫生、落实公共无烟场所、促进居民采取健康生活方式、预防控制重大疾病和突发公共卫生事件、安全生产、困难家庭健康帮扶措施等，以促进居民树立健康理念和开展自我健康管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查阅相关资料，每制定1条健康相关的制度、措施得0.5分。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4.组织实施</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（1）对居民健康状况及其影响因素进行分析评估，明确主要健康问题及其影响因素，制定干预工作计划。定期对建设效果进行评估。</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健康影响评价报告中明确主要健康问题及其影响因素各占0.5分，有干预工作计划、效果评估报告各占0.5分。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（2）推进将健康融入所有政策，出台公共政策措施时首先考虑其对健康的影响。</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出台公共政策措施时有经县级健康专家委员会健康审查资料</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72"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（3）有健康乡镇建设的文字、图片、实物等过程资料齐全、整理规范。有工作总结且结构合理、内容详实。</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建设的文字、图片、实物等过程资料齐全、整理规范，得0.5分。有工作总结结构合理、内容详实得0.5分。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（4）加强卫生健康信息化建设应用,鼓励引入人工智能和大数据应用技术及产品,利用信息化手段提升健康乡镇建设水平</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有利用信息化系统开展健康乡镇建设相关工作内容得分，否则不得分。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96" w:hRule="atLeast"/>
          <w:jc w:val="center"/>
        </w:trPr>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二、健康环境（25分）</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1.基础建设</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开展美丽乡村建设,保护生态环境和自然景观,综合提升田水路林村风貌,建设有历史记忆、农村特点、地域特色、民族风格的宜业和美村镇。改善农村基础设施条件,村容村貌整洁,实现硬化、绿化、亮化、美化、净化。</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r>
              <w:rPr>
                <w:rFonts w:hint="eastAsia" w:ascii="宋体" w:hAnsi="宋体" w:cs="宋体"/>
                <w:color w:val="000000"/>
                <w:kern w:val="0"/>
                <w:sz w:val="24"/>
              </w:rPr>
              <w:br w:type="textWrapping"/>
            </w:r>
            <w:r>
              <w:rPr>
                <w:rFonts w:hint="eastAsia" w:ascii="宋体" w:hAnsi="宋体" w:cs="宋体"/>
                <w:color w:val="000000"/>
                <w:kern w:val="0"/>
                <w:sz w:val="24"/>
              </w:rPr>
              <w:t>现场查看</w:t>
            </w: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现场查看五化每项占0.4分。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（2）村域道路、环卫、电力、通信、消防等基础设施完善。</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现场查看一项不完善扣0.2分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（3）公共场所安全设施齐全、完好。在易发生溺水、跌落、触电等伤害的区域设置安全标志和保护设施。</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无安全标志扣0.5分，无保护设施扣0.5分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59"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（4）开展老年人、残疾人无障碍设施建设或改造。建设与常住人口规模相适应的婴幼儿活动场所及配套服务设施。</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随机抽查小区、商场及窗口单位，现场查看是否设置盲道、无障碍卫生间（厕位）、出入口无障碍设施、低位服务设施、无障碍停车位、无障碍标志等，满足要求得1分。现场查看建设有与常住人口规模相适应的婴幼儿活动场所及配套服务设施得1分，否则扣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2.环境质量</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（1）有正常运行的污水集中处理设施,推进镇区污水处理设施和服务向村庄延伸覆盖。推进生活污水源头减量和尾水回收利用。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有污水集中处理设施1分，源头减量和尾水回收利用各占0.5分。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（2）辖区内河流、湖泊、沟渠、塘等水体没有“黑臭”现象。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发现有“黑臭”现象不得分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3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（3）垃圾收运处置体系覆盖所有行政村,乡镇建有垃圾转运站,普及密闭运输车辆,因地制宜推进垃圾就地分类和资源化利用，建立生活垃圾收集管理制度。</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每满足一项得0.2分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（4）辖区内无露天焚烧垃圾或利用耕地、山谷、河塘沟渠等直接堆放或填埋垃圾的现象,铁路沿线垃圾有效管控。医疗废物收集处理实现全覆盖。</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发现有露天焚烧垃圾扣0.2分，利用耕地、山谷、河塘沟渠等直接堆放或填埋垃圾扣0.2分，铁路沿线有垃圾扣0.2分，医疗废物收集处理未实现全覆盖扣0.4分。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（5）垃圾箱桶布局合理、 数量足够、有门有盖、周围清洁。生活垃圾清运及时,无焚烧垃圾现象。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垃圾箱没有门、盖扣0.5分，垃圾清运不及时扣0.5分。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（6）开展农作物秸秆资源化利用,无秸秆焚烧现象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开展秸秆资源化利用得0.5分,无秸秆焚烧现象得0.5分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rPr>
          <w:trHeight w:val="133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（7）推进农业绿色发展,加强农业面源污染和规模化畜禽养殖污染治理，推进农药化肥减量施用和有机肥替代化肥。开展废弃农膜回收，有收集农膜、农业投入品包装物的规定和场所。</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推行农药化肥减量施用和有机肥替代化肥得0.5分，有收集农膜、农业投入品包装物的规定和场所得0.5分。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（8）对病死畜禽进行无害化处理,规模化养殖场建有畜禽粪污治理设施并正常使用。病死畜禽按规定处置,无随意丢弃现象。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有病死畜禽处理措施且未发现病死畜禽随意丢弃现象得0.5分，规模化养殖场建有畜禽粪污治理设施得0.5分。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（9）无贩卖、制售、食用野生动物现象。加强活禽经营市场管理。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随机抽查1处农贸市场或宠物市场，发现贩卖、制售、食用野生动物现象不得分。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（10）定期组织开展病媒生物防制活动,病媒生物孳生地得到有效治理。鼠、蚊、蝇、嶂螂的密度达到国家病媒生物密度控制要求。</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未开展病媒生物防制活动扣0.5分，鼠、蚊、蝇、嶂螂的密度未达到国家病媒生物密度控制要求扣0.5分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（11）加强工业噪声、建筑施工噪声、交通运输噪声和社会生活噪声等治理。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未开展辖区噪声治理或辖区噪声超标扣除相应分值。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6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3.饮水安全</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（1）加快饮水安全基础设施建设,持续提升自来水普及率,水质达标,水量水压满足当地居民生活需要。</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相关文件、方案、工作记录、检测报告等。制定有城镇供水设施向农村延伸工作目标或方案，因地制宜推进城乡供水一体化工程建设。农村自来水普及率不低于85%得0.5分。管网末梢水的水质检测达到生活饮用水国家标准要求得0.5分。 现场抽查：随机抽取1个行政村，再随机抽取农村家庭，查看自来水入户情况。</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（2）乡镇饮用水源依法划定水源保护区或保护范围。保护区内无任何可能危害水源水质的设施,无有碍水源水质的活动。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水环境功能区划分合理，水质达到功能区类别对应的要求，开展饮用水水源保护区环境问题排查，公示水源地水质情况，公开问题清单及整改情况。</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4.食品安全</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（1）加强假冒伪劣食品治理,强化农产品质量安全和食品安全监管。杜绝重特大食品安全事件。</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乡农贸市场或商店无假冒伪劣食品0.5分,无重特大食品安全事件0.5分。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（2）食品生产经营单位内外环境卫生整洁。积极推行明厨亮灶,食品采购、储存、加工制作和销售符合食品安全相关要求</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食品生产经营单位内外环境卫生整洁0.5分、明厨亮灶0.5分,食品采购、储存、加工制作和销售符合食品安全相关要求各占0.25分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6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5.卫生厕所</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（1）居民普遍使用卫生厕所比例达到80%。积极推进厕所粪污无害化处理和资源化利用。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查阅农村户厕改造相关资料。农村卫生厕所普及率比例达到80%。现场随机抽取5户农村家庭，有4户其卫生厕所情况符合卫生厕所得1分。</w:t>
            </w:r>
            <w:r>
              <w:rPr>
                <w:rFonts w:hint="eastAsia" w:ascii="宋体" w:hAnsi="宋体" w:cs="宋体"/>
                <w:color w:val="000000"/>
                <w:kern w:val="0"/>
                <w:sz w:val="24"/>
              </w:rPr>
              <w:br w:type="textWrapping"/>
            </w:r>
            <w:r>
              <w:rPr>
                <w:rFonts w:hint="eastAsia" w:ascii="宋体" w:hAnsi="宋体" w:cs="宋体"/>
                <w:color w:val="000000"/>
                <w:kern w:val="0"/>
                <w:sz w:val="24"/>
              </w:rPr>
              <w:t>卫生厕所：指有墙、有顶、有门，厕屋清洁、无臭，粪池无渗漏、无粪便暴露·无蝇蛆，厕所粪污就地处理处置，或转移至户厕外进行处理处置，达到无害化卫生要求。</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（2）在乡镇政府所在地、集贸市场、广场等人群集中地建设卫生公厕。</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现场查看，未建设有公共卫生公厕不得分。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restart"/>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三、健康社会</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1.健康细胞</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健康社区（村）、家庭、健康促进医院建成率不低于当年省级要求</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健康细胞建成率达到当年省级要求比例，有健康细胞建设过程资料及验收表，社区（村）、家庭、健康促进医院各占2分。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2.健康保障</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（1）落实基本养老保险、基本医疗保险、大病保险、最低生活保障、特困人员救助供养、残疾人保障等社会保障制度,提升保障水平。</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相关部门提供相关保障的资料、总结，缺1项扣0.5分。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31"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（2）发展农村互助性养老服务,为老年人提供多层次、多样化养老服务,保障独居、空巢、失能(含失智) 、重残、计划生育特殊家庭等特殊困难老年人养老服务需求。</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发展农村互助性养老服务1分，有一种人群未得到养老服务扣0.2分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（3）推进医养结合,为高龄、失能、行动不便等居家老年人提供家庭病床、巡诊等上门医疗服务。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未提供家庭病床扣1分，未开展巡诊扣1分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（4）加快托育服务网络建设,为留守、孤儿、事实无人抚养儿童、困境儿童等特殊儿童群体提供照护服务和医育结合服务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提供托育服务资料1分，有一种特殊儿童未得到照料扣0.2分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41"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（5）辖区企业开展员工健康管理,落实职业病防护措施,杜绝重特大安全生产事故和职业病危害事故。</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企业员工每年开展健康体检0.5分，有健康管理措施0.5分，开展职业病培训0.5分，有职业病防护措施0.5分。近两年发生特大安全生产事故和职业病危害事故不得分。无企业的进行标化</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（6）保障学前教育和义务教育的公平性和可及性。学校、托育机构积极落实卫生健康工作,有效防控传染病等,切实降低近视、肥胖、伤害等发生率。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有辍学儿童扣1分，当年学校发生传染病暴发扣0.5分，乡中心校无近视、肥胖、伤害防控措施扣0.5分。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72" w:hRule="atLeast"/>
          <w:jc w:val="center"/>
        </w:trPr>
        <w:tc>
          <w:tcPr>
            <w:tcW w:w="1336"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（7）对弱势群体有健康帮扶措施。</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乡级民政部门提供帮扶措施资料台账、图片等</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四、健康服务（20分）</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1.基本服务</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（1）有政府举办的乡镇卫生院或社区卫生服务中心,并配备全科医生和公共卫生医师。</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无政府举办的乡镇卫生院或社区卫生服务中心扣1分，无全科医生和公共卫生医师各扣0.5分。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（2）积极推进健康小屋建设。</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未设立不得分。设施不齐全、简陋扣0.5分（至少具备血压、血糖、体重、腰围检测设备），无指导人员扣0.5分。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（3）每个村卫生室达到建设标准并配备合格村医</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抽查的村未达标准化村卫生室扣0.5分，村医未达全覆盖扣0.5分。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（4）面向辖区人群提供预防、保健、健康教育和常见病、多发病的诊疗等基本医疗卫生服务,并通过县乡巡诊、医联体建设等提升农村医疗卫生服务水平</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基本医疗卫生服务不全扣1分；巡诊、医联体建设各占0.5分，提供资料，未开展扣除相应分值。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（5）依托乡镇卫生院、乡镇综合服务管理机构等探 索建立心理咨询室,配备专兼职心理健康辅导人员,提供心理健康咨询等服务。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有心理咨询室0.5分，有专兼职心理健康辅导人员0.5分。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（6）开展家庭医生签约服务,签约率逐年提升。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开展家庭医生签约服务0.5分,签约率逐年提升0.5分。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（7）推广应用中医药适宜技术。</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查阅辖区乡镇卫生院，中医馆建设和运行相关资料，家庭医生团队或个人通过针刺、推拿、拔罐、艾灸等中医药技术方法为签约居民提供中医药治未病服务的得1分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9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2.健康教育</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面向居民开展健康教育和健康科普,普及健康知识和技能,提升居民健康素养,引导居民养成文明健康绿色环保的生活方式。协助开展12次以上健康知识讲座、9次以上健康咨询活动，建有不少于2个健康教育宣传栏并定期更新，定期发放健康教育印刷材料，播放健康教育音像资料。</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每项0.4分，未达标扣分。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（2）提供个性化健康教育服务。鼓励组建村民健康自我管理组织。积极开展婴幼儿早期发展入户指导服务,提高村民科学育儿能力。</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有村级资料佐证</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3.健康家庭</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（1）动员、组织辖区居民参加健康家庭评选，有健康家庭评选工作计划和总结，有具体步骤和流程，开展针对家庭的健康活动。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健康家庭评选工作有计划和总结，有具体步骤和流程，各占0.25分。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（2）现场进入一个健康家庭，健康家庭评估合格。</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抽中的村合格得分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4.突发事件处理</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（1）制定突发公共卫生事件和重大疫情防控应急预案、建立疫情防控物资储备制度。</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有应急预案得0.5分，有物资储备制度并有物资储备0.5分</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（2）有自然灾害救助物资储备和灾害救助应急预案,并定期开展演练.</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自然灾害救助物资储备和灾害救助应急预案0.5分，开展演练0.5分（提供资料佐证）</w:t>
            </w:r>
          </w:p>
        </w:tc>
        <w:tc>
          <w:tcPr>
            <w:tcW w:w="84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72"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（3）加强医疗卫生机构能力建设。</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乡镇卫生院提供培训、演练、进修学习资料，缺一项控0.4分。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86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（4）推行网格化管理,不断提升突发事件应对能力。</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应急管理网格相关流程资料，是否科学划分网格，每个网格落实责任人员、责任区域和风险点位，细化到具体的河流沟渠沿岸、低洼区域、特殊群体等，做到应急管理全覆盖，即实现“六个一”目标，一个预案、一支队伍、一张风险隐患图、一张紧急疏散路线图、一个储备点、每年至少一次演练，不断夯实群防群治基础。</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5.重点人群</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（1）关注留守儿童和妇女、老年人以及残疾失能人员 和计划生育特殊家庭人员。</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抽中的村级达标得分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（2）采取多种形式为老人和儿童提供日间照料服务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抽中的村级达标得分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（3）村医或其他医务人员为行动不便老年人提供上门巡诊。</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抽中的村级达标得分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五、健康文化（15分）</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1.人文环境</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（1）机关干部带头践行文明健康绿色环保生活方式通过广泛宣传,营造全民关注健康的社会氛围,促进公众形成文明健康绿色环保的行为和生活方式。</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查阅健康绿色环保生活方式相关资料，有践行文明健康绿色环保生活方式相关文件，利用公共场所或社区宣传栏、广告牌、横幅、新媒体等形式开展相关宣传活动且有记录和图片资料。</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（2）鼓励开展“健康达人”评选。</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开展“健康达人”评选活动（有方案、小结、图片）得分，否则不得分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2.无烟文化</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（1）机关干部严格遵守党政机关和公共场所控烟规定</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室内发现烟头及有人吸烟不得分</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（2）辖区内党政机关均为无烟党政机关。</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有无烟党政机关建设资料</w:t>
            </w:r>
          </w:p>
        </w:tc>
        <w:tc>
          <w:tcPr>
            <w:tcW w:w="84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（3）辖区室内公共场所、工作场所禁止吸烟,主要建筑物入口处、电梯、公共厕所、会议室等区域有明显的控烟标识。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室内发现吸烟或烟头扣0.5分，控烟标识不全扣0.5分。</w:t>
            </w:r>
          </w:p>
        </w:tc>
        <w:tc>
          <w:tcPr>
            <w:tcW w:w="84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（4）辖区内无烟草广告和促销,不向未成年人售烟酒。</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有烟草广告扣0.5分，发现向未成年人销售烟酒扣0.5分。</w:t>
            </w:r>
          </w:p>
        </w:tc>
        <w:tc>
          <w:tcPr>
            <w:tcW w:w="84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3.健身文化</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（1）倡导全民健身文化。辖区建有公共健身设施 , 有条件的地方可建设健康(身) 步道、健康(身) 广场、健康主题公园等。</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有公共建设场所如健康(身) 步道、健康(身) 广场、健康主题公园等至少2种得1分；有公共健身设施得1分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72"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（2）组织开展简便易行的群众性健身活动及民族、民俗、民间体育活动。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每年至少开展50人以上的活动2次，每次1分，提供简报、照片、签到册。</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4.中医药文化</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传承中医药文化,普及中医药养生保健知识和方法，引导群众正确使用中医药维护自身健康。</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查阅资料：有中医健康宣教基地、健康文化知识角或基层医疗卫生机构日常健康教育中包含中医药内容等科普工作的相关资料。</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5.绿色环保文化</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（1）减少使用塑料制品、过度包装产品和一次性用品。</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0.5</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河流、池塘发现塑料制品污染不得分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（2）积极推广分餐制和公筷制,大力倡导"光盘行动"。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0.5</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乡镇餐馆推广分餐制和公筷制得分。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（3）提倡文明婚育。</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查阅提倡文明婚育相关活动开展资料,乡镇政府下发“弘扬婚育新风促进家庭健康”倡议书</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（4）鼓励辖区单位和居民积极参加无偿献血、志愿者等公益活动。</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乡镇组织无偿献血活动0.5分、志愿者等公益活动0.5分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（5）杜绝赌博、吸毒、 酗酒、卖淫嫖娼等现象和重大社会治安问题。</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发现乡镇有该类问题不得分。</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01" w:hRule="atLeast"/>
          <w:jc w:val="center"/>
        </w:trPr>
        <w:tc>
          <w:tcPr>
            <w:tcW w:w="13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六、建设效果（5分）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目标人群评价</w:t>
            </w: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详见目标人群测评方案。</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快速调查</w:t>
            </w: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72" w:hRule="atLeast"/>
          <w:jc w:val="center"/>
        </w:trPr>
        <w:tc>
          <w:tcPr>
            <w:tcW w:w="13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合    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0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bl>
    <w:p>
      <w:pPr>
        <w:keepNext w:val="0"/>
        <w:keepLines w:val="0"/>
        <w:widowControl/>
        <w:suppressLineNumbers w:val="0"/>
        <w:jc w:val="left"/>
        <w:textAlignment w:val="center"/>
        <w:rPr>
          <w:rFonts w:hint="default"/>
          <w:lang w:val="en-US" w:eastAsia="zh-CN"/>
        </w:rPr>
      </w:pPr>
      <w:r>
        <w:rPr>
          <w:rFonts w:hint="default" w:ascii="等线" w:hAnsi="等线" w:eastAsia="仿宋_GB2312" w:cs="Times New Roman"/>
          <w:i w:val="0"/>
          <w:iCs w:val="0"/>
          <w:kern w:val="2"/>
          <w:sz w:val="32"/>
          <w:szCs w:val="32"/>
          <w:u w:val="none"/>
          <w:lang w:val="en-US" w:eastAsia="zh-CN" w:bidi="ar"/>
        </w:rPr>
        <w:t>评估人员签字：</w:t>
      </w:r>
      <w:r>
        <w:rPr>
          <w:rFonts w:hint="eastAsia" w:cs="Times New Roman"/>
          <w:i w:val="0"/>
          <w:iCs w:val="0"/>
          <w:kern w:val="2"/>
          <w:sz w:val="32"/>
          <w:szCs w:val="32"/>
          <w:u w:val="none"/>
          <w:lang w:val="en-US" w:eastAsia="zh-CN" w:bidi="ar"/>
        </w:rPr>
        <w:t xml:space="preserve">                                </w:t>
      </w:r>
      <w:r>
        <w:rPr>
          <w:rFonts w:hint="default" w:ascii="等线" w:hAnsi="等线" w:eastAsia="仿宋_GB2312" w:cs="Times New Roman"/>
          <w:i w:val="0"/>
          <w:iCs w:val="0"/>
          <w:kern w:val="2"/>
          <w:sz w:val="32"/>
          <w:szCs w:val="32"/>
          <w:u w:val="none"/>
          <w:lang w:val="en-US" w:eastAsia="zh-CN" w:bidi="ar"/>
        </w:rPr>
        <w:t>评估</w:t>
      </w:r>
      <w:r>
        <w:rPr>
          <w:rFonts w:hint="eastAsia" w:cs="Times New Roman"/>
          <w:i w:val="0"/>
          <w:iCs w:val="0"/>
          <w:kern w:val="2"/>
          <w:sz w:val="32"/>
          <w:szCs w:val="32"/>
          <w:u w:val="none"/>
          <w:lang w:val="en-US" w:eastAsia="zh-CN" w:bidi="ar"/>
        </w:rPr>
        <w:t>时间：</w:t>
      </w:r>
    </w:p>
    <w:p>
      <w:pPr>
        <w:widowControl/>
        <w:jc w:val="left"/>
        <w:rPr>
          <w:rFonts w:hint="eastAsia" w:ascii="宋体" w:hAnsi="宋体" w:cs="宋体"/>
          <w:color w:val="000000"/>
          <w:kern w:val="0"/>
          <w:szCs w:val="21"/>
        </w:rPr>
      </w:pPr>
    </w:p>
    <w:p>
      <w:pPr>
        <w:widowControl/>
        <w:jc w:val="left"/>
        <w:rPr>
          <w:rFonts w:hint="eastAsia" w:ascii="宋体" w:hAnsi="宋体" w:cs="宋体"/>
          <w:color w:val="000000"/>
          <w:kern w:val="0"/>
          <w:szCs w:val="21"/>
        </w:rPr>
      </w:pPr>
    </w:p>
    <w:p>
      <w:pPr>
        <w:widowControl/>
        <w:jc w:val="left"/>
        <w:rPr>
          <w:rFonts w:hint="eastAsia" w:ascii="宋体" w:hAnsi="宋体" w:cs="宋体"/>
          <w:color w:val="000000"/>
          <w:kern w:val="0"/>
          <w:szCs w:val="21"/>
        </w:rPr>
      </w:pPr>
    </w:p>
    <w:p>
      <w:pPr>
        <w:widowControl/>
        <w:jc w:val="left"/>
        <w:rPr>
          <w:rFonts w:hint="eastAsia" w:ascii="宋体" w:hAnsi="宋体" w:cs="宋体"/>
          <w:color w:val="000000"/>
          <w:kern w:val="0"/>
          <w:szCs w:val="21"/>
        </w:rPr>
      </w:pPr>
      <w:r>
        <w:rPr>
          <w:rFonts w:hint="eastAsia" w:ascii="宋体" w:hAnsi="宋体" w:cs="宋体"/>
          <w:color w:val="000000"/>
          <w:kern w:val="0"/>
          <w:szCs w:val="21"/>
        </w:rPr>
        <w:t>说明：</w:t>
      </w:r>
    </w:p>
    <w:p>
      <w:pPr>
        <w:widowControl/>
        <w:jc w:val="left"/>
        <w:rPr>
          <w:rFonts w:hint="eastAsia" w:ascii="宋体" w:hAnsi="宋体" w:cs="宋体"/>
          <w:color w:val="000000"/>
          <w:kern w:val="0"/>
          <w:szCs w:val="21"/>
          <w:highlight w:val="yellow"/>
        </w:rPr>
      </w:pPr>
      <w:r>
        <w:rPr>
          <w:rFonts w:hint="eastAsia" w:ascii="宋体" w:hAnsi="宋体" w:cs="宋体"/>
          <w:color w:val="000000"/>
          <w:kern w:val="0"/>
          <w:szCs w:val="21"/>
          <w:highlight w:val="yellow"/>
        </w:rPr>
        <w:t>1.健康乡镇现场评估表采取百分制，现场评估达到70分及以上，认为达到健康乡镇标准。</w:t>
      </w:r>
    </w:p>
    <w:p>
      <w:pPr>
        <w:widowControl/>
        <w:jc w:val="left"/>
        <w:rPr>
          <w:rFonts w:hint="eastAsia" w:ascii="宋体" w:hAnsi="宋体" w:cs="宋体"/>
          <w:color w:val="000000"/>
          <w:kern w:val="0"/>
          <w:szCs w:val="21"/>
          <w:highlight w:val="yellow"/>
        </w:rPr>
      </w:pPr>
      <w:r>
        <w:rPr>
          <w:rFonts w:hint="eastAsia" w:ascii="宋体" w:hAnsi="宋体" w:cs="宋体"/>
          <w:color w:val="000000"/>
          <w:kern w:val="0"/>
          <w:szCs w:val="21"/>
          <w:highlight w:val="yellow"/>
        </w:rPr>
        <w:t>2.本规范适用于全省各乡镇</w:t>
      </w:r>
      <w:r>
        <w:rPr>
          <w:rFonts w:hint="eastAsia" w:ascii="宋体" w:hAnsi="宋体" w:cs="宋体"/>
          <w:color w:val="000000"/>
          <w:kern w:val="0"/>
          <w:szCs w:val="21"/>
          <w:highlight w:val="yellow"/>
          <w:lang w:eastAsia="zh-CN"/>
        </w:rPr>
        <w:t>（</w:t>
      </w:r>
      <w:r>
        <w:rPr>
          <w:rFonts w:hint="eastAsia" w:ascii="宋体" w:hAnsi="宋体" w:cs="宋体"/>
          <w:color w:val="000000"/>
          <w:kern w:val="0"/>
          <w:szCs w:val="21"/>
          <w:highlight w:val="yellow"/>
        </w:rPr>
        <w:t>街道</w:t>
      </w:r>
      <w:r>
        <w:rPr>
          <w:rFonts w:hint="eastAsia" w:ascii="宋体" w:hAnsi="宋体" w:cs="宋体"/>
          <w:color w:val="000000"/>
          <w:kern w:val="0"/>
          <w:szCs w:val="21"/>
          <w:highlight w:val="yellow"/>
          <w:lang w:eastAsia="zh-CN"/>
        </w:rPr>
        <w:t>）</w:t>
      </w:r>
      <w:r>
        <w:rPr>
          <w:rFonts w:hint="eastAsia" w:ascii="宋体" w:hAnsi="宋体" w:cs="宋体"/>
          <w:color w:val="000000"/>
          <w:kern w:val="0"/>
          <w:szCs w:val="21"/>
          <w:highlight w:val="yellow"/>
        </w:rPr>
        <w:t xml:space="preserve">参照使用。 </w:t>
      </w:r>
    </w:p>
    <w:p>
      <w:pPr>
        <w:rPr>
          <w:rFonts w:hint="eastAsia" w:ascii="宋体" w:hAnsi="宋体" w:eastAsia="宋体"/>
          <w:b/>
          <w:sz w:val="44"/>
        </w:rPr>
      </w:pPr>
      <w:r>
        <w:rPr>
          <w:rFonts w:hint="eastAsia" w:ascii="宋体" w:hAnsi="宋体" w:eastAsia="宋体"/>
          <w:b/>
          <w:sz w:val="44"/>
        </w:rPr>
        <w:br w:type="page"/>
      </w:r>
    </w:p>
    <w:tbl>
      <w:tblPr>
        <w:tblStyle w:val="7"/>
        <w:tblW w:w="15295" w:type="dxa"/>
        <w:jc w:val="center"/>
        <w:tblLayout w:type="fixed"/>
        <w:tblCellMar>
          <w:top w:w="0" w:type="dxa"/>
          <w:left w:w="108" w:type="dxa"/>
          <w:bottom w:w="0" w:type="dxa"/>
          <w:right w:w="108" w:type="dxa"/>
        </w:tblCellMar>
      </w:tblPr>
      <w:tblGrid>
        <w:gridCol w:w="1496"/>
        <w:gridCol w:w="1440"/>
        <w:gridCol w:w="4590"/>
        <w:gridCol w:w="769"/>
        <w:gridCol w:w="4706"/>
        <w:gridCol w:w="1205"/>
        <w:gridCol w:w="1089"/>
      </w:tblGrid>
      <w:tr>
        <w:tblPrEx>
          <w:tblCellMar>
            <w:top w:w="0" w:type="dxa"/>
            <w:left w:w="108" w:type="dxa"/>
            <w:bottom w:w="0" w:type="dxa"/>
            <w:right w:w="108" w:type="dxa"/>
          </w:tblCellMar>
        </w:tblPrEx>
        <w:trPr>
          <w:trHeight w:val="569" w:hRule="atLeast"/>
          <w:jc w:val="center"/>
        </w:trPr>
        <w:tc>
          <w:tcPr>
            <w:tcW w:w="15295" w:type="dxa"/>
            <w:gridSpan w:val="7"/>
            <w:tcBorders>
              <w:top w:val="nil"/>
              <w:left w:val="nil"/>
              <w:bottom w:val="nil"/>
              <w:right w:val="nil"/>
            </w:tcBorders>
            <w:shd w:val="clear" w:color="auto" w:fill="auto"/>
            <w:noWrap/>
            <w:vAlign w:val="center"/>
          </w:tcPr>
          <w:p>
            <w:pPr>
              <w:jc w:val="center"/>
              <w:rPr>
                <w:rFonts w:ascii="宋体" w:hAnsi="宋体" w:cs="宋体"/>
                <w:b/>
                <w:bCs/>
                <w:color w:val="000000"/>
                <w:kern w:val="0"/>
                <w:sz w:val="48"/>
                <w:szCs w:val="48"/>
              </w:rPr>
            </w:pPr>
            <w:r>
              <w:rPr>
                <w:rFonts w:hint="eastAsia" w:ascii="宋体" w:hAnsi="宋体" w:eastAsia="宋体"/>
                <w:b/>
                <w:sz w:val="44"/>
              </w:rPr>
              <w:br w:type="page"/>
            </w:r>
            <w:r>
              <w:rPr>
                <w:rFonts w:hint="eastAsia" w:ascii="宋体" w:hAnsi="宋体" w:cs="宋体"/>
                <w:b/>
                <w:bCs/>
                <w:color w:val="000000"/>
                <w:kern w:val="0"/>
                <w:sz w:val="48"/>
                <w:szCs w:val="48"/>
              </w:rPr>
              <w:t>贵州省健康社区建设现场评分表</w:t>
            </w:r>
            <w:r>
              <w:rPr>
                <w:rFonts w:hint="eastAsia" w:ascii="宋体" w:hAnsi="宋体" w:cs="宋体"/>
                <w:b/>
                <w:bCs/>
                <w:color w:val="000000"/>
                <w:kern w:val="0"/>
                <w:sz w:val="44"/>
                <w:szCs w:val="44"/>
              </w:rPr>
              <w:t>（2023版）</w:t>
            </w:r>
          </w:p>
        </w:tc>
      </w:tr>
      <w:tr>
        <w:tblPrEx>
          <w:tblCellMar>
            <w:top w:w="0" w:type="dxa"/>
            <w:left w:w="108" w:type="dxa"/>
            <w:bottom w:w="0" w:type="dxa"/>
            <w:right w:w="108" w:type="dxa"/>
          </w:tblCellMar>
        </w:tblPrEx>
        <w:trPr>
          <w:trHeight w:val="339" w:hRule="atLeast"/>
          <w:jc w:val="center"/>
        </w:trPr>
        <w:tc>
          <w:tcPr>
            <w:tcW w:w="15295" w:type="dxa"/>
            <w:gridSpan w:val="7"/>
            <w:tcBorders>
              <w:top w:val="nil"/>
              <w:left w:val="nil"/>
              <w:bottom w:val="nil"/>
              <w:right w:val="nil"/>
            </w:tcBorders>
            <w:shd w:val="clear" w:color="auto" w:fill="auto"/>
            <w:noWrap w:val="0"/>
            <w:vAlign w:val="center"/>
          </w:tcPr>
          <w:p>
            <w:pPr>
              <w:widowControl/>
              <w:jc w:val="both"/>
              <w:rPr>
                <w:rFonts w:ascii="宋体" w:hAnsi="宋体" w:cs="宋体"/>
                <w:b/>
                <w:bCs/>
                <w:color w:val="000000"/>
                <w:kern w:val="0"/>
                <w:sz w:val="28"/>
                <w:szCs w:val="28"/>
              </w:rPr>
            </w:pPr>
            <w:r>
              <w:rPr>
                <w:rFonts w:ascii="宋体" w:hAnsi="宋体" w:cs="宋体"/>
                <w:b/>
                <w:bCs/>
                <w:color w:val="000000"/>
                <w:kern w:val="0"/>
                <w:sz w:val="28"/>
              </w:rPr>
              <w:t xml:space="preserve">市（州）： </w:t>
            </w:r>
            <w:r>
              <w:rPr>
                <w:rFonts w:ascii="宋体" w:hAnsi="宋体" w:cs="宋体"/>
                <w:b/>
                <w:bCs/>
                <w:color w:val="000000"/>
                <w:kern w:val="0"/>
                <w:sz w:val="28"/>
                <w:u w:val="single"/>
              </w:rPr>
              <w:t xml:space="preserve">           </w:t>
            </w:r>
            <w:r>
              <w:rPr>
                <w:rFonts w:ascii="宋体" w:hAnsi="宋体" w:cs="宋体"/>
                <w:b/>
                <w:bCs/>
                <w:color w:val="000000"/>
                <w:kern w:val="0"/>
                <w:sz w:val="28"/>
              </w:rPr>
              <w:t xml:space="preserve">   县（市、区）：</w:t>
            </w:r>
            <w:r>
              <w:rPr>
                <w:rFonts w:ascii="宋体" w:hAnsi="宋体" w:cs="宋体"/>
                <w:b/>
                <w:bCs/>
                <w:color w:val="000000"/>
                <w:kern w:val="0"/>
                <w:sz w:val="28"/>
                <w:u w:val="single"/>
              </w:rPr>
              <w:t xml:space="preserve">                </w:t>
            </w:r>
            <w:r>
              <w:rPr>
                <w:rFonts w:ascii="宋体" w:hAnsi="宋体" w:cs="宋体"/>
                <w:b/>
                <w:bCs/>
                <w:color w:val="000000"/>
                <w:kern w:val="0"/>
                <w:sz w:val="28"/>
              </w:rPr>
              <w:t xml:space="preserve">    社区： </w:t>
            </w:r>
            <w:r>
              <w:rPr>
                <w:rFonts w:ascii="宋体" w:hAnsi="宋体" w:cs="宋体"/>
                <w:b/>
                <w:bCs/>
                <w:color w:val="000000"/>
                <w:kern w:val="0"/>
                <w:sz w:val="28"/>
                <w:u w:val="single"/>
              </w:rPr>
              <w:t xml:space="preserve">               </w:t>
            </w:r>
            <w:r>
              <w:rPr>
                <w:rFonts w:ascii="宋体" w:hAnsi="宋体" w:cs="宋体"/>
                <w:b/>
                <w:bCs/>
                <w:color w:val="000000"/>
                <w:kern w:val="0"/>
                <w:sz w:val="28"/>
              </w:rPr>
              <w:t xml:space="preserve">  评估时间：</w:t>
            </w:r>
            <w:r>
              <w:rPr>
                <w:rFonts w:ascii="宋体" w:hAnsi="宋体" w:cs="宋体"/>
                <w:b/>
                <w:bCs/>
                <w:color w:val="000000"/>
                <w:kern w:val="0"/>
                <w:sz w:val="28"/>
                <w:u w:val="single"/>
              </w:rPr>
              <w:t xml:space="preserve">                  </w:t>
            </w:r>
          </w:p>
        </w:tc>
      </w:tr>
      <w:tr>
        <w:tblPrEx>
          <w:tblCellMar>
            <w:top w:w="0" w:type="dxa"/>
            <w:left w:w="108" w:type="dxa"/>
            <w:bottom w:w="0" w:type="dxa"/>
            <w:right w:w="108" w:type="dxa"/>
          </w:tblCellMar>
        </w:tblPrEx>
        <w:trPr>
          <w:trHeight w:val="339" w:hRule="atLeast"/>
          <w:jc w:val="center"/>
        </w:trPr>
        <w:tc>
          <w:tcPr>
            <w:tcW w:w="14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一级指标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二级指标</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指标内容</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权重</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评分标准</w:t>
            </w: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考核办法</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得分</w:t>
            </w:r>
          </w:p>
        </w:tc>
      </w:tr>
      <w:tr>
        <w:tblPrEx>
          <w:tblCellMar>
            <w:top w:w="0" w:type="dxa"/>
            <w:left w:w="108" w:type="dxa"/>
            <w:bottom w:w="0" w:type="dxa"/>
            <w:right w:w="108" w:type="dxa"/>
          </w:tblCellMar>
        </w:tblPrEx>
        <w:trPr>
          <w:trHeight w:val="560" w:hRule="atLeast"/>
          <w:jc w:val="center"/>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一、组织管理</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1.党支部领导</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（1）成立社区党支部书记牵头的领导小组。</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未成立领导小组扣2分（提供文件资料）</w:t>
            </w: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9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（2）建立公共卫生委员会，指定专人负责健康社区建设工作。</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未建立委员会扣1分，无专人负责扣1分（提供文件资料）。</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rPr>
          <w:trHeight w:val="904"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2.协调机制</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（1）采取召开全体居民大会、倡议书入户、户外公共牌等形式，倡导辖区各单位和家庭户积极参与健康社区建设。</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全体村民大会、倡议书入户、户外公共牌少一种扣0.8分。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8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（2）充分发挥社区工作者、社区卫生服务站工作人员等的作用，动员社会组织、社会工作者、志愿者和社区居民等积极参与健康社区建设。每年召开工作例会不少于4次。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未召工作开例会不得分，例会每少1次扣0.5分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7"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3.规章制度</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（1）将健康社区建设纳入社区发展规划。</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未纳入社区发展规划扣2分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8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（2）制定健康社区建设的规章制度和措施。</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无规章制度和措施各扣1分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04"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4.组织实施</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（1）对居民健康状况及其影响因素进行分析评估，明确主要健康问题及其影响因素，制定年度工作计划。</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根据乡镇的健康影响评价报告，明确社区居民的主要健康问题及其影响因素各占0.5分，有年度干预计划占1分，无相应内容扣分。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（2）定期对建设效果进行评估。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无评估报告扣1分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16"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（3）健康社区建设负责人每年接受健康促进培训。</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提供接受乡镇及以上培训资料、图片，无扣1分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9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（4）建设的文字、图片、实物等过程资料齐全、整理规范。有工作总结且结构合理、内容详实。</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建设的文字、图片、实物等过程资料齐全、整理规范，得0.5分。有工作总结结构合理、内容详实得0.5分。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（5）探索引入人工智能和大数据应用技术及产品， 利用信息化手段提升健康社区建设水平。</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未引入人工智能和大数据应用技术及产品，利用信息化手段提升健康社区建设水平扣1分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73" w:hRule="atLeast"/>
          <w:jc w:val="center"/>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二、健康环境</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1440" w:type="dxa"/>
            <w:vMerge w:val="restart"/>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1.基础建设</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（1）社区内道路清洁平整、无积水,建筑立面、楼道等区域干净整洁。堤坡整洁且无乱搭乱建。</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现场查看一项不符合扣0.2分</w:t>
            </w: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r>
              <w:rPr>
                <w:rFonts w:hint="eastAsia" w:ascii="宋体" w:hAnsi="宋体" w:cs="宋体"/>
                <w:color w:val="000000"/>
                <w:kern w:val="0"/>
                <w:sz w:val="24"/>
              </w:rPr>
              <w:br w:type="textWrapping"/>
            </w:r>
            <w:r>
              <w:rPr>
                <w:rFonts w:hint="eastAsia" w:ascii="宋体" w:hAnsi="宋体" w:cs="宋体"/>
                <w:color w:val="000000"/>
                <w:kern w:val="0"/>
                <w:sz w:val="24"/>
              </w:rPr>
              <w:t>现场查看</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1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（2）社区绿化、运动场所能够满足居民休闲、运动等需求。</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现场查看不符合扣1分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（3）社区内各单位和居民住宅的消防设施齐全、完好, 消防通道通畅。</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现场查看发现消防设施不齐、消防通道不畅通扣1分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97"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 xml:space="preserve">（4）社区道路和设施安全状况良好,车辆停放有序。 </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现场查看社区道路和设施有安全隐患扣0.5分，车辆乱停乱放扣0.5分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1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（5）在易发生跌落、触电、溺水等伤害的区域设置安全标志和保护设施。</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现场查看，易发生跌落、触电、溺水等伤害的区域发现未设置安全标志和保护措施扣1分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4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（6）定期组织防震减灾和急救等应急培训。</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未组织防震减灾或急救等应急培训扣1分，需提供培训资料</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6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（7）加强社区公共基础设施无障碍建设,方便老年人、残疾人出行。有条件的地方积极开展居家适老化改造。建设与常住人口规模相适应的婴幼儿活动场所及配套服务设施。</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无无障碍设施扣0.5分，无婴幼儿活动场所及配套服务设施扣0.5分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69"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（8）在居民集中活动场所附近设置公共厕所。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居民集中活动场所附近未设置公共厕所扣1分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76"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（9）公共厕所的建设和管理达到国家和地方相关标准要求。</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现场查看公厕卫生状况不良有明显异味、污渍扣0.5分，未分区设置男女厕位、残疾人厕位、洗手区域扣0.5分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0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2.环境质量</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（1）社区声环境良好,无固定噪声源干扰周围生活环境或得到有效治理。</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现场查看社区声环境不佳，有固定噪声源干扰周围生活环境扣1分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1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（2）管网末梢水的水质检测达到生活饮用水国家标准要求。</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提供管网末梢水的水质检测评估合格报告，无或不符合国家标准扣1分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（3）社区内河塘沟渠等水体没有"黑臭"现象。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现场查看社区内河塘沟渠等水体有"黑臭"现象扣1分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2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（4）居民文明饲养禽畜宠物,及时清理粪便,定期体检驱虫,预防人畜共患病。</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现场查看，有无遛狗不系狗绳，马路边有无宠物粪便，一项扣0.5分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29"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nil"/>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（5）鼠、蚊、蝇、嶂螂的密度达到国家病媒生物密度控制要求。</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没有开展“四害”防制工作扣0.5分；缺少一类病媒生物密度自我监测报告扣0.25分；缺少一类病媒生物密度相关部门给出的C等以上监测报告扣0.25分。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94"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3.垃圾处理</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（1）建立生活垃圾分类制度,推行生活垃圾分类投放、分类收集、分类运输、分类处理。</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无生活垃圾分类制度扣0.5分，生活垃圾分类投放、分类收集、分类运输、分类处理，一项不符合扣0.2分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3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（2）合理布局居住社区的生活垃圾分类投放容器、箱房、桶站等设施设备,生活垃圾日产日清，保持清洁。</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现场查看社区生活垃圾投放容器布局合理0.5分，生活垃圾日产日清0.5分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68"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（3）社区环境干净整洁,居民房前屋后和社区巷道无积存垃圾和塑料袋等白色垃圾。</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现场查看社区环境干净整洁,居民房前屋后和社区巷道有积存垃圾和塑料袋等白色垃圾扣1分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47"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4.食品安全</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（1）加强食品安全监督管理,社区内食品生产经营单位内外环境卫生整洁，安装使用油烟净化装置并达标排放,合理设置排烟口。</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现场查看环境不整洁扣0.5分，油烟净化装置、排烟口未规范设置扣0.5分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951"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（2）积极推行明厨亮灶,食品采购、储存、加工制作和销售符合食品安全相关要求，对无固定经营场所的食品摊贩实行统一管理。</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无明厨亮灶扣0.2分，采购、储存、加工制工作和销售环节一项不符合食品安全相关要求扣0.2分，对无固定经营场所的食品摊贩未实行统一管理扣0.2分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97"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（3）无贩卖、制售、食用野生动物现象。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现场查看、询问发现贩卖、制售、食用野生动物现象扣1分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627" w:hRule="atLeast"/>
          <w:jc w:val="center"/>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三、健康服务</w:t>
            </w:r>
            <w:r>
              <w:rPr>
                <w:rFonts w:hint="eastAsia" w:ascii="宋体" w:hAnsi="宋体" w:cs="宋体"/>
                <w:color w:val="000000"/>
                <w:kern w:val="0"/>
                <w:sz w:val="24"/>
              </w:rPr>
              <w:br w:type="textWrapping"/>
            </w:r>
            <w:r>
              <w:rPr>
                <w:rFonts w:hint="eastAsia" w:ascii="宋体" w:hAnsi="宋体" w:cs="宋体"/>
                <w:color w:val="000000"/>
                <w:kern w:val="0"/>
                <w:sz w:val="24"/>
              </w:rPr>
              <w:t>（28分）</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1.基本服务</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（1）建有标准化的社区卫生服务站(或在社区卫生服务中心服务范围内),提供预防、保健、健康教育和常见病、多发病的诊疗以及部分疾病的康复、护理等基本医疗卫生服务。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卫生室四室（诊断、治疗、药房、公共卫生），一项不标准扣0.5分；预防、保健、健康教育和常见病、多发病的诊疗、部分疾病的康复、护理等基本医疗卫生服务一项不能提供扣0.2分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59"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（2）推进家庭医生签约服务。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未开展家签服务扣1分，近三年签约率未逐年提升扣1分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499"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（3）鼓励设立居民健康自助检测点或建设健康小屋。在有条件的社区医疗卫生机构中设立科学健身门诊,推广常见慢性病运动干预项目和方法。</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未设立居民健康自助检测点或健康小屋扣1分，未设立科学健身门诊，推广常见慢性病运动干预项目和方法扣1分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7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（4）建立健全突发公共卫生事件和重大疫情防控机制、疫情防控物资储备制度,加强医疗卫生机构能力建设,推行网 格化管理,不断提升突发事件应对能力。</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无突发公共卫生事件和重大疫情防控机制扣1分，无疫情防控物资储备制度扣1分，未推行网格化管理扣1分。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58"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2.健康教育</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（1）引导居民践行文明健康绿色环保生活方式。 鼓励成立居民健康自我管理相关的社区社会组织。</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无践行文明健康绿色环保生活方式倡议书并公示扣1分，未成立成立居民健康自我管理组织扣1分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（2）有开展健康教育工作的计划和总结。</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无计划扣1分，无总结扣1分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7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（3）开展有特色的健康教育活动。采取某种形式，为居民提供健康自测和健康指导。每年举办2次及以上、50个以上居民参与的健康教育集体活动。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未开展特色的健康教育活动扣1分，采取某种形式，为居民提供健康自测和指导占1分，每年举办50个以上居民参与的健康教育集体活动，少1次扣0.5分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11"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（4）开展健康教育和健康科普,普及健康知识和技能, 提升居民健康素养，每年开展6次及以上健康讲座或咨询。建有健康教育宣传栏并定期更新、定期发放健康教育印刷材料。</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健康知识讲座每少1次扣0.2分，健康教育宣传栏每2个月至少更换一次，少1次扣0.2分，未定期发放健康教育印刷资料扣1分。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11"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（5）传承中医药文化,普及中医药养生保健知识和方法,引导群众正确使用中医药维护自身健康。</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未开展中医药知识培训讲座扣1分，未开展中医药治疗保健等服务扣1分，提供印证资料、图片。</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58"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3.重点人群服务</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（1）发展社区养老服务和医养结合服务,为高龄、失能、行动不便等居家老年人提供家庭病床、巡诊等上门医疗服务。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未开展不得分，提供资料佐证。</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49"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（2）为留守、孤儿、事实无人抚养儿童、困境儿童等特殊儿童群体提供照护服务和医育结合服务。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未开展不得分，提供资料佐证。</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66"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（3）鼓励依托城乡社区综合服务设施建立心理咨询 (辅导)室或社会工作室(站),提供心理健康咨询、矛盾调解等服务。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未开展不得分，提供资料佐证。</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40" w:hRule="atLeast"/>
          <w:jc w:val="center"/>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四、健康文化</w:t>
            </w:r>
            <w:r>
              <w:rPr>
                <w:rFonts w:hint="eastAsia" w:ascii="宋体" w:hAnsi="宋体" w:cs="宋体"/>
                <w:color w:val="000000"/>
                <w:kern w:val="0"/>
                <w:sz w:val="24"/>
              </w:rPr>
              <w:br w:type="textWrapping"/>
            </w:r>
            <w:r>
              <w:rPr>
                <w:rFonts w:hint="eastAsia" w:ascii="宋体" w:hAnsi="宋体" w:cs="宋体"/>
                <w:color w:val="000000"/>
                <w:kern w:val="0"/>
                <w:sz w:val="24"/>
              </w:rPr>
              <w:t>（22分）</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1.健康公约</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（1）制订居民公约,将文明、健康、绿色、环保等理念和要求纳入其中,激发居民的健康意识和维护健康的主动性。</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未纳入居民公约扣1分，未进行公示扣1分。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8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2.健康家庭</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（1）有健康家庭评选工作计划和总结，有具体步骤和流程。动员、组织辖区居民参加健康家庭评选，开展针对家庭的健康活动。组织居民积极参加"健康达人"评选活动。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 xml:space="preserve">无健康家庭建设评选资料扣1分，未组织居民参加“健康达人”评选活动扣1分  </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12"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（2）现场进入一个健康家庭，评估合格。</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家庭环境清洁得1分；有健康标识和健康材料得1分；无人吸烟得1分；家庭关系和邻里关系和谐得1分；家庭膳食结构合理，冰箱内食品生熟分开，砧板菜刀生熟分开得1分。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97"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3.无烟文化</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（1）倡导无烟文化。社区内所有室内公共场所、工作场所禁止吸烟。</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发现成员在室内吸烟扣1分，室内公共场所发现烟头扣1分。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4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（2）社区主要建筑物入口处、电梯、公共厕所、会议室等区域有明显的控烟标识。</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无控烟标识扣1分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8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（3）社区内无烟草广告和促销。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有烟草广告扣1分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88"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（4）不得向未成年人销售烟酒。</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发现向未成年人销售烟酒扣1分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7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4.健身文化</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（1）倡导全民健身文化。充分利用小广场、活动室等空间,配备公共健身设施,发挥体育场馆作用,为居民提供健身服务。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无健身场所、健身设备、健康隐患，安全提示各扣0.5分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94"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（2）发挥社区文体骨干、社会体育指导员等全民健身志愿者作用,组织开展简便易行的群众性健身活动。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每年至少2次，提供佐证资料，少一次扣1分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33"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（3）鼓励建设健康(身) 步道、健康主题公园等。</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现场查看社区内设有健身步道1分，主题公园1分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85"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（4）加强对健身活动区域和时段的管理,避免干扰居民生活。</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查看社区有关制度、规定等文件资料，对社区健身活动区实施区域和时段管理得1分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29"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5.绿色环保文化</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（1）倡导绿色环保文化。鼓励节约能源,引导居民步行、自行车或公共交通出行,自带购物袋、水杯等,减少使用塑料制品、过度包装产品、一次性用品。避免高噪声行为干扰他人。</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未开展绿色环保、节约能源、低碳出行等宣传扣1分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4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（2）倡导健康消费理念,不购买、不消费假冒伪劣食品。积极推广分餐制和公筷制,大力倡导"光盘行动"。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未开展健康消费理念、分餐制、公筷制、“光盘行动”等宣传倡导扣1分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（3）鼓励驻社区单位和居民履行社会责任,积极参加无偿献血、志愿服务等社会公益活动。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村民及家庭无参加无偿献血等公益活动扣1分，提供印证资料。</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30" w:hRule="atLeast"/>
          <w:jc w:val="center"/>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（4）提倡文明婚育和安全性行为,社区内无赌博、吸毒、酗酒、卖淫嫖娼等现象和重大社会治安问题。</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乡派出所发现该村有该类问题不得分。</w:t>
            </w: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33" w:hRule="atLeast"/>
          <w:jc w:val="center"/>
        </w:trPr>
        <w:tc>
          <w:tcPr>
            <w:tcW w:w="14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szCs w:val="24"/>
              </w:rPr>
            </w:pPr>
            <w:r>
              <w:rPr>
                <w:rFonts w:hint="eastAsia" w:ascii="宋体" w:hAnsi="宋体" w:cs="宋体"/>
                <w:color w:val="000000"/>
                <w:kern w:val="0"/>
                <w:sz w:val="24"/>
                <w:szCs w:val="24"/>
              </w:rPr>
              <w:t>五、建设效果（</w:t>
            </w:r>
            <w:r>
              <w:rPr>
                <w:rFonts w:hint="eastAsia" w:ascii="宋体" w:hAnsi="宋体" w:cs="宋体"/>
                <w:color w:val="000000"/>
                <w:kern w:val="0"/>
                <w:sz w:val="24"/>
              </w:rPr>
              <w:t>10</w:t>
            </w:r>
            <w:r>
              <w:rPr>
                <w:rFonts w:hint="eastAsia" w:ascii="宋体" w:hAnsi="宋体" w:cs="宋体"/>
                <w:color w:val="000000"/>
                <w:kern w:val="0"/>
                <w:sz w:val="24"/>
                <w:szCs w:val="24"/>
              </w:rPr>
              <w:t>分）</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szCs w:val="24"/>
              </w:rPr>
            </w:pPr>
            <w:r>
              <w:rPr>
                <w:rFonts w:hint="eastAsia" w:ascii="宋体" w:hAnsi="宋体" w:cs="宋体"/>
                <w:color w:val="000000"/>
                <w:kern w:val="0"/>
                <w:sz w:val="24"/>
                <w:szCs w:val="24"/>
              </w:rPr>
              <w:t>目标人群测评</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详见目标人群测评方案。</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快速调查</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58" w:hRule="atLeast"/>
          <w:jc w:val="center"/>
        </w:trPr>
        <w:tc>
          <w:tcPr>
            <w:tcW w:w="14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合计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color w:val="000000"/>
                <w:kern w:val="0"/>
                <w:sz w:val="24"/>
                <w:szCs w:val="24"/>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100</w:t>
            </w:r>
          </w:p>
        </w:tc>
        <w:tc>
          <w:tcPr>
            <w:tcW w:w="47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bl>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keepNext w:val="0"/>
        <w:keepLines w:val="0"/>
        <w:widowControl/>
        <w:suppressLineNumbers w:val="0"/>
        <w:jc w:val="left"/>
        <w:textAlignment w:val="center"/>
        <w:rPr>
          <w:rFonts w:hint="default"/>
          <w:lang w:val="en-US" w:eastAsia="zh-CN"/>
        </w:rPr>
      </w:pPr>
      <w:r>
        <w:rPr>
          <w:rFonts w:hint="default" w:ascii="等线" w:hAnsi="等线" w:eastAsia="仿宋_GB2312" w:cs="Times New Roman"/>
          <w:i w:val="0"/>
          <w:iCs w:val="0"/>
          <w:kern w:val="2"/>
          <w:sz w:val="32"/>
          <w:szCs w:val="32"/>
          <w:u w:val="none"/>
          <w:lang w:val="en-US" w:eastAsia="zh-CN" w:bidi="ar"/>
        </w:rPr>
        <w:t>评估人员签字：</w:t>
      </w:r>
      <w:r>
        <w:rPr>
          <w:rFonts w:hint="eastAsia" w:cs="Times New Roman"/>
          <w:i w:val="0"/>
          <w:iCs w:val="0"/>
          <w:kern w:val="2"/>
          <w:sz w:val="32"/>
          <w:szCs w:val="32"/>
          <w:u w:val="none"/>
          <w:lang w:val="en-US" w:eastAsia="zh-CN" w:bidi="ar"/>
        </w:rPr>
        <w:t xml:space="preserve">                                    </w:t>
      </w:r>
      <w:r>
        <w:rPr>
          <w:rFonts w:hint="default" w:ascii="等线" w:hAnsi="等线" w:eastAsia="仿宋_GB2312" w:cs="Times New Roman"/>
          <w:i w:val="0"/>
          <w:iCs w:val="0"/>
          <w:kern w:val="2"/>
          <w:sz w:val="32"/>
          <w:szCs w:val="32"/>
          <w:u w:val="none"/>
          <w:lang w:val="en-US" w:eastAsia="zh-CN" w:bidi="ar"/>
        </w:rPr>
        <w:t>评估</w:t>
      </w:r>
      <w:r>
        <w:rPr>
          <w:rFonts w:hint="eastAsia" w:cs="Times New Roman"/>
          <w:i w:val="0"/>
          <w:iCs w:val="0"/>
          <w:kern w:val="2"/>
          <w:sz w:val="32"/>
          <w:szCs w:val="32"/>
          <w:u w:val="none"/>
          <w:lang w:val="en-US" w:eastAsia="zh-CN" w:bidi="ar"/>
        </w:rPr>
        <w:t>时间：</w:t>
      </w: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32"/>
        </w:rPr>
      </w:pPr>
      <w:r>
        <w:rPr>
          <w:rFonts w:hint="eastAsia" w:ascii="宋体" w:hAnsi="宋体" w:cs="宋体"/>
          <w:color w:val="000000"/>
          <w:kern w:val="0"/>
          <w:sz w:val="32"/>
        </w:rPr>
        <w:t>说明：</w:t>
      </w:r>
    </w:p>
    <w:p>
      <w:pPr>
        <w:widowControl/>
        <w:jc w:val="left"/>
        <w:rPr>
          <w:rFonts w:ascii="宋体" w:hAnsi="宋体" w:cs="宋体"/>
          <w:color w:val="000000"/>
          <w:kern w:val="0"/>
          <w:sz w:val="32"/>
          <w:szCs w:val="32"/>
        </w:rPr>
      </w:pPr>
      <w:r>
        <w:rPr>
          <w:rFonts w:hint="eastAsia" w:ascii="宋体" w:hAnsi="宋体" w:cs="宋体"/>
          <w:color w:val="000000"/>
          <w:kern w:val="0"/>
          <w:sz w:val="32"/>
        </w:rPr>
        <w:t>1.本规范所指社区是指聚居在一定地域范围内的人们所组成的社会生活共同体,一般是指经过社区体制改革后作了规模调整</w:t>
      </w:r>
      <w:r>
        <w:rPr>
          <w:rFonts w:hint="eastAsia" w:ascii="宋体" w:hAnsi="宋体" w:cs="宋体"/>
          <w:color w:val="000000"/>
          <w:kern w:val="0"/>
          <w:sz w:val="32"/>
        </w:rPr>
        <w:br w:type="textWrapping"/>
      </w:r>
      <w:r>
        <w:rPr>
          <w:rFonts w:hint="eastAsia" w:ascii="宋体" w:hAnsi="宋体" w:cs="宋体"/>
          <w:color w:val="000000"/>
          <w:kern w:val="0"/>
          <w:sz w:val="32"/>
        </w:rPr>
        <w:t>的居民委员会辖区。</w:t>
      </w:r>
    </w:p>
    <w:p>
      <w:pPr>
        <w:widowControl/>
        <w:jc w:val="left"/>
        <w:rPr>
          <w:rFonts w:ascii="宋体" w:hAnsi="宋体" w:cs="宋体"/>
          <w:color w:val="000000"/>
          <w:kern w:val="0"/>
          <w:sz w:val="32"/>
          <w:szCs w:val="32"/>
        </w:rPr>
      </w:pPr>
      <w:r>
        <w:rPr>
          <w:rFonts w:hint="eastAsia" w:ascii="宋体" w:hAnsi="宋体" w:cs="宋体"/>
          <w:color w:val="000000"/>
          <w:kern w:val="0"/>
          <w:sz w:val="32"/>
        </w:rPr>
        <w:t>2.健康社区现场评估表采取百分制，现场评估达到70分及以上，认为达到健康社区标准。</w:t>
      </w:r>
    </w:p>
    <w:p>
      <w:pPr>
        <w:rPr>
          <w:rFonts w:hint="eastAsia" w:ascii="宋体" w:hAnsi="宋体" w:eastAsia="宋体"/>
          <w:b/>
          <w:sz w:val="44"/>
        </w:rPr>
      </w:pPr>
      <w:r>
        <w:rPr>
          <w:rFonts w:hint="eastAsia" w:ascii="宋体" w:hAnsi="宋体" w:eastAsia="宋体"/>
          <w:b/>
          <w:sz w:val="44"/>
        </w:rPr>
        <w:br w:type="page"/>
      </w:r>
    </w:p>
    <w:tbl>
      <w:tblPr>
        <w:tblStyle w:val="7"/>
        <w:tblW w:w="15241" w:type="dxa"/>
        <w:jc w:val="center"/>
        <w:tblLayout w:type="fixed"/>
        <w:tblCellMar>
          <w:top w:w="0" w:type="dxa"/>
          <w:left w:w="108" w:type="dxa"/>
          <w:bottom w:w="0" w:type="dxa"/>
          <w:right w:w="108" w:type="dxa"/>
        </w:tblCellMar>
      </w:tblPr>
      <w:tblGrid>
        <w:gridCol w:w="1435"/>
        <w:gridCol w:w="1435"/>
        <w:gridCol w:w="4406"/>
        <w:gridCol w:w="1096"/>
        <w:gridCol w:w="4302"/>
        <w:gridCol w:w="1255"/>
        <w:gridCol w:w="1312"/>
      </w:tblGrid>
      <w:tr>
        <w:tblPrEx>
          <w:tblCellMar>
            <w:top w:w="0" w:type="dxa"/>
            <w:left w:w="108" w:type="dxa"/>
            <w:bottom w:w="0" w:type="dxa"/>
            <w:right w:w="108" w:type="dxa"/>
          </w:tblCellMar>
        </w:tblPrEx>
        <w:trPr>
          <w:trHeight w:val="611" w:hRule="atLeast"/>
          <w:jc w:val="center"/>
        </w:trPr>
        <w:tc>
          <w:tcPr>
            <w:tcW w:w="15241" w:type="dxa"/>
            <w:gridSpan w:val="7"/>
            <w:tcBorders>
              <w:top w:val="nil"/>
              <w:left w:val="nil"/>
              <w:bottom w:val="nil"/>
              <w:right w:val="nil"/>
            </w:tcBorders>
            <w:shd w:val="clear" w:color="auto" w:fill="auto"/>
            <w:noWrap/>
            <w:vAlign w:val="center"/>
          </w:tcPr>
          <w:p>
            <w:pPr>
              <w:jc w:val="center"/>
              <w:rPr>
                <w:rFonts w:ascii="宋体" w:hAnsi="宋体" w:cs="宋体"/>
                <w:b/>
                <w:bCs/>
                <w:color w:val="000000"/>
                <w:kern w:val="0"/>
                <w:sz w:val="48"/>
                <w:szCs w:val="48"/>
              </w:rPr>
            </w:pPr>
            <w:r>
              <w:rPr>
                <w:rFonts w:hint="eastAsia" w:ascii="宋体" w:hAnsi="宋体" w:eastAsia="宋体"/>
                <w:b/>
                <w:sz w:val="44"/>
              </w:rPr>
              <w:br w:type="page"/>
            </w:r>
            <w:r>
              <w:rPr>
                <w:rFonts w:hint="eastAsia" w:ascii="宋体" w:hAnsi="宋体" w:cs="宋体"/>
                <w:b/>
                <w:bCs/>
                <w:color w:val="000000"/>
                <w:kern w:val="0"/>
                <w:sz w:val="48"/>
                <w:szCs w:val="48"/>
              </w:rPr>
              <w:t>贵州省健康村建设现场评分表（2023版）</w:t>
            </w:r>
          </w:p>
        </w:tc>
      </w:tr>
      <w:tr>
        <w:tblPrEx>
          <w:tblCellMar>
            <w:top w:w="0" w:type="dxa"/>
            <w:left w:w="108" w:type="dxa"/>
            <w:bottom w:w="0" w:type="dxa"/>
            <w:right w:w="108" w:type="dxa"/>
          </w:tblCellMar>
        </w:tblPrEx>
        <w:trPr>
          <w:trHeight w:val="441" w:hRule="atLeast"/>
          <w:jc w:val="center"/>
        </w:trPr>
        <w:tc>
          <w:tcPr>
            <w:tcW w:w="15241" w:type="dxa"/>
            <w:gridSpan w:val="7"/>
            <w:tcBorders>
              <w:top w:val="nil"/>
              <w:left w:val="nil"/>
              <w:bottom w:val="nil"/>
              <w:right w:val="nil"/>
            </w:tcBorders>
            <w:shd w:val="clear" w:color="auto" w:fill="auto"/>
            <w:noWrap/>
            <w:vAlign w:val="center"/>
          </w:tcPr>
          <w:p>
            <w:pPr>
              <w:widowControl/>
              <w:jc w:val="center"/>
              <w:rPr>
                <w:rFonts w:ascii="黑体" w:hAnsi="黑体" w:eastAsia="黑体" w:cs="宋体"/>
                <w:b/>
                <w:bCs/>
                <w:color w:val="000000"/>
                <w:kern w:val="0"/>
                <w:sz w:val="28"/>
                <w:szCs w:val="28"/>
              </w:rPr>
            </w:pPr>
            <w:r>
              <w:rPr>
                <w:rFonts w:ascii="黑体" w:hAnsi="黑体" w:eastAsia="黑体" w:cs="宋体"/>
                <w:b/>
                <w:bCs/>
                <w:color w:val="000000"/>
                <w:kern w:val="0"/>
                <w:sz w:val="28"/>
              </w:rPr>
              <w:t>市（州）：</w:t>
            </w:r>
            <w:r>
              <w:rPr>
                <w:rFonts w:ascii="黑体" w:hAnsi="黑体" w:eastAsia="黑体" w:cs="宋体"/>
                <w:b/>
                <w:bCs/>
                <w:color w:val="000000"/>
                <w:kern w:val="0"/>
                <w:sz w:val="28"/>
                <w:u w:val="single"/>
              </w:rPr>
              <w:t xml:space="preserve">              </w:t>
            </w:r>
            <w:r>
              <w:rPr>
                <w:rFonts w:ascii="黑体" w:hAnsi="黑体" w:eastAsia="黑体" w:cs="宋体"/>
                <w:b/>
                <w:bCs/>
                <w:color w:val="000000"/>
                <w:kern w:val="0"/>
                <w:sz w:val="28"/>
              </w:rPr>
              <w:t xml:space="preserve"> 县（市、区）： </w:t>
            </w:r>
            <w:r>
              <w:rPr>
                <w:rFonts w:ascii="黑体" w:hAnsi="黑体" w:eastAsia="黑体" w:cs="宋体"/>
                <w:b/>
                <w:bCs/>
                <w:color w:val="000000"/>
                <w:kern w:val="0"/>
                <w:sz w:val="28"/>
                <w:u w:val="single"/>
              </w:rPr>
              <w:t xml:space="preserve">               </w:t>
            </w:r>
            <w:r>
              <w:rPr>
                <w:rFonts w:ascii="黑体" w:hAnsi="黑体" w:eastAsia="黑体" w:cs="宋体"/>
                <w:b/>
                <w:bCs/>
                <w:color w:val="000000"/>
                <w:kern w:val="0"/>
                <w:sz w:val="28"/>
              </w:rPr>
              <w:t xml:space="preserve">       村：</w:t>
            </w:r>
            <w:r>
              <w:rPr>
                <w:rFonts w:ascii="黑体" w:hAnsi="黑体" w:eastAsia="黑体" w:cs="宋体"/>
                <w:b/>
                <w:bCs/>
                <w:color w:val="000000"/>
                <w:kern w:val="0"/>
                <w:sz w:val="28"/>
                <w:u w:val="single"/>
              </w:rPr>
              <w:t xml:space="preserve">               </w:t>
            </w:r>
            <w:r>
              <w:rPr>
                <w:rFonts w:ascii="黑体" w:hAnsi="黑体" w:eastAsia="黑体" w:cs="宋体"/>
                <w:b/>
                <w:bCs/>
                <w:color w:val="000000"/>
                <w:kern w:val="0"/>
                <w:sz w:val="28"/>
              </w:rPr>
              <w:t xml:space="preserve">   评估时间：</w:t>
            </w:r>
            <w:r>
              <w:rPr>
                <w:rFonts w:ascii="黑体" w:hAnsi="黑体" w:eastAsia="黑体" w:cs="宋体"/>
                <w:b/>
                <w:bCs/>
                <w:color w:val="000000"/>
                <w:kern w:val="0"/>
                <w:sz w:val="28"/>
                <w:u w:val="single"/>
              </w:rPr>
              <w:t xml:space="preserve">                   </w:t>
            </w:r>
            <w:r>
              <w:rPr>
                <w:rFonts w:ascii="黑体" w:hAnsi="黑体" w:eastAsia="黑体" w:cs="宋体"/>
                <w:b/>
                <w:bCs/>
                <w:color w:val="000000"/>
                <w:kern w:val="0"/>
                <w:sz w:val="28"/>
              </w:rPr>
              <w:t xml:space="preserve">  .</w:t>
            </w:r>
          </w:p>
        </w:tc>
      </w:tr>
      <w:tr>
        <w:tblPrEx>
          <w:tblCellMar>
            <w:top w:w="0" w:type="dxa"/>
            <w:left w:w="108" w:type="dxa"/>
            <w:bottom w:w="0" w:type="dxa"/>
            <w:right w:w="108" w:type="dxa"/>
          </w:tblCellMar>
        </w:tblPrEx>
        <w:trPr>
          <w:trHeight w:val="624"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一级指标</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二级指标</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指标类容</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权重</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评分标准</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考核办法</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center"/>
              <w:rPr>
                <w:rFonts w:ascii="宋体" w:hAnsi="宋体" w:cs="宋体"/>
                <w:b/>
                <w:bCs/>
                <w:color w:val="000000"/>
                <w:kern w:val="0"/>
                <w:sz w:val="24"/>
                <w:szCs w:val="24"/>
              </w:rPr>
            </w:pPr>
            <w:r>
              <w:rPr>
                <w:rFonts w:hint="eastAsia" w:ascii="宋体" w:hAnsi="宋体" w:cs="宋体"/>
                <w:b/>
                <w:bCs/>
                <w:color w:val="000000"/>
                <w:kern w:val="0"/>
                <w:sz w:val="24"/>
                <w:szCs w:val="24"/>
              </w:rPr>
              <w:t>得分</w:t>
            </w:r>
          </w:p>
        </w:tc>
      </w:tr>
      <w:tr>
        <w:tblPrEx>
          <w:tblCellMar>
            <w:top w:w="0" w:type="dxa"/>
            <w:left w:w="108" w:type="dxa"/>
            <w:bottom w:w="0" w:type="dxa"/>
            <w:right w:w="108" w:type="dxa"/>
          </w:tblCellMar>
        </w:tblPrEx>
        <w:trPr>
          <w:trHeight w:val="391" w:hRule="atLeast"/>
          <w:jc w:val="center"/>
        </w:trPr>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一、组织管理</w:t>
            </w:r>
            <w:r>
              <w:rPr>
                <w:rFonts w:hint="eastAsia" w:ascii="宋体" w:hAnsi="宋体" w:cs="宋体"/>
                <w:color w:val="000000"/>
                <w:kern w:val="0"/>
                <w:sz w:val="24"/>
              </w:rPr>
              <w:br w:type="textWrapping"/>
            </w:r>
            <w:r>
              <w:rPr>
                <w:rFonts w:hint="eastAsia" w:ascii="宋体" w:hAnsi="宋体" w:cs="宋体"/>
                <w:color w:val="000000"/>
                <w:kern w:val="0"/>
                <w:sz w:val="24"/>
              </w:rPr>
              <w:t>（13分）</w:t>
            </w: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1.党支部领导</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（1）成立村党支部书记牵头的领导小组。</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未成立领导小组扣1分（提供文件资料）</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（2）建立公共卫生委员会，指定专人负责健康村建设工作。</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未建立委员会扣0.5分，无专人负责扣0.5分（提供文件资料）。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2.协调机制</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（1）采取召开全体村民大会、倡议书入户、户外公共牌等形式，倡导辖区各单位和家庭户积极参与健康村建设。</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全体村民大会、倡议书入户、户外公共牌少一种扣0.4分。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72"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（2）充分发挥村组干部、家庭医生团队等的作用，动员社会组织、志愿者和村民等积极参与健康村建设。每年召开工作例会不少于4次。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未召工作开例会不得分，例会每少1次扣0.5分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3.规章制度</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（1）将健康村建设纳入村发展规划。</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无规划不得分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85"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（2）制定健康村建设的规章制度和措施。</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规章制度和措施各占0.5分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（3）制定村健康公约。</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未制定不得分，公约未公示扣0.5分。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46"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4.组织实施</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（1）针对居民主要健康问题及其影响因素，制定年度干预计划。</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根据乡镇的健康影响评价报告，明确村民的主要健康问题及其影响因素各占0.5分，有年度干预计划占1分，无相应内容扣分。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（2）定期对建设效果进行评估。</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有评估报告</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（3）健康村建设负责人每年接受健康促进培训。</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提供接受乡镇及以上培训资料、图片</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84"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（4）建设的文字、图片、实物等过程资料齐全、整理规范。有工作总结且结构合理、内容详实。</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建设的文字、图片、实物等过程资料齐全、整理规范，得0.5分。有工作总结结构合理、内容详实得0.5分。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9" w:hRule="atLeast"/>
          <w:jc w:val="center"/>
        </w:trPr>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二、健康环境</w:t>
            </w:r>
            <w:r>
              <w:rPr>
                <w:rFonts w:hint="eastAsia" w:ascii="宋体" w:hAnsi="宋体" w:cs="宋体"/>
                <w:color w:val="000000"/>
                <w:kern w:val="0"/>
                <w:sz w:val="24"/>
              </w:rPr>
              <w:br w:type="textWrapping"/>
            </w:r>
            <w:r>
              <w:rPr>
                <w:rFonts w:hint="eastAsia" w:ascii="宋体" w:hAnsi="宋体" w:cs="宋体"/>
                <w:color w:val="000000"/>
                <w:kern w:val="0"/>
                <w:sz w:val="24"/>
              </w:rPr>
              <w:t>（24分）</w:t>
            </w: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1.基础建设</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（1）开展美丽宜居村庄和美丽庭院建设。各项服务健全,乡土文化繁荣,村民和谐幸福。村域环境实现硬化、绿化、亮化、美化、净化。堤坡整洁且无乱搭乱建。</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五化每项占0.4分，有乱搭乱建扣1分，</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r>
              <w:rPr>
                <w:rFonts w:hint="eastAsia" w:ascii="宋体" w:hAnsi="宋体" w:cs="宋体"/>
                <w:color w:val="000000"/>
                <w:kern w:val="0"/>
                <w:sz w:val="24"/>
              </w:rPr>
              <w:br w:type="textWrapping"/>
            </w:r>
            <w:r>
              <w:rPr>
                <w:rFonts w:hint="eastAsia" w:ascii="宋体" w:hAnsi="宋体" w:cs="宋体"/>
                <w:color w:val="000000"/>
                <w:kern w:val="0"/>
                <w:sz w:val="24"/>
              </w:rPr>
              <w:t>现场查看</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（2）村域道路、环卫、电力、通信、消防等基础设施完善。</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一项不完善扣0.2分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（3）公共场所安全设施齐全、完好。在易发生溺水、跌 落、触电等伤害的区域设置安全标志和保护设施。</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无安全标志扣0.5，,无保护设施扣0.5分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85"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（4）积极开展老年人、残疾人无障碍设施建设或改造。建设与常住人口规模相适应的婴幼儿活动场所及配套服务设施。</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没有无障碍设施扣0.5分，无婴幼儿活动场所设施扣0.5分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2.环境质量</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（1）村庄声环境良好,无固定噪声源干扰周围生活环境或得到有效治理。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有噪声源干扰周围生活环境不得分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（2）村内河塘沟渠等水体没有"黑臭"现象。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有"黑臭"现象不得分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（3）定期组织开展病媒生物防制活动,病媒生物孳生地得到有效治理。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无病媒生物防制活动资料扣0.5分，鼠、蟑、蚊、蝇的密度未达到国家病媒生物密度控制要求C等扣0.5分。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（4）无使用违禁农药现象。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提供本村使用农药的资料，使用违禁农药扣1分。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3.垃圾、污水处理</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（1）村庄院落环境干净整洁,农户房前屋后和村巷道无柴草杂物、积存垃圾和塑料袋等白色垃圾。</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发现一项扣0.5分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（2）河岸、沿村公路、村内道 路沿线等无散落垃圾。铁路沿线垃圾有效管控。</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有散落垃圾扣0.5分，铁路沿线有垃圾扣0.5分。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76"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（3）建立生活垃圾收集管理制度。推行垃圾源头减量、就地分类和资源化利用。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无垃圾收集管理制度扣0.5分，无实施垃圾源头减量、就地分类和资源化利用扣0.5分。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19"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（4）垃圾箱筒布局合理、 数量足够、有门有盖、周围清洁。生活垃圾清运及时,无焚烧垃圾现象。开展农作物秸秆资源化利用,无秸秆焚烧现象。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垃圾箱没有门、盖扣0.3分，有焚烧垃圾现象扣0.3分，有秸秆焚烧现象扣0.3分。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（5）有收集农膜、农业投入品包装物的规定和场所。</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规定和场所各占0.5分，无扣除相应分值。</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（6）病死畜禽按规定处置,无随意丢弃现象。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发现病死畜禽随意丢弃现象不得分。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98"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（7）建设覆盖全村的污水收集处理设施或户用污水处理设施。完善畜禽粪污处理设施,严格环境监管,减少恶臭污染。</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无污水收集处理设施扣0.5分，无畜禽粪污处理设施扣0.5分。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9"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（8）开展生活污水源头减量和尾水回收利用。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源头减量和尾水回收利用各占0.5分，未开展不得分。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4.饮水安全</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（1）实现自来水全普及,保障饮水安全。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实地抽查，自来水未全普及不得分。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37"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（2）村内饮用水源依法划定水源保护区或保护范围。保护区内无任何可能危害水源水质的设施,无有碍水源水质的活动。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未划定保护区或保护范围扣0.5分，有危害水源水质的设施扣0.5分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02"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5.食品安全</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（1）加强食品安全监督管理,村内食品生产经营单位内外环境卫生整洁。</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不整洁不得分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53"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（2）积极推行明厨亮灶,食品采购、储存、加工制作和销售符合食品安全相关要求。</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无明厨亮灶扣0.2分，采购、储存、加工制作和销售环节一个不符合食品安全相关要求扣0.2分。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（3）无贩卖、制售、食用野生动物现象。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发现贩卖、制售、食用野生动物现象不得分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89"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6.卫生厕所</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（1）居民使用卫生厕所比例达到80%，500户以上村庄配套建设公共厕所。</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无资料不得分，比例未达到80%扣0.5分；500户以上村庄无公共厕所扣0.5分。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1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（2）开展厕所粪污无害化处理和资源化利用。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未开展不得分，无害化处理和资源化利用各占0.5分。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91" w:hRule="atLeast"/>
          <w:jc w:val="center"/>
        </w:trPr>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color w:val="000000"/>
                <w:kern w:val="0"/>
                <w:sz w:val="24"/>
                <w:szCs w:val="24"/>
              </w:rPr>
            </w:pPr>
            <w:r>
              <w:rPr>
                <w:rFonts w:hint="eastAsia" w:ascii="宋体" w:hAnsi="宋体" w:cs="宋体"/>
                <w:color w:val="000000"/>
                <w:kern w:val="0"/>
                <w:sz w:val="24"/>
                <w:szCs w:val="24"/>
              </w:rPr>
              <w:t>三、健康服务</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（32分）</w:t>
            </w: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1.基本服务</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（1）村内有标准化的卫生室,能提供预防、保健、健康教育和常见病、多发病的诊疗等基本医疗卫生服务。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卫生室四室（诊断、治疗、药房、公共卫生），不标准扣0.2分；预防、保健、健康教育和常见病、多发病的诊疗各占0.2分，一项不能提供扣0.2分。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（2）开展家庭医生签约服务,签约率逐年提升。</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未开展家签服务扣0.5分，近三年签约率未逐年提升扣0.5分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67"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（3）推广应用中医药适宜技术。</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未推广应用扣0.5分，健康教育中无中医药内容扣0.5分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87"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2.健康教育</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（1）设立村健康自助检测点或建设健康小屋。</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未设立不得分。设施不齐全（至少具备血压计、血糖仪、身高体重称、腰围尺等检测设备）扣0.4分，无健康指导人员扣0.3分，无使用台账扣0.3分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6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（2）开展健康科普活动，提高村民健康素养，引导村民践行文明健康绿色环保生活方式。每年开展6次以上健康知识讲座、建有健康教育宣传栏并定期更新、定期发放健康教育印刷材料。</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无践行文明健康绿色环保生活方式倡议书并公示扣0.5分，健康知识讲座每少1期扣0.2分，健康教育宣传栏更新次数每少1期扣0.2分，未定期发放健康教育印刷材料扣0.5分。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02"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（3）提供分众化、个性化健康教育服务。鼓励组建村民健康自我管理组织。积极开展婴幼儿早期发展入户指导服务,提高村民科学育儿能力。</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未提供个性化健康教育服务扣0.5分，未组建村民健康自我管理组织扣0.5分，未开展婴幼儿早期发展入户指导服务扣1分，提供相关资料。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24"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3.健康家庭</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（1）动员、组织辖区居民参加健康家庭评选，有健康家庭评选工作计划和总结，有具体步骤和流程，开展针对家庭的健康活动。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无健康家庭评选工作计划和总结各扣0.5分，无评选步骤、流程、照片、公示、结果各扣0.2分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417"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（2）现场进入一个健康家庭，健康家庭评估合格。</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家庭环境清洁得1分；有健康标识和健康材料得1分；无人吸烟得1分；家庭关系和邻里关系和谐得1分；家庭膳食结构合理，冰箱内食品生熟分开，砧板菜刀生熟分开得1分。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44"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4.突发事件处理</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（1）建立了突发公共卫生事件和重大疫情乡村防控机制。</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公共卫生事件和重大疫情乡村防控机制各占1分，提供资料。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79"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（2）落实突发公共卫生事件和重大疫情相关防控措施。</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无应急预案扣1分，未开展应急培训扣0.5分，未开展实战演练扣0.5分，未开展急救知识和技能培训扣0.5分，未向群众普及心肺复苏等急救技能扣0.5分。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（3）配合做好寄生虫病和地方病等综合防控工作。</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有寄生虫病和地方病防控资料各占1分。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5.重点人群</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（1）关注留守儿童和妇女、老年人以及残疾失能人员 和计划生育特殊家庭人员。</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无关爱帮扶措施扣1分，每少1类人群扣0.2分，提供印证资料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（2）采取多种形式为老人和儿童提供日间照料服务。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未提供日间照料服务扣2分，每少1类人群扣1分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（3）村医或其他医务人员为行动不便老年人提供上门巡诊。</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未开展上门巡诊服务扣2分，提供资料、照片佐证</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（4）推进农村互助性养老。</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未开展不得分，提供资料、照片佐证。</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（5）依托相关专业机构和社会组织等为村民提供心理咨询、矛盾调解等服务。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未开展不得分，提供资料、照片佐证。</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color w:val="000000"/>
                <w:kern w:val="0"/>
                <w:sz w:val="24"/>
                <w:szCs w:val="24"/>
              </w:rPr>
            </w:pPr>
            <w:r>
              <w:rPr>
                <w:rFonts w:hint="eastAsia" w:ascii="宋体" w:hAnsi="宋体" w:cs="宋体"/>
                <w:color w:val="000000"/>
                <w:kern w:val="0"/>
                <w:sz w:val="24"/>
                <w:szCs w:val="24"/>
              </w:rPr>
              <w:t>四、健康文化</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（21分）</w:t>
            </w: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1.人文环境</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（1）将文明健康绿色环保等理念和要求纳入村规民约，激发村民健康意识和维护健康的主动性。</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未纳入村规民约扣1分，未进行公示扣0.5分。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（2）推进健康家庭建设,引导村民牢固树立自己健康第一责任人意识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有健康家庭建设评选资料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（3）组织村民积极参加"健康达人"评选活动。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有"健康达人"评选活动资料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2.无烟文化</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（1）村党组织、村民委员会及其成员带头践行文明健康绿色环保生活方式,遵守控烟规定。村内所有室内公共场所禁止吸烟。</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发现成员在室内吸烟扣1分，室内公共场所发现烟头扣1分。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（2）在村内公共场所及村民集中区域有明显的控烟标识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无控烟标识不得分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（3）村内无烟草广告和促销。</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有烟草广告不得分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（4）不得向未成年人销售烟酒。</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发现向未成年人销售烟酒不得分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1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3.健身文化</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（1）倡导全民健身文化。有固定健身场所和基本的健身设备，健身设备无健康隐患，周边有安全提示。</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健身场所、健身设备、健康隐患，安全提示各占0.5分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（2）组织开展简便易行的群众性健身活动及民族、民俗、民间体育活动。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每年至少2次活动，提供资料、照片佐证，少一次扣0.5分。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4.中医药文化</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传承中医药文化,普及中医药养生保健知识和方法，引导群众正确使用中医药维护自身健康。</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未开展中医药知识培训讲座扣1分，未开展中医药治疗保健等服务扣1分，提供印证资料、图片。</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5.绿色环保文化</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（1）倡导绿色环保文化，引导村民节约能源。倡导采取步行、自行车等低碳出行方式。</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未开展绿色环保、节约能源、低碳出行等宣传扣1分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（2）减少使用塑料制品、过度包装产品 和一次性用品。</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河流、池塘发现塑料制品污染不得分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（3）避免高噪声行为干扰他人。</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有高噪声污染不得分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（4）倡导健康消费理念,不购买、不消费假冒伪劣食品。</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村内小卖部或餐馆发现假冒伪劣食品不得分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（5）积极推广分餐制和公筷制,大力倡导"光盘行动"。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村餐馆未推行公筷制得分扣0.5分，餐食浪费扣0.5分。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（6）提倡文明婚育和安全性行为。</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未开展文明婚育和安全性行为宣传扣1分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（7）鼓励村民及家庭积极参加无偿献血等公益活动。</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村民及家庭无参加无偿献血等公益活动扣1分，提供印证资料。</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（8）村内无赌博、吸毒、 酗酒、卖淫嫖娼等现象和重大社会治安问题。</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乡派出所发现该村有该类问题不得分。</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五、建设效果（10分）</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目标人群评价</w:t>
            </w: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详见目标人群测评方案。</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快速调查</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91"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color w:val="000000"/>
                <w:kern w:val="0"/>
                <w:sz w:val="24"/>
                <w:szCs w:val="24"/>
              </w:rPr>
            </w:pPr>
            <w:r>
              <w:rPr>
                <w:rFonts w:hint="eastAsia" w:ascii="宋体" w:hAnsi="宋体" w:cs="宋体"/>
                <w:color w:val="000000"/>
                <w:kern w:val="0"/>
                <w:sz w:val="24"/>
                <w:szCs w:val="24"/>
              </w:rPr>
              <w:t>合计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color w:val="000000"/>
                <w:kern w:val="0"/>
                <w:sz w:val="24"/>
                <w:szCs w:val="24"/>
              </w:rPr>
            </w:pPr>
          </w:p>
        </w:tc>
        <w:tc>
          <w:tcPr>
            <w:tcW w:w="44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100</w:t>
            </w:r>
          </w:p>
        </w:tc>
        <w:tc>
          <w:tcPr>
            <w:tcW w:w="43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bl>
    <w:p>
      <w:pPr>
        <w:keepNext w:val="0"/>
        <w:keepLines w:val="0"/>
        <w:widowControl/>
        <w:suppressLineNumbers w:val="0"/>
        <w:jc w:val="left"/>
        <w:textAlignment w:val="center"/>
        <w:rPr>
          <w:rFonts w:hint="default" w:ascii="等线" w:hAnsi="等线" w:eastAsia="仿宋_GB2312" w:cs="Times New Roman"/>
          <w:i w:val="0"/>
          <w:iCs w:val="0"/>
          <w:kern w:val="2"/>
          <w:sz w:val="32"/>
          <w:szCs w:val="32"/>
          <w:u w:val="none"/>
          <w:lang w:val="en-US" w:eastAsia="zh-CN" w:bidi="ar"/>
        </w:rPr>
      </w:pPr>
    </w:p>
    <w:p>
      <w:pPr>
        <w:keepNext w:val="0"/>
        <w:keepLines w:val="0"/>
        <w:widowControl/>
        <w:suppressLineNumbers w:val="0"/>
        <w:jc w:val="left"/>
        <w:textAlignment w:val="center"/>
        <w:rPr>
          <w:rFonts w:hint="default" w:ascii="等线" w:hAnsi="等线" w:eastAsia="仿宋_GB2312" w:cs="Times New Roman"/>
          <w:i w:val="0"/>
          <w:iCs w:val="0"/>
          <w:kern w:val="2"/>
          <w:sz w:val="32"/>
          <w:szCs w:val="32"/>
          <w:u w:val="none"/>
          <w:lang w:val="en-US" w:eastAsia="zh-CN" w:bidi="ar"/>
        </w:rPr>
      </w:pPr>
    </w:p>
    <w:p>
      <w:pPr>
        <w:widowControl/>
        <w:jc w:val="left"/>
        <w:textAlignment w:val="center"/>
        <w:rPr>
          <w:rFonts w:hint="eastAsia" w:cs="Times New Roman"/>
          <w:i w:val="0"/>
          <w:iCs w:val="0"/>
          <w:kern w:val="2"/>
          <w:sz w:val="32"/>
          <w:szCs w:val="32"/>
          <w:u w:val="none"/>
          <w:lang w:val="en-US" w:eastAsia="zh-CN" w:bidi="ar"/>
        </w:rPr>
      </w:pPr>
      <w:r>
        <w:rPr>
          <w:rFonts w:hint="default" w:ascii="等线" w:hAnsi="等线" w:eastAsia="仿宋_GB2312" w:cs="Times New Roman"/>
          <w:i w:val="0"/>
          <w:iCs w:val="0"/>
          <w:kern w:val="2"/>
          <w:sz w:val="32"/>
          <w:szCs w:val="32"/>
          <w:u w:val="none"/>
          <w:lang w:val="en-US" w:eastAsia="zh-CN" w:bidi="ar"/>
        </w:rPr>
        <w:t>评估人员签字：</w:t>
      </w:r>
      <w:r>
        <w:rPr>
          <w:rFonts w:hint="eastAsia" w:cs="Times New Roman"/>
          <w:i w:val="0"/>
          <w:iCs w:val="0"/>
          <w:kern w:val="2"/>
          <w:sz w:val="32"/>
          <w:szCs w:val="32"/>
          <w:u w:val="none"/>
          <w:lang w:val="en-US" w:eastAsia="zh-CN" w:bidi="ar"/>
        </w:rPr>
        <w:t xml:space="preserve">                                          </w:t>
      </w:r>
      <w:r>
        <w:rPr>
          <w:rFonts w:hint="default" w:ascii="等线" w:hAnsi="等线" w:eastAsia="仿宋_GB2312" w:cs="Times New Roman"/>
          <w:i w:val="0"/>
          <w:iCs w:val="0"/>
          <w:kern w:val="2"/>
          <w:sz w:val="32"/>
          <w:szCs w:val="32"/>
          <w:u w:val="none"/>
          <w:lang w:val="en-US" w:eastAsia="zh-CN" w:bidi="ar"/>
        </w:rPr>
        <w:t>评估</w:t>
      </w:r>
      <w:r>
        <w:rPr>
          <w:rFonts w:hint="eastAsia" w:cs="Times New Roman"/>
          <w:i w:val="0"/>
          <w:iCs w:val="0"/>
          <w:kern w:val="2"/>
          <w:sz w:val="32"/>
          <w:szCs w:val="32"/>
          <w:u w:val="none"/>
          <w:lang w:val="en-US" w:eastAsia="zh-CN" w:bidi="ar"/>
        </w:rPr>
        <w:t>时间：</w:t>
      </w:r>
    </w:p>
    <w:p>
      <w:pPr>
        <w:widowControl/>
        <w:jc w:val="left"/>
        <w:textAlignment w:val="center"/>
        <w:rPr>
          <w:rFonts w:hint="eastAsia" w:cs="Times New Roman"/>
          <w:i w:val="0"/>
          <w:iCs w:val="0"/>
          <w:kern w:val="2"/>
          <w:sz w:val="32"/>
          <w:szCs w:val="32"/>
          <w:u w:val="none"/>
          <w:lang w:val="en-US" w:eastAsia="zh-CN" w:bidi="ar"/>
        </w:rPr>
      </w:pPr>
    </w:p>
    <w:p>
      <w:pPr>
        <w:widowControl/>
        <w:jc w:val="left"/>
        <w:textAlignment w:val="center"/>
        <w:rPr>
          <w:rFonts w:hint="eastAsia" w:cs="Times New Roman"/>
          <w:i w:val="0"/>
          <w:iCs w:val="0"/>
          <w:kern w:val="2"/>
          <w:sz w:val="32"/>
          <w:szCs w:val="32"/>
          <w:u w:val="none"/>
          <w:lang w:val="en-US" w:eastAsia="zh-CN" w:bidi="ar"/>
        </w:rPr>
      </w:pPr>
    </w:p>
    <w:p>
      <w:pPr>
        <w:widowControl/>
        <w:jc w:val="left"/>
        <w:textAlignment w:val="center"/>
        <w:rPr>
          <w:rFonts w:ascii="宋体" w:hAnsi="宋体" w:cs="宋体"/>
          <w:color w:val="000000"/>
          <w:kern w:val="0"/>
          <w:sz w:val="32"/>
          <w:szCs w:val="32"/>
        </w:rPr>
      </w:pPr>
      <w:r>
        <w:rPr>
          <w:rFonts w:hint="eastAsia" w:ascii="宋体" w:hAnsi="宋体" w:cs="宋体"/>
          <w:color w:val="000000"/>
          <w:kern w:val="0"/>
          <w:sz w:val="32"/>
          <w:szCs w:val="32"/>
        </w:rPr>
        <w:t>说明：健康村现场评估表采取百分制，现场评估达到70分及以上，认为达到健康村标准。</w:t>
      </w:r>
    </w:p>
    <w:p>
      <w:pPr>
        <w:rPr>
          <w:rFonts w:hint="eastAsia" w:ascii="宋体" w:hAnsi="宋体" w:eastAsia="宋体"/>
          <w:b/>
          <w:sz w:val="44"/>
        </w:rPr>
      </w:pPr>
    </w:p>
    <w:p>
      <w:pPr>
        <w:rPr>
          <w:rFonts w:hint="eastAsia" w:ascii="宋体" w:hAnsi="宋体" w:eastAsia="宋体"/>
          <w:b/>
          <w:sz w:val="44"/>
        </w:rPr>
      </w:pPr>
      <w:r>
        <w:rPr>
          <w:rFonts w:hint="eastAsia" w:ascii="宋体" w:hAnsi="宋体" w:eastAsia="宋体"/>
          <w:b/>
          <w:sz w:val="44"/>
        </w:rPr>
        <w:br w:type="page"/>
      </w:r>
    </w:p>
    <w:tbl>
      <w:tblPr>
        <w:tblStyle w:val="7"/>
        <w:tblW w:w="15326" w:type="dxa"/>
        <w:jc w:val="center"/>
        <w:tblLayout w:type="autofit"/>
        <w:tblCellMar>
          <w:top w:w="0" w:type="dxa"/>
          <w:left w:w="108" w:type="dxa"/>
          <w:bottom w:w="0" w:type="dxa"/>
          <w:right w:w="108" w:type="dxa"/>
        </w:tblCellMar>
      </w:tblPr>
      <w:tblGrid>
        <w:gridCol w:w="1267"/>
        <w:gridCol w:w="1267"/>
        <w:gridCol w:w="3930"/>
        <w:gridCol w:w="7288"/>
        <w:gridCol w:w="576"/>
        <w:gridCol w:w="498"/>
        <w:gridCol w:w="500"/>
      </w:tblGrid>
      <w:tr>
        <w:tblPrEx>
          <w:tblCellMar>
            <w:top w:w="0" w:type="dxa"/>
            <w:left w:w="108" w:type="dxa"/>
            <w:bottom w:w="0" w:type="dxa"/>
            <w:right w:w="108" w:type="dxa"/>
          </w:tblCellMar>
        </w:tblPrEx>
        <w:trPr>
          <w:trHeight w:val="564" w:hRule="atLeast"/>
          <w:jc w:val="center"/>
        </w:trPr>
        <w:tc>
          <w:tcPr>
            <w:tcW w:w="15326" w:type="dxa"/>
            <w:gridSpan w:val="7"/>
            <w:tcBorders>
              <w:top w:val="nil"/>
              <w:left w:val="nil"/>
              <w:bottom w:val="nil"/>
              <w:right w:val="single" w:color="auto" w:sz="4" w:space="0"/>
            </w:tcBorders>
            <w:shd w:val="clear" w:color="auto" w:fill="auto"/>
            <w:noWrap/>
            <w:vAlign w:val="center"/>
          </w:tcPr>
          <w:p>
            <w:pPr>
              <w:jc w:val="center"/>
              <w:rPr>
                <w:rFonts w:ascii="宋体" w:hAnsi="宋体" w:cs="宋体"/>
                <w:b/>
                <w:bCs/>
                <w:color w:val="000000"/>
                <w:kern w:val="0"/>
                <w:sz w:val="48"/>
                <w:szCs w:val="48"/>
              </w:rPr>
            </w:pPr>
            <w:r>
              <w:rPr>
                <w:rFonts w:hint="eastAsia" w:ascii="宋体" w:hAnsi="宋体" w:eastAsia="宋体"/>
                <w:b/>
                <w:sz w:val="44"/>
              </w:rPr>
              <w:br w:type="page"/>
            </w:r>
            <w:r>
              <w:rPr>
                <w:rFonts w:ascii="宋体" w:hAnsi="宋体" w:cs="宋体"/>
                <w:b/>
                <w:bCs/>
                <w:color w:val="000000"/>
                <w:kern w:val="0"/>
                <w:sz w:val="48"/>
              </w:rPr>
              <w:t>贵州省健</w:t>
            </w:r>
            <w:r>
              <w:rPr>
                <w:rFonts w:ascii="宋体" w:hAnsi="宋体" w:cs="宋体"/>
                <w:b/>
                <w:bCs/>
                <w:color w:val="000000"/>
                <w:kern w:val="0"/>
                <w:sz w:val="44"/>
              </w:rPr>
              <w:t>康机关现场评分表（</w:t>
            </w:r>
            <w:r>
              <w:rPr>
                <w:rFonts w:hint="eastAsia" w:ascii="宋体" w:hAnsi="宋体" w:cs="宋体"/>
                <w:b/>
                <w:bCs/>
                <w:color w:val="000000"/>
                <w:kern w:val="0"/>
                <w:sz w:val="44"/>
                <w:szCs w:val="44"/>
              </w:rPr>
              <w:t>（2023版）</w:t>
            </w:r>
            <w:r>
              <w:rPr>
                <w:rFonts w:ascii="宋体" w:hAnsi="宋体" w:cs="宋体"/>
                <w:b/>
                <w:bCs/>
                <w:color w:val="000000"/>
                <w:kern w:val="0"/>
                <w:sz w:val="44"/>
              </w:rPr>
              <w:t>）</w:t>
            </w:r>
          </w:p>
        </w:tc>
      </w:tr>
      <w:tr>
        <w:tblPrEx>
          <w:tblCellMar>
            <w:top w:w="0" w:type="dxa"/>
            <w:left w:w="108" w:type="dxa"/>
            <w:bottom w:w="0" w:type="dxa"/>
            <w:right w:w="108" w:type="dxa"/>
          </w:tblCellMar>
        </w:tblPrEx>
        <w:trPr>
          <w:trHeight w:val="484" w:hRule="atLeast"/>
          <w:jc w:val="center"/>
        </w:trPr>
        <w:tc>
          <w:tcPr>
            <w:tcW w:w="15326" w:type="dxa"/>
            <w:gridSpan w:val="7"/>
            <w:tcBorders>
              <w:top w:val="nil"/>
              <w:left w:val="nil"/>
              <w:bottom w:val="nil"/>
              <w:right w:val="single" w:color="auto" w:sz="4" w:space="0"/>
            </w:tcBorders>
            <w:shd w:val="clear" w:color="auto" w:fill="auto"/>
            <w:noWrap/>
            <w:vAlign w:val="center"/>
          </w:tcPr>
          <w:p>
            <w:pPr>
              <w:widowControl/>
              <w:jc w:val="left"/>
              <w:rPr>
                <w:rFonts w:ascii="黑体" w:hAnsi="黑体" w:eastAsia="黑体" w:cs="宋体"/>
                <w:b/>
                <w:bCs/>
                <w:color w:val="000000"/>
                <w:kern w:val="0"/>
                <w:sz w:val="22"/>
                <w:szCs w:val="22"/>
              </w:rPr>
            </w:pPr>
            <w:r>
              <w:rPr>
                <w:rFonts w:ascii="黑体" w:hAnsi="黑体" w:eastAsia="黑体" w:cs="宋体"/>
                <w:b/>
                <w:bCs/>
                <w:color w:val="000000"/>
                <w:kern w:val="0"/>
                <w:sz w:val="22"/>
              </w:rPr>
              <w:t xml:space="preserve">  市（州）：</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 xml:space="preserve"> 县（区）： </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 xml:space="preserve">    机关：  </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 xml:space="preserve">   时间：</w:t>
            </w:r>
            <w:r>
              <w:rPr>
                <w:rFonts w:ascii="黑体" w:hAnsi="黑体" w:eastAsia="黑体" w:cs="宋体"/>
                <w:b/>
                <w:bCs/>
                <w:color w:val="000000"/>
                <w:kern w:val="0"/>
                <w:sz w:val="22"/>
                <w:u w:val="single"/>
              </w:rPr>
              <w:t xml:space="preserve">              </w:t>
            </w:r>
          </w:p>
        </w:tc>
      </w:tr>
      <w:tr>
        <w:tblPrEx>
          <w:tblCellMar>
            <w:top w:w="0" w:type="dxa"/>
            <w:left w:w="108" w:type="dxa"/>
            <w:bottom w:w="0" w:type="dxa"/>
            <w:right w:w="108" w:type="dxa"/>
          </w:tblCellMar>
        </w:tblPrEx>
        <w:trPr>
          <w:trHeight w:val="671" w:hRule="atLeast"/>
          <w:jc w:val="center"/>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一级指标</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二级指标</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指标解释</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评分标准（综合）</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权重</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考核方法</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得分</w:t>
            </w:r>
          </w:p>
        </w:tc>
      </w:tr>
      <w:tr>
        <w:tblPrEx>
          <w:tblCellMar>
            <w:top w:w="0" w:type="dxa"/>
            <w:left w:w="108" w:type="dxa"/>
            <w:bottom w:w="0" w:type="dxa"/>
            <w:right w:w="108" w:type="dxa"/>
          </w:tblCellMar>
        </w:tblPrEx>
        <w:trPr>
          <w:trHeight w:val="949" w:hRule="atLeast"/>
          <w:jc w:val="center"/>
        </w:trPr>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一、组织管理（20分）</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1.成立机关党委书记牵头的健康机关建设领导小组，明确职责分工。</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满分2分。成立机关主要负责同志牵头的健康机关领导小组，明确职责分工，得2分，未成立不得分。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r>
              <w:rPr>
                <w:rFonts w:hint="eastAsia" w:ascii="宋体" w:hAnsi="宋体" w:cs="宋体"/>
                <w:color w:val="000000"/>
                <w:kern w:val="0"/>
                <w:sz w:val="24"/>
              </w:rPr>
              <w:br w:type="textWrapping"/>
            </w:r>
            <w:r>
              <w:rPr>
                <w:rFonts w:hint="eastAsia" w:ascii="宋体" w:hAnsi="宋体" w:cs="宋体"/>
                <w:color w:val="000000"/>
                <w:kern w:val="0"/>
                <w:sz w:val="24"/>
              </w:rPr>
              <w:t>现场查看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450"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2.召开全体职工大会，公开倡议全体职工积极参与健康机关建设。</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召开全体职工大会，对全体职工发出倡议，职工大会覆盖人数达80%以上，得1分。有会议通知、签到、总结或简报等支撑材料，得0.5分。利用微信、展板、广告栏、标语等方式做好健康机关建设的宣传发动，得0.5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96"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3.每季度召开工作例会，讨论机关主要健康问题并提出具体应对措施。</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每季度召开工作例会，得1分。有通知、签到、总结或简报等支撑材料，得1分。每次例会讨论机关主要健康问题并提出具体应对措施，得1分。主要健康问题及提出的具体应对措施有整改落实措施或台账，得1分。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99"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2.规章制度</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1.将健康机关建设纳入单位年度工作计划。</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满分1分。将健康机关建设纳入单位年度工作计划得1分，未纳入不得分。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66"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2.制定促进干部职工健康的管理制度和措施。完善卫生管理、定期体检、工间操、无烟单位、健康教育、员工休假等制定。</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制定促进干部职工健康的管理制度和措施。每制定一条得0.5分，累计不超过3分。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665"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3.组织实施</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1.指定专人负责健康机关建设工作，每年至少接受一次专业培训。</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有专人负责健康机关工作，得1分。每年至少接受1次县级及以上健康教育专业机构开展的健康促进与教育相关理论知识培训，能提供参加培训的通知、课件等相关印证资料得1分，未提供不得分。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450"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2.分析评估机关人员的主要健康问题及其影响因素，制定健康机关工作计划，并定期对建设效果进行评估总结，建设相关档案资料齐全。</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分析评估机关人员的主要健康问题及其影响因素，得1分。根据需求评估制定健康机关工作计划，内容明确、措施具体、责任分工合理得1分。文字、图片、实物等过程资料齐全、整理规范得1分。工作总结结构合理、内容详实，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66"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3.将健康机关建设与机关党建、团建、文化建设等工作统筹推进。</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召开一次将健康机关建设与机关党建、团建、文化建设等工作统筹推进的会议，过程性资料包括通知、签到册、会议记录或简报等得2分，每少一项内容扣0.5分，扣完为止。</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66" w:hRule="atLeast"/>
          <w:jc w:val="center"/>
        </w:trPr>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二、健康环境（20分）</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自然环境</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（1）完善机关基础设施建设 , 为干部职工提供布局合理、 设施完善、整洁卫生、绿色环保、舒适优美的办公和生活环境。</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公共环境整洁卫生，无暴露垃圾和卫生死角，办公环境干净整洁得4分。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r>
              <w:rPr>
                <w:rFonts w:hint="eastAsia" w:ascii="宋体" w:hAnsi="宋体" w:cs="宋体"/>
                <w:color w:val="000000"/>
                <w:kern w:val="0"/>
                <w:sz w:val="24"/>
              </w:rPr>
              <w:br w:type="textWrapping"/>
            </w:r>
            <w:r>
              <w:rPr>
                <w:rFonts w:hint="eastAsia" w:ascii="宋体" w:hAnsi="宋体" w:cs="宋体"/>
                <w:color w:val="000000"/>
                <w:kern w:val="0"/>
                <w:sz w:val="24"/>
              </w:rPr>
              <w:t>现场查看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52"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2.加强水质卫生管理,确保饮用水卫生安全。</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提供饮用水采购合同与相关卫生合格资质得2分。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08"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3.厕所设置布局合理、清洁卫生，数量满足需要，有洗手设施。</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厕所干净整洁得1分，有洗手设施得1分，张贴七步洗手法得1分。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24"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4.实行垃圾分类；垃圾日产日清，有害垃圾全部交由具有资质的单位处理。</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实行垃圾分类，得1分。垃圾日产日清，得1分。能提供有害垃圾全部交由具有资质的单位处理的支撑材料，得1分。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629"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5.开展病媒生物防制,鼠、蚊、蝇、嶂螂的密度达到国家病媒生物密度控制标准。</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四害”防制工作，如设置灭鼠毒饵站且投放毒饵，食堂有防制设施，得1分；单位无蚊虫孳生地，无小型积水、大中型水体等，得1分；开展病媒生物密度自我监测报告，得1分；提供相关部门出具的病媒生物密度C等以上监测报告，得1分，缺少一类扣0.5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467"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6.职工食堂应符合卫生要求，达到食品安全管理要求,安装使用油烟净化装置并达标排放，合理设置排烟口，避免对周边居民生活产生影响；膳食结构合理，餐食避免高盐、高油、高糖。</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职工食堂应符合卫生要求，得1分。安装使用油烟净化装置并达标排放，得0.5分。合理设置排烟口，未对周边居民生活产生影响，得0.5分。每周营养菜谱膳食结构合理，餐食避免高盐、高油、高糖，得1分。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646" w:hRule="atLeast"/>
          <w:jc w:val="center"/>
        </w:trPr>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三、健康服务（20分）</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1.有条件的机构设置卫生室或医务室，配备专/兼职的卫生技术人员，配备急救药品、器材和设施,配备自动体外除颤器。不具备医务室条件的机构，安排专人接受急救和疾病预防知识培训。</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设置卫生室或医务室，有专/兼职的卫生技术人员，有必需的医疗用品和急救药物，得4分。没有卫生室或医务室的机构，有专人接受急救和疾病预防知识培训，能提供通知、参会回执等印证资料，得4分；未提供不得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66"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2.推进健康小屋建设, 提供健康科普材料,为单位职工提供免费测量血压、体重等服务。</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有健康小屋, 得1分。至少提供3种以上健康科普材料,得0.5分。提供免费测量血压、体重等服务，得0.5分。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467"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3.设置母婴室或哺乳室,根据女职工需要,建立女职工卫生室、孕妇休息室、哺乳室等设施。有条件的用人单位在工作场所为职工提供福利性婴幼儿照护服务。</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设置母婴室或哺乳室得1分；有相应的设施如便于哺乳的座椅，放置哺乳有关用品的桌子等得1分。提供福利性婴幼儿照护服务可加1分。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66"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4.落实干部职工体检制度，开展健康评估。在属地医疗卫生机构协助下,实施人群分类健康管理,关心关爱女职工健康。</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每年组织一次健康体检，得2分；每两年组织一次健康体检，得1分。根据群体体检结果分析报告，制定有针对性的健康管理计划或措施，得1分。有关心关爱女职工健康措施，得1分。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02"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5.制订聚集性疫情、群体性食物中毒、安全生产、火灾等突发事件应急预案,落实相关防控措施。</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每制定一条预案，得1分，最高得4分。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24"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6.鼓励设立心理健康辅导室,为干部职工提供心理评估、心理咨询、宣传教育、自我调适技能培训等服务。</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有心理健康辅导室，得1分。为干部职工提供心理评估、心理咨询、宣传教育、自我调适技能培训等服务至少一项，得1分。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5"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7.给职工提供锻炼和阅读环境。</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给职工提供阅读环境，得1分。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52"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8.对单位困难职工有健康帮扶措施。</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对困难职工有健康帮扶措施，得0.5分，有健康帮扶图片、小结等印证资料，得0.5分。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719" w:hRule="atLeast"/>
          <w:jc w:val="center"/>
        </w:trPr>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四、健康文化（30分）</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1.健康教育</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1.每年开展4次以上健康讲座，讲座主题包括：科学就医、合理用药、传染病预防、安全急救；合理膳食、适量运动、戒烟限酒、心理平衡；母婴保健、科学育儿、健康老龄等。</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针对职工主要健康问题，邀请相关专业人员授课，每开展一次健康讲座，能提供正式通知、签到册、课件、总结等印证资料，得2分，最高8分。印证资料每少一项扣0.5分，扣完为止。</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8</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听取汇报</w:t>
            </w:r>
            <w:r>
              <w:rPr>
                <w:rFonts w:hint="eastAsia" w:ascii="宋体" w:hAnsi="宋体" w:cs="宋体"/>
                <w:color w:val="000000"/>
                <w:kern w:val="0"/>
                <w:sz w:val="24"/>
              </w:rPr>
              <w:br w:type="textWrapping"/>
            </w:r>
            <w:r>
              <w:rPr>
                <w:rFonts w:hint="eastAsia" w:ascii="宋体" w:hAnsi="宋体" w:cs="宋体"/>
                <w:color w:val="000000"/>
                <w:kern w:val="0"/>
                <w:sz w:val="24"/>
              </w:rPr>
              <w:t>查阅档案</w:t>
            </w:r>
            <w:r>
              <w:rPr>
                <w:rFonts w:hint="eastAsia" w:ascii="宋体" w:hAnsi="宋体" w:cs="宋体"/>
                <w:color w:val="000000"/>
                <w:kern w:val="0"/>
                <w:sz w:val="24"/>
              </w:rPr>
              <w:br w:type="textWrapping"/>
            </w:r>
            <w:r>
              <w:rPr>
                <w:rFonts w:hint="eastAsia" w:ascii="宋体" w:hAnsi="宋体" w:cs="宋体"/>
                <w:color w:val="000000"/>
                <w:kern w:val="0"/>
                <w:sz w:val="24"/>
              </w:rPr>
              <w:t>现场查看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360"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2.每年举办2次以健康为主题的集体活动，如健康知识竞赛、健康演讲比赛、戒烟竞赛等，鼓励开展"健康达人"评选。</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每举办一次以健康为主题的集体活动，提供正式通知或方案、签到册、总结等印证资料得2分，最高4分。印证资料每少一项扣0.5分，扣完为止。</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24"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3.传承中医药文化,普及中医药养生保健知识和方法。</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开展中医药养生保健知识和方法的宣传，形式可为健康讲座、宣传栏、新媒体等，有有相应佐证资料，得2分。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175"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2.无烟机关</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1.机构所有室内公共场所、工作场所禁止吸烟。</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1.机构所有室内公共场所、工作场所完全禁止吸烟，得2分；每发现1个烟头或烟具扣0.5分；发现吸烟者1次扣0.5分；每发现1个工作人员在室内吸烟扣1分。</w:t>
            </w:r>
            <w:r>
              <w:rPr>
                <w:rFonts w:hint="eastAsia" w:ascii="宋体" w:hAnsi="宋体" w:cs="宋体"/>
                <w:color w:val="000000"/>
                <w:kern w:val="0"/>
                <w:sz w:val="24"/>
              </w:rPr>
              <w:br w:type="textWrapping"/>
            </w:r>
            <w:r>
              <w:rPr>
                <w:rFonts w:hint="eastAsia" w:ascii="宋体" w:hAnsi="宋体" w:cs="宋体"/>
                <w:color w:val="000000"/>
                <w:kern w:val="0"/>
                <w:sz w:val="24"/>
              </w:rPr>
              <w:t>2.若设置室外吸烟区,且远离密集人群和必经通道,有明显的引导标识，1分；设置不符规范，扣0.5分；无引导标识，扣0.5分。若不设室外吸烟区，室外场所完全禁烟，管理方法等同室内禁烟场所，1分。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38"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2.机构主要建筑物入口处、等候厅、公共厕所、会议室、电梯、楼梯、走廊等区域有明显禁烟标识。</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机构主要建筑物入口处、等候厅、公共厕所、会议室、电梯、楼梯、走廊等区域有明显禁烟标识和健康提示得2分，缺一处扣0.5分，扣完为止。</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80"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3.机构内无烟草广告、促销和赞助。</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机构内无烟草广告、促销和赞助，得1分。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772"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4.为干部职工戒烟提供必要的支持。</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为干部职工戒烟提供必要的支持，如发放戒烟科普材料、发放戒烟贴或戒烟口香糖、开展戒烟知识讲座、推送国家官方戒烟平台等，能提供至少一项内容的相关印证资料，得0.5分。有相关激励制度，如对主动戒烟并成功戒烟的干部职工给予表扬等，得0.5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13"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3.科学健身</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1.倡导全民健身文化，设有健身设施。落实工间操制度。</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有健身设施，得1分。落实工间操制度，得1分。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38"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2.定期组织职工开展跑步、爬山、球类、游泳等活动，提高职工身体素质。</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每开展一项集体文体活动，有通知或活动方案、小结等印证资料，得2分，最高4分。印证资料不全酌情扣分。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539"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4.绿色环保</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1.倡导干部职工践行文明健康绿色环保的生活方式。</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通过发放倡议书、开展健康讲座、发布健康知识等多种形式，倡导干部职工在日常生活、工作学习中践行文明健康、绿色环保的生活方式。每开展一次得0.5分，最高1分。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288"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2.建设节约型机关。树立珍惜水电、绿色出行、反食品浪费等意识。干部职工开展"光盘行动",外出自带水杯等,减少一次性餐具和塑料产品使用。</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通过各种形式开展珍惜水电、绿色出行、反食品浪费、光盘行动、外出自带水杯、减少一次性餐具和塑料产品使用等健康知识宣传。每开展一次得0.5分，最高1分。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724" w:hRule="atLeast"/>
          <w:jc w:val="center"/>
        </w:trPr>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3.干部职工积极参与无偿献血、志愿服务等社会公益活动,履行社会责任。</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发动职工积极参与无偿献血、志愿服务等公益活动，能提供印证资料，每开展一次得0.5分，最高1分。印证资料不全酌情扣分。</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966" w:hRule="atLeast"/>
          <w:jc w:val="center"/>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五、建设效果（10分）</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目标人群评价</w:t>
            </w: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目标人群对健康促进工作支持、理解、满意</w:t>
            </w: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10</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快速调查</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465" w:hRule="atLeast"/>
          <w:jc w:val="center"/>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合计</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72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100</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1263" w:hRule="atLeast"/>
          <w:jc w:val="center"/>
        </w:trPr>
        <w:tc>
          <w:tcPr>
            <w:tcW w:w="15326" w:type="dxa"/>
            <w:gridSpan w:val="7"/>
            <w:tcBorders>
              <w:top w:val="nil"/>
              <w:left w:val="nil"/>
              <w:right w:val="nil"/>
            </w:tcBorders>
            <w:shd w:val="clear" w:color="auto" w:fill="auto"/>
            <w:noWrap/>
            <w:vAlign w:val="center"/>
          </w:tcPr>
          <w:p>
            <w:pPr>
              <w:jc w:val="left"/>
              <w:rPr>
                <w:rFonts w:ascii="宋体" w:hAnsi="宋体" w:cs="宋体"/>
                <w:color w:val="000000"/>
                <w:kern w:val="0"/>
                <w:sz w:val="24"/>
              </w:rPr>
            </w:pPr>
            <w:r>
              <w:rPr>
                <w:rFonts w:hint="eastAsia" w:ascii="黑体" w:hAnsi="黑体" w:eastAsia="黑体" w:cs="宋体"/>
                <w:color w:val="000000"/>
                <w:kern w:val="0"/>
                <w:sz w:val="28"/>
                <w:szCs w:val="28"/>
              </w:rPr>
              <w:t>评估人员签字：</w:t>
            </w:r>
          </w:p>
        </w:tc>
      </w:tr>
      <w:tr>
        <w:tblPrEx>
          <w:tblCellMar>
            <w:top w:w="0" w:type="dxa"/>
            <w:left w:w="108" w:type="dxa"/>
            <w:bottom w:w="0" w:type="dxa"/>
            <w:right w:w="108" w:type="dxa"/>
          </w:tblCellMar>
        </w:tblPrEx>
        <w:trPr>
          <w:trHeight w:val="644" w:hRule="atLeast"/>
          <w:jc w:val="center"/>
        </w:trPr>
        <w:tc>
          <w:tcPr>
            <w:tcW w:w="15326" w:type="dxa"/>
            <w:gridSpan w:val="7"/>
            <w:tcBorders>
              <w:top w:val="nil"/>
              <w:left w:val="nil"/>
              <w:bottom w:val="nil"/>
              <w:right w:val="nil"/>
            </w:tcBorders>
            <w:shd w:val="clear" w:color="auto" w:fill="auto"/>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说明：</w:t>
            </w:r>
            <w:r>
              <w:rPr>
                <w:rFonts w:hint="eastAsia" w:ascii="宋体" w:hAnsi="宋体" w:cs="宋体"/>
                <w:color w:val="000000"/>
                <w:kern w:val="0"/>
                <w:sz w:val="22"/>
                <w:szCs w:val="22"/>
              </w:rPr>
              <w:t>健康</w:t>
            </w:r>
            <w:r>
              <w:rPr>
                <w:rFonts w:hint="eastAsia" w:ascii="宋体" w:hAnsi="宋体" w:cs="宋体"/>
                <w:color w:val="000000"/>
                <w:kern w:val="0"/>
                <w:sz w:val="22"/>
                <w:szCs w:val="22"/>
                <w:lang w:val="en-US" w:eastAsia="zh-CN"/>
              </w:rPr>
              <w:t>机关</w:t>
            </w:r>
            <w:r>
              <w:rPr>
                <w:rFonts w:hint="eastAsia" w:ascii="宋体" w:hAnsi="宋体" w:cs="宋体"/>
                <w:color w:val="000000"/>
                <w:kern w:val="0"/>
                <w:sz w:val="22"/>
                <w:szCs w:val="22"/>
              </w:rPr>
              <w:t>现场评估表采取百分制，</w:t>
            </w:r>
            <w:r>
              <w:rPr>
                <w:rFonts w:hint="eastAsia" w:ascii="宋体" w:hAnsi="宋体" w:cs="宋体"/>
                <w:color w:val="000000"/>
                <w:kern w:val="0"/>
                <w:sz w:val="24"/>
              </w:rPr>
              <w:t>现场评估达到70分及以上，认为达到健康机关标准。</w:t>
            </w:r>
          </w:p>
        </w:tc>
      </w:tr>
    </w:tbl>
    <w:p>
      <w:pPr>
        <w:rPr>
          <w:rFonts w:hint="eastAsia" w:ascii="宋体" w:hAnsi="宋体" w:eastAsia="宋体"/>
          <w:b/>
          <w:sz w:val="44"/>
        </w:rPr>
      </w:pPr>
      <w:r>
        <w:rPr>
          <w:rFonts w:hint="eastAsia" w:ascii="宋体" w:hAnsi="宋体" w:eastAsia="宋体"/>
          <w:b/>
          <w:sz w:val="44"/>
        </w:rPr>
        <w:br w:type="page"/>
      </w:r>
    </w:p>
    <w:tbl>
      <w:tblPr>
        <w:tblStyle w:val="7"/>
        <w:tblW w:w="15499" w:type="dxa"/>
        <w:jc w:val="center"/>
        <w:tblLayout w:type="fixed"/>
        <w:tblCellMar>
          <w:top w:w="0" w:type="dxa"/>
          <w:left w:w="108" w:type="dxa"/>
          <w:bottom w:w="0" w:type="dxa"/>
          <w:right w:w="108" w:type="dxa"/>
        </w:tblCellMar>
      </w:tblPr>
      <w:tblGrid>
        <w:gridCol w:w="1403"/>
        <w:gridCol w:w="1331"/>
        <w:gridCol w:w="5738"/>
        <w:gridCol w:w="1068"/>
        <w:gridCol w:w="1125"/>
        <w:gridCol w:w="4163"/>
        <w:gridCol w:w="671"/>
      </w:tblGrid>
      <w:tr>
        <w:tblPrEx>
          <w:tblCellMar>
            <w:top w:w="0" w:type="dxa"/>
            <w:left w:w="108" w:type="dxa"/>
            <w:bottom w:w="0" w:type="dxa"/>
            <w:right w:w="108" w:type="dxa"/>
          </w:tblCellMar>
        </w:tblPrEx>
        <w:trPr>
          <w:trHeight w:val="369" w:hRule="atLeast"/>
          <w:jc w:val="center"/>
        </w:trPr>
        <w:tc>
          <w:tcPr>
            <w:tcW w:w="15499" w:type="dxa"/>
            <w:gridSpan w:val="7"/>
            <w:tcBorders>
              <w:top w:val="nil"/>
              <w:left w:val="nil"/>
              <w:bottom w:val="nil"/>
              <w:right w:val="nil"/>
            </w:tcBorders>
            <w:shd w:val="clear" w:color="auto" w:fill="auto"/>
            <w:noWrap/>
            <w:vAlign w:val="center"/>
          </w:tcPr>
          <w:p>
            <w:pPr>
              <w:jc w:val="center"/>
              <w:rPr>
                <w:rFonts w:ascii="宋体" w:hAnsi="宋体" w:cs="宋体"/>
                <w:b/>
                <w:bCs/>
                <w:color w:val="000000"/>
                <w:kern w:val="0"/>
                <w:sz w:val="48"/>
                <w:szCs w:val="48"/>
              </w:rPr>
            </w:pPr>
            <w:r>
              <w:rPr>
                <w:rFonts w:hint="eastAsia" w:ascii="宋体" w:hAnsi="宋体" w:eastAsia="宋体"/>
                <w:b/>
                <w:sz w:val="44"/>
              </w:rPr>
              <w:br w:type="page"/>
            </w:r>
            <w:r>
              <w:rPr>
                <w:rFonts w:hint="eastAsia" w:ascii="宋体" w:hAnsi="宋体" w:cs="宋体"/>
                <w:b/>
                <w:bCs/>
                <w:color w:val="000000"/>
                <w:kern w:val="0"/>
                <w:sz w:val="48"/>
                <w:szCs w:val="48"/>
              </w:rPr>
              <w:t>贵州省健康促进医院现场评分表（2023版）</w:t>
            </w:r>
          </w:p>
        </w:tc>
      </w:tr>
      <w:tr>
        <w:tblPrEx>
          <w:tblCellMar>
            <w:top w:w="0" w:type="dxa"/>
            <w:left w:w="108" w:type="dxa"/>
            <w:bottom w:w="0" w:type="dxa"/>
            <w:right w:w="108" w:type="dxa"/>
          </w:tblCellMar>
        </w:tblPrEx>
        <w:trPr>
          <w:trHeight w:val="337" w:hRule="atLeast"/>
          <w:jc w:val="center"/>
        </w:trPr>
        <w:tc>
          <w:tcPr>
            <w:tcW w:w="15499" w:type="dxa"/>
            <w:gridSpan w:val="7"/>
            <w:tcBorders>
              <w:top w:val="nil"/>
              <w:left w:val="nil"/>
              <w:bottom w:val="nil"/>
              <w:right w:val="nil"/>
            </w:tcBorders>
            <w:shd w:val="clear" w:color="auto" w:fill="auto"/>
            <w:noWrap/>
            <w:vAlign w:val="center"/>
          </w:tcPr>
          <w:p>
            <w:pPr>
              <w:widowControl/>
              <w:jc w:val="left"/>
              <w:rPr>
                <w:rFonts w:ascii="宋体" w:hAnsi="宋体" w:cs="宋体"/>
                <w:color w:val="000000"/>
                <w:kern w:val="0"/>
                <w:sz w:val="24"/>
              </w:rPr>
            </w:pPr>
            <w:r>
              <w:rPr>
                <w:rFonts w:ascii="黑体" w:hAnsi="黑体" w:eastAsia="黑体" w:cs="宋体"/>
                <w:b/>
                <w:bCs/>
                <w:color w:val="000000"/>
                <w:kern w:val="0"/>
                <w:sz w:val="24"/>
              </w:rPr>
              <w:t xml:space="preserve"> 地（州）：</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县（市、区）： </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医院：</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 评估时间：</w:t>
            </w:r>
            <w:r>
              <w:rPr>
                <w:rFonts w:ascii="黑体" w:hAnsi="黑体" w:eastAsia="黑体" w:cs="宋体"/>
                <w:b/>
                <w:bCs/>
                <w:color w:val="000000"/>
                <w:kern w:val="0"/>
                <w:sz w:val="24"/>
                <w:u w:val="single"/>
              </w:rPr>
              <w:t xml:space="preserve">                  </w:t>
            </w:r>
            <w:r>
              <w:rPr>
                <w:rFonts w:ascii="黑体" w:hAnsi="黑体" w:eastAsia="黑体" w:cs="宋体"/>
                <w:b/>
                <w:bCs/>
                <w:color w:val="000000"/>
                <w:kern w:val="0"/>
                <w:sz w:val="24"/>
              </w:rPr>
              <w:t xml:space="preserve"> </w:t>
            </w:r>
          </w:p>
        </w:tc>
      </w:tr>
      <w:tr>
        <w:tblPrEx>
          <w:tblCellMar>
            <w:top w:w="0" w:type="dxa"/>
            <w:left w:w="108" w:type="dxa"/>
            <w:bottom w:w="0" w:type="dxa"/>
            <w:right w:w="108" w:type="dxa"/>
          </w:tblCellMar>
        </w:tblPrEx>
        <w:trPr>
          <w:trHeight w:val="624" w:hRule="atLeast"/>
          <w:jc w:val="center"/>
        </w:trPr>
        <w:tc>
          <w:tcPr>
            <w:tcW w:w="140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一级指标</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二级指标</w:t>
            </w:r>
          </w:p>
        </w:tc>
        <w:tc>
          <w:tcPr>
            <w:tcW w:w="573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指标内容</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权重（分）</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考核办法</w:t>
            </w:r>
          </w:p>
        </w:tc>
        <w:tc>
          <w:tcPr>
            <w:tcW w:w="416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评分标准</w:t>
            </w:r>
          </w:p>
        </w:tc>
        <w:tc>
          <w:tcPr>
            <w:tcW w:w="67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8"/>
                <w:szCs w:val="28"/>
              </w:rPr>
            </w:pPr>
            <w:r>
              <w:rPr>
                <w:rFonts w:hint="eastAsia" w:ascii="宋体" w:hAnsi="宋体" w:cs="宋体"/>
                <w:b/>
                <w:bCs/>
                <w:color w:val="000000"/>
                <w:kern w:val="0"/>
                <w:sz w:val="28"/>
                <w:szCs w:val="28"/>
              </w:rPr>
              <w:t>得分</w:t>
            </w:r>
          </w:p>
        </w:tc>
      </w:tr>
      <w:tr>
        <w:tblPrEx>
          <w:tblCellMar>
            <w:top w:w="0" w:type="dxa"/>
            <w:left w:w="108" w:type="dxa"/>
            <w:bottom w:w="0" w:type="dxa"/>
            <w:right w:w="108" w:type="dxa"/>
          </w:tblCellMar>
        </w:tblPrEx>
        <w:trPr>
          <w:trHeight w:val="312"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c>
          <w:tcPr>
            <w:tcW w:w="573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c>
          <w:tcPr>
            <w:tcW w:w="416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8"/>
                <w:szCs w:val="28"/>
              </w:rPr>
            </w:pPr>
          </w:p>
        </w:tc>
      </w:tr>
      <w:tr>
        <w:tblPrEx>
          <w:tblCellMar>
            <w:top w:w="0" w:type="dxa"/>
            <w:left w:w="108" w:type="dxa"/>
            <w:bottom w:w="0" w:type="dxa"/>
            <w:right w:w="108" w:type="dxa"/>
          </w:tblCellMar>
        </w:tblPrEx>
        <w:trPr>
          <w:trHeight w:val="802" w:hRule="atLeast"/>
          <w:jc w:val="center"/>
        </w:trPr>
        <w:tc>
          <w:tcPr>
            <w:tcW w:w="140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一、建设健康环境</w:t>
            </w:r>
            <w:r>
              <w:rPr>
                <w:rFonts w:hint="eastAsia" w:ascii="宋体" w:hAnsi="宋体" w:cs="宋体"/>
                <w:color w:val="000000"/>
                <w:kern w:val="0"/>
                <w:sz w:val="24"/>
              </w:rPr>
              <w:br w:type="textWrapping"/>
            </w:r>
            <w:r>
              <w:rPr>
                <w:rFonts w:hint="eastAsia" w:ascii="宋体" w:hAnsi="宋体" w:cs="宋体"/>
                <w:color w:val="000000"/>
                <w:kern w:val="0"/>
                <w:sz w:val="24"/>
              </w:rPr>
              <w:t>（16分）</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基础设施</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（1）医院建筑、设施的设计与布局符合国家有关标准和要求。医院建筑、食堂等场所设施、医疗设备等符合安全保卫、消防、食品安全、院感、污水、废弃物处理等相关标准规定。</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w:t>
            </w:r>
            <w:r>
              <w:rPr>
                <w:rFonts w:hint="eastAsia" w:ascii="宋体" w:hAnsi="宋体" w:cs="宋体"/>
                <w:color w:val="000000"/>
                <w:kern w:val="0"/>
                <w:sz w:val="24"/>
              </w:rPr>
              <w:br w:type="textWrapping"/>
            </w:r>
            <w:r>
              <w:rPr>
                <w:rFonts w:hint="eastAsia" w:ascii="宋体" w:hAnsi="宋体" w:cs="宋体"/>
                <w:color w:val="000000"/>
                <w:kern w:val="0"/>
                <w:sz w:val="24"/>
              </w:rPr>
              <w:t>查阅资料</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（1）有相关部门对这些设施、设备的检测评估报告，缺少一类扣0.5分，扣完为止。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81"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（2）辐射安全、医疗废物等标识清晰。</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（2）有一项标识不清晰扣0.5分，扣完为止。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38"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（3）院内公共厕所墙面应采用光滑、便于清洗的材料,地面应采 用防渗、防滑材料,并设置相应的引导标志,提高公共厕所使用的便利性。</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（3）每发现一个问题扣0.5分。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0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（4）二级及以上医院的公共厕所应设置单独的可满足老幼、 残疾人等特殊人群方便使用的第三卫生间及附属的盲道、轮椅坡道、扶手抓杆等人性化设施。</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（4）每发现一个问题扣0.2分。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0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环境文明</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（1）加强精神文明、医德医风和医院特色文化建设,构建和谐医患关系。在门诊大厅、楼内走廊、护士工作站等处张贴或悬挂医护文明守则、文明用语等标识。</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（1）缺少一处扣0.5分，扣完为止；发现有医务人员参与的争吵、谩骂事件，此项不得分。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29"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（2）院内环境整洁，通道畅通，垃圾箱、废弃物容器门盖闭合。</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（2）每发现一处一个问题扣0.2分。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65"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（3）各楼层卫生间清洁、无蚊蝇、无异味，无烟蒂，有盥洗、洗手液（肥皂）等设施。</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（3）每发现一处一个问题扣0.5分。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82"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（4）定期开展鼠、蟑、蚊、蝇防制，密度达到国家规定标准。</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（4）没有开展“四害”防制工作扣1分；缺少一类病媒生物密度自我监测报告扣0.5分；缺少一类病媒生物密度监测合同和相关部门给出的C等以上监测报告扣0.5分。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05"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污物处理</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（1）医院污水和传染源排泄物经消毒达标后排入污水处理系统。有监测和处理记录。</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（1）没有医院污水和传染源排泄物消毒记录扣1分；没有提供有关部门审查意见和记录，扣1分。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85"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（2）医疗废弃物按国家有关规定及时分类收集处置。</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（1)医疗废物没有及时分类收集和处置各扣1分，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78"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食品安全</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（1）院内食堂及其从业人员符合国家食品安全相关规定。医院饮用水供应充足并符合国家相关标准。</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(2)提供相关部门签发的食品经营许可证明和从业人员健康证，少一项扣0.5分，无饮用水监测合格证明扣0.5分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78"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（2）院内食堂安装使用油烟净化装置并达标排放,合理设置排烟口,积极推行明厨亮灶。</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没有安装使用油烟净化装置扣0.6分。没有达标排放扣0.3分,排烟口设置不合理扣0.3分； 没有推行明厨亮灶扣0.4分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0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（3）为职工和患者及家属提供营养均衡、烹调合理的餐食,避免高盐、高油、高糖饮食。</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(3)没有食物原料及含盐油糖的各种调味品采购、台账制度扣0.5分，没有定期公示每周盐油糖使用量和人均每日或每餐摄入量扣0.5分，没有提供每周食谱扣0.5分。有炸、煎、熏、烤等方法烹饪的饮食酌情扣分。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22" w:hRule="atLeast"/>
          <w:jc w:val="center"/>
        </w:trPr>
        <w:tc>
          <w:tcPr>
            <w:tcW w:w="140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二、优化健康服务</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诊疗服务</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（1）加强人文关怀和患者隐私保护。门诊区提供与就诊人数相适应的候诊座椅。为患者提供安全、私密的就诊环境。</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(1)候诊座椅不足的扣0.5分，未设置安全私密就诊环境的扣1分，未进行相关管理和引导的扣0.5分。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6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（2）推进健康管理、健康教育、疾病预防、预约诊疗、门诊和住院一体化服务。利用信息化技术为患者提供高效、便捷、智能的医疗服务。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健康管理、健康教育、疾病预防、预约诊疗、门诊和住院一体化服务少一个环节，扣0.5分，过程、内容不全酌情扣分；未利用信息化技术为患者提供高效、便捷、智能的医疗服务扣0.5分。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5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（3）门诊大厅设置咨询台，设置专人提供健康咨询服务。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门诊大厅无咨询台扣0.5分，未发现咨询服务人员扣0.5分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3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（4）为老年人、残障人士、孕产妇、婴幼儿、计划生育特殊家庭、现役军人/家属、烈属等特殊人群提供就医引导等优先和便利的诊疗服务。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每少一类人群的优先和便利的诊疗服务扣0.3分，扣完为止。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281"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（5）设立健康管理中心、健康咨询门诊、戒烟门诊。</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每规范设立一个门诊1分，最高3分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9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（6）为慢性病高危人群、脑卒中与冠心病等康复患者、精神疾病患者等提供健康管理服务。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每一个患者的健康管理服务需有完整的检测、评估和个性化干预的流程，管理不规范，一个病例扣1分，扣完为止。。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6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中医药服务</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（1）中医医院要发挥中医药整体医学和健康医学优势,探索创新融预防保健、疾病治疗和康复于一体的医院发展模式。</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融预防保健、疾病治疗和康复于一体的医疗服务，为患者建立动态、连续、完整的个人档案，实现健康评估、干预、追踪管理等一站式服务，3分；内容、过程不全，酌情扣分。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82"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（2）有中医特长的医院要为群众提供中医(民族医)药等特色康复和健康指导服务,加强中医优势专科建设,推广中医综合诊疗模式、多专业一体化诊疗模式。</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没有提供中医(民族医)药等特色康复和健康指导服务扣1分；没有实行中医综合诊疗模式、多专业一体化诊疗扣1分。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87" w:hRule="atLeast"/>
          <w:jc w:val="center"/>
        </w:trPr>
        <w:tc>
          <w:tcPr>
            <w:tcW w:w="140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三、强化健康教育</w:t>
            </w:r>
            <w:r>
              <w:rPr>
                <w:rFonts w:hint="eastAsia" w:ascii="宋体" w:hAnsi="宋体" w:cs="宋体"/>
                <w:color w:val="000000"/>
                <w:kern w:val="0"/>
                <w:sz w:val="24"/>
              </w:rPr>
              <w:br w:type="textWrapping"/>
            </w:r>
            <w:r>
              <w:rPr>
                <w:rFonts w:hint="eastAsia" w:ascii="宋体" w:hAnsi="宋体" w:cs="宋体"/>
                <w:color w:val="000000"/>
                <w:kern w:val="0"/>
                <w:sz w:val="24"/>
              </w:rPr>
              <w:t>（26分）</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患者教育</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（1）在候诊、就医等场所摆放健康教育资料架、发放健康教育材料、举办健康讲座、开展新媒体传播,向患者及其家属普及防病治病知识,宣传科学就医常识和医保政策等。</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随机抽查2个病区，一个候诊区或就医区无资料架扣0.5分，每一处资料架至少5种以上宣传资料，少一种扣0.1分，最多扣0.5分；健康讲座全年12次，少一次扣0.2分，最多扣1分；音像资料少于12种按比例扣分，扣完1分为止；没有开展新媒体传播扣1分，没有定期更新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59"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（2）针对门诊患者,结合其疾病特点,通过口头教育、开具健康教育处方、候诊与随诊教育等形式开展健康教育。对吸烟者开展简短戒烟干预服务。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没有开具健康教育处方扣1分；没有开展简短戒烟于干预扣1分；随机抽查一定数量门诊患者，询问当面指导、文字、图片等形式的健康教育情况，指导率不到60%以上的扣1分。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8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（3）对住院患者开展健康教育需求评估,制定个性化的健康教育方案,开展个体化营养、运动、戒烟限酒等生活方式干预。</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没有开展患者需求评估的扣1.5分；没有针对患者健康需求开展个性化健康教育干预扣1.5分。干预内容不足酌情扣分。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1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（4）提供产儿科服务的医疗机构,设置有孕妇学校或家长课堂,制定计划定期组织授课。</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全年开展不少于12次讲课，少1次扣0.2分，过程资料不齐全酌情扣分。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41"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（5）承担体检的医疗卫生机构要对体检单位的整体结果进行分析并提出建议</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未开展整体结果分析的扣2分，未提出建议的扣1分。未承担体检的医疗机构按标化处理。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8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（6）各病区建立健康教育知识库，纳入医院临床路径等服务流程；开展住院患者入院、院中、出院健康教育，住院患者相关健康知识知晓率达到80%以上。</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未建立健康教育知识库扣2分，知识库内容不全酌情扣分；抽查2个以上病区一定数量住院患者，患者健康知识以及血压、血糖、血脂和体重的知晓率达到80％以上得4分，不足80％每降低5%扣1分。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2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（7）患者出院前,医护人员向其本人及家属强调出院后注意事项。患者出院后,可通过随访、电话与线上咨询、新媒体咨询等形式给予患者连续的健康咨询和指导。</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查看患者出院时和出院后工作记录，没有开展相应的健康教育的各扣1分。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83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健康科普</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（1）组建健康科普专家团队,利用大众媒体与新媒体面向全社会开展健康科普。</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无健康科普专家团队扣2分；与大众媒体、新媒体合作，全年不少于6次活动，缺1次扣0.4分，内容涵盖健康生活方式、可干预危险因素、重点疾病和公共卫生问题等，不足酌情扣分。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18"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（2）医院门户网站、微信、微博等平台设有健康教育专栏，信息每周更换；利用新媒体开展健康传播。</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网站、微信、微博等平台没有健康教育专栏扣2分；信息没有每周更新1次扣0.5分，最多扣2分。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49"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（3）举办卫生健康相关节日纪念日宣传活动。开展健康教育进社区活动</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全年开展进社区的健康教育活动不少于9次，要求过程资料齐全，少一次扣0.3分，扣完为止。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661" w:hRule="atLeast"/>
          <w:jc w:val="center"/>
        </w:trPr>
        <w:tc>
          <w:tcPr>
            <w:tcW w:w="140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四、倡导健康文化</w:t>
            </w:r>
            <w:r>
              <w:rPr>
                <w:rFonts w:hint="eastAsia" w:ascii="宋体" w:hAnsi="宋体" w:cs="宋体"/>
                <w:color w:val="000000"/>
                <w:kern w:val="0"/>
                <w:sz w:val="24"/>
              </w:rPr>
              <w:br w:type="textWrapping"/>
            </w:r>
            <w:r>
              <w:rPr>
                <w:rFonts w:hint="eastAsia" w:ascii="宋体" w:hAnsi="宋体" w:cs="宋体"/>
                <w:color w:val="000000"/>
                <w:kern w:val="0"/>
                <w:sz w:val="24"/>
              </w:rPr>
              <w:t>（25分）</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能力提升</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（1）面向全体员工普及健康教育知识和技能,将健康教育纳入医院继续教育和规范化培训内容，健康教育基本理论与技能、行为危险因素等知识培训，年度培训覆盖率达90%以上。</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未纳入继续教育和规范化培训各扣2分。</w:t>
            </w:r>
            <w:r>
              <w:rPr>
                <w:rFonts w:hint="eastAsia" w:ascii="宋体" w:hAnsi="宋体" w:cs="宋体"/>
                <w:color w:val="000000"/>
                <w:kern w:val="0"/>
                <w:sz w:val="24"/>
              </w:rPr>
              <w:br w:type="textWrapping"/>
            </w:r>
            <w:r>
              <w:rPr>
                <w:rFonts w:hint="eastAsia" w:ascii="宋体" w:hAnsi="宋体" w:cs="宋体"/>
                <w:color w:val="000000"/>
                <w:kern w:val="0"/>
                <w:sz w:val="24"/>
              </w:rPr>
              <w:t>专职管理人员每年至少参加1次县级及以上以上专业机构培训，兼职管理人员每年至少1次参加院级及以上培训，健康教育纳入新入院职工岗前培训，培训率每下降10%扣0.5分，培训过程性资料不全扣0.2分，培训内容不足扣0.2分。随机问卷调查10名医护人员，健康教育知识抽查合格率不足80％的每降低5%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8"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（2）提升全体员工健康素养,医护人员在健康理念和行为方面为患者及公众发挥表率作用。践行文明健康绿色环保生活方式。</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未开展院内职工健康素养调查扣1分；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1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无烟文化</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（1）建设无烟医院,医院所属区域有明显的禁烟标识。</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现场查看</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建筑物入口、等候大厅、会议室、厕所、走廊、电梯、楼梯等区域内有明显的禁烟标识，每少一处扣0.5分，扣完为止。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10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（2）室内全面禁烟,规范设置室外吸烟区。</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合理设置室外吸烟区：非密闭空间，利于空气流通，远离密集人群和必经通道、有明显的引导标识、不奢华、与非吸烟区隔离、符合消防安全要求，每缺1项扣0.3分，扣完为止。如无条件设室外区，室外发现一个烟头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337"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（3）无烟草广告、促销和赞助等现象。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发现烟草广告、促销和赞助扣2分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（4）医护人员在公共场所带头遵守控烟规定。</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发现医护人员吸烟或者工作人员在非吸烟区看到没有制止，此项不得分。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2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员工健康</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（1）倡导全民健身文化，为医务人员提供一定数量的健身场所。组织开展全体员工健身活动，每年不少于4次。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查阅资料、现场查看、问卷调查</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无员工健身场所扣1分；每年组织开展全体员工健身活动不少于4次，少一次扣0.5分，扣完为止。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 xml:space="preserve"> </w:t>
            </w:r>
          </w:p>
        </w:tc>
      </w:tr>
      <w:tr>
        <w:tblPrEx>
          <w:tblCellMar>
            <w:top w:w="0" w:type="dxa"/>
            <w:left w:w="108" w:type="dxa"/>
            <w:bottom w:w="0" w:type="dxa"/>
            <w:right w:w="108" w:type="dxa"/>
          </w:tblCellMar>
        </w:tblPrEx>
        <w:trPr>
          <w:trHeight w:val="70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（2）在职工中传承中医药文化，普及中医药养生保健知识和方法。</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查阅资料</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每年在职工中通过讲座、咨询活动、义诊等形式普及中医药养生保健知识和方法，不少于2次，少1次扣0.5分，扣完为止。过程性资料不齐全、内容不全酌情扣分。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650"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（3）定期对全体员工进行健康体检,掌握职工健康水平。</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体检率不足90%的，每下降2%扣0.5分，扣完1分为止；无分析评估报告扣1分，内容不全酌情扣分。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4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（4）根据职工主要健康问题和暴露的职业危害，增加体检项目和体检次数，并对职业暴露采取防护措施。</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未增加体检项目或体检次数扣1分；无健康筛查、免疫接种、职业防护等措施记录扣1分，记录不全酌情扣分。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46"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（5）针对员工主要健康问题及危险因素，开展有针对性的健康干预,提升员工自我健康管理能力。</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4</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无需求评估报告扣2分，优先项目不明确扣1分；无干预方案、干预措施、效果评估各扣0.5分；资料不完整、效果不明显的，酌情扣分。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449"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（6）鼓励医院设立心理咨询室。</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加分项：设立规范的心理咨询室加1分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绿色环保</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全体员工树立珍惜水电、绿色出行、反食品浪费等意识,开展"光盘行动",外出自带水杯等,减少一次性餐具和塑料产品使用。</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每年在职工中开展不少于2次相关的活动，少1次扣0.5分，扣完为止。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140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五、组织管理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组织网络</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（1）建立医院主要领导为组长的健康促进医院建设领导小组，成员构成合理，分工明确，责任落实；每季度召开1次工作例会，推进健康促进医院建设。</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查阅文件、花名册、会议记录、现场查看</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非院级主要领导担任组长、成员未涵盖各行政职能科所和业务科室、日常建设管理职责未有效落实各扣0.1分；每季度召开1次工作例会，针对工作中存在问题，提出解决措施，工作例会少一次扣0.2分，直至扣完。</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（2）有健康教育主管科室，负责健康教育工作的日常管理和部门协调；专兼职健康教育人员不少于2人。</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（2）无主管科室扣1分；专兼职人数少于2人扣0.5分。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（3）临床、医技科室均配备兼职健康教育人员。</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（3）每少一个科室扣0.2分，扣完为止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770"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制度建设</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（1）将健康促进医院建设纳入医院发展规划。制定健康促进医院建设工作计划和实施方案，包括医院健康促进资源和健康问题评估、工作目标、任务分工、时间进度等。</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（1）未纳入医院发展规划扣0.5分，未制定年度工作计划扣1.5分；工作计划内容要素不全、不详细，每项扣0.5分，扣完为止；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59"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（2）制定健康促进与教育相关工作、考核、奖惩等制度，将健康促进融入医院管理和医疗活动。健康教育工作纳入科室及个人绩效考核机制，将考核结果与岗位聘用、绩效分配、评奖评优等结合。</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（2）每一项制度0.5分，最高3分：随机抽查5～10名职工相关制度知晓程度，1人1项不知道扣0.5分，扣完为止。</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554" w:hRule="atLeast"/>
          <w:jc w:val="center"/>
        </w:trPr>
        <w:tc>
          <w:tcPr>
            <w:tcW w:w="140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经费保障</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保证健康教育必备的仪器设备以及工作经费。</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查阅财务凭据</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（1）配备相关设备、设施，设备、设施不能保证工作开展扣1分；健康教育工作经费未单列、不能保障工作开展扣1分。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p>
        </w:tc>
      </w:tr>
      <w:tr>
        <w:tblPrEx>
          <w:tblCellMar>
            <w:top w:w="0" w:type="dxa"/>
            <w:left w:w="108" w:type="dxa"/>
            <w:bottom w:w="0" w:type="dxa"/>
            <w:right w:w="108" w:type="dxa"/>
          </w:tblCellMar>
        </w:tblPrEx>
        <w:trPr>
          <w:trHeight w:val="1078" w:hRule="atLeast"/>
          <w:jc w:val="center"/>
        </w:trPr>
        <w:tc>
          <w:tcPr>
            <w:tcW w:w="14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六、建设效果  （3分）</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目标人群评价</w:t>
            </w: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目标人群对健康促进工作支持、理解、满意</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快速调查</w:t>
            </w: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按照统一调查表格，随机抽查一定数量患者及家属对医院健康教育满意度，满意度达80%以上得3分，不足80%每降低5%扣1分。</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281" w:hRule="atLeast"/>
          <w:jc w:val="center"/>
        </w:trPr>
        <w:tc>
          <w:tcPr>
            <w:tcW w:w="14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合计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both"/>
              <w:rPr>
                <w:rFonts w:hint="eastAsia" w:ascii="宋体" w:hAnsi="宋体" w:cs="宋体"/>
                <w:color w:val="000000"/>
                <w:kern w:val="0"/>
                <w:sz w:val="24"/>
              </w:rPr>
            </w:pPr>
          </w:p>
        </w:tc>
        <w:tc>
          <w:tcPr>
            <w:tcW w:w="5738"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both"/>
              <w:rPr>
                <w:rFonts w:hint="eastAsia" w:ascii="宋体" w:hAnsi="宋体" w:cs="宋体"/>
                <w:color w:val="000000"/>
                <w:kern w:val="0"/>
                <w:sz w:val="24"/>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hint="eastAsia" w:ascii="宋体" w:hAnsi="宋体" w:cs="宋体"/>
                <w:color w:val="000000"/>
                <w:kern w:val="0"/>
                <w:sz w:val="24"/>
              </w:rPr>
            </w:pPr>
            <w:r>
              <w:rPr>
                <w:rFonts w:hint="eastAsia" w:ascii="宋体" w:hAnsi="宋体" w:cs="宋体"/>
                <w:color w:val="000000"/>
                <w:kern w:val="0"/>
                <w:sz w:val="24"/>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both"/>
              <w:rPr>
                <w:rFonts w:hint="eastAsia" w:ascii="宋体" w:hAnsi="宋体" w:cs="宋体"/>
                <w:color w:val="000000"/>
                <w:kern w:val="0"/>
                <w:sz w:val="24"/>
              </w:rPr>
            </w:pPr>
          </w:p>
        </w:tc>
        <w:tc>
          <w:tcPr>
            <w:tcW w:w="416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left"/>
              <w:rPr>
                <w:rFonts w:hint="eastAsia" w:ascii="宋体" w:hAnsi="宋体" w:cs="宋体"/>
                <w:color w:val="000000"/>
                <w:kern w:val="0"/>
                <w:sz w:val="24"/>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ind w:left="0" w:leftChars="0" w:firstLine="0" w:firstLineChars="0"/>
              <w:jc w:val="left"/>
              <w:rPr>
                <w:rFonts w:hint="eastAsia" w:ascii="宋体" w:hAnsi="宋体" w:cs="宋体"/>
                <w:color w:val="000000"/>
                <w:kern w:val="0"/>
                <w:sz w:val="24"/>
              </w:rPr>
            </w:pPr>
          </w:p>
        </w:tc>
      </w:tr>
    </w:tbl>
    <w:p>
      <w:pPr>
        <w:widowControl/>
        <w:jc w:val="left"/>
        <w:rPr>
          <w:rFonts w:ascii="宋体" w:hAnsi="宋体" w:cs="宋体"/>
          <w:b/>
          <w:bCs/>
          <w:color w:val="000000"/>
          <w:kern w:val="0"/>
          <w:sz w:val="24"/>
        </w:rPr>
      </w:pPr>
      <w:r>
        <w:rPr>
          <w:rFonts w:hint="eastAsia" w:ascii="宋体" w:hAnsi="宋体" w:cs="宋体"/>
          <w:b/>
          <w:bCs/>
          <w:color w:val="000000"/>
          <w:kern w:val="0"/>
          <w:sz w:val="24"/>
        </w:rPr>
        <w:t xml:space="preserve">说明： </w:t>
      </w:r>
    </w:p>
    <w:p>
      <w:pPr>
        <w:widowControl/>
        <w:jc w:val="left"/>
        <w:rPr>
          <w:rFonts w:hint="default" w:ascii="宋体" w:hAnsi="宋体" w:eastAsia="仿宋_GB2312" w:cs="宋体"/>
          <w:color w:val="000000"/>
          <w:kern w:val="0"/>
          <w:sz w:val="24"/>
          <w:lang w:eastAsia="zh-CN"/>
        </w:rPr>
      </w:pPr>
      <w:r>
        <w:rPr>
          <w:rFonts w:ascii="宋体" w:hAnsi="宋体" w:cs="宋体"/>
          <w:color w:val="000000"/>
          <w:kern w:val="0"/>
          <w:sz w:val="24"/>
        </w:rPr>
        <w:t>1．根据省爱卫办每年的暗访结果，&lt;80分者每少5分，在无烟文化中扣减1分，直至全部扣完。</w:t>
      </w:r>
    </w:p>
    <w:p>
      <w:pPr>
        <w:widowControl/>
        <w:ind w:firstLine="480"/>
        <w:jc w:val="left"/>
        <w:rPr>
          <w:rFonts w:ascii="宋体" w:hAnsi="宋体" w:cs="宋体"/>
          <w:color w:val="000000"/>
          <w:kern w:val="0"/>
          <w:sz w:val="24"/>
        </w:rPr>
      </w:pPr>
      <w:r>
        <w:rPr>
          <w:rFonts w:ascii="宋体" w:hAnsi="宋体" w:cs="宋体"/>
          <w:color w:val="000000"/>
          <w:kern w:val="0"/>
          <w:sz w:val="24"/>
        </w:rPr>
        <w:t>2．贵州省健康促进医院达标标准:基层医疗卫生机构（如乡镇卫生院等）需达到70分以上；二级及以上医疗卫生机构需达到80分以上。</w:t>
      </w:r>
    </w:p>
    <w:p>
      <w:pPr>
        <w:widowControl/>
        <w:jc w:val="left"/>
        <w:rPr>
          <w:rFonts w:hint="default" w:ascii="宋体" w:hAnsi="宋体" w:cs="宋体"/>
          <w:color w:val="000000"/>
          <w:kern w:val="0"/>
          <w:sz w:val="24"/>
        </w:rPr>
      </w:pPr>
      <w:r>
        <w:rPr>
          <w:rFonts w:hint="default" w:ascii="宋体" w:hAnsi="宋体" w:cs="宋体"/>
          <w:color w:val="000000"/>
          <w:kern w:val="0"/>
          <w:sz w:val="24"/>
        </w:rPr>
        <w:t xml:space="preserve"> </w:t>
      </w:r>
    </w:p>
    <w:p>
      <w:pPr>
        <w:rPr>
          <w:rFonts w:hint="eastAsia" w:ascii="宋体" w:hAnsi="宋体" w:eastAsia="宋体"/>
          <w:b/>
          <w:sz w:val="44"/>
        </w:rPr>
      </w:pPr>
      <w:r>
        <w:rPr>
          <w:rFonts w:hint="eastAsia" w:ascii="宋体" w:hAnsi="宋体" w:cs="宋体"/>
          <w:color w:val="000000"/>
          <w:kern w:val="0"/>
          <w:sz w:val="24"/>
        </w:rPr>
        <w:t>记录员:                                     考核组成员签名：</w:t>
      </w:r>
    </w:p>
    <w:p>
      <w:pPr>
        <w:rPr>
          <w:rFonts w:hint="eastAsia" w:ascii="宋体" w:hAnsi="宋体" w:eastAsia="宋体"/>
          <w:b/>
          <w:sz w:val="44"/>
        </w:rPr>
      </w:pPr>
    </w:p>
    <w:p>
      <w:pPr>
        <w:rPr>
          <w:rFonts w:hint="eastAsia" w:ascii="宋体" w:hAnsi="宋体" w:eastAsia="宋体"/>
          <w:b/>
          <w:sz w:val="44"/>
        </w:rPr>
      </w:pPr>
    </w:p>
    <w:p>
      <w:pPr>
        <w:rPr>
          <w:rFonts w:hint="eastAsia" w:ascii="宋体" w:hAnsi="宋体" w:eastAsia="宋体"/>
          <w:b/>
          <w:sz w:val="44"/>
        </w:rPr>
      </w:pPr>
    </w:p>
    <w:p>
      <w:pPr>
        <w:rPr>
          <w:rFonts w:hint="eastAsia" w:ascii="宋体" w:hAnsi="宋体" w:eastAsia="宋体"/>
          <w:b/>
          <w:sz w:val="44"/>
        </w:rPr>
      </w:pPr>
    </w:p>
    <w:tbl>
      <w:tblPr>
        <w:tblStyle w:val="7"/>
        <w:tblW w:w="13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43"/>
        <w:gridCol w:w="1169"/>
        <w:gridCol w:w="3473"/>
        <w:gridCol w:w="3978"/>
        <w:gridCol w:w="1216"/>
        <w:gridCol w:w="1739"/>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1" w:hRule="atLeast"/>
        </w:trPr>
        <w:tc>
          <w:tcPr>
            <w:tcW w:w="138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Style w:val="11"/>
                <w:rFonts w:ascii="方正小标宋_GBK" w:hAnsi="方正小标宋_GBK" w:eastAsia="方正小标宋_GBK" w:cs="方正小标宋_GBK"/>
                <w:sz w:val="44"/>
                <w:szCs w:val="44"/>
                <w:lang w:val="en-US" w:eastAsia="zh-CN" w:bidi="ar"/>
              </w:rPr>
              <w:t>贵州省健</w:t>
            </w:r>
            <w:r>
              <w:rPr>
                <w:rStyle w:val="12"/>
                <w:rFonts w:ascii="方正小标宋_GBK" w:hAnsi="方正小标宋_GBK" w:eastAsia="方正小标宋_GBK" w:cs="方正小标宋_GBK"/>
                <w:lang w:val="en-US" w:eastAsia="zh-CN" w:bidi="ar"/>
              </w:rPr>
              <w:t>康学校现场评分表（2023版）</w:t>
            </w:r>
            <w:r>
              <w:rPr>
                <w:rStyle w:val="12"/>
                <w:rFonts w:ascii="方正小标宋_GBK" w:hAnsi="方正小标宋_GBK" w:eastAsia="方正小标宋_GBK" w:cs="方正小标宋_GBK"/>
                <w:lang w:val="en-US" w:eastAsia="zh-CN" w:bidi="ar"/>
              </w:rPr>
              <w:br w:type="textWrapping"/>
            </w:r>
            <w:r>
              <w:rPr>
                <w:rStyle w:val="12"/>
                <w:rFonts w:ascii="方正小标宋_GBK" w:hAnsi="方正小标宋_GBK" w:eastAsia="方正小标宋_GBK" w:cs="方正小标宋_GBK"/>
                <w:lang w:val="en-US" w:eastAsia="zh-CN" w:bidi="ar"/>
              </w:rPr>
              <w:t>（中小学版）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Style w:val="13"/>
                <w:rFonts w:ascii="仿宋_GB2312" w:hAnsi="仿宋_GB2312" w:eastAsia="仿宋_GB2312" w:cs="仿宋_GB2312"/>
                <w:sz w:val="24"/>
                <w:szCs w:val="24"/>
                <w:lang w:val="en-US" w:eastAsia="zh-CN" w:bidi="ar"/>
              </w:rPr>
              <w:t xml:space="preserve">  市（州）：              县（区）：                   学校：                        时间：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一级指标</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二级指标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指标内容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评分标准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考核方法</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黑体" w:hAnsi="黑体" w:eastAsia="黑体" w:cs="黑体"/>
                <w:b/>
                <w:bCs/>
                <w:i w:val="0"/>
                <w:iCs w:val="0"/>
                <w:color w:val="000000"/>
                <w:sz w:val="28"/>
                <w:szCs w:val="28"/>
                <w:u w:val="none"/>
              </w:rPr>
            </w:pPr>
            <w:r>
              <w:rPr>
                <w:rFonts w:hint="eastAsia" w:ascii="黑体" w:hAnsi="黑体" w:eastAsia="黑体" w:cs="黑体"/>
                <w:b/>
                <w:bCs/>
                <w:i w:val="0"/>
                <w:iCs w:val="0"/>
                <w:color w:val="000000"/>
                <w:kern w:val="0"/>
                <w:sz w:val="28"/>
                <w:szCs w:val="2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一、组织管理(15分)</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1.开展宣传动员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召开全校师生大会，公开倡议全员积极参与健康学校建设。</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校内明显可见健康学校倡议书或有关标识得0.5分；召开全校师生大会，在全校开展动员得0.5分。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听取汇报</w:t>
            </w:r>
          </w:p>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查阅档案</w:t>
            </w:r>
          </w:p>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现场访谈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2.成立领导小组</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成立校长或分管校长为组长的健康促进学校工作领导小组，明确相关职能部门职责。鼓励建立健康副校长派驻制度。</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成立校长为组长的领导小组得1分，副校长为组长的领导小组得0.5分。建立健康副校长派驻制度得1分。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3.召开工作例会</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定期召开工作例会，讨论学校主要健康问题并提出具体应对措施。</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领导小组每年召开工作例会满2次，讨论学校主要健康问题并提出具体应对措施，得1分。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4.设置专职人员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有专人负责健康学校建设工作，接受过健康学校相关业务培训，掌握健康学校建设的基本理论、方法和实践技能。</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有专人负责得1分。专职人员接受过相关业务培训，对其访谈，掌握健康学校建设的相关基础理论、方法和技能得1分；未接受培训不得分，未掌握相关理论、方法和技能酌情扣分。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5.建立长效机制</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将健康学校建设纳入学校中长期规划，所需经费在学校公用经费中列支。</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学校中长期规划体现健康学校建设工作得1分，否则不得分；财务表显示有健康促进学校建设经费得1分，否则不得分，支撑材料不齐酌情扣分。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6.制定工作计划</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展师生健康需求评估，分析师生存在的主要健康问题及影响因素，提出干预策略和措施。依据需求评估，选择优先干预项目，制定健康学校建设计划，要求目标明确，干预策略和措施针对性强。开展阶段性的建设工作总结评价，分析建设的效果及社会效益。</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需求评估分析报告得1分，需求评估无主要健康问题及影响因素分析扣0.5分，未提出干预策略和措施扣0.5分。有工作计划得1分，计划未依据需求评估制定扣0.5分，目标不明确扣0.5分，其他不规范酌情扣分。有总结评价得1分，总结未体现建设效果分析扣0.5分，其他不规范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9"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7.政策制定</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根据需求评估分析出来的师生主要健康问题，制定系列有针对性的健康的政策、规章制度和管理措施。如校内禁烟、食品安全、饮水和环境设施、保障学生每天1小时体育活动时间、开设健康教育课和健康教育活动、提高学生健康素养、查验预防接种证、学生安全和突发事件应急预案、困难学生帮扶等。</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学校制定促进学生健康的政策，每个政策得0.5分，最高4分，政策无针对性，酌情扣分。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二、健康环境(25分)</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1.建设健康物质环境</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学校环境整洁优美，垃圾分类、清理及时。垃圾桶加盖。</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使用分类垃圾箱对垃圾进行分类得0.5分；垃圾桶加盖，垃圾做到日产日清，有清运记录得0.5分。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听取汇报</w:t>
            </w:r>
          </w:p>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查阅档案</w:t>
            </w:r>
          </w:p>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现场查看</w:t>
            </w:r>
          </w:p>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现场访谈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教室、宿舍、食堂、图书馆等重点区域鼠、蚊、蝇、蟑螂的密度达到国家病媒生物密度控制标准。</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教室、宿舍、食堂、图书馆等重点区域开展鼠、蚊、蝇、蟑螂的密度监测工作，有记录、图片等得0.75分；达到国家病媒生物密度控制标准得0.25分。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使用卫生厕所并保持清洁。新建教学楼每层设厕所。女生15人一蹲位，男生30人一蹲位，有洗手设施。</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随机进入一个厕所查看，数量够用，得1分。清洁卫生，得1分，否则不得分。无洗手设施或设置不规范，酌情扣分。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教室人均使用面积小学不低于1.15平方米,中学不低于1.12 平方米；教室每日通风换气；前排课桌前缘与黑板不低于2 米；桌椅每人一席；教室应配备9盏以上40瓦荧光灯。</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前排课桌前缘与黑板距离大于2米，得1分。学生一人一桌椅，桌椅高度与学生身高匹配，有条件的学校可选用可升降桌椅，得0.5分。教室灯光明亮，灯管数量充足，垂直黑板分布，距离桌面1.7—1.9米高，符合节能环保和护眼要求，得0.5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每月调整学生座位,每学期对学生课桌椅高度进行个性化调整。</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随机进入一个班级实地查看和访谈，询问学生有无交换座位，调整课桌椅高度等，有交换座位得0.5分，定期调整课桌椅高度得0.5分，否则不得分。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教室每日通风换气。重点场所定期清洁消毒。</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现场查看和访谈，教室每日通风换气得0.5分。否则不得分。厕所、食堂、教室、图书室等重点场所，每个场所定期清洁消毒，得0.5分。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提供安全、合理的营养膳食，提供充足、安全的饮用水，建立食品原材料采购台账，索取检验合格证明。</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来源安全的食品及原材料，得1分，未建立台账扣0.5分，索要合格证明扣0.5分。膳食结构合理，得0.5分，不能提供食谱，不得分。提供充足、安全的饮用水，得0.5分，未索要合格证明扣0.25分，饮水设施未定期清洗消毒扣0.25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9"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学生食堂三证齐全，有洗刷、消毒池、三防（防鼠、防蝇、防尘）等清洗设施，生熟分开，就餐环境清洁干净，提供清洁设施。</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食堂证照齐全，得0.5分，不齐不得分；三防（防鼠、防蝇、防尘）设施齐全，得0.5分，不全不得分；食品生熟分开得0.5分，否则，不得分。实施明厨亮灶，油烟排放符合标准，工作人员穿戴整洁，佩戴口罩、帽子等防护用品，厨房和就餐清洁卫生，定期消毒，提供洗手设施，得0.5分，食堂发现明显污垢、餐厨垃圾暴露，无洗手实施等情况，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非寄宿制学校原则上不得在校内设置出售食品的小卖部、 超市、自动售卖机等。校园周边食品经营单位无销售“三无”食品、超过保质期限食品、腐败变质食品等现象。</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非寄宿制学校校内无出售食品的小卖部、 超市、自动售卖机等得0.5分。随机在校园周边食品经营店查看，无销售“三无”食品、超过保质期限食品、腐败变质食品等现象得0.5分。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2.构建健康社会环境</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尊重学生个性发展，成立不同类型的兴趣小组，开设艺术课程，为学生提供发挥个人潜能的机会，促进学生良好个性的发展。</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每成立1个体育和艺术类兴趣班并定期组织活动，有方案、总结等印证资料得0.5分，最高2分。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营造师生之间、学生之间、教职员工之间良好的人际关系，关爱身体残疾、家庭经济收入低、留守儿童等学生,为其提供心理支持和生活帮扶。</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对困难学生有具体的帮扶措施，每项措施得0.5分，最高1分。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防范校园欺凌和暴力以及体罚、性侵害等事件发生。</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没有校园欺凌和暴力以及体罚、性侵害等事件发生，得1分。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校园内安全、消防等设施符合国家相关标准，建立校园安全突发事件应急机制，配合有关部门综合治理校园周围环境、交通环境和治安环境，防止师生发生伤害。</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校园内安全、消防等设施符合国家相关标准得0.5分。配合公安、社区等部门开展校园周围环境、交通环境和治安环境综合治理工作，能提供由教育局出具的证明，无师生发生伤害得0.5分。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9"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3.建设健康文化环境</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通过宣传栏、宣传标语、电子显示屏、走廊文化、健康书刊等形式对师生进行有针对性健康知识宣传，倡导绿色低碳生活、节约水电和粮食、垃圾分类投放、推广公筷制和分餐制，倡导光盘行动、健康消费，不购买假冒伪劣食品，营造浓郁的健康文化氛围。</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开展任意一种形式的宣传得0.5分，最高2分。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4.建设无烟环境</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符合无烟学校参考标准，在校门口及校内重点区域张贴或摆放醒目的禁烟标识。开展烟草危害知识宣传，校内无人吸烟，无烟头。无烟草广告、促销和赞助等现象。</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在校门口及校内重点区域张贴或摆放醒目的禁烟标识得1分；开展烟草危害知识宣传得1分，学校内无人吸烟，未发现烟头、烟灰、烟具得1分；无烟草销售和广告得1分。若发现一处烟草残留或烟草相关物品，则此项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校园周边经营者不得向未成年人销售烟酒。</w:t>
            </w:r>
          </w:p>
        </w:tc>
        <w:tc>
          <w:tcPr>
            <w:tcW w:w="401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1.学校周边50米内无烟草/电子烟零售店，得0.5分，有零售点不得分。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2.现场查看，学校周边未发现向未成年人销售烟酒，得0.5分，否则不得分。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三、健康服务(15分)</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1.卫生室/保健室和人员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寄宿制学校必须设立卫生室，非寄宿制学校可视学校规模设立卫生室或保健室。</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寄宿制学校设立卫生室得2分，未设卫生室但有医院医生定点诊疗得1分；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听取汇报</w:t>
            </w:r>
          </w:p>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查阅档案</w:t>
            </w:r>
          </w:p>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现场查看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寄宿制学校或600名学生以上的非寄宿制学校应配备卫生专业技术人员，600名学生以下的非寄宿制学校应配备保健教师。</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寄宿制学校或600名学生以上的非寄宿制学校，有卫生专业技术人员得2分，无专门人员但有医院医生定点定期来校诊疗得1分。600名学生以下的非寄宿制学校有配备保健教师得2分。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卫生专业技术人员和保健教师应定期接受专业培训，为学生提供健康教育、医疗服务和心理辅导。</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卫生专业技术人员和保健教师定期接受培训得1分。 定期为学生提供健康教育、医疗服务和心理辅导等健康服务得1分。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配备急救药品、器材和设施,鼓励配备自动体外除颤器。针对高中阶段学生开展心肺复苏等应急救护培训。</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配备急救药品、器材和设施得1分。每年对高中阶段学生开展1次心肺复苏等应急救护培训，能提供印证资料得1分；非高中学校标化得1分。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鼓励与当地医疗卫生专业机构合作,为师生提供基本医疗卫生服务。</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与当地医疗卫生专业机构合作得0.5分；为师生提供基本医疗卫生服务得0.5分。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2.健康管理和服务</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建立学生健康管理机制。新生入学建立健康档案。</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有学生健康档案得1分。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落实师生体检制度，每年组织师生健康体检，对学生健康体检结果进行群体分析，对发现的主要健康问题提出干预策略和措施，将学生个人健康评价结果告知学生和家长。</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每年组织一次健康体检，有体检群体分析报告得1分，未开展体检不得分，无群体分析报告不得分。体检结果告知学生和家长得1分。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建立突发公共卫生事件、传染病、学生常见病与多发病管理机制。配合有关单位，开展传染病监测和学生常见病综合防治工作。</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有突发公共卫生事件应急处理预案得1分，无预案不得分，预案不完善酌情扣分；学校卫生数据报送及时得1分，迟报或漏报酌情扣分。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提醒学生到卫生行政部门指定机构接种常规疫苗和应急疫苗，儿童入学时查验预防接种证和接种记录。</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查验疫苗接种卡，得0.5分；中学标化得0.5分。适时提醒学生接种疫苗得0.5分。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四、健康教育(25分)</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1.健康教育课</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将健康教育内容纳入课程计划,做到教学计划、教学材料、课时、师资"四到位",鼓励将健康教育与各学科教学有机融合。</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将健康教育内容纳入课程计划,做到“四到位”得1分。体现有健康教育与各学科教学有机融合（在生物、法制道德、劳动课程中），得1分；未体现不得分。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听取汇报查阅档案现场查看现场访谈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开设高质量的健康教育课程，每学期《体育与健康》等健康教育类课程中有4课时用于健康教育。</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设置健康教育课程得1分；每学期有4课时以上健康教育课，得1分，否则不得分。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采用规范的健康教育教材，教学过程中配合使用有针对性的课件和健康传播材料。</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使用规范教材得1分，使用健康传播材料得1分，否则不得分。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有专兼职健康教育师资。授课教师定期接受健康教育技能培训。</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有专兼职健康教育师资，得1分；无师资，不得分。教师定期接受培训得1分，无佐证材料不得分。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结合学科特点加强对学生健康知识和技能的考查,作为学生综合素质评价的重要内容。</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开展学生健康教育课考试或测评，得2分；未开展不得分。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2.体育锻炼</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落实体育课课时要求,中小学每天安排30分钟大课间体育活动,保证学生每天校内1小时体育活动时间。</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中小学每天安排30分钟大课间体育活动得1分；学生每天校内体育活动时间达1小时以上得1分。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倡导家长落实学生每天校外1小时体育活动时间。</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有倡导家长落实学生每天校外1小时体育活动时间的得1分。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发展特色体育项目,培养学生运动兴趣和运动技能。</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每发展1个特色体育项目并定期组织活动得1分，最高2分。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3.用眼卫生</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落实眼保健操制度，学生眼保健操普及率达到100%。学生个人电子产品管理制度，指导学生规范使用电子产品，学生教学使用电子显示屏不超过总教学时长的30%。</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落实眼保健操制度，眼保健操普及达到100%，学生个人电子产品管理制度，对学生开展规范使用电子产品指导，得1分；不符合要求酌情扣分。教学使用电子显示屏时长不超过30%得1分，否则不得分。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严禁学生将个人手机等电子屏幕产品带入课堂,带入学校的要统一保管。</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有禁止学生将手机带入课堂的制度或规定得0.5分。实地访谈学生，手机由学校统一保管得0.5分，否则不得分。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鼓励采用纸质作业。</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使用纸质作业得1分。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9"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4.心理健康教育</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设置心理辅导室,配备专兼职心理健康教育教师, 提供心理健康教育和心理辅导服务,提高全体学生心理素质,为有需求的师生提供心理疏导和援助。在《中小学心理健康教育指导纲要》指导下，根据不同年级学生生理、心理发育特点，开展特定主题的心理健康教育活动，提高学生心理健康素养。</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有心理辅导室得0.5分；有专兼职心理健康教育教师得0.5分；有畅通的心理援助渠道得0.5分；每个班级都开展心理健康主题活动得0.5分，覆盖面不够或记录、总结等支撑材料不足酌情扣分。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5.健康主题活动</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过课堂、讲座、知识竞赛、主题班队会等多种方式,向学生教授健康行为与生活方式、疾病与伤害防控、心理健康、生长发育与青春期保健、安全应急与避险等健康知识和技能,提高学生健康素养,引导学生养成健康生活方式。</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每学期开展健康教育活动≥4次，得2分，＜4次，得1分；未开展不得分。主题活动可包括专题班会、主题讲座、健康咨询、健康知识竞赛、演讲比赛、健康征文、健康绘画等形式。应配合使用健康教育材料。</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学生社团、志愿者开展卫生健康知识宣传教育.</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学生社团、志愿者开展卫生健康知识宣传教育，能提供印证资料得1分；未开展不得分。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利用网络或新媒体开展健康教育</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利用网络或新媒体开展健康教育，得1分；未开展不得分。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五、社区关系 (5分)</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1.家校互动</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定期召开健康教育主题家长会，为家长开设健康讲座，邀请家长参与学校健康教育活动，宣传健康学校理念，与家长保持良好的沟通，与家长共同促进学生健康。</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每学期召开1次至少覆盖一个年级的针对家长的健康主题家长会、家长健康讲座、亲子健康活动得0.5分，最高1分。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听取汇报查阅档案现场查看现场访谈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家校互动，开展家庭健康支持。如家庭饮食结构改善、家庭成员行为改善、家庭健身计划等。</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家长响应学校号召开展家庭健康支持，酌情赋分，最高1分。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2.社区健康支持</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争取政府和社区支持，共享体育文化场地、设施等资源。</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学校与社区共享体育、文化资源，得1分。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学校周围环境清洁安静，有明显的交通提示。</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学校周边环境整洁得0.5分，有交通提示得0.5分。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与社区联合开展健康相关活动，每年至少组织学生参加两次社区健康实践。</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每学期与社区联合开展有学生参加实践的健康主题活动，1次0.5分，最高1分。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六、建设效果（15分）</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1.突发公共卫生事件</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无集体性食物中毒和重大安全事故发生，无传染病暴发流行。</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建设期间未发生集体性食物中毒和重大安全事故，得1分，否则不得分。无传染病暴发流行,得1分，否则不得分。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查阅资料现场查看现场访谈问卷调查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2.学生行为习惯</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学生养成良好的健康行为习惯，注意个人卫生。指甲清洁、饭前便后洗手、读写姿势正确、正确做眼保健操、早晚刷牙、睡眠充足、不吸烟、不饮酒。</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随机进入一个班级，观察学生衣服整洁、手指清洁、读写姿势规范、眼保健操动作规范等情况，酌情赋分，最高2分。有条件的地区可开展专项健康素养测评。</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9"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3.目标人群调查</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1.师生对健康促进工作支持、理解、满意≥80%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2.学生基本健康知识知晓率≥80%。</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1.满意度调查：使用统一问卷，随机抽查学校5名学生，支持、理解、满意度≥80%得2分。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2.学生基本健康知识知晓率：小学抽取4-6年级任意1个班级，中学随机抽取初一、初二任意一个班级，每班抽取10人开展调查，学生基本健康知识知晓率≥80%得3分，每下降1个百分点扣0.1分。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4.学生体质健康</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中小学90%以上的学生达到《国家学生体质健康标准》合格等级；60%以上学生达到良好以上，并逐年增长。</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近3年内，学生体质健康达标优良率逐年上升，有统计表等支撑材料，得2分；未逐年上升不得分。支撑材料不足酌情扣分。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5.学生视力</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学生总体近视率力争每年降低0.5个百分点以上和新发近视率明显下降</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近3年内，近视发生率逐年下降，有统计表等支撑材料，得2分；未下降不得分。支撑材料不足酌情扣分。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6.学生肥胖发生率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学生肥胖率逐年下降</w:t>
            </w:r>
          </w:p>
        </w:tc>
        <w:tc>
          <w:tcPr>
            <w:tcW w:w="4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近3年内，肥胖发生率逐年下降，有统计表等支撑材料，得2分；未下降不得分。支撑材料不足酌情扣分。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0" w:type="auto"/>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1176" w:type="dxa"/>
            <w:tcBorders>
              <w:top w:val="nil"/>
              <w:left w:val="nil"/>
              <w:bottom w:val="nil"/>
              <w:right w:val="nil"/>
            </w:tcBorders>
            <w:shd w:val="clear" w:color="auto" w:fill="auto"/>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lang w:val="en-US" w:eastAsia="zh-CN"/>
              </w:rPr>
            </w:pPr>
            <w:r>
              <w:rPr>
                <w:rFonts w:hint="default" w:ascii="等线" w:hAnsi="等线" w:eastAsia="仿宋_GB2312" w:cs="Times New Roman"/>
                <w:i w:val="0"/>
                <w:iCs w:val="0"/>
                <w:color w:val="auto"/>
                <w:kern w:val="2"/>
                <w:sz w:val="32"/>
                <w:szCs w:val="32"/>
                <w:u w:val="none"/>
                <w:lang w:val="en-US" w:eastAsia="zh-CN" w:bidi="ar"/>
              </w:rPr>
              <w:t>评估人员签字：</w:t>
            </w:r>
            <w:r>
              <w:rPr>
                <w:rFonts w:hint="eastAsia" w:cs="Times New Roman"/>
                <w:i w:val="0"/>
                <w:iCs w:val="0"/>
                <w:kern w:val="2"/>
                <w:sz w:val="32"/>
                <w:szCs w:val="32"/>
                <w:u w:val="none"/>
                <w:lang w:val="en-US" w:eastAsia="zh-CN" w:bidi="ar"/>
              </w:rPr>
              <w:t xml:space="preserve">                                          </w:t>
            </w:r>
            <w:r>
              <w:rPr>
                <w:rFonts w:hint="default" w:ascii="等线" w:hAnsi="等线" w:eastAsia="仿宋_GB2312" w:cs="Times New Roman"/>
                <w:i w:val="0"/>
                <w:iCs w:val="0"/>
                <w:kern w:val="2"/>
                <w:sz w:val="32"/>
                <w:szCs w:val="32"/>
                <w:u w:val="none"/>
                <w:lang w:val="en-US" w:eastAsia="zh-CN" w:bidi="ar"/>
              </w:rPr>
              <w:t>评估</w:t>
            </w:r>
            <w:r>
              <w:rPr>
                <w:rFonts w:hint="eastAsia" w:cs="Times New Roman"/>
                <w:i w:val="0"/>
                <w:iCs w:val="0"/>
                <w:kern w:val="2"/>
                <w:sz w:val="32"/>
                <w:szCs w:val="32"/>
                <w:u w:val="none"/>
                <w:lang w:val="en-US" w:eastAsia="zh-CN" w:bidi="ar"/>
              </w:rPr>
              <w:t>时间：</w:t>
            </w:r>
          </w:p>
          <w:p>
            <w:pPr>
              <w:pStyle w:val="2"/>
              <w:rPr>
                <w:rFonts w:hint="default" w:ascii="等线" w:hAnsi="等线" w:eastAsia="仿宋_GB2312" w:cs="Times New Roman"/>
                <w:i w:val="0"/>
                <w:iCs w:val="0"/>
                <w:color w:val="auto"/>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13820"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32"/>
                <w:szCs w:val="32"/>
                <w:u w:val="none"/>
                <w:lang w:val="en-US" w:eastAsia="zh-CN" w:bidi="ar"/>
              </w:rPr>
              <w:t>说明：现场评估达到70分及以上，认为达到健康学校标准。得分纳入健康县（区）总评分表。</w:t>
            </w:r>
          </w:p>
        </w:tc>
      </w:tr>
    </w:tbl>
    <w:p>
      <w:pPr>
        <w:ind w:firstLine="0" w:firstLineChars="0"/>
        <w:rPr>
          <w:rFonts w:hint="eastAsia" w:ascii="宋体" w:hAnsi="宋体" w:eastAsia="宋体"/>
          <w:b/>
          <w:sz w:val="44"/>
        </w:rPr>
      </w:pPr>
    </w:p>
    <w:p>
      <w:pPr>
        <w:ind w:firstLine="0" w:firstLineChars="0"/>
        <w:rPr>
          <w:rFonts w:hint="eastAsia" w:ascii="宋体" w:hAnsi="宋体" w:eastAsia="宋体"/>
          <w:b/>
          <w:sz w:val="44"/>
        </w:rPr>
      </w:pPr>
      <w:r>
        <w:rPr>
          <w:rFonts w:hint="eastAsia" w:ascii="宋体" w:hAnsi="宋体" w:eastAsia="宋体"/>
          <w:b/>
          <w:sz w:val="44"/>
        </w:rPr>
        <w:br w:type="page"/>
      </w:r>
    </w:p>
    <w:tbl>
      <w:tblPr>
        <w:tblStyle w:val="7"/>
        <w:tblW w:w="16060" w:type="dxa"/>
        <w:jc w:val="center"/>
        <w:tblLayout w:type="autofit"/>
        <w:tblCellMar>
          <w:top w:w="0" w:type="dxa"/>
          <w:left w:w="108" w:type="dxa"/>
          <w:bottom w:w="0" w:type="dxa"/>
          <w:right w:w="108" w:type="dxa"/>
        </w:tblCellMar>
      </w:tblPr>
      <w:tblGrid>
        <w:gridCol w:w="1301"/>
        <w:gridCol w:w="1068"/>
        <w:gridCol w:w="4442"/>
        <w:gridCol w:w="1184"/>
        <w:gridCol w:w="6486"/>
        <w:gridCol w:w="1579"/>
      </w:tblGrid>
      <w:tr>
        <w:tblPrEx>
          <w:tblCellMar>
            <w:top w:w="0" w:type="dxa"/>
            <w:left w:w="108" w:type="dxa"/>
            <w:bottom w:w="0" w:type="dxa"/>
            <w:right w:w="108" w:type="dxa"/>
          </w:tblCellMar>
        </w:tblPrEx>
        <w:trPr>
          <w:trHeight w:val="734" w:hRule="atLeast"/>
          <w:jc w:val="center"/>
        </w:trPr>
        <w:tc>
          <w:tcPr>
            <w:tcW w:w="16060" w:type="dxa"/>
            <w:gridSpan w:val="6"/>
            <w:tcBorders>
              <w:top w:val="nil"/>
              <w:left w:val="nil"/>
              <w:bottom w:val="nil"/>
              <w:right w:val="nil"/>
            </w:tcBorders>
            <w:shd w:val="clear" w:color="auto" w:fill="auto"/>
            <w:noWrap/>
            <w:vAlign w:val="center"/>
          </w:tcPr>
          <w:p>
            <w:pPr>
              <w:widowControl/>
              <w:jc w:val="center"/>
              <w:rPr>
                <w:rFonts w:ascii="宋体" w:hAnsi="宋体" w:cs="宋体"/>
                <w:b/>
                <w:bCs/>
                <w:color w:val="000000"/>
                <w:kern w:val="0"/>
                <w:sz w:val="48"/>
                <w:szCs w:val="48"/>
              </w:rPr>
            </w:pPr>
            <w:r>
              <w:rPr>
                <w:rFonts w:hint="eastAsia" w:ascii="宋体" w:hAnsi="宋体" w:cs="宋体"/>
                <w:b/>
                <w:bCs/>
                <w:color w:val="000000"/>
                <w:kern w:val="0"/>
                <w:sz w:val="48"/>
                <w:szCs w:val="48"/>
              </w:rPr>
              <w:t>贵州省健康家庭院现场评分表（2023版）</w:t>
            </w:r>
          </w:p>
        </w:tc>
      </w:tr>
      <w:tr>
        <w:tblPrEx>
          <w:tblCellMar>
            <w:top w:w="0" w:type="dxa"/>
            <w:left w:w="108" w:type="dxa"/>
            <w:bottom w:w="0" w:type="dxa"/>
            <w:right w:w="108" w:type="dxa"/>
          </w:tblCellMar>
        </w:tblPrEx>
        <w:trPr>
          <w:trHeight w:val="431" w:hRule="atLeast"/>
          <w:jc w:val="center"/>
        </w:trPr>
        <w:tc>
          <w:tcPr>
            <w:tcW w:w="16060" w:type="dxa"/>
            <w:gridSpan w:val="6"/>
            <w:tcBorders>
              <w:top w:val="nil"/>
              <w:left w:val="nil"/>
              <w:bottom w:val="nil"/>
              <w:right w:val="nil"/>
            </w:tcBorders>
            <w:shd w:val="clear" w:color="auto" w:fill="auto"/>
            <w:noWrap/>
            <w:vAlign w:val="center"/>
          </w:tcPr>
          <w:p>
            <w:pPr>
              <w:widowControl/>
              <w:jc w:val="left"/>
              <w:rPr>
                <w:rFonts w:ascii="黑体" w:hAnsi="黑体" w:eastAsia="黑体" w:cs="宋体"/>
                <w:b/>
                <w:bCs/>
                <w:color w:val="000000"/>
                <w:kern w:val="0"/>
                <w:sz w:val="22"/>
                <w:szCs w:val="22"/>
              </w:rPr>
            </w:pPr>
            <w:r>
              <w:rPr>
                <w:rFonts w:ascii="黑体" w:hAnsi="黑体" w:eastAsia="黑体" w:cs="宋体"/>
                <w:b/>
                <w:bCs/>
                <w:color w:val="000000"/>
                <w:kern w:val="0"/>
                <w:sz w:val="22"/>
              </w:rPr>
              <w:t xml:space="preserve"> 地（州）：</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 xml:space="preserve">县（市、区）： </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家庭：</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评估时间：</w:t>
            </w:r>
            <w:r>
              <w:rPr>
                <w:rFonts w:ascii="黑体" w:hAnsi="黑体" w:eastAsia="黑体" w:cs="宋体"/>
                <w:b/>
                <w:bCs/>
                <w:color w:val="000000"/>
                <w:kern w:val="0"/>
                <w:sz w:val="22"/>
                <w:u w:val="single"/>
              </w:rPr>
              <w:t xml:space="preserve">                  </w:t>
            </w:r>
            <w:r>
              <w:rPr>
                <w:rFonts w:ascii="黑体" w:hAnsi="黑体" w:eastAsia="黑体" w:cs="宋体"/>
                <w:b/>
                <w:bCs/>
                <w:color w:val="000000"/>
                <w:kern w:val="0"/>
                <w:sz w:val="22"/>
              </w:rPr>
              <w:t xml:space="preserve"> </w:t>
            </w:r>
          </w:p>
        </w:tc>
      </w:tr>
      <w:tr>
        <w:tblPrEx>
          <w:tblCellMar>
            <w:top w:w="0" w:type="dxa"/>
            <w:left w:w="108" w:type="dxa"/>
            <w:bottom w:w="0" w:type="dxa"/>
            <w:right w:w="108" w:type="dxa"/>
          </w:tblCellMar>
        </w:tblPrEx>
        <w:trPr>
          <w:trHeight w:val="742" w:hRule="atLeast"/>
          <w:jc w:val="center"/>
        </w:trPr>
        <w:tc>
          <w:tcPr>
            <w:tcW w:w="13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一级指标</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二级指标</w:t>
            </w: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指标内容</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权重</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ascii="宋体" w:hAnsi="宋体" w:cs="宋体"/>
                <w:b/>
                <w:bCs/>
                <w:color w:val="000000"/>
                <w:kern w:val="0"/>
                <w:sz w:val="24"/>
              </w:rPr>
            </w:pPr>
            <w:r>
              <w:rPr>
                <w:rFonts w:hint="eastAsia" w:ascii="宋体" w:hAnsi="宋体" w:cs="宋体"/>
                <w:b/>
                <w:bCs/>
                <w:color w:val="000000"/>
                <w:kern w:val="0"/>
                <w:sz w:val="24"/>
              </w:rPr>
              <w:t>评分标准</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rPr>
                <w:rFonts w:ascii="宋体" w:hAnsi="宋体" w:cs="宋体"/>
                <w:b/>
                <w:bCs/>
                <w:color w:val="000000"/>
                <w:kern w:val="0"/>
                <w:sz w:val="24"/>
              </w:rPr>
            </w:pPr>
            <w:r>
              <w:rPr>
                <w:rFonts w:ascii="宋体" w:hAnsi="宋体" w:cs="宋体"/>
                <w:b/>
                <w:bCs/>
                <w:color w:val="000000"/>
                <w:kern w:val="0"/>
                <w:sz w:val="24"/>
              </w:rPr>
              <w:t>评估方法</w:t>
            </w:r>
          </w:p>
        </w:tc>
      </w:tr>
      <w:tr>
        <w:tblPrEx>
          <w:tblCellMar>
            <w:top w:w="0" w:type="dxa"/>
            <w:left w:w="108" w:type="dxa"/>
            <w:bottom w:w="0" w:type="dxa"/>
            <w:right w:w="108" w:type="dxa"/>
          </w:tblCellMar>
        </w:tblPrEx>
        <w:trPr>
          <w:trHeight w:val="1842" w:hRule="atLeast"/>
          <w:jc w:val="center"/>
        </w:trPr>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一、健康环境（24分）</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（1）家庭环境整洁卫生,空气新鲜，安祥幽静。（室内整洁、无污垢、积尘、异味，物品摆放整齐，庭院、阳台绿化，建筑、装饰材料环保，室内温、湿度适宜，噪音≤55分贝）。</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现场查看室内欠整洁、有污垢、积尘或异味扣1分，物品摆放杂乱扣1分，庭院、阳台无绿化扣1分，建筑、装饰材料不符合环保扣1分，室内温、湿度不舒适扣1分，噪音较大扣1分，扣完为止</w:t>
            </w:r>
          </w:p>
        </w:tc>
        <w:tc>
          <w:tcPr>
            <w:tcW w:w="157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ascii="宋体" w:hAnsi="宋体" w:cs="宋体"/>
                <w:color w:val="000000"/>
                <w:kern w:val="0"/>
                <w:sz w:val="24"/>
              </w:rPr>
            </w:pPr>
            <w:r>
              <w:rPr>
                <w:rFonts w:hint="eastAsia" w:ascii="宋体" w:hAnsi="宋体" w:cs="宋体"/>
                <w:color w:val="000000"/>
                <w:kern w:val="0"/>
                <w:sz w:val="24"/>
              </w:rPr>
              <w:t>现场查看</w:t>
            </w:r>
            <w:r>
              <w:rPr>
                <w:rFonts w:hint="eastAsia" w:ascii="宋体" w:hAnsi="宋体" w:cs="宋体"/>
                <w:color w:val="000000"/>
                <w:kern w:val="0"/>
                <w:sz w:val="24"/>
              </w:rPr>
              <w:br w:type="textWrapping"/>
            </w:r>
            <w:r>
              <w:rPr>
                <w:rFonts w:hint="eastAsia" w:ascii="宋体" w:hAnsi="宋体" w:cs="宋体"/>
                <w:color w:val="000000"/>
                <w:kern w:val="0"/>
                <w:sz w:val="24"/>
              </w:rPr>
              <w:t>查阅档案</w:t>
            </w: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（2）家庭光线充足，通风良好，无乱涂乱贴、乱堆乱放、乱搭乱建现象。（日照、通风、照明良好）。</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现场查看光线较暗扣1分，通风不良扣1分，有乱涂乱贴、乱堆乱放、乱搭乱建现象一项扣1分，扣完为止。</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8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（3）根据需要进行居家适老化改造。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家庭成员中是否有高龄（&gt;80岁）、失能、中/重度残疾老年人，若无此项不扣分。若有，未进行老人适老化改造（例如卫生间安装上翻洗澡凳、智能马桶、防滑垫、助力杆、房间安装睡眠看护仪、床边感应灯带床头语音伴侣等），扣3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（4）居室无“四害”孳生地，“四害”密度达标。</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现场查看，有鼠、蚊、蝇、蟑螂孽生地扣2分，现场发现鼠迹、蟑螂、蚊、蝇扣2分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（5）家庭每周至少全面清理一次居室内外卫生，经常参加公共环境和楼道卫生清洁活动。</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现场查看，家庭卫生状况不良扣1分，家庭周边公共环境、楼道卫生状况不良扣1分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03"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（6）家庭厕所清洁卫生，无异味。</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现场查看家庭厕所不清洁卫生、有异味扣3分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（7）垃圾袋装定点投放，逐步实行分类投放。</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现场查看，垃圾未袋装扣1分，未定点投放扣1分。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476"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（8）文明饲养禽畜、宠物。（农村禽畜圈养，粪便进行无害化处理）。</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家中是否饲养禽畜、宠物，若无此项不扣分，若有养狗未办养犬登记证，外出遛狗未栓狗绳，猫狗宠物未接种狂犬疫苗，未定期驱虫，农村禽畜未圈养，粪便未进行无害化处理，一项不符合扣1分，扣完为止。</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二、健康文化（16分）</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（1）家庭 成员主动学习健康知识和技能,强化自身健康第一责任,践行文明健康绿色环保生活方式。</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现场询问家庭成员基本健康知识和行为知晓情况，未掌握健康知识扣1分，未掌握健康行为扣1分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（2）积极改善家庭环境,促进家庭成员身心和谐健康，家庭成员平等、和睦，互相关爱（无家暴行为）。</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实地查看并走访，一项不符合扣1分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76"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（3）爱老敬老,关爱妇女儿童。</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实地查看并走访，一项不符合扣1分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（4）关心邻里，邻里团结、互助互爱，乐善好施、乐于助人。</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实地查看并走访，一项不符合扣1分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（5）支持无偿献血，积极参与社区等社会公益活动，拥有良好的社会形象。</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现场查看并询问，有参加社会公益活动记录得2分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（6）倡导优生优育, 促进儿童早期发展和健康成长。</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现场查看并询问，不符合酌情扣分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（7）家庭内部经常沟通交流 ,保持平和心态 ,正确应对矛盾,及时疏导不良情绪。</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现场询问了解，不符合酌情扣分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（8）合理安全使用互联网,避免网络成瘾.控制孩子使用电子屏幕的时间。</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现场询问，家庭成员有过度使用网络、网络成瘾现象扣1分，儿童少年非学习目的得电子产品使用时间每天累计超过1小时扣1分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842" w:hRule="atLeast"/>
          <w:jc w:val="center"/>
        </w:trPr>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三、健康生活（32分）</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（1）家庭日常食谱食物多样,谷类为主,多吃蔬果、奶类、 大豆,适量吃鱼、禽、蛋、瘦肉,控制盐油糖,少吃烟熏、腌制食品。每天至少一顿低油少盐健康营养餐。每周至少25种食品。</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现场查看并询问，家庭膳食结构不合理扣3分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（2）烹制食物时生熟分开，冰箱内食品及砧板菜刀生熟分开。</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现场查看冰箱内食品生熟未分开扣1分，砧板生熟未分开扣1分，烹制食物生熟未分开扣1分。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（3）不食用野生动物,不采食野菌。</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现场查看并询问，有食用野生动物或采食野生菌现象扣2分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（4）倡导健康消费理念,不购买、不消费假冒伪劣食品。践行"光盘行动".</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现场查看并询问，购买、消费假冒伪劣食品扣1分，未践行“光盘行动”扣1分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476"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（5）家庭成员养成良好的个人卫生习惯。勤洗澡、勤理发、勤剪指甲、勤换衣服、勤晒被褥；每天早晚刷牙，饭后漱口；饭前便后洗手；</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现场查看并询问，一名家庭成员未养成良好得个人卫生习惯扣1分，扣完为止</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（6）家庭成员讲究个人卫生，洗漱用具要做到一人一牙刷一毛巾二盆。洗脸、洗脚盆分开；</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现场查看并询问，家庭成员个人卫生状况不良扣2分，洗漱用具不满足一人一牙刷一毛巾二盆扣1分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（7）外出就餐使用公勺公筷,不随地吐痰。</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现场查看并询问，外出就餐未使用公勺公筷扣1分，有随地吐痰行为扣1分。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46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（8） 提倡安全性行为。</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现场询问安全性行为相关知识，不了解扣2分。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（9）无赌博、吸毒等不良行为。</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现场查看并询问，家庭成员酗酒、抽烟扣1分，未主动劝说吸烟人员戒烟扣1分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94"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（10）家庭成员不酗酒不吸烟，主动劝说吸烟人员戒烟</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现场查看并询问，家庭成员酗酒、抽烟扣1分，未主动劝说吸烟人员戒烟扣1分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94"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（11）家庭成员定期参加健康知识讲座及健康咨询活动。</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现场询问家庭成员是否定期参加健康知识讲座及健康咨询活动，参加得2分。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8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（12）家庭成员经常运动 ,减少久坐 ,选择适合自己的运动方式,外出优先选择步行、自行车或公共交通等出行方式,作息规律,保证充足睡眠。家庭成员经常参与户外健身活动，坚持健身≥3次/周。</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现场询问，健身频率小于3次/周扣1分，睡眠不充足/晚睡扣1分，未按要求选择合适的出行方式扣1分。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（13）家庭成员拥有健康的人格、心态、体魄，适应社会的发展。（家庭成员遵守法规和社会公德，不信邪教）。</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现在询问和走访，发现相应问题酌情扣分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5" w:hRule="atLeast"/>
          <w:jc w:val="center"/>
        </w:trPr>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四、健康保障</w:t>
            </w:r>
            <w:r>
              <w:rPr>
                <w:rFonts w:hint="eastAsia" w:ascii="宋体" w:hAnsi="宋体" w:cs="宋体"/>
                <w:color w:val="000000"/>
                <w:kern w:val="0"/>
                <w:sz w:val="24"/>
              </w:rPr>
              <w:br w:type="textWrapping"/>
            </w:r>
            <w:r>
              <w:rPr>
                <w:rFonts w:hint="eastAsia" w:ascii="宋体" w:hAnsi="宋体" w:cs="宋体"/>
                <w:color w:val="000000"/>
                <w:kern w:val="0"/>
                <w:sz w:val="24"/>
              </w:rPr>
              <w:t>（18分）</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（1）备有家庭保健药箱。适量储备应急物品和药品。</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现场查看备有家庭保健药箱，并储备适量常用药得1分，有适量储备应急物品得1分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（2）家庭成员定期进行健康体检。</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现场询问并查看相关资料，每一位家庭成员未开展至少两年1次的定期体检扣1分，扣完为止</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（3）积极签约家庭医生,生病时去正规医疗卫生机构就诊。主动接受健康宣传和健康指导服务。</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现场询问并查阅资料，发现一位家庭成员未签约家庭医生扣0.5分，生病时不去正规医疗机构就诊扣0.5分，不接受健康宣传和健康指导服务扣0.5分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（4）主动到辖区基层医疗卫生机构建立健康档案。</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现场询问并查阅资料，发现一位家庭成员未在辖区基层医疗卫生机构建立健康档案扣2分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8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（5）家庭成员无高血压、糖尿病等慢性疾病，结核病、艾滋病等传染病。家中慢性病患者遵医嘱治疗,重视自我健康管理。或有慢性疾病通过积极保健得到有效控制。</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现在询问，发现家庭成员有慢性病但未遵医嘱治疗扣1分，不重视自我健康管理，慢性疾病未得到有效控制扣1分。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844"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（6）家中常备体温计、体重秤、血压计等健康自测设备。</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现场查看，是否备有体温计、体重秤、血压计等健康自测设备，无扣2分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（7）家庭成员具有医疗保障（含商业保险、城乡居民医保）。</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现场询问，发现一名家庭成员无医疗保障扣2分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（8）家庭有一套健康支持工具（控油壶、限盐勺、腰围尺等）。</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现场查看，无一套健康支持工具扣2分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42" w:hRule="atLeast"/>
          <w:jc w:val="center"/>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（9）有两种以上的健康宣传资料或书籍。</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2</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现场查看，无两种以上的健康宣传资料或书籍扣2分</w:t>
            </w:r>
          </w:p>
        </w:tc>
        <w:tc>
          <w:tcPr>
            <w:tcW w:w="15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09" w:hRule="atLeast"/>
          <w:jc w:val="center"/>
        </w:trPr>
        <w:tc>
          <w:tcPr>
            <w:tcW w:w="13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五、建设效果（10分）</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目标人群测评</w:t>
            </w: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健康知识知晓率≥90%，健康生活方式和行为形成率≥80%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10</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现场快速调查，健康知识知晓率不达标扣5分，健康生活方式与行为形成率不达标扣5分</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现场测评</w:t>
            </w:r>
          </w:p>
        </w:tc>
      </w:tr>
      <w:tr>
        <w:tblPrEx>
          <w:tblCellMar>
            <w:top w:w="0" w:type="dxa"/>
            <w:left w:w="108" w:type="dxa"/>
            <w:bottom w:w="0" w:type="dxa"/>
            <w:right w:w="108" w:type="dxa"/>
          </w:tblCellMar>
        </w:tblPrEx>
        <w:trPr>
          <w:trHeight w:val="384" w:hRule="atLeast"/>
          <w:jc w:val="center"/>
        </w:trPr>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合计</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p>
        </w:tc>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left"/>
              <w:rPr>
                <w:rFonts w:hint="eastAsia" w:ascii="宋体" w:hAnsi="宋体" w:cs="宋体"/>
                <w:color w:val="000000"/>
                <w:kern w:val="0"/>
                <w:sz w:val="24"/>
              </w:rPr>
            </w:pPr>
            <w:r>
              <w:rPr>
                <w:rFonts w:hint="eastAsia" w:ascii="宋体" w:hAnsi="宋体" w:cs="宋体"/>
                <w:color w:val="000000"/>
                <w:kern w:val="0"/>
                <w:sz w:val="24"/>
              </w:rPr>
              <w:t>100</w:t>
            </w:r>
          </w:p>
        </w:tc>
        <w:tc>
          <w:tcPr>
            <w:tcW w:w="64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ind w:left="0" w:leftChars="0" w:firstLine="0" w:firstLineChars="0"/>
              <w:jc w:val="left"/>
              <w:rPr>
                <w:rFonts w:hint="eastAsia" w:ascii="宋体" w:hAnsi="宋体" w:cs="宋体"/>
                <w:color w:val="000000"/>
                <w:kern w:val="0"/>
                <w:sz w:val="24"/>
              </w:rPr>
            </w:pPr>
          </w:p>
        </w:tc>
      </w:tr>
    </w:tbl>
    <w:p>
      <w:pPr>
        <w:widowControl/>
        <w:jc w:val="left"/>
        <w:rPr>
          <w:rFonts w:hint="eastAsia" w:ascii="宋体" w:hAnsi="宋体" w:cs="宋体"/>
          <w:color w:val="000000"/>
          <w:kern w:val="0"/>
          <w:sz w:val="22"/>
          <w:szCs w:val="22"/>
        </w:rPr>
      </w:pPr>
    </w:p>
    <w:p>
      <w:pPr>
        <w:widowControl/>
        <w:jc w:val="left"/>
        <w:rPr>
          <w:rFonts w:hint="default" w:ascii="宋体" w:hAnsi="宋体" w:eastAsia="仿宋_GB2312" w:cs="宋体"/>
          <w:color w:val="000000"/>
          <w:kern w:val="0"/>
          <w:sz w:val="32"/>
          <w:szCs w:val="32"/>
          <w:lang w:val="en-US" w:eastAsia="zh-CN"/>
        </w:rPr>
      </w:pPr>
      <w:r>
        <w:rPr>
          <w:rFonts w:hint="eastAsia" w:ascii="宋体" w:hAnsi="宋体" w:cs="宋体"/>
          <w:color w:val="000000"/>
          <w:kern w:val="0"/>
          <w:sz w:val="32"/>
          <w:szCs w:val="32"/>
          <w:lang w:val="en-US" w:eastAsia="zh-CN"/>
        </w:rPr>
        <w:t>评估人员签字：                                       评估时间：</w:t>
      </w:r>
    </w:p>
    <w:p>
      <w:pPr>
        <w:widowControl/>
        <w:jc w:val="left"/>
        <w:rPr>
          <w:rFonts w:hint="eastAsia" w:ascii="宋体" w:hAnsi="宋体" w:cs="宋体"/>
          <w:color w:val="000000"/>
          <w:kern w:val="0"/>
          <w:sz w:val="32"/>
          <w:szCs w:val="32"/>
        </w:rPr>
      </w:pPr>
    </w:p>
    <w:p>
      <w:pPr>
        <w:pStyle w:val="2"/>
        <w:rPr>
          <w:rFonts w:hint="eastAsia"/>
        </w:rPr>
      </w:pPr>
    </w:p>
    <w:p>
      <w:pPr>
        <w:widowControl/>
        <w:jc w:val="left"/>
        <w:rPr>
          <w:rFonts w:ascii="宋体" w:hAnsi="宋体" w:cs="宋体"/>
          <w:color w:val="000000"/>
          <w:kern w:val="0"/>
          <w:sz w:val="32"/>
          <w:szCs w:val="32"/>
        </w:rPr>
      </w:pPr>
      <w:r>
        <w:rPr>
          <w:rFonts w:hint="eastAsia" w:ascii="宋体" w:hAnsi="宋体" w:cs="宋体"/>
          <w:color w:val="000000"/>
          <w:kern w:val="0"/>
          <w:sz w:val="32"/>
          <w:szCs w:val="32"/>
        </w:rPr>
        <w:t>说明：健康</w:t>
      </w:r>
      <w:r>
        <w:rPr>
          <w:rFonts w:hint="eastAsia" w:ascii="宋体" w:hAnsi="宋体" w:cs="宋体"/>
          <w:color w:val="000000"/>
          <w:kern w:val="0"/>
          <w:sz w:val="32"/>
          <w:szCs w:val="32"/>
          <w:lang w:val="en-US" w:eastAsia="zh-CN"/>
        </w:rPr>
        <w:t>家庭</w:t>
      </w:r>
      <w:r>
        <w:rPr>
          <w:rFonts w:hint="eastAsia" w:ascii="宋体" w:hAnsi="宋体" w:cs="宋体"/>
          <w:color w:val="000000"/>
          <w:kern w:val="0"/>
          <w:sz w:val="32"/>
          <w:szCs w:val="32"/>
        </w:rPr>
        <w:t>现场评估表采取百分制，现场评估达到70分及以上，认为达到健康</w:t>
      </w:r>
      <w:r>
        <w:rPr>
          <w:rFonts w:hint="eastAsia" w:ascii="宋体" w:hAnsi="宋体" w:cs="宋体"/>
          <w:color w:val="000000"/>
          <w:kern w:val="0"/>
          <w:sz w:val="32"/>
          <w:szCs w:val="32"/>
          <w:lang w:val="en-US" w:eastAsia="zh-CN"/>
        </w:rPr>
        <w:t>家庭</w:t>
      </w:r>
      <w:r>
        <w:rPr>
          <w:rFonts w:hint="eastAsia" w:ascii="宋体" w:hAnsi="宋体" w:cs="宋体"/>
          <w:color w:val="000000"/>
          <w:kern w:val="0"/>
          <w:sz w:val="32"/>
          <w:szCs w:val="32"/>
        </w:rPr>
        <w:t>标准。</w:t>
      </w:r>
    </w:p>
    <w:p>
      <w:pPr>
        <w:rPr>
          <w:rFonts w:hint="eastAsia" w:ascii="宋体" w:hAnsi="宋体" w:eastAsia="宋体"/>
          <w:b/>
          <w:sz w:val="44"/>
        </w:rPr>
      </w:pPr>
    </w:p>
    <w:p>
      <w:pPr>
        <w:rPr>
          <w:rFonts w:hint="eastAsia" w:ascii="宋体" w:hAnsi="宋体" w:eastAsia="宋体"/>
          <w:b/>
          <w:sz w:val="44"/>
        </w:rPr>
      </w:pPr>
      <w:r>
        <w:rPr>
          <w:rFonts w:hint="eastAsia" w:ascii="宋体" w:hAnsi="宋体" w:eastAsia="宋体"/>
          <w:b/>
          <w:sz w:val="44"/>
        </w:rPr>
        <w:br w:type="page"/>
      </w:r>
    </w:p>
    <w:p>
      <w:pPr>
        <w:jc w:val="center"/>
        <w:rPr>
          <w:rFonts w:ascii="宋体" w:hAnsi="宋体" w:eastAsia="宋体"/>
          <w:b/>
          <w:sz w:val="44"/>
        </w:rPr>
      </w:pPr>
      <w:r>
        <w:rPr>
          <w:rFonts w:hint="eastAsia" w:ascii="宋体" w:hAnsi="宋体" w:eastAsia="宋体"/>
          <w:b/>
          <w:sz w:val="44"/>
        </w:rPr>
        <w:t>健康企业建设评估表（2023版）</w:t>
      </w:r>
    </w:p>
    <w:tbl>
      <w:tblPr>
        <w:tblStyle w:val="7"/>
        <w:tblpPr w:leftFromText="180" w:rightFromText="180" w:vertAnchor="text" w:horzAnchor="page" w:tblpX="768" w:tblpY="1017"/>
        <w:tblOverlap w:val="never"/>
        <w:tblW w:w="15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020"/>
        <w:gridCol w:w="4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11020" w:type="dxa"/>
            <w:tcMar>
              <w:top w:w="0" w:type="dxa"/>
              <w:left w:w="108" w:type="dxa"/>
              <w:bottom w:w="0" w:type="dxa"/>
              <w:right w:w="108" w:type="dxa"/>
            </w:tcMar>
            <w:vAlign w:val="center"/>
          </w:tcPr>
          <w:p>
            <w:pPr>
              <w:widowControl/>
              <w:spacing w:before="100" w:beforeAutospacing="1" w:after="100" w:afterAutospacing="1" w:line="360" w:lineRule="auto"/>
              <w:ind w:firstLine="482"/>
              <w:jc w:val="center"/>
            </w:pPr>
            <w:r>
              <w:rPr>
                <w:rFonts w:hint="eastAsia" w:ascii="黑体" w:hAnsi="宋体" w:eastAsia="黑体" w:cs="黑体"/>
                <w:b/>
                <w:kern w:val="0"/>
                <w:sz w:val="24"/>
                <w:szCs w:val="24"/>
                <w:lang w:bidi="ar"/>
              </w:rPr>
              <w:t>基本条件</w:t>
            </w:r>
          </w:p>
        </w:tc>
        <w:tc>
          <w:tcPr>
            <w:tcW w:w="4590" w:type="dxa"/>
            <w:tcMar>
              <w:top w:w="0" w:type="dxa"/>
              <w:left w:w="108" w:type="dxa"/>
              <w:bottom w:w="0" w:type="dxa"/>
              <w:right w:w="108" w:type="dxa"/>
            </w:tcMar>
            <w:vAlign w:val="center"/>
          </w:tcPr>
          <w:p>
            <w:pPr>
              <w:widowControl/>
              <w:spacing w:before="100" w:beforeAutospacing="1" w:after="100" w:afterAutospacing="1" w:line="360" w:lineRule="auto"/>
              <w:ind w:firstLine="482"/>
              <w:jc w:val="center"/>
            </w:pPr>
            <w:r>
              <w:rPr>
                <w:rFonts w:hint="eastAsia" w:ascii="黑体" w:hAnsi="宋体" w:eastAsia="黑体" w:cs="黑体"/>
                <w:b/>
                <w:kern w:val="0"/>
                <w:sz w:val="24"/>
                <w:szCs w:val="24"/>
                <w:lang w:bidi="ar"/>
              </w:rPr>
              <w:t>评估结果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1102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企业主要负责人书面承诺组织开展健康企业建设。</w:t>
            </w:r>
          </w:p>
        </w:tc>
        <w:tc>
          <w:tcPr>
            <w:tcW w:w="459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□符合 □不符合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0" w:hRule="atLeast"/>
        </w:trPr>
        <w:tc>
          <w:tcPr>
            <w:tcW w:w="11020" w:type="dxa"/>
            <w:tcMar>
              <w:top w:w="0" w:type="dxa"/>
              <w:left w:w="108" w:type="dxa"/>
              <w:bottom w:w="0" w:type="dxa"/>
              <w:right w:w="108" w:type="dxa"/>
            </w:tcMar>
            <w:vAlign w:val="center"/>
          </w:tcPr>
          <w:p>
            <w:pPr>
              <w:widowControl/>
              <w:spacing w:line="360" w:lineRule="auto"/>
              <w:ind w:firstLine="420"/>
              <w:jc w:val="left"/>
            </w:pPr>
            <w:r>
              <w:rPr>
                <w:rFonts w:hint="eastAsia" w:ascii="宋体" w:hAnsi="宋体" w:eastAsia="宋体" w:cs="宋体"/>
                <w:kern w:val="0"/>
                <w:sz w:val="21"/>
                <w:szCs w:val="21"/>
                <w:lang w:bidi="ar"/>
              </w:rPr>
              <w:t>近3年内未发生因防控措施不力导致的甲、乙类传染病爆发流行和群体性食源性疾病等事故。</w:t>
            </w:r>
          </w:p>
        </w:tc>
        <w:tc>
          <w:tcPr>
            <w:tcW w:w="459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□符合 □不符合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1102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近3年内未发生重大职业健康安全责任事故。</w:t>
            </w:r>
          </w:p>
        </w:tc>
        <w:tc>
          <w:tcPr>
            <w:tcW w:w="459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□符合 □不符合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1102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近3年内未发生企业过失造成的重大突发环境事件。</w:t>
            </w:r>
          </w:p>
        </w:tc>
        <w:tc>
          <w:tcPr>
            <w:tcW w:w="4590" w:type="dxa"/>
            <w:tcMar>
              <w:top w:w="0" w:type="dxa"/>
              <w:left w:w="108" w:type="dxa"/>
              <w:bottom w:w="0" w:type="dxa"/>
              <w:right w:w="108" w:type="dxa"/>
            </w:tcMar>
            <w:vAlign w:val="center"/>
          </w:tcPr>
          <w:p>
            <w:pPr>
              <w:widowControl/>
              <w:spacing w:before="100" w:beforeAutospacing="1" w:after="100" w:afterAutospacing="1" w:line="360" w:lineRule="auto"/>
              <w:ind w:firstLine="420"/>
              <w:jc w:val="left"/>
            </w:pPr>
            <w:r>
              <w:rPr>
                <w:rFonts w:hint="eastAsia" w:ascii="宋体" w:hAnsi="宋体" w:eastAsia="宋体" w:cs="宋体"/>
                <w:kern w:val="0"/>
                <w:sz w:val="21"/>
                <w:szCs w:val="21"/>
                <w:lang w:bidi="ar"/>
              </w:rPr>
              <w:t>□符合 □不符合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4" w:hRule="atLeast"/>
        </w:trPr>
        <w:tc>
          <w:tcPr>
            <w:tcW w:w="15610" w:type="dxa"/>
            <w:gridSpan w:val="2"/>
            <w:tcMar>
              <w:top w:w="0" w:type="dxa"/>
              <w:left w:w="108" w:type="dxa"/>
              <w:bottom w:w="0" w:type="dxa"/>
              <w:right w:w="108" w:type="dxa"/>
            </w:tcMar>
            <w:vAlign w:val="center"/>
          </w:tcPr>
          <w:p>
            <w:pPr>
              <w:widowControl/>
              <w:spacing w:line="360" w:lineRule="auto"/>
              <w:ind w:firstLine="420"/>
              <w:jc w:val="left"/>
            </w:pPr>
            <w:r>
              <w:rPr>
                <w:rFonts w:hint="eastAsia" w:ascii="宋体" w:hAnsi="宋体" w:eastAsia="宋体" w:cs="宋体"/>
                <w:kern w:val="0"/>
                <w:sz w:val="21"/>
                <w:szCs w:val="21"/>
                <w:lang w:bidi="ar"/>
              </w:rPr>
              <w:t>注：基本条件无不符合项，继续进行评估；</w:t>
            </w:r>
          </w:p>
          <w:p>
            <w:pPr>
              <w:widowControl/>
              <w:spacing w:line="360" w:lineRule="auto"/>
              <w:ind w:firstLine="420"/>
              <w:jc w:val="left"/>
            </w:pPr>
            <w:r>
              <w:rPr>
                <w:rFonts w:hint="eastAsia" w:ascii="宋体" w:hAnsi="宋体" w:eastAsia="宋体" w:cs="宋体"/>
                <w:kern w:val="0"/>
                <w:sz w:val="21"/>
                <w:szCs w:val="21"/>
                <w:lang w:bidi="ar"/>
              </w:rPr>
              <w:t>基本条件有任一不符合项，则不具备健康企业申报基本条件，停止评估。</w:t>
            </w:r>
          </w:p>
        </w:tc>
      </w:tr>
    </w:tbl>
    <w:p>
      <w:pPr>
        <w:widowControl/>
        <w:spacing w:line="580" w:lineRule="exact"/>
        <w:ind w:firstLine="420"/>
        <w:jc w:val="left"/>
      </w:pPr>
      <w:r>
        <w:rPr>
          <w:rFonts w:hint="eastAsia" w:eastAsia="等线" w:cs="等线"/>
          <w:kern w:val="0"/>
          <w:sz w:val="21"/>
          <w:szCs w:val="21"/>
          <w:lang w:bidi="ar"/>
        </w:rPr>
        <w:t> </w:t>
      </w:r>
    </w:p>
    <w:p>
      <w:pPr>
        <w:widowControl/>
        <w:spacing w:line="360" w:lineRule="auto"/>
        <w:ind w:firstLine="640"/>
        <w:jc w:val="left"/>
        <w:rPr>
          <w:rFonts w:hint="eastAsia"/>
          <w:lang w:bidi="ar"/>
        </w:rPr>
      </w:pPr>
      <w:r>
        <w:rPr>
          <w:rFonts w:hint="eastAsia" w:ascii="宋体" w:hAnsi="宋体" w:eastAsia="宋体" w:cs="宋体"/>
          <w:kern w:val="0"/>
          <w:sz w:val="44"/>
          <w:szCs w:val="44"/>
          <w:lang w:bidi="ar"/>
        </w:rPr>
        <w:t> </w:t>
      </w:r>
    </w:p>
    <w:tbl>
      <w:tblPr>
        <w:tblStyle w:val="7"/>
        <w:tblW w:w="15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810"/>
        <w:gridCol w:w="2417"/>
        <w:gridCol w:w="6315"/>
        <w:gridCol w:w="1270"/>
        <w:gridCol w:w="193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jc w:val="center"/>
        </w:trPr>
        <w:tc>
          <w:tcPr>
            <w:tcW w:w="1810" w:type="dxa"/>
            <w:tcMar>
              <w:top w:w="0" w:type="dxa"/>
              <w:left w:w="108" w:type="dxa"/>
              <w:bottom w:w="0" w:type="dxa"/>
              <w:right w:w="108" w:type="dxa"/>
            </w:tcMar>
            <w:vAlign w:val="center"/>
          </w:tcPr>
          <w:p>
            <w:pPr>
              <w:widowControl/>
              <w:spacing w:line="360" w:lineRule="auto"/>
              <w:ind w:firstLine="482"/>
              <w:jc w:val="center"/>
            </w:pPr>
            <w:r>
              <w:rPr>
                <w:rFonts w:hint="eastAsia" w:ascii="黑体" w:hAnsi="宋体" w:eastAsia="黑体" w:cs="黑体"/>
                <w:b/>
                <w:kern w:val="0"/>
                <w:sz w:val="24"/>
                <w:szCs w:val="24"/>
                <w:lang w:bidi="ar"/>
              </w:rPr>
              <w:t>一级</w:t>
            </w:r>
          </w:p>
          <w:p>
            <w:pPr>
              <w:widowControl/>
              <w:spacing w:line="360" w:lineRule="auto"/>
              <w:ind w:firstLine="482"/>
              <w:jc w:val="center"/>
            </w:pPr>
            <w:r>
              <w:rPr>
                <w:rFonts w:hint="eastAsia" w:ascii="黑体" w:hAnsi="宋体" w:eastAsia="黑体" w:cs="黑体"/>
                <w:b/>
                <w:kern w:val="0"/>
                <w:sz w:val="24"/>
                <w:szCs w:val="24"/>
                <w:lang w:bidi="ar"/>
              </w:rPr>
              <w:t>指标</w:t>
            </w:r>
          </w:p>
        </w:tc>
        <w:tc>
          <w:tcPr>
            <w:tcW w:w="2417" w:type="dxa"/>
            <w:tcMar>
              <w:top w:w="0" w:type="dxa"/>
              <w:left w:w="108" w:type="dxa"/>
              <w:bottom w:w="0" w:type="dxa"/>
              <w:right w:w="108" w:type="dxa"/>
            </w:tcMar>
            <w:vAlign w:val="center"/>
          </w:tcPr>
          <w:p>
            <w:pPr>
              <w:widowControl/>
              <w:spacing w:line="360" w:lineRule="auto"/>
              <w:ind w:firstLine="482"/>
              <w:jc w:val="both"/>
            </w:pPr>
            <w:r>
              <w:rPr>
                <w:rFonts w:hint="eastAsia" w:ascii="黑体" w:hAnsi="宋体" w:eastAsia="黑体" w:cs="黑体"/>
                <w:b/>
                <w:kern w:val="0"/>
                <w:sz w:val="24"/>
                <w:szCs w:val="24"/>
                <w:lang w:bidi="ar"/>
              </w:rPr>
              <w:t>二级</w:t>
            </w:r>
          </w:p>
          <w:p>
            <w:pPr>
              <w:widowControl/>
              <w:spacing w:line="360" w:lineRule="auto"/>
              <w:ind w:firstLine="482"/>
              <w:jc w:val="both"/>
            </w:pPr>
            <w:r>
              <w:rPr>
                <w:rFonts w:hint="eastAsia" w:ascii="黑体" w:hAnsi="宋体" w:eastAsia="黑体" w:cs="黑体"/>
                <w:b/>
                <w:kern w:val="0"/>
                <w:sz w:val="24"/>
                <w:szCs w:val="24"/>
                <w:lang w:bidi="ar"/>
              </w:rPr>
              <w:t>指标</w:t>
            </w:r>
          </w:p>
        </w:tc>
        <w:tc>
          <w:tcPr>
            <w:tcW w:w="6315" w:type="dxa"/>
            <w:tcMar>
              <w:top w:w="0" w:type="dxa"/>
              <w:left w:w="108" w:type="dxa"/>
              <w:bottom w:w="0" w:type="dxa"/>
              <w:right w:w="108" w:type="dxa"/>
            </w:tcMar>
            <w:vAlign w:val="center"/>
          </w:tcPr>
          <w:p>
            <w:pPr>
              <w:widowControl/>
              <w:spacing w:line="360" w:lineRule="auto"/>
              <w:ind w:firstLine="482"/>
              <w:jc w:val="center"/>
            </w:pPr>
            <w:r>
              <w:rPr>
                <w:rFonts w:hint="eastAsia" w:ascii="黑体" w:hAnsi="宋体" w:eastAsia="黑体" w:cs="黑体"/>
                <w:b/>
                <w:kern w:val="0"/>
                <w:sz w:val="24"/>
                <w:szCs w:val="24"/>
                <w:lang w:bidi="ar"/>
              </w:rPr>
              <w:t>三级指标</w:t>
            </w:r>
          </w:p>
        </w:tc>
        <w:tc>
          <w:tcPr>
            <w:tcW w:w="1270" w:type="dxa"/>
            <w:tcMar>
              <w:top w:w="0" w:type="dxa"/>
              <w:left w:w="108" w:type="dxa"/>
              <w:bottom w:w="0" w:type="dxa"/>
              <w:right w:w="108" w:type="dxa"/>
            </w:tcMar>
            <w:vAlign w:val="center"/>
          </w:tcPr>
          <w:p>
            <w:pPr>
              <w:widowControl/>
              <w:spacing w:line="360" w:lineRule="auto"/>
              <w:ind w:firstLine="482"/>
              <w:jc w:val="center"/>
            </w:pPr>
            <w:r>
              <w:rPr>
                <w:rFonts w:hint="eastAsia" w:ascii="黑体" w:hAnsi="宋体" w:eastAsia="黑体" w:cs="黑体"/>
                <w:b/>
                <w:kern w:val="0"/>
                <w:sz w:val="24"/>
                <w:szCs w:val="24"/>
                <w:lang w:bidi="ar"/>
              </w:rPr>
              <w:t>分值</w:t>
            </w:r>
          </w:p>
        </w:tc>
        <w:tc>
          <w:tcPr>
            <w:tcW w:w="1930" w:type="dxa"/>
            <w:tcMar>
              <w:top w:w="0" w:type="dxa"/>
              <w:left w:w="108" w:type="dxa"/>
              <w:bottom w:w="0" w:type="dxa"/>
              <w:right w:w="108" w:type="dxa"/>
            </w:tcMar>
            <w:vAlign w:val="center"/>
          </w:tcPr>
          <w:p>
            <w:pPr>
              <w:widowControl/>
              <w:spacing w:line="360" w:lineRule="auto"/>
              <w:ind w:firstLine="482"/>
              <w:jc w:val="center"/>
            </w:pPr>
            <w:r>
              <w:rPr>
                <w:rFonts w:hint="eastAsia" w:ascii="黑体" w:hAnsi="宋体" w:eastAsia="黑体" w:cs="黑体"/>
                <w:b/>
                <w:kern w:val="0"/>
                <w:sz w:val="24"/>
                <w:szCs w:val="24"/>
                <w:lang w:bidi="ar"/>
              </w:rPr>
              <w:t>评估</w:t>
            </w:r>
          </w:p>
          <w:p>
            <w:pPr>
              <w:widowControl/>
              <w:spacing w:line="360" w:lineRule="auto"/>
              <w:ind w:firstLine="482"/>
              <w:jc w:val="center"/>
            </w:pPr>
            <w:r>
              <w:rPr>
                <w:rFonts w:hint="eastAsia" w:ascii="黑体" w:hAnsi="宋体" w:eastAsia="黑体" w:cs="黑体"/>
                <w:b/>
                <w:kern w:val="0"/>
                <w:sz w:val="24"/>
                <w:szCs w:val="24"/>
                <w:lang w:bidi="ar"/>
              </w:rPr>
              <w:t>方式</w:t>
            </w:r>
          </w:p>
        </w:tc>
        <w:tc>
          <w:tcPr>
            <w:tcW w:w="1861" w:type="dxa"/>
            <w:tcMar>
              <w:top w:w="0" w:type="dxa"/>
              <w:left w:w="108" w:type="dxa"/>
              <w:bottom w:w="0" w:type="dxa"/>
              <w:right w:w="108" w:type="dxa"/>
            </w:tcMar>
            <w:vAlign w:val="center"/>
          </w:tcPr>
          <w:p>
            <w:pPr>
              <w:widowControl/>
              <w:spacing w:line="360" w:lineRule="auto"/>
              <w:ind w:firstLine="482"/>
              <w:jc w:val="center"/>
            </w:pPr>
            <w:r>
              <w:rPr>
                <w:rFonts w:hint="eastAsia" w:ascii="黑体" w:hAnsi="宋体" w:eastAsia="黑体" w:cs="黑体"/>
                <w:b/>
                <w:kern w:val="0"/>
                <w:sz w:val="24"/>
                <w:szCs w:val="24"/>
                <w:lang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jc w:val="center"/>
        </w:trPr>
        <w:tc>
          <w:tcPr>
            <w:tcW w:w="1810" w:type="dxa"/>
            <w:vMerge w:val="restart"/>
            <w:tcMar>
              <w:top w:w="0" w:type="dxa"/>
              <w:left w:w="108" w:type="dxa"/>
              <w:bottom w:w="0" w:type="dxa"/>
              <w:right w:w="108" w:type="dxa"/>
            </w:tcMar>
            <w:vAlign w:val="center"/>
          </w:tcPr>
          <w:p>
            <w:pPr>
              <w:widowControl/>
              <w:spacing w:line="360" w:lineRule="auto"/>
              <w:ind w:left="0" w:leftChars="0" w:firstLine="0" w:firstLineChars="0"/>
              <w:jc w:val="left"/>
            </w:pPr>
            <w:r>
              <w:rPr>
                <w:rFonts w:hint="eastAsia" w:ascii="黑体" w:hAnsi="宋体" w:eastAsia="黑体" w:cs="黑体"/>
                <w:b/>
                <w:kern w:val="0"/>
                <w:sz w:val="24"/>
                <w:szCs w:val="24"/>
                <w:lang w:bidi="ar"/>
              </w:rPr>
              <w:t>管理制度（200分）</w:t>
            </w:r>
          </w:p>
        </w:tc>
        <w:tc>
          <w:tcPr>
            <w:tcW w:w="2417" w:type="dxa"/>
            <w:vMerge w:val="restart"/>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组织保障</w:t>
            </w:r>
          </w:p>
          <w:p>
            <w:pPr>
              <w:widowControl/>
              <w:spacing w:line="360" w:lineRule="auto"/>
              <w:ind w:firstLine="422"/>
              <w:jc w:val="both"/>
            </w:pPr>
            <w:r>
              <w:rPr>
                <w:rFonts w:hint="eastAsia" w:ascii="宋体" w:hAnsi="宋体" w:eastAsia="宋体" w:cs="宋体"/>
                <w:b/>
                <w:kern w:val="0"/>
                <w:sz w:val="21"/>
                <w:szCs w:val="21"/>
                <w:lang w:bidi="ar"/>
              </w:rPr>
              <w:t>（40分）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left"/>
            </w:pPr>
            <w:r>
              <w:rPr>
                <w:rFonts w:hint="eastAsia" w:ascii="宋体" w:hAnsi="宋体" w:eastAsia="宋体" w:cs="宋体"/>
                <w:sz w:val="21"/>
                <w:szCs w:val="21"/>
              </w:rPr>
              <w:t>1.成立健康企业建设工作领导小组，由主要领导担任负责人。</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2.明确健康企业建设管理部门及职责。</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tcMar>
              <w:top w:w="0" w:type="dxa"/>
              <w:left w:w="108" w:type="dxa"/>
              <w:bottom w:w="0" w:type="dxa"/>
              <w:right w:w="108" w:type="dxa"/>
            </w:tcMar>
            <w:vAlign w:val="center"/>
          </w:tcPr>
          <w:p>
            <w:pPr>
              <w:widowControl/>
              <w:spacing w:line="360" w:lineRule="auto"/>
              <w:ind w:firstLine="422"/>
              <w:jc w:val="both"/>
              <w:rPr>
                <w:rFonts w:ascii="宋体" w:hAnsi="宋体" w:eastAsia="宋体" w:cs="宋体"/>
                <w:b/>
                <w:kern w:val="0"/>
                <w:sz w:val="21"/>
                <w:szCs w:val="21"/>
                <w:lang w:bidi="ar"/>
              </w:rPr>
            </w:pPr>
            <w:r>
              <w:rPr>
                <w:rFonts w:hint="eastAsia" w:ascii="宋体" w:hAnsi="宋体" w:eastAsia="宋体" w:cs="宋体"/>
                <w:b/>
                <w:kern w:val="0"/>
                <w:sz w:val="21"/>
                <w:szCs w:val="21"/>
                <w:lang w:bidi="ar"/>
              </w:rPr>
              <w:t>人员保障</w:t>
            </w:r>
          </w:p>
          <w:p>
            <w:pPr>
              <w:widowControl/>
              <w:spacing w:line="360" w:lineRule="auto"/>
              <w:ind w:firstLine="422"/>
              <w:jc w:val="both"/>
            </w:pPr>
            <w:r>
              <w:rPr>
                <w:rFonts w:hint="eastAsia" w:ascii="宋体" w:hAnsi="宋体" w:eastAsia="宋体" w:cs="宋体"/>
                <w:b/>
                <w:kern w:val="0"/>
                <w:sz w:val="21"/>
                <w:szCs w:val="21"/>
                <w:lang w:bidi="ar"/>
              </w:rPr>
              <w:t>（20分）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3.配备健康企业建设专/兼职管理人员。</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restart"/>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制度保障</w:t>
            </w:r>
          </w:p>
          <w:p>
            <w:pPr>
              <w:widowControl/>
              <w:spacing w:line="360" w:lineRule="auto"/>
              <w:ind w:firstLine="422"/>
              <w:jc w:val="both"/>
            </w:pPr>
            <w:r>
              <w:rPr>
                <w:rFonts w:hint="eastAsia" w:ascii="宋体" w:hAnsi="宋体" w:eastAsia="宋体" w:cs="宋体"/>
                <w:b/>
                <w:kern w:val="0"/>
                <w:sz w:val="21"/>
                <w:szCs w:val="21"/>
                <w:lang w:bidi="ar"/>
              </w:rPr>
              <w:t>（60分）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4.制订健康企业工作计划及实施方案。</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5.建立、完善与劳动者健康相关的各项制度。</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30分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6.落实企业民主协商制度，建立全体员工共同参与健康企业建设的协商协调机制，构建和谐劳动关系。</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经费保障</w:t>
            </w:r>
          </w:p>
          <w:p>
            <w:pPr>
              <w:widowControl/>
              <w:spacing w:line="360" w:lineRule="auto"/>
              <w:ind w:firstLine="422"/>
              <w:jc w:val="both"/>
            </w:pPr>
            <w:r>
              <w:rPr>
                <w:rFonts w:hint="eastAsia" w:ascii="宋体" w:hAnsi="宋体" w:eastAsia="宋体" w:cs="宋体"/>
                <w:b/>
                <w:kern w:val="0"/>
                <w:sz w:val="21"/>
                <w:szCs w:val="21"/>
                <w:lang w:bidi="ar"/>
              </w:rPr>
              <w:t>（20分）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7.设立健康企业建设专项工作经费，专款专用。</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restart"/>
            <w:tcMar>
              <w:top w:w="0" w:type="dxa"/>
              <w:left w:w="108" w:type="dxa"/>
              <w:bottom w:w="0" w:type="dxa"/>
              <w:right w:w="108" w:type="dxa"/>
            </w:tcMar>
            <w:vAlign w:val="center"/>
          </w:tcPr>
          <w:p>
            <w:pPr>
              <w:widowControl/>
              <w:spacing w:line="360" w:lineRule="auto"/>
              <w:ind w:firstLine="422"/>
              <w:jc w:val="both"/>
              <w:rPr>
                <w:rFonts w:ascii="宋体" w:hAnsi="宋体" w:eastAsia="宋体" w:cs="宋体"/>
                <w:b/>
                <w:kern w:val="0"/>
                <w:sz w:val="21"/>
                <w:szCs w:val="21"/>
                <w:lang w:bidi="ar"/>
              </w:rPr>
            </w:pPr>
            <w:r>
              <w:rPr>
                <w:rFonts w:hint="eastAsia" w:ascii="宋体" w:hAnsi="宋体" w:eastAsia="宋体" w:cs="宋体"/>
                <w:b/>
                <w:kern w:val="0"/>
                <w:sz w:val="21"/>
                <w:szCs w:val="21"/>
                <w:lang w:bidi="ar"/>
              </w:rPr>
              <w:t>合同及参保情况</w:t>
            </w:r>
          </w:p>
          <w:p>
            <w:pPr>
              <w:widowControl/>
              <w:spacing w:line="360" w:lineRule="auto"/>
              <w:ind w:firstLine="422"/>
              <w:jc w:val="both"/>
            </w:pPr>
            <w:r>
              <w:rPr>
                <w:rFonts w:hint="eastAsia" w:ascii="宋体" w:hAnsi="宋体" w:eastAsia="宋体" w:cs="宋体"/>
                <w:b/>
                <w:kern w:val="0"/>
                <w:sz w:val="21"/>
                <w:szCs w:val="21"/>
                <w:lang w:bidi="ar"/>
              </w:rPr>
              <w:t>（40分）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8.依法与劳动者签订劳动合同。</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9.按时、足额缴纳工伤保险保费。</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2"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10.为员工投保大病保险。</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全员参与</w:t>
            </w:r>
          </w:p>
          <w:p>
            <w:pPr>
              <w:widowControl/>
              <w:spacing w:line="360" w:lineRule="auto"/>
              <w:ind w:firstLine="422"/>
              <w:jc w:val="both"/>
            </w:pPr>
            <w:r>
              <w:rPr>
                <w:rFonts w:hint="eastAsia" w:ascii="宋体" w:hAnsi="宋体" w:eastAsia="宋体" w:cs="宋体"/>
                <w:b/>
                <w:kern w:val="0"/>
                <w:sz w:val="21"/>
                <w:szCs w:val="21"/>
                <w:lang w:bidi="ar"/>
              </w:rPr>
              <w:t>（20分）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11.采取多种措施，调动员工积极参与健康企业建设。</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3" w:hRule="atLeast"/>
          <w:jc w:val="center"/>
        </w:trPr>
        <w:tc>
          <w:tcPr>
            <w:tcW w:w="1810" w:type="dxa"/>
            <w:vMerge w:val="restart"/>
            <w:tcMar>
              <w:top w:w="0" w:type="dxa"/>
              <w:left w:w="108" w:type="dxa"/>
              <w:bottom w:w="0" w:type="dxa"/>
              <w:right w:w="108" w:type="dxa"/>
            </w:tcMar>
            <w:vAlign w:val="center"/>
          </w:tcPr>
          <w:p>
            <w:pPr>
              <w:widowControl/>
              <w:spacing w:line="360" w:lineRule="auto"/>
              <w:ind w:left="0" w:leftChars="0" w:firstLine="0" w:firstLineChars="0"/>
              <w:jc w:val="left"/>
            </w:pPr>
            <w:r>
              <w:rPr>
                <w:rFonts w:hint="eastAsia" w:ascii="黑体" w:hAnsi="宋体" w:eastAsia="黑体" w:cs="黑体"/>
                <w:b/>
                <w:kern w:val="0"/>
                <w:sz w:val="24"/>
                <w:szCs w:val="24"/>
                <w:lang w:bidi="ar"/>
              </w:rPr>
              <w:t>健康环境（250分）</w:t>
            </w:r>
          </w:p>
        </w:tc>
        <w:tc>
          <w:tcPr>
            <w:tcW w:w="2417" w:type="dxa"/>
            <w:vMerge w:val="restart"/>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一般环境（170分）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12.基础设施完善。</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3"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13.生产环境布局合理，生产布局符合国家相关标准要求。</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14.环境整洁，无卫生死角。</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6"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15.绿化覆盖率和绿地率满足国家绿化工作要求。</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16.废气、废水、固体废物排放和贮存、运输、处理符合国家、地方相关标准和要求。</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17"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17.有效落实病媒生物防制，鼠、蚊、蝇、蟑螂等病媒生物密度得到有效控制，符合国家卫生标准和要求。</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17"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18.全面开展控烟工作，打造无烟环境。积极推动室内工作场所及公共场所等全面禁止吸烟，设置显著禁烟标识，企业内无烟草广告和促销。</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19.加强水质卫生管理，保障生活饮用水安全。</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2"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20.企业内设食堂应符合《食品安全法》相关规定要求。未设置食堂的，就餐场所不能与存在职业性有害因素的工作场所相毗邻。</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6"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21.厕所设置布局合理、管理规范、干净整洁。</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3"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restart"/>
            <w:tcMar>
              <w:top w:w="0" w:type="dxa"/>
              <w:left w:w="108" w:type="dxa"/>
              <w:bottom w:w="0" w:type="dxa"/>
              <w:right w:w="108" w:type="dxa"/>
            </w:tcMar>
            <w:vAlign w:val="center"/>
          </w:tcPr>
          <w:p>
            <w:pPr>
              <w:widowControl/>
              <w:spacing w:line="360" w:lineRule="auto"/>
              <w:ind w:left="0" w:leftChars="0" w:firstLine="0" w:firstLineChars="0"/>
              <w:jc w:val="both"/>
            </w:pPr>
            <w:r>
              <w:rPr>
                <w:rFonts w:hint="eastAsia" w:ascii="宋体" w:hAnsi="宋体" w:eastAsia="宋体" w:cs="宋体"/>
                <w:b/>
                <w:kern w:val="0"/>
                <w:sz w:val="21"/>
                <w:szCs w:val="21"/>
                <w:lang w:bidi="ar"/>
              </w:rPr>
              <w:t>工作场所环境</w:t>
            </w:r>
          </w:p>
          <w:p>
            <w:pPr>
              <w:widowControl/>
              <w:spacing w:line="360" w:lineRule="auto"/>
              <w:ind w:firstLine="422"/>
              <w:jc w:val="both"/>
            </w:pPr>
            <w:r>
              <w:rPr>
                <w:rFonts w:hint="eastAsia" w:ascii="宋体" w:hAnsi="宋体" w:eastAsia="宋体" w:cs="宋体"/>
                <w:b/>
                <w:kern w:val="0"/>
                <w:sz w:val="21"/>
                <w:szCs w:val="21"/>
                <w:lang w:bidi="ar"/>
              </w:rPr>
              <w:t>（80分）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22.工作及作业环境、设备设施符合工效学要求和健康需求。</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现场勘察</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9"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23.工作场所采光、照明、通风、保温、隔热、隔声、污染物控制等方面符合国家、地方相关标准和要求。</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30分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17"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24.落实建设项目职业病防护设施“三同时”制度，做好职业病危害预评价、职业病防护设施设计及竣工验收职业病危害控制效果评价。*</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30分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0" w:hRule="atLeast"/>
          <w:jc w:val="center"/>
        </w:trPr>
        <w:tc>
          <w:tcPr>
            <w:tcW w:w="1810" w:type="dxa"/>
            <w:vMerge w:val="restart"/>
            <w:tcMar>
              <w:top w:w="0" w:type="dxa"/>
              <w:left w:w="108" w:type="dxa"/>
              <w:bottom w:w="0" w:type="dxa"/>
              <w:right w:w="108" w:type="dxa"/>
            </w:tcMar>
            <w:vAlign w:val="center"/>
          </w:tcPr>
          <w:p>
            <w:pPr>
              <w:widowControl/>
              <w:spacing w:line="360" w:lineRule="auto"/>
              <w:ind w:left="0" w:leftChars="0" w:firstLine="0" w:firstLineChars="0"/>
              <w:jc w:val="left"/>
            </w:pPr>
            <w:r>
              <w:rPr>
                <w:rFonts w:hint="eastAsia" w:ascii="黑体" w:hAnsi="宋体" w:eastAsia="黑体" w:cs="黑体"/>
                <w:b/>
                <w:kern w:val="0"/>
                <w:sz w:val="24"/>
                <w:szCs w:val="24"/>
                <w:lang w:bidi="ar"/>
              </w:rPr>
              <w:t>健康管理与服务（400分）</w:t>
            </w:r>
          </w:p>
        </w:tc>
        <w:tc>
          <w:tcPr>
            <w:tcW w:w="2417" w:type="dxa"/>
            <w:vMerge w:val="restart"/>
            <w:tcMar>
              <w:top w:w="0" w:type="dxa"/>
              <w:left w:w="108" w:type="dxa"/>
              <w:bottom w:w="0" w:type="dxa"/>
              <w:right w:w="108" w:type="dxa"/>
            </w:tcMar>
            <w:vAlign w:val="center"/>
          </w:tcPr>
          <w:p>
            <w:pPr>
              <w:widowControl/>
              <w:spacing w:line="360" w:lineRule="auto"/>
              <w:ind w:left="0" w:leftChars="0" w:firstLine="0" w:firstLineChars="0"/>
              <w:jc w:val="both"/>
            </w:pPr>
            <w:r>
              <w:rPr>
                <w:rFonts w:hint="eastAsia" w:ascii="宋体" w:hAnsi="宋体" w:eastAsia="宋体" w:cs="宋体"/>
                <w:b/>
                <w:kern w:val="0"/>
                <w:sz w:val="21"/>
                <w:szCs w:val="21"/>
                <w:lang w:bidi="ar"/>
              </w:rPr>
              <w:t>一般健康管理与服务（130分）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25.设立医务室并符合相关标准。</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26.为员工提供免费测量血压、体重、腰围等健康指标的场所和设施。</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27.制订员工年度健康检查计划，建立员工健康档案。</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4"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28.开展员工健康评估并实施分类健康管理和指导。</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4"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29.制订传染病、食源性疾病等防控应急预案，防止疾病传播流行。</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30.完善员工健身场地及设施，组织开展适合不同工作场所或工作方式特点的群体性健身活动。</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31.开展婚前、孕前和孕期保健。</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7"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32.开展女职工健康检查，检查项目覆盖妇科和乳腺检查。</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restart"/>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心理健康</w:t>
            </w:r>
          </w:p>
          <w:p>
            <w:pPr>
              <w:widowControl/>
              <w:spacing w:line="360" w:lineRule="auto"/>
              <w:ind w:firstLine="422"/>
              <w:jc w:val="both"/>
            </w:pPr>
            <w:r>
              <w:rPr>
                <w:rFonts w:hint="eastAsia" w:ascii="宋体" w:hAnsi="宋体" w:eastAsia="宋体" w:cs="宋体"/>
                <w:b/>
                <w:kern w:val="0"/>
                <w:sz w:val="21"/>
                <w:szCs w:val="21"/>
                <w:lang w:bidi="ar"/>
              </w:rPr>
              <w:t>管理与服务（50分）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33.设立心理健康辅导室。</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现场勘察</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7"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34.制订并实施员工心理援助计划。</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2"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35.提供心理评估、心理咨询、教育培训等服务。</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4"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restart"/>
            <w:tcMar>
              <w:top w:w="0" w:type="dxa"/>
              <w:left w:w="108" w:type="dxa"/>
              <w:bottom w:w="0" w:type="dxa"/>
              <w:right w:w="108" w:type="dxa"/>
            </w:tcMar>
            <w:vAlign w:val="center"/>
          </w:tcPr>
          <w:p>
            <w:pPr>
              <w:widowControl/>
              <w:spacing w:line="360" w:lineRule="auto"/>
              <w:ind w:left="0" w:leftChars="0" w:firstLine="0" w:firstLineChars="0"/>
              <w:jc w:val="both"/>
            </w:pPr>
            <w:r>
              <w:rPr>
                <w:rFonts w:hint="eastAsia" w:ascii="宋体" w:hAnsi="宋体" w:eastAsia="宋体" w:cs="宋体"/>
                <w:b/>
                <w:kern w:val="0"/>
                <w:sz w:val="21"/>
                <w:szCs w:val="21"/>
                <w:lang w:bidi="ar"/>
              </w:rPr>
              <w:t>职业健康管理与服务（220分）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36.落实《女职工劳动保护特别规定》，加强对怀孕和哺乳期女职工的关爱和照顾。女职工较多的企业按规定建立女职工卫生室、孕妇休息室、哺乳室、母婴室等辅助设施。</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1"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37.企业主要负责人和职业卫生管理人员</w:t>
            </w:r>
            <w:r>
              <w:rPr>
                <w:rFonts w:hint="eastAsia" w:ascii="宋体" w:hAnsi="宋体" w:eastAsia="宋体" w:cs="宋体"/>
                <w:sz w:val="21"/>
                <w:szCs w:val="21"/>
                <w:shd w:val="clear" w:color="auto" w:fill="FFFFFF"/>
              </w:rPr>
              <w:t>接受职业卫生培训，</w:t>
            </w:r>
            <w:r>
              <w:rPr>
                <w:rFonts w:hint="eastAsia" w:ascii="宋体" w:hAnsi="宋体" w:eastAsia="宋体" w:cs="宋体"/>
                <w:sz w:val="21"/>
                <w:szCs w:val="21"/>
              </w:rPr>
              <w:t>遵守职业病防治法律、法规，依法组织本单位的职业病防治工作。*</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4"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38.组织劳动者进行上岗前的职业卫生培训和在岗期间的定期职业卫生培训。*</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6"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39.建立、健全职业卫生管理制度、操作规程、职业卫生档案和工作场所职业病危害因素监测及评价制度。*</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6"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lang w:val="en-US" w:eastAsia="zh-CN"/>
              </w:rPr>
              <w:t>4</w:t>
            </w:r>
            <w:r>
              <w:rPr>
                <w:rFonts w:hint="eastAsia" w:ascii="宋体" w:hAnsi="宋体" w:eastAsia="宋体" w:cs="宋体"/>
                <w:sz w:val="21"/>
                <w:szCs w:val="21"/>
              </w:rPr>
              <w:t>0.实施工作场所职业病危害因素日常监测和定期检测、评价。*</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74"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41.在存在或者产生职业病危害的工作场所设置警示标识和中文警示说明；对存在或产生严重职业病危害的工作岗位设置职业病危害告知卡。*</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42.采用有效的职业病防护设施；为员工提供符合国家职业卫生标准的职业病防护用品，并督促、指导员工正确佩戴和使用。*</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71"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43.对可能导致急性职业损伤的有毒、有害工作场所，设置报警装置，配置现场急救用品、冲洗设备、应急撤离通道和必要的泄险区。*</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44.建立、健全职业病危害事故应急救援预案。*</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4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45.建立、完善职业健康监护制度，对从事接触职业病危害作业的劳动者进行上岗前、在岗期间和离岗时的职业健康检查。*</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46.</w:t>
            </w:r>
            <w:bookmarkStart w:id="0" w:name="_Hlk29463846"/>
            <w:r>
              <w:rPr>
                <w:rFonts w:hint="eastAsia" w:ascii="宋体" w:hAnsi="宋体" w:eastAsia="宋体" w:cs="宋体"/>
                <w:sz w:val="21"/>
                <w:szCs w:val="21"/>
              </w:rPr>
              <w:t>建立职业健康监护档案</w:t>
            </w:r>
            <w:bookmarkEnd w:id="0"/>
            <w:r>
              <w:rPr>
                <w:rFonts w:hint="eastAsia" w:ascii="宋体" w:hAnsi="宋体" w:eastAsia="宋体" w:cs="宋体"/>
                <w:sz w:val="21"/>
                <w:szCs w:val="21"/>
              </w:rPr>
              <w:t>并妥善保管。*</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5"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47.定期评估职业健康监护资料。*</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93"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48.配合做好职业病诊断与鉴定工作，安排疑似职业病病人依法进行职业病诊断，依法提供与职业病诊断、鉴定有关的职业卫生和健康监护等资料。*</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49.妥善安置有职业禁忌、职业相关健康损害和患有职业病的员工。*</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50.依法依规安排职业病病人进行治疗、康复和定期检查。*</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51.对从事接触职业病危害作业的劳动者，给予岗位津贴。*</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2"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52.优先采用有利于防治职业病和保护劳动者健康的新技术、新工艺、新设备、新材料，替代职业病危害严重的技术、工艺、设备、材料。*</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1" w:hRule="atLeast"/>
          <w:jc w:val="center"/>
        </w:trPr>
        <w:tc>
          <w:tcPr>
            <w:tcW w:w="1810" w:type="dxa"/>
            <w:vMerge w:val="restart"/>
            <w:tcMar>
              <w:top w:w="0" w:type="dxa"/>
              <w:left w:w="108" w:type="dxa"/>
              <w:bottom w:w="0" w:type="dxa"/>
              <w:right w:w="108" w:type="dxa"/>
            </w:tcMar>
            <w:vAlign w:val="center"/>
          </w:tcPr>
          <w:p>
            <w:pPr>
              <w:widowControl/>
              <w:spacing w:line="360" w:lineRule="auto"/>
              <w:ind w:firstLine="482"/>
              <w:jc w:val="left"/>
            </w:pPr>
            <w:r>
              <w:rPr>
                <w:rFonts w:hint="eastAsia" w:ascii="黑体" w:hAnsi="宋体" w:eastAsia="黑体" w:cs="黑体"/>
                <w:b/>
                <w:kern w:val="0"/>
                <w:sz w:val="24"/>
                <w:szCs w:val="24"/>
                <w:lang w:bidi="ar"/>
              </w:rPr>
              <w:t>健康文化（150分）</w:t>
            </w:r>
          </w:p>
        </w:tc>
        <w:tc>
          <w:tcPr>
            <w:tcW w:w="2417" w:type="dxa"/>
            <w:vMerge w:val="restart"/>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健康教育（60分）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53.广泛开展多种形式的健康知识普及，倡导健康生活方式和健康工作方式。</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86"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54.定期组织开展传染病、慢性病和职业病防治及心理健康等内容的健康教育活动，提高员工健康素养。</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资料审核</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3"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55.定期对食堂管理和从业人员开展营养、平衡膳食和食品安全相关培训。**</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2"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restart"/>
            <w:tcMar>
              <w:top w:w="0" w:type="dxa"/>
              <w:left w:w="108" w:type="dxa"/>
              <w:bottom w:w="0" w:type="dxa"/>
              <w:right w:w="108" w:type="dxa"/>
            </w:tcMar>
            <w:vAlign w:val="center"/>
          </w:tcPr>
          <w:p>
            <w:pPr>
              <w:widowControl/>
              <w:spacing w:line="360" w:lineRule="auto"/>
              <w:ind w:firstLine="422"/>
              <w:jc w:val="both"/>
              <w:rPr>
                <w:rFonts w:ascii="宋体" w:hAnsi="宋体" w:eastAsia="宋体" w:cs="宋体"/>
                <w:b/>
                <w:kern w:val="0"/>
                <w:sz w:val="21"/>
                <w:szCs w:val="21"/>
                <w:lang w:bidi="ar"/>
              </w:rPr>
            </w:pPr>
            <w:r>
              <w:rPr>
                <w:rFonts w:hint="eastAsia" w:ascii="宋体" w:hAnsi="宋体" w:eastAsia="宋体" w:cs="宋体"/>
                <w:b/>
                <w:kern w:val="0"/>
                <w:sz w:val="21"/>
                <w:szCs w:val="21"/>
                <w:lang w:bidi="ar"/>
              </w:rPr>
              <w:t>企业文化</w:t>
            </w:r>
          </w:p>
          <w:p>
            <w:pPr>
              <w:widowControl/>
              <w:spacing w:line="360" w:lineRule="auto"/>
              <w:ind w:firstLine="422"/>
              <w:jc w:val="both"/>
            </w:pPr>
            <w:r>
              <w:rPr>
                <w:rFonts w:hint="eastAsia" w:ascii="宋体" w:hAnsi="宋体" w:eastAsia="宋体" w:cs="宋体"/>
                <w:b/>
                <w:kern w:val="0"/>
                <w:sz w:val="21"/>
                <w:szCs w:val="21"/>
                <w:lang w:bidi="ar"/>
              </w:rPr>
              <w:t>（70分）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56.关爱员工身心健康，构建和谐、平等、信任、宽容的人文环境。</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3"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57.传播健康先进理念和文化。</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现场勘察</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3"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58.采取积极有效措施预防和制止工作场所暴力、歧视和性骚扰等。</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8"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vMerge w:val="continue"/>
            <w:tcMar>
              <w:top w:w="0" w:type="dxa"/>
              <w:left w:w="108" w:type="dxa"/>
              <w:bottom w:w="0" w:type="dxa"/>
              <w:right w:w="108" w:type="dxa"/>
            </w:tcMar>
            <w:vAlign w:val="center"/>
          </w:tcPr>
          <w:p>
            <w:pPr>
              <w:spacing w:line="360" w:lineRule="auto"/>
              <w:ind w:firstLine="360"/>
              <w:jc w:val="both"/>
              <w:rPr>
                <w:rFonts w:ascii="Arial" w:hAnsi="Arial" w:cs="Arial"/>
                <w:sz w:val="18"/>
                <w:szCs w:val="18"/>
              </w:rPr>
            </w:pP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59.开展“健康达人”评选活动。</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15分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0" w:hRule="atLeast"/>
          <w:jc w:val="center"/>
        </w:trPr>
        <w:tc>
          <w:tcPr>
            <w:tcW w:w="1810" w:type="dxa"/>
            <w:vMerge w:val="continue"/>
            <w:tcMar>
              <w:top w:w="0" w:type="dxa"/>
              <w:left w:w="108" w:type="dxa"/>
              <w:bottom w:w="0" w:type="dxa"/>
              <w:right w:w="108" w:type="dxa"/>
            </w:tcMar>
            <w:vAlign w:val="center"/>
          </w:tcPr>
          <w:p>
            <w:pPr>
              <w:spacing w:line="360" w:lineRule="auto"/>
              <w:ind w:firstLine="360"/>
              <w:jc w:val="left"/>
              <w:rPr>
                <w:rFonts w:ascii="Arial" w:hAnsi="Arial" w:cs="Arial"/>
                <w:sz w:val="18"/>
                <w:szCs w:val="18"/>
              </w:rPr>
            </w:pPr>
          </w:p>
        </w:tc>
        <w:tc>
          <w:tcPr>
            <w:tcW w:w="2417" w:type="dxa"/>
            <w:tcMar>
              <w:top w:w="0" w:type="dxa"/>
              <w:left w:w="108" w:type="dxa"/>
              <w:bottom w:w="0" w:type="dxa"/>
              <w:right w:w="108" w:type="dxa"/>
            </w:tcMar>
            <w:vAlign w:val="center"/>
          </w:tcPr>
          <w:p>
            <w:pPr>
              <w:widowControl/>
              <w:spacing w:line="360" w:lineRule="auto"/>
              <w:ind w:firstLine="422"/>
              <w:jc w:val="both"/>
            </w:pPr>
            <w:r>
              <w:rPr>
                <w:rFonts w:hint="eastAsia" w:ascii="宋体" w:hAnsi="宋体" w:eastAsia="宋体" w:cs="宋体"/>
                <w:b/>
                <w:kern w:val="0"/>
                <w:sz w:val="21"/>
                <w:szCs w:val="21"/>
                <w:lang w:bidi="ar"/>
              </w:rPr>
              <w:t>社会责任（20分）</w:t>
            </w:r>
          </w:p>
        </w:tc>
        <w:tc>
          <w:tcPr>
            <w:tcW w:w="6315" w:type="dxa"/>
            <w:tcMar>
              <w:top w:w="0" w:type="dxa"/>
              <w:left w:w="108" w:type="dxa"/>
              <w:bottom w:w="0" w:type="dxa"/>
              <w:right w:w="108" w:type="dxa"/>
            </w:tcMar>
            <w:vAlign w:val="center"/>
          </w:tcPr>
          <w:p>
            <w:pPr>
              <w:pStyle w:val="6"/>
              <w:widowControl/>
              <w:spacing w:before="0" w:beforeAutospacing="0" w:after="0" w:afterAutospacing="0" w:line="360" w:lineRule="auto"/>
              <w:ind w:left="0" w:leftChars="0" w:firstLine="0" w:firstLineChars="0"/>
              <w:jc w:val="both"/>
            </w:pPr>
            <w:r>
              <w:rPr>
                <w:rFonts w:hint="eastAsia" w:ascii="宋体" w:hAnsi="宋体" w:eastAsia="宋体" w:cs="宋体"/>
                <w:sz w:val="21"/>
                <w:szCs w:val="21"/>
              </w:rPr>
              <w:t>60.切实履行社会责任，积极参与社会公益活动。</w:t>
            </w:r>
          </w:p>
        </w:tc>
        <w:tc>
          <w:tcPr>
            <w:tcW w:w="127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20分</w:t>
            </w:r>
          </w:p>
        </w:tc>
        <w:tc>
          <w:tcPr>
            <w:tcW w:w="1930" w:type="dxa"/>
            <w:tcMar>
              <w:top w:w="0" w:type="dxa"/>
              <w:left w:w="108" w:type="dxa"/>
              <w:bottom w:w="0" w:type="dxa"/>
              <w:right w:w="108" w:type="dxa"/>
            </w:tcMar>
            <w:vAlign w:val="center"/>
          </w:tcPr>
          <w:p>
            <w:pPr>
              <w:widowControl/>
              <w:spacing w:line="360" w:lineRule="auto"/>
              <w:ind w:firstLine="420"/>
              <w:jc w:val="center"/>
            </w:pPr>
            <w:r>
              <w:rPr>
                <w:rFonts w:hint="eastAsia" w:ascii="宋体" w:hAnsi="宋体" w:eastAsia="宋体" w:cs="宋体"/>
                <w:kern w:val="0"/>
                <w:sz w:val="21"/>
                <w:szCs w:val="21"/>
                <w:lang w:bidi="ar"/>
              </w:rPr>
              <w:t>资料审查</w:t>
            </w:r>
          </w:p>
          <w:p>
            <w:pPr>
              <w:widowControl/>
              <w:spacing w:line="360" w:lineRule="auto"/>
              <w:ind w:firstLine="420"/>
              <w:jc w:val="center"/>
            </w:pPr>
            <w:r>
              <w:rPr>
                <w:rFonts w:hint="eastAsia" w:ascii="宋体" w:hAnsi="宋体" w:eastAsia="宋体" w:cs="宋体"/>
                <w:kern w:val="0"/>
                <w:sz w:val="21"/>
                <w:szCs w:val="21"/>
                <w:lang w:bidi="ar"/>
              </w:rPr>
              <w:t>访谈</w:t>
            </w:r>
          </w:p>
        </w:tc>
        <w:tc>
          <w:tcPr>
            <w:tcW w:w="1861" w:type="dxa"/>
            <w:tcMar>
              <w:top w:w="0" w:type="dxa"/>
              <w:left w:w="108" w:type="dxa"/>
              <w:bottom w:w="0" w:type="dxa"/>
              <w:right w:w="108" w:type="dxa"/>
            </w:tcMar>
            <w:vAlign w:val="center"/>
          </w:tcPr>
          <w:p>
            <w:pPr>
              <w:widowControl/>
              <w:spacing w:line="360" w:lineRule="auto"/>
              <w:ind w:firstLine="422"/>
              <w:jc w:val="center"/>
            </w:pPr>
            <w:r>
              <w:rPr>
                <w:rFonts w:hint="eastAsia" w:ascii="宋体" w:hAnsi="宋体" w:eastAsia="宋体" w:cs="宋体"/>
                <w:b/>
                <w:kern w:val="0"/>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72" w:hRule="atLeast"/>
          <w:jc w:val="center"/>
        </w:trPr>
        <w:tc>
          <w:tcPr>
            <w:tcW w:w="15603" w:type="dxa"/>
            <w:gridSpan w:val="6"/>
            <w:tcMar>
              <w:top w:w="0" w:type="dxa"/>
              <w:left w:w="108" w:type="dxa"/>
              <w:bottom w:w="0" w:type="dxa"/>
              <w:right w:w="108" w:type="dxa"/>
            </w:tcMar>
            <w:vAlign w:val="center"/>
          </w:tcPr>
          <w:p>
            <w:pPr>
              <w:widowControl/>
              <w:spacing w:line="360" w:lineRule="auto"/>
              <w:ind w:firstLine="422"/>
              <w:jc w:val="left"/>
            </w:pPr>
            <w:r>
              <w:rPr>
                <w:rFonts w:hint="eastAsia" w:ascii="宋体" w:hAnsi="宋体" w:eastAsia="宋体" w:cs="宋体"/>
                <w:b/>
                <w:kern w:val="0"/>
                <w:sz w:val="21"/>
                <w:szCs w:val="21"/>
                <w:lang w:bidi="ar"/>
              </w:rPr>
              <w:t>注：1.标注</w:t>
            </w:r>
            <w:r>
              <w:rPr>
                <w:rFonts w:hint="eastAsia" w:ascii="宋体" w:hAnsi="宋体" w:eastAsia="宋体" w:cs="宋体"/>
                <w:kern w:val="0"/>
                <w:sz w:val="21"/>
                <w:szCs w:val="21"/>
                <w:lang w:bidi="ar"/>
              </w:rPr>
              <w:t>*</w:t>
            </w:r>
            <w:r>
              <w:rPr>
                <w:rFonts w:hint="eastAsia" w:ascii="宋体" w:hAnsi="宋体" w:eastAsia="宋体" w:cs="宋体"/>
                <w:b/>
                <w:kern w:val="0"/>
                <w:sz w:val="21"/>
                <w:szCs w:val="21"/>
                <w:lang w:bidi="ar"/>
              </w:rPr>
              <w:t>号的指标为存在职业病危害因素企业的特有指标，共235分；</w:t>
            </w:r>
          </w:p>
          <w:p>
            <w:pPr>
              <w:widowControl/>
              <w:spacing w:line="360" w:lineRule="auto"/>
              <w:ind w:firstLine="422"/>
              <w:jc w:val="left"/>
            </w:pPr>
            <w:r>
              <w:rPr>
                <w:rFonts w:hint="eastAsia" w:ascii="宋体" w:hAnsi="宋体" w:eastAsia="宋体" w:cs="宋体"/>
                <w:b/>
                <w:kern w:val="0"/>
                <w:sz w:val="21"/>
                <w:szCs w:val="21"/>
                <w:lang w:bidi="ar"/>
              </w:rPr>
              <w:t>2.如果申请企业不存在职业病危害因素，则自评估得分以非*号项得分除以0.765计。如，某企业不存在职业病危害因素，其非*号项得分为650分，对自评估得分进行加权计算为650/0.765 = 849.67分；</w:t>
            </w:r>
          </w:p>
          <w:p>
            <w:pPr>
              <w:widowControl/>
              <w:spacing w:line="360" w:lineRule="auto"/>
              <w:ind w:firstLine="422"/>
              <w:jc w:val="left"/>
            </w:pPr>
            <w:r>
              <w:rPr>
                <w:rFonts w:hint="eastAsia" w:ascii="宋体" w:hAnsi="宋体" w:eastAsia="宋体" w:cs="宋体"/>
                <w:b/>
                <w:kern w:val="0"/>
                <w:sz w:val="21"/>
                <w:szCs w:val="21"/>
                <w:lang w:bidi="ar"/>
              </w:rPr>
              <w:t>3.如果申请企业存在职业病危害因素，则需要对所有指标进行评估，各项指标实际评估得分相加结果即为评估得分；</w:t>
            </w:r>
          </w:p>
          <w:p>
            <w:pPr>
              <w:widowControl/>
              <w:spacing w:line="360" w:lineRule="auto"/>
              <w:ind w:firstLine="422"/>
              <w:jc w:val="left"/>
            </w:pPr>
            <w:r>
              <w:rPr>
                <w:rFonts w:hint="eastAsia" w:ascii="宋体" w:hAnsi="宋体" w:eastAsia="宋体" w:cs="宋体"/>
                <w:b/>
                <w:kern w:val="0"/>
                <w:sz w:val="21"/>
                <w:szCs w:val="21"/>
                <w:lang w:bidi="ar"/>
              </w:rPr>
              <w:t>4.标注**号的指标，企业内部设置食堂或餐厅的，考核此项指标；未设置食堂或餐厅的企业，不考核此项指标，得分按照加权处理。</w:t>
            </w:r>
          </w:p>
          <w:p>
            <w:pPr>
              <w:widowControl/>
              <w:spacing w:line="360" w:lineRule="auto"/>
              <w:ind w:firstLine="422"/>
              <w:jc w:val="left"/>
            </w:pPr>
            <w:r>
              <w:rPr>
                <w:rFonts w:hint="eastAsia" w:ascii="宋体" w:hAnsi="宋体" w:eastAsia="宋体" w:cs="宋体"/>
                <w:b/>
                <w:kern w:val="0"/>
                <w:sz w:val="21"/>
                <w:szCs w:val="21"/>
                <w:lang w:bidi="ar"/>
              </w:rPr>
              <w:t>5.评估达到800分以上的企业，通过健康企业评估。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5" w:hRule="atLeast"/>
          <w:jc w:val="center"/>
        </w:trPr>
        <w:tc>
          <w:tcPr>
            <w:tcW w:w="15603" w:type="dxa"/>
            <w:gridSpan w:val="6"/>
            <w:tcMar>
              <w:top w:w="0" w:type="dxa"/>
              <w:left w:w="108" w:type="dxa"/>
              <w:bottom w:w="0" w:type="dxa"/>
              <w:right w:w="108" w:type="dxa"/>
            </w:tcMar>
            <w:vAlign w:val="center"/>
          </w:tcPr>
          <w:p>
            <w:pPr>
              <w:widowControl/>
              <w:spacing w:line="360" w:lineRule="auto"/>
              <w:ind w:firstLine="422"/>
              <w:jc w:val="left"/>
            </w:pPr>
            <w:r>
              <w:rPr>
                <w:rFonts w:hint="eastAsia" w:ascii="宋体" w:hAnsi="宋体" w:eastAsia="宋体" w:cs="宋体"/>
                <w:b/>
                <w:kern w:val="0"/>
                <w:sz w:val="21"/>
                <w:szCs w:val="21"/>
                <w:lang w:bidi="ar"/>
              </w:rPr>
              <w:t>评估得分: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62" w:hRule="atLeast"/>
          <w:jc w:val="center"/>
        </w:trPr>
        <w:tc>
          <w:tcPr>
            <w:tcW w:w="15603" w:type="dxa"/>
            <w:gridSpan w:val="6"/>
            <w:tcMar>
              <w:top w:w="0" w:type="dxa"/>
              <w:left w:w="108" w:type="dxa"/>
              <w:bottom w:w="0" w:type="dxa"/>
              <w:right w:w="108" w:type="dxa"/>
            </w:tcMar>
          </w:tcPr>
          <w:p>
            <w:pPr>
              <w:widowControl/>
              <w:spacing w:line="360" w:lineRule="auto"/>
              <w:ind w:firstLine="422"/>
              <w:jc w:val="left"/>
            </w:pPr>
            <w:r>
              <w:rPr>
                <w:rFonts w:hint="eastAsia" w:ascii="宋体" w:hAnsi="宋体" w:eastAsia="宋体" w:cs="宋体"/>
                <w:b/>
                <w:kern w:val="0"/>
                <w:sz w:val="21"/>
                <w:szCs w:val="21"/>
                <w:lang w:bidi="ar"/>
              </w:rPr>
              <w:t> </w:t>
            </w:r>
          </w:p>
          <w:p>
            <w:pPr>
              <w:widowControl/>
              <w:spacing w:line="360" w:lineRule="auto"/>
              <w:ind w:firstLine="422"/>
              <w:jc w:val="left"/>
            </w:pPr>
            <w:r>
              <w:rPr>
                <w:rFonts w:hint="eastAsia" w:ascii="宋体" w:hAnsi="宋体" w:eastAsia="宋体" w:cs="宋体"/>
                <w:b/>
                <w:kern w:val="0"/>
                <w:sz w:val="21"/>
                <w:szCs w:val="21"/>
                <w:lang w:bidi="ar"/>
              </w:rPr>
              <w:t>评估组成员签名：</w:t>
            </w:r>
          </w:p>
        </w:tc>
      </w:tr>
    </w:tbl>
    <w:p>
      <w:pPr>
        <w:pStyle w:val="3"/>
        <w:ind w:firstLine="452"/>
        <w:rPr>
          <w:rFonts w:ascii="宋体" w:hAnsi="宋体" w:cs="宋体"/>
          <w:spacing w:val="8"/>
          <w:sz w:val="21"/>
          <w:szCs w:val="21"/>
        </w:rPr>
      </w:pPr>
    </w:p>
    <w:p>
      <w:pPr>
        <w:pStyle w:val="3"/>
        <w:ind w:right="-442" w:rightChars="-138"/>
      </w:pPr>
    </w:p>
    <w:p/>
    <w:sectPr>
      <w:headerReference r:id="rId6" w:type="default"/>
      <w:footerReference r:id="rId7" w:type="default"/>
      <w:pgSz w:w="16838" w:h="11906" w:orient="landscape"/>
      <w:pgMar w:top="1803" w:right="1440" w:bottom="1803" w:left="1440" w:header="851" w:footer="992" w:gutter="0"/>
      <w:cols w:space="0" w:num="1"/>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BD771A-23C0-4785-A053-BE43267173E3}"/>
  </w:font>
  <w:font w:name="黑体">
    <w:panose1 w:val="02010609060101010101"/>
    <w:charset w:val="86"/>
    <w:family w:val="auto"/>
    <w:pitch w:val="default"/>
    <w:sig w:usb0="800002BF" w:usb1="38CF7CFA" w:usb2="00000016" w:usb3="00000000" w:csb0="00040001" w:csb1="00000000"/>
    <w:embedRegular r:id="rId2" w:fontKey="{F4F18750-425B-4A90-A6CD-D0A0C4F164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905B66E-1D7C-4E5D-9888-A632C733BF72}"/>
  </w:font>
  <w:font w:name="等线">
    <w:panose1 w:val="02010600030101010101"/>
    <w:charset w:val="86"/>
    <w:family w:val="auto"/>
    <w:pitch w:val="default"/>
    <w:sig w:usb0="A00002BF" w:usb1="38CF7CFA" w:usb2="00000016" w:usb3="00000000" w:csb0="0004000F" w:csb1="00000000"/>
    <w:embedRegular r:id="rId4" w:fontKey="{C0B6616B-EED1-4E72-B00D-6844B47E9B67}"/>
  </w:font>
  <w:font w:name="仿宋_GB2312">
    <w:panose1 w:val="02010609030101010101"/>
    <w:charset w:val="86"/>
    <w:family w:val="modern"/>
    <w:pitch w:val="default"/>
    <w:sig w:usb0="00000001" w:usb1="080E0000" w:usb2="00000000" w:usb3="00000000" w:csb0="00040000" w:csb1="00000000"/>
    <w:embedRegular r:id="rId5" w:fontKey="{9AE15BE3-2DBF-413A-A973-41DD9DD9AA84}"/>
  </w:font>
  <w:font w:name="方正小标宋简体">
    <w:panose1 w:val="02000000000000000000"/>
    <w:charset w:val="86"/>
    <w:family w:val="auto"/>
    <w:pitch w:val="default"/>
    <w:sig w:usb0="00000001" w:usb1="08000000" w:usb2="00000000" w:usb3="00000000" w:csb0="00040000" w:csb1="00000000"/>
    <w:embedRegular r:id="rId6" w:fontKey="{20941B69-191D-4F34-9F39-D37C63232220}"/>
  </w:font>
  <w:font w:name="楷体">
    <w:panose1 w:val="02010609060101010101"/>
    <w:charset w:val="86"/>
    <w:family w:val="modern"/>
    <w:pitch w:val="default"/>
    <w:sig w:usb0="800002BF" w:usb1="38CF7CFA" w:usb2="00000016" w:usb3="00000000" w:csb0="00040001" w:csb1="00000000"/>
    <w:embedRegular r:id="rId7" w:fontKey="{869D0A56-4F49-436B-BED1-1DA8B8B342EA}"/>
  </w:font>
  <w:font w:name="仿宋">
    <w:panose1 w:val="02010609060101010101"/>
    <w:charset w:val="86"/>
    <w:family w:val="auto"/>
    <w:pitch w:val="default"/>
    <w:sig w:usb0="800002BF" w:usb1="38CF7CFA" w:usb2="00000016" w:usb3="00000000" w:csb0="00040001" w:csb1="00000000"/>
    <w:embedRegular r:id="rId8" w:fontKey="{B9E915DF-7132-4FDE-9A5B-0937DEBE7E9F}"/>
  </w:font>
  <w:font w:name="楷体_GB2312">
    <w:panose1 w:val="02010609030101010101"/>
    <w:charset w:val="86"/>
    <w:family w:val="modern"/>
    <w:pitch w:val="default"/>
    <w:sig w:usb0="00000001" w:usb1="080E0000" w:usb2="00000000" w:usb3="00000000" w:csb0="00040000" w:csb1="00000000"/>
    <w:embedRegular r:id="rId9" w:fontKey="{1F091899-4E0F-4201-B37F-671A3D5EA24D}"/>
  </w:font>
  <w:font w:name="方正小标宋_GBK">
    <w:panose1 w:val="03000509000000000000"/>
    <w:charset w:val="86"/>
    <w:family w:val="auto"/>
    <w:pitch w:val="default"/>
    <w:sig w:usb0="00000001" w:usb1="080E0000" w:usb2="00000000" w:usb3="00000000" w:csb0="00040000" w:csb1="00000000"/>
    <w:embedRegular r:id="rId10" w:fontKey="{7F33D1A5-B2CC-41B2-AFF7-CD9AFF3231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4680"/>
      </w:tabs>
      <w:ind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tabs>
                              <w:tab w:val="left" w:pos="4680"/>
                            </w:tabs>
                            <w:ind w:firstLine="360"/>
                          </w:pPr>
                          <w:r>
                            <w:tab/>
                          </w:r>
                          <w:r>
                            <w:fldChar w:fldCharType="begin"/>
                          </w:r>
                          <w:r>
                            <w:instrText xml:space="preserve">PAGE   \* MERGEFORMAT</w:instrText>
                          </w:r>
                          <w:r>
                            <w:fldChar w:fldCharType="separate"/>
                          </w:r>
                          <w:r>
                            <w:rPr>
                              <w:lang w:val="zh-CN"/>
                            </w:rPr>
                            <w:t>-</w:t>
                          </w:r>
                          <w:r>
                            <w:t xml:space="preserve"> 6 -</w:t>
                          </w:r>
                          <w:r>
                            <w:fldChar w:fldCharType="end"/>
                          </w:r>
                          <w:r>
                            <w:tab/>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pPr>
                      <w:pStyle w:val="5"/>
                      <w:tabs>
                        <w:tab w:val="left" w:pos="4680"/>
                      </w:tabs>
                      <w:ind w:firstLine="360"/>
                    </w:pPr>
                    <w:r>
                      <w:tab/>
                    </w:r>
                    <w:r>
                      <w:fldChar w:fldCharType="begin"/>
                    </w:r>
                    <w:r>
                      <w:instrText xml:space="preserve">PAGE   \* MERGEFORMAT</w:instrText>
                    </w:r>
                    <w:r>
                      <w:fldChar w:fldCharType="separate"/>
                    </w:r>
                    <w:r>
                      <w:rPr>
                        <w:lang w:val="zh-CN"/>
                      </w:rPr>
                      <w:t>-</w:t>
                    </w:r>
                    <w:r>
                      <w:t xml:space="preserve"> 6 -</w:t>
                    </w:r>
                    <w:r>
                      <w:fldChar w:fldCharType="end"/>
                    </w:r>
                    <w:r>
                      <w:tab/>
                    </w:r>
                  </w:p>
                </w:txbxContent>
              </v:textbox>
            </v:shape>
          </w:pict>
        </mc:Fallback>
      </mc:AlternateContent>
    </w:r>
  </w:p>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ind w:firstLine="640"/>
    </w:pPr>
    <w:r>
      <mc:AlternateContent>
        <mc:Choice Requires="wps">
          <w:drawing>
            <wp:anchor distT="0" distB="0" distL="114300" distR="114300" simplePos="0" relativeHeight="251660288" behindDoc="1" locked="0" layoutInCell="1" allowOverlap="1">
              <wp:simplePos x="0" y="0"/>
              <wp:positionH relativeFrom="page">
                <wp:posOffset>3820795</wp:posOffset>
              </wp:positionH>
              <wp:positionV relativeFrom="page">
                <wp:posOffset>9954895</wp:posOffset>
              </wp:positionV>
              <wp:extent cx="86995" cy="82550"/>
              <wp:effectExtent l="0" t="0" r="0" b="0"/>
              <wp:wrapNone/>
              <wp:docPr id="26" name="Shape 26"/>
              <wp:cNvGraphicFramePr/>
              <a:graphic xmlns:a="http://schemas.openxmlformats.org/drawingml/2006/main">
                <a:graphicData uri="http://schemas.microsoft.com/office/word/2010/wordprocessingShape">
                  <wps:wsp>
                    <wps:cNvSpPr txBox="1"/>
                    <wps:spPr>
                      <a:xfrm>
                        <a:off x="0" y="0"/>
                        <a:ext cx="86995" cy="82550"/>
                      </a:xfrm>
                      <a:prstGeom prst="rect">
                        <a:avLst/>
                      </a:prstGeom>
                      <a:noFill/>
                      <a:ln>
                        <a:noFill/>
                      </a:ln>
                      <a:effectLst/>
                    </wps:spPr>
                    <wps:txbx>
                      <w:txbxContent>
                        <w:p>
                          <w:pPr>
                            <w:pStyle w:val="14"/>
                            <w:ind w:firstLine="381"/>
                            <w:jc w:val="left"/>
                          </w:pPr>
                          <w:r>
                            <w:fldChar w:fldCharType="begin"/>
                          </w:r>
                          <w:r>
                            <w:instrText xml:space="preserve"> PAGE \* MERGEFORMAT </w:instrText>
                          </w:r>
                          <w:r>
                            <w:fldChar w:fldCharType="separate"/>
                          </w:r>
                          <w:r>
                            <w:rPr>
                              <w:rFonts w:ascii="Times New Roman" w:hAnsi="Times New Roman" w:eastAsia="Times New Roman"/>
                              <w:color w:val="000000"/>
                            </w:rPr>
                            <w:t>#</w:t>
                          </w:r>
                          <w:r>
                            <w:rPr>
                              <w:rFonts w:ascii="Times New Roman" w:hAnsi="Times New Roman" w:eastAsia="Times New Roman"/>
                              <w:color w:val="000000"/>
                            </w:rPr>
                            <w:fldChar w:fldCharType="end"/>
                          </w:r>
                        </w:p>
                      </w:txbxContent>
                    </wps:txbx>
                    <wps:bodyPr wrap="none" lIns="0" tIns="0" rIns="0" bIns="0">
                      <a:spAutoFit/>
                    </wps:bodyPr>
                  </wps:wsp>
                </a:graphicData>
              </a:graphic>
            </wp:anchor>
          </w:drawing>
        </mc:Choice>
        <mc:Fallback>
          <w:pict>
            <v:shape id="Shape 26" o:spid="_x0000_s1026" o:spt="202" type="#_x0000_t202" style="position:absolute;left:0pt;margin-left:300.85pt;margin-top:783.85pt;height:6.5pt;width:6.85pt;mso-position-horizontal-relative:page;mso-position-vertical-relative:page;mso-wrap-style:none;z-index:-251656192;mso-width-relative:page;mso-height-relative:page;" filled="f" stroked="f" coordsize="21600,21600" o:gfxdata="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c7ZadcAAAANAQAADwAAAAAAAAABACAAAAAiAAAAZHJzL2Rvd25yZXYueG1sUEsBAhQA&#10;FAAAAAgAh07iQI+agCS6AQAAlQMAAA4AAAAAAAAAAQAgAAAAJgEAAGRycy9lMm9Eb2MueG1sUEsF&#10;BgAAAAAGAAYAWQEAAFIFAAAAAA==&#10;">
              <v:fill on="f" focussize="0,0"/>
              <v:stroke on="f"/>
              <v:imagedata o:title=""/>
              <o:lock v:ext="edit" aspectratio="f"/>
              <v:textbox inset="0mm,0mm,0mm,0mm" style="mso-fit-shape-to-text:t;">
                <w:txbxContent>
                  <w:p>
                    <w:pPr>
                      <w:pStyle w:val="14"/>
                      <w:ind w:firstLine="381"/>
                      <w:jc w:val="left"/>
                    </w:pPr>
                    <w:r>
                      <w:fldChar w:fldCharType="begin"/>
                    </w:r>
                    <w:r>
                      <w:instrText xml:space="preserve"> PAGE \* MERGEFORMAT </w:instrText>
                    </w:r>
                    <w:r>
                      <w:fldChar w:fldCharType="separate"/>
                    </w:r>
                    <w:r>
                      <w:rPr>
                        <w:rFonts w:ascii="Times New Roman" w:hAnsi="Times New Roman" w:eastAsia="Times New Roman"/>
                        <w:color w:val="000000"/>
                      </w:rPr>
                      <w:t>#</w:t>
                    </w:r>
                    <w:r>
                      <w:rPr>
                        <w:rFonts w:ascii="Times New Roman" w:hAnsi="Times New Roman" w:eastAsia="Times New Roman"/>
                        <w:color w:val="00000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5YjNhZmY2YjQxMjIzOTIwODk4NWI2YTI4ZjEzMzgifQ=="/>
  </w:docVars>
  <w:rsids>
    <w:rsidRoot w:val="3D7145DD"/>
    <w:rsid w:val="1D08129A"/>
    <w:rsid w:val="3D714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等线" w:hAnsi="等线" w:eastAsia="仿宋_GB2312" w:cs="Times New Roman"/>
      <w:kern w:val="2"/>
      <w:sz w:val="32"/>
      <w:szCs w:val="32"/>
      <w:lang w:val="en-US" w:eastAsia="zh-CN" w:bidi="ar-SA"/>
    </w:rPr>
  </w:style>
  <w:style w:type="paragraph" w:styleId="4">
    <w:name w:val="heading 1"/>
    <w:basedOn w:val="1"/>
    <w:next w:val="1"/>
    <w:qFormat/>
    <w:uiPriority w:val="99"/>
    <w:pPr>
      <w:keepNext/>
      <w:keepLines/>
      <w:spacing w:before="340" w:after="330" w:line="576" w:lineRule="auto"/>
      <w:outlineLvl w:val="0"/>
    </w:pPr>
    <w:rPr>
      <w:rFonts w:eastAsia="宋体"/>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10"/>
    <w:pPr>
      <w:spacing w:line="0" w:lineRule="atLeast"/>
      <w:ind w:firstLine="0" w:firstLineChars="0"/>
      <w:jc w:val="center"/>
    </w:pPr>
    <w:rPr>
      <w:rFonts w:ascii="Arial" w:hAnsi="Arial" w:eastAsia="黑体"/>
      <w:sz w:val="52"/>
    </w:rPr>
  </w:style>
  <w:style w:type="paragraph" w:customStyle="1" w:styleId="3">
    <w:name w:val="BodyTextIndent"/>
    <w:basedOn w:val="1"/>
    <w:qFormat/>
    <w:uiPriority w:val="0"/>
    <w:pPr>
      <w:spacing w:line="570" w:lineRule="exact"/>
      <w:ind w:firstLine="616"/>
    </w:pPr>
    <w:rPr>
      <w:rFonts w:ascii="Calibri" w:hAnsi="Calibri" w:eastAsia="宋体"/>
      <w:spacing w:val="-6"/>
    </w:rPr>
  </w:style>
  <w:style w:type="paragraph" w:styleId="5">
    <w:name w:val="footer"/>
    <w:basedOn w:val="1"/>
    <w:qFormat/>
    <w:uiPriority w:val="99"/>
    <w:pPr>
      <w:tabs>
        <w:tab w:val="center" w:pos="4153"/>
        <w:tab w:val="right" w:pos="8306"/>
      </w:tabs>
      <w:snapToGrid w:val="0"/>
      <w:jc w:val="left"/>
    </w:pPr>
    <w:rPr>
      <w:rFonts w:eastAsia="宋体"/>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customStyle="1" w:styleId="9">
    <w:name w:val="15"/>
    <w:basedOn w:val="8"/>
    <w:qFormat/>
    <w:uiPriority w:val="0"/>
    <w:rPr>
      <w:rFonts w:hint="eastAsia" w:ascii="等线" w:hAnsi="等线" w:eastAsia="等线"/>
    </w:rPr>
  </w:style>
  <w:style w:type="paragraph" w:customStyle="1" w:styleId="10">
    <w:name w:val="Other|1"/>
    <w:basedOn w:val="1"/>
    <w:qFormat/>
    <w:uiPriority w:val="0"/>
    <w:pPr>
      <w:spacing w:line="281" w:lineRule="exact"/>
    </w:pPr>
    <w:rPr>
      <w:rFonts w:ascii="宋体" w:hAnsi="宋体" w:eastAsia="宋体" w:cs="宋体"/>
      <w:sz w:val="20"/>
      <w:szCs w:val="20"/>
      <w:lang w:val="zh-TW" w:eastAsia="zh-TW" w:bidi="zh-TW"/>
    </w:rPr>
  </w:style>
  <w:style w:type="character" w:customStyle="1" w:styleId="11">
    <w:name w:val="font31"/>
    <w:basedOn w:val="8"/>
    <w:qFormat/>
    <w:uiPriority w:val="0"/>
    <w:rPr>
      <w:rFonts w:hint="eastAsia" w:ascii="宋体" w:hAnsi="宋体" w:eastAsia="宋体" w:cs="宋体"/>
      <w:b/>
      <w:bCs/>
      <w:color w:val="000000"/>
      <w:sz w:val="48"/>
      <w:szCs w:val="48"/>
      <w:u w:val="none"/>
    </w:rPr>
  </w:style>
  <w:style w:type="character" w:customStyle="1" w:styleId="12">
    <w:name w:val="font81"/>
    <w:basedOn w:val="8"/>
    <w:qFormat/>
    <w:uiPriority w:val="0"/>
    <w:rPr>
      <w:rFonts w:hint="eastAsia" w:ascii="宋体" w:hAnsi="宋体" w:eastAsia="宋体" w:cs="宋体"/>
      <w:b/>
      <w:bCs/>
      <w:color w:val="000000"/>
      <w:sz w:val="44"/>
      <w:szCs w:val="44"/>
      <w:u w:val="none"/>
    </w:rPr>
  </w:style>
  <w:style w:type="character" w:customStyle="1" w:styleId="13">
    <w:name w:val="font41"/>
    <w:basedOn w:val="8"/>
    <w:qFormat/>
    <w:uiPriority w:val="0"/>
    <w:rPr>
      <w:rFonts w:hint="eastAsia" w:ascii="黑体" w:hAnsi="宋体" w:eastAsia="黑体" w:cs="黑体"/>
      <w:b/>
      <w:bCs/>
      <w:color w:val="000000"/>
      <w:sz w:val="22"/>
      <w:szCs w:val="22"/>
      <w:u w:val="none"/>
    </w:rPr>
  </w:style>
  <w:style w:type="paragraph" w:customStyle="1" w:styleId="14">
    <w:name w:val="Header or footer|1"/>
    <w:basedOn w:val="1"/>
    <w:qFormat/>
    <w:uiPriority w:val="0"/>
    <w:rPr>
      <w:b/>
      <w:bCs/>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180</Pages>
  <Words>65257</Words>
  <Characters>68526</Characters>
  <Lines>0</Lines>
  <Paragraphs>0</Paragraphs>
  <TotalTime>1</TotalTime>
  <ScaleCrop>false</ScaleCrop>
  <LinksUpToDate>false</LinksUpToDate>
  <CharactersWithSpaces>69566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2023-07-24T08:08:00Z</dcterms:created>
  <dc:creator>leiswl</dc:creator>
  <cp:lastModifiedBy>leiswl</cp:lastModifiedBy>
  <dcterms:modified xsi:type="dcterms:W3CDTF">2023-07-25T10:36:50Z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1A43C5322CBD4B6684F8DBEE1589CFEE_11</vt:lpwstr>
  </property>
</Properties>
</file>