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after="0" w:line="640" w:lineRule="exact"/>
        <w:ind w:firstLine="0" w:firstLineChars="0"/>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贵州省健康县区建设和评估管理办法（试行）</w:t>
      </w:r>
    </w:p>
    <w:p>
      <w:pPr>
        <w:spacing w:line="580" w:lineRule="exact"/>
        <w:ind w:firstLine="640"/>
        <w:rPr>
          <w:rFonts w:ascii="宋体" w:hAnsi="宋体" w:eastAsia="宋体" w:cs="宋体"/>
          <w:color w:val="auto"/>
        </w:rPr>
      </w:pP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为贯彻落实《“健康中国2030”规划纲要》《健康贵州行动（2019-2030年）》及全国爱卫办及健康中国行动推进委员会办公室《关于印发健康村等健康细胞和健康乡镇、健康县区建设规范(试行)的通知》（全爱卫办发〔2021〕4号）精神，做好贵州省健康县区的建设和管理，特制定本办法。</w:t>
      </w:r>
    </w:p>
    <w:p>
      <w:pPr>
        <w:pStyle w:val="2"/>
        <w:rPr>
          <w:rFonts w:hint="eastAsia" w:ascii="Arial" w:hAnsi="Arial" w:eastAsia="黑体" w:cs="Times New Roman"/>
          <w:color w:val="auto"/>
        </w:rPr>
      </w:pPr>
    </w:p>
    <w:p>
      <w:pPr>
        <w:spacing w:line="580" w:lineRule="exact"/>
        <w:ind w:firstLine="0" w:firstLineChars="0"/>
        <w:jc w:val="center"/>
        <w:rPr>
          <w:rStyle w:val="7"/>
          <w:rFonts w:hint="eastAsia" w:ascii="仿宋_GB2312" w:hAnsi="仿宋_GB2312" w:eastAsia="仿宋_GB2312" w:cs="仿宋_GB2312"/>
          <w:b/>
          <w:bCs/>
          <w:color w:val="auto"/>
          <w:kern w:val="0"/>
        </w:rPr>
      </w:pPr>
      <w:r>
        <w:rPr>
          <w:rStyle w:val="7"/>
          <w:rFonts w:ascii="仿宋_GB2312" w:hAnsi="仿宋_GB2312" w:eastAsia="仿宋_GB2312" w:cs="仿宋_GB2312"/>
          <w:b/>
          <w:bCs/>
          <w:color w:val="auto"/>
          <w:kern w:val="0"/>
        </w:rPr>
        <w:t>第一章 总 则</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第一条 本办法所指县、市、区，包括市辖区、县级市、县、自治县、特区等县级行政区划。</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第二条 健康县区是推进健康中国建设，落实健康贵州行动的重要抓手，是健康贵州建设的重要内容。各县（市、区）的党委和政府必须把健康放在优先发展位置，将健康融入所有政策，以健康县区建设为引领，统筹健康贵州行动的17项子行动，发挥政府、社会及个人的健康责任，通过改善各类健康影响因素，建设健康支持环境，提高人群健康素养和健康水平，最终实现经济社会与人的健康协调发展。</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第三条 省级健康县区是指开展健康县区建设，并通过省级健康县区技术评估的县区。</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 xml:space="preserve">第四条 </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省卫生健康委员会</w:t>
      </w:r>
      <w:r>
        <w:rPr>
          <w:rFonts w:hint="eastAsia" w:ascii="仿宋_GB2312" w:hAnsi="仿宋_GB2312" w:cs="仿宋_GB2312"/>
          <w:color w:val="auto"/>
          <w:lang w:val="en-US" w:eastAsia="zh-CN"/>
        </w:rPr>
        <w:t>共同</w:t>
      </w:r>
      <w:r>
        <w:rPr>
          <w:rFonts w:hint="eastAsia" w:ascii="仿宋_GB2312" w:hAnsi="仿宋_GB2312" w:eastAsia="仿宋_GB2312" w:cs="仿宋_GB2312"/>
          <w:color w:val="auto"/>
        </w:rPr>
        <w:t>承担省级健康县区建设和技术评估工作的组织管理。贵州省疾病预防控制中心卫生健康促进与宣传教育所承担相关技术支持。</w:t>
      </w:r>
    </w:p>
    <w:p>
      <w:pPr>
        <w:widowControl/>
        <w:spacing w:line="580" w:lineRule="exact"/>
        <w:ind w:firstLine="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 xml:space="preserve">第五条 </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省卫生健康委员会结合我省实际情况，组织开展省级健康县区建设，定期</w:t>
      </w:r>
      <w:r>
        <w:rPr>
          <w:rFonts w:hint="eastAsia" w:ascii="仿宋_GB2312" w:hAnsi="仿宋_GB2312" w:eastAsia="仿宋_GB2312" w:cs="仿宋_GB2312"/>
          <w:color w:val="auto"/>
          <w:kern w:val="2"/>
          <w:sz w:val="32"/>
          <w:szCs w:val="32"/>
          <w:lang w:val="en-US" w:eastAsia="zh-CN" w:bidi="ar"/>
        </w:rPr>
        <w:t>组织</w:t>
      </w:r>
      <w:r>
        <w:rPr>
          <w:rFonts w:hint="eastAsia" w:ascii="仿宋_GB2312" w:hAnsi="仿宋_GB2312" w:cs="仿宋_GB2312"/>
          <w:color w:val="auto"/>
          <w:kern w:val="2"/>
          <w:sz w:val="32"/>
          <w:szCs w:val="32"/>
          <w:lang w:val="en-US" w:eastAsia="zh-CN" w:bidi="ar"/>
        </w:rPr>
        <w:t>各县（市、区）报送健康县区创建的代表性案例，</w:t>
      </w:r>
      <w:r>
        <w:rPr>
          <w:rFonts w:hint="eastAsia" w:ascii="仿宋_GB2312" w:hAnsi="仿宋_GB2312" w:eastAsia="仿宋_GB2312" w:cs="仿宋_GB2312"/>
          <w:color w:val="auto"/>
          <w:kern w:val="2"/>
          <w:sz w:val="32"/>
          <w:szCs w:val="32"/>
          <w:lang w:val="en-US" w:eastAsia="zh-CN" w:bidi="ar"/>
        </w:rPr>
        <w:t>选取有代表性的优秀案例向国家推荐</w:t>
      </w:r>
      <w:r>
        <w:rPr>
          <w:rFonts w:hint="eastAsia" w:ascii="仿宋_GB2312" w:hAnsi="仿宋_GB2312" w:eastAsia="仿宋_GB2312" w:cs="仿宋_GB2312"/>
          <w:color w:val="auto"/>
        </w:rPr>
        <w:t>。</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第六条 各县（市、区）的健康县区建设可与文明城市、健康城市、卫生城市、慢病示范区等建设共同推进。</w:t>
      </w:r>
    </w:p>
    <w:p>
      <w:pPr>
        <w:pStyle w:val="2"/>
        <w:rPr>
          <w:rFonts w:hint="eastAsia" w:ascii="Arial" w:hAnsi="Arial" w:eastAsia="黑体" w:cs="Times New Roman"/>
          <w:color w:val="auto"/>
        </w:rPr>
      </w:pPr>
    </w:p>
    <w:p>
      <w:pPr>
        <w:spacing w:line="580" w:lineRule="exact"/>
        <w:ind w:firstLine="0" w:firstLineChars="0"/>
        <w:jc w:val="center"/>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第二章  建</w:t>
      </w:r>
      <w:r>
        <w:rPr>
          <w:rFonts w:hint="eastAsia" w:ascii="仿宋_GB2312" w:hAnsi="仿宋_GB2312" w:cs="仿宋_GB2312"/>
          <w:b/>
          <w:bCs/>
          <w:color w:val="auto"/>
          <w:lang w:val="en-US" w:eastAsia="zh-CN"/>
        </w:rPr>
        <w:t xml:space="preserve">  </w:t>
      </w:r>
      <w:r>
        <w:rPr>
          <w:rFonts w:hint="eastAsia" w:ascii="仿宋_GB2312" w:hAnsi="仿宋_GB2312" w:eastAsia="仿宋_GB2312" w:cs="仿宋_GB2312"/>
          <w:b/>
          <w:bCs/>
          <w:color w:val="auto"/>
        </w:rPr>
        <w:t>设</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 xml:space="preserve">第七条 </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省卫生健康委员会结合本省情况，在全省范围部署</w:t>
      </w:r>
      <w:r>
        <w:rPr>
          <w:rFonts w:hint="eastAsia" w:ascii="仿宋_GB2312" w:hAnsi="仿宋_GB2312" w:cs="仿宋_GB2312"/>
          <w:color w:val="auto"/>
          <w:lang w:val="en-US" w:eastAsia="zh-CN"/>
        </w:rPr>
        <w:t>推进</w:t>
      </w:r>
      <w:r>
        <w:rPr>
          <w:rFonts w:hint="eastAsia" w:ascii="仿宋_GB2312" w:hAnsi="仿宋_GB2312" w:eastAsia="仿宋_GB2312" w:cs="仿宋_GB2312"/>
          <w:color w:val="auto"/>
        </w:rPr>
        <w:t>健康县区建设工作。</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第八条 各市州</w:t>
      </w:r>
      <w:r>
        <w:rPr>
          <w:rFonts w:hint="eastAsia" w:ascii="仿宋_GB2312" w:hAnsi="仿宋_GB2312" w:cs="仿宋_GB2312"/>
          <w:color w:val="auto"/>
          <w:lang w:val="en-US" w:eastAsia="zh-CN"/>
        </w:rPr>
        <w:t>爱国卫生运动委员会办公室、</w:t>
      </w:r>
      <w:r>
        <w:rPr>
          <w:rFonts w:hint="eastAsia" w:ascii="仿宋_GB2312" w:hAnsi="仿宋_GB2312" w:eastAsia="仿宋_GB2312" w:cs="仿宋_GB2312"/>
          <w:color w:val="auto"/>
        </w:rPr>
        <w:t>卫生健康局为健康县区建设提供培训、技术指导、</w:t>
      </w:r>
      <w:r>
        <w:rPr>
          <w:rFonts w:hint="eastAsia" w:ascii="仿宋_GB2312" w:hAnsi="仿宋_GB2312" w:cs="仿宋_GB2312"/>
          <w:color w:val="auto"/>
          <w:lang w:val="en-US" w:eastAsia="zh-CN"/>
        </w:rPr>
        <w:t>初</w:t>
      </w:r>
      <w:r>
        <w:rPr>
          <w:rFonts w:hint="eastAsia" w:ascii="仿宋_GB2312" w:hAnsi="仿宋_GB2312" w:eastAsia="仿宋_GB2312" w:cs="仿宋_GB2312"/>
          <w:color w:val="auto"/>
        </w:rPr>
        <w:t>评等工作，每年向省级推荐报送</w:t>
      </w:r>
      <w:r>
        <w:rPr>
          <w:rFonts w:hint="eastAsia" w:ascii="仿宋_GB2312" w:hAnsi="仿宋_GB2312" w:cs="仿宋_GB2312"/>
          <w:color w:val="auto"/>
          <w:lang w:val="en-US" w:eastAsia="zh-CN"/>
        </w:rPr>
        <w:t>符合</w:t>
      </w:r>
      <w:r>
        <w:rPr>
          <w:rFonts w:hint="eastAsia" w:ascii="仿宋_GB2312" w:hAnsi="仿宋_GB2312" w:eastAsia="仿宋_GB2312" w:cs="仿宋_GB2312"/>
          <w:color w:val="auto"/>
        </w:rPr>
        <w:t>省级评估</w:t>
      </w:r>
      <w:r>
        <w:rPr>
          <w:rFonts w:hint="eastAsia" w:ascii="仿宋_GB2312" w:hAnsi="仿宋_GB2312" w:cs="仿宋_GB2312"/>
          <w:color w:val="auto"/>
          <w:lang w:val="en-US" w:eastAsia="zh-CN"/>
        </w:rPr>
        <w:t>要求</w:t>
      </w:r>
      <w:r>
        <w:rPr>
          <w:rFonts w:hint="eastAsia" w:ascii="仿宋_GB2312" w:hAnsi="仿宋_GB2312" w:eastAsia="仿宋_GB2312" w:cs="仿宋_GB2312"/>
          <w:color w:val="auto"/>
        </w:rPr>
        <w:t>的健康县区。</w:t>
      </w:r>
    </w:p>
    <w:p>
      <w:pPr>
        <w:spacing w:line="580" w:lineRule="exact"/>
        <w:ind w:firstLine="640"/>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rPr>
        <w:t>各县（市、区）健康县区建设坚持“党委领导、政府主导、部门协作、社会参与、全民共建共享”,通过完善健康政策、建设健康环境、构建健康社会、优化健康服务、倡导健康文化等</w:t>
      </w:r>
      <w:r>
        <w:rPr>
          <w:rFonts w:hint="eastAsia" w:ascii="仿宋_GB2312" w:hAnsi="仿宋_GB2312" w:cs="仿宋_GB2312"/>
          <w:color w:val="auto"/>
          <w:lang w:eastAsia="zh-CN"/>
        </w:rPr>
        <w:t>，</w:t>
      </w:r>
      <w:r>
        <w:rPr>
          <w:rFonts w:hint="eastAsia" w:ascii="仿宋_GB2312" w:hAnsi="仿宋_GB2312" w:eastAsia="仿宋_GB2312" w:cs="仿宋_GB2312"/>
          <w:color w:val="auto"/>
        </w:rPr>
        <w:t>满足人民群众健康需求</w:t>
      </w:r>
      <w:r>
        <w:rPr>
          <w:rFonts w:hint="eastAsia" w:ascii="仿宋_GB2312" w:hAnsi="仿宋_GB2312" w:cs="仿宋_GB2312"/>
          <w:color w:val="auto"/>
          <w:lang w:eastAsia="zh-CN"/>
        </w:rPr>
        <w:t>，</w:t>
      </w:r>
      <w:r>
        <w:rPr>
          <w:rFonts w:hint="eastAsia" w:ascii="仿宋_GB2312" w:hAnsi="仿宋_GB2312" w:eastAsia="仿宋_GB2312" w:cs="仿宋_GB2312"/>
          <w:color w:val="auto"/>
        </w:rPr>
        <w:t>促进县区治理与人的健康协调发展</w:t>
      </w:r>
      <w:r>
        <w:rPr>
          <w:rFonts w:hint="eastAsia" w:ascii="仿宋_GB2312" w:hAnsi="仿宋_GB2312" w:cs="仿宋_GB2312"/>
          <w:color w:val="auto"/>
          <w:lang w:eastAsia="zh-CN"/>
        </w:rPr>
        <w:t>。</w:t>
      </w:r>
    </w:p>
    <w:p>
      <w:pPr>
        <w:numPr>
          <w:ilvl w:val="0"/>
          <w:numId w:val="1"/>
        </w:numPr>
        <w:spacing w:line="580" w:lineRule="exact"/>
        <w:ind w:firstLine="640" w:firstLineChars="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建设内容和建设规范按照全国爱卫办及健康中国行动推进委员会办公室《关于印发健康村等健康细胞和健康乡镇、健康县区建设规范</w:t>
      </w:r>
      <w:r>
        <w:rPr>
          <w:rFonts w:hint="eastAsia" w:ascii="仿宋_GB2312" w:hAnsi="仿宋_GB2312" w:cs="仿宋_GB2312"/>
          <w:color w:val="auto"/>
          <w:lang w:eastAsia="zh-CN"/>
        </w:rPr>
        <w:t>（</w:t>
      </w:r>
      <w:r>
        <w:rPr>
          <w:rFonts w:hint="eastAsia" w:ascii="仿宋_GB2312" w:hAnsi="仿宋_GB2312" w:eastAsia="仿宋_GB2312" w:cs="仿宋_GB2312"/>
          <w:color w:val="auto"/>
        </w:rPr>
        <w:t>试行</w:t>
      </w:r>
      <w:r>
        <w:rPr>
          <w:rFonts w:hint="eastAsia" w:ascii="仿宋_GB2312" w:hAnsi="仿宋_GB2312" w:cs="仿宋_GB2312"/>
          <w:color w:val="auto"/>
          <w:lang w:eastAsia="zh-CN"/>
        </w:rPr>
        <w:t>）</w:t>
      </w:r>
      <w:r>
        <w:rPr>
          <w:rFonts w:hint="eastAsia" w:ascii="仿宋_GB2312" w:hAnsi="仿宋_GB2312" w:eastAsia="仿宋_GB2312" w:cs="仿宋_GB2312"/>
          <w:color w:val="auto"/>
        </w:rPr>
        <w:t>的通知》</w:t>
      </w:r>
      <w:r>
        <w:rPr>
          <w:rFonts w:hint="eastAsia" w:ascii="仿宋_GB2312" w:hAnsi="仿宋_GB2312" w:cs="仿宋_GB2312"/>
          <w:color w:val="auto"/>
          <w:lang w:eastAsia="zh-CN"/>
        </w:rPr>
        <w:t>、</w:t>
      </w:r>
      <w:r>
        <w:rPr>
          <w:rFonts w:hint="eastAsia" w:ascii="仿宋_GB2312" w:hAnsi="仿宋_GB2312" w:cs="仿宋_GB2312"/>
          <w:color w:val="auto"/>
          <w:lang w:val="en-US" w:eastAsia="zh-CN"/>
        </w:rPr>
        <w:t>中国健康教育中心《健康县区评估细则（试行）》和</w:t>
      </w:r>
      <w:r>
        <w:rPr>
          <w:rFonts w:hint="eastAsia" w:ascii="仿宋_GB2312" w:hAnsi="仿宋_GB2312" w:eastAsia="仿宋_GB2312" w:cs="仿宋_GB2312"/>
          <w:color w:val="auto"/>
        </w:rPr>
        <w:t>《贵州省爱国卫生运动委员会办公室关于进一步推进健康企业建设工作的通知》要求开展健康县区</w:t>
      </w:r>
      <w:r>
        <w:rPr>
          <w:rFonts w:hint="eastAsia" w:ascii="仿宋_GB2312" w:hAnsi="仿宋_GB2312" w:cs="仿宋_GB2312"/>
          <w:color w:val="auto"/>
          <w:lang w:val="en-US" w:eastAsia="zh-CN"/>
        </w:rPr>
        <w:t>及健康</w:t>
      </w:r>
      <w:r>
        <w:rPr>
          <w:rFonts w:hint="eastAsia" w:ascii="仿宋_GB2312" w:hAnsi="仿宋_GB2312" w:eastAsia="仿宋_GB2312" w:cs="仿宋_GB2312"/>
          <w:color w:val="auto"/>
        </w:rPr>
        <w:t>乡镇、</w:t>
      </w:r>
      <w:r>
        <w:rPr>
          <w:rFonts w:hint="eastAsia" w:ascii="仿宋_GB2312" w:hAnsi="仿宋_GB2312" w:cs="仿宋_GB2312"/>
          <w:color w:val="auto"/>
          <w:lang w:val="en-US" w:eastAsia="zh-CN"/>
        </w:rPr>
        <w:t>各类健康</w:t>
      </w:r>
      <w:r>
        <w:rPr>
          <w:rFonts w:hint="eastAsia" w:ascii="仿宋_GB2312" w:hAnsi="仿宋_GB2312" w:eastAsia="仿宋_GB2312" w:cs="仿宋_GB2312"/>
          <w:color w:val="auto"/>
        </w:rPr>
        <w:t>细胞的建设</w:t>
      </w:r>
      <w:r>
        <w:rPr>
          <w:rFonts w:hint="eastAsia" w:ascii="仿宋_GB2312" w:hAnsi="仿宋_GB2312" w:cs="仿宋_GB2312"/>
          <w:color w:val="auto"/>
          <w:lang w:eastAsia="zh-CN"/>
        </w:rPr>
        <w:t>，</w:t>
      </w:r>
      <w:r>
        <w:rPr>
          <w:rFonts w:hint="eastAsia" w:ascii="仿宋_GB2312" w:hAnsi="仿宋_GB2312" w:cs="仿宋_GB2312"/>
          <w:color w:val="auto"/>
          <w:lang w:val="en-US" w:eastAsia="zh-CN"/>
        </w:rPr>
        <w:t>并根据国家要求适时修订</w:t>
      </w:r>
      <w:r>
        <w:rPr>
          <w:rFonts w:hint="eastAsia" w:ascii="仿宋_GB2312" w:hAnsi="仿宋_GB2312" w:eastAsia="仿宋_GB2312" w:cs="仿宋_GB2312"/>
          <w:color w:val="auto"/>
        </w:rPr>
        <w:t>。</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第十条 从县（市、区）人民政府印发开展健康县区建设的文件起，到向省级卫生健康委员会提出技术评估申请的时间，不得少于1年。</w:t>
      </w:r>
    </w:p>
    <w:p>
      <w:pPr>
        <w:spacing w:line="580" w:lineRule="exact"/>
        <w:ind w:firstLine="0" w:firstLineChars="0"/>
        <w:jc w:val="center"/>
        <w:rPr>
          <w:rFonts w:hint="eastAsia" w:ascii="仿宋_GB2312" w:hAnsi="仿宋_GB2312" w:eastAsia="仿宋_GB2312" w:cs="仿宋_GB2312"/>
          <w:color w:val="auto"/>
        </w:rPr>
      </w:pPr>
    </w:p>
    <w:p>
      <w:pPr>
        <w:spacing w:line="580" w:lineRule="exact"/>
        <w:ind w:firstLine="0" w:firstLineChars="0"/>
        <w:jc w:val="center"/>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第三章  技术评估</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 xml:space="preserve">第十一条 </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省卫生健康委员会定期组织省级健康县区技术评估。</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第十二条 省级健康县区技术评估包括县级申请、市级推荐、现场评估、综合评审等程序。</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第十三条 市（州）级推荐。县（市、区、特区）人民政府向市（州）级</w:t>
      </w:r>
      <w:r>
        <w:rPr>
          <w:rFonts w:hint="eastAsia" w:ascii="仿宋_GB2312" w:hAnsi="仿宋_GB2312" w:cs="仿宋_GB2312"/>
          <w:color w:val="auto"/>
          <w:lang w:val="en-US" w:eastAsia="zh-CN"/>
        </w:rPr>
        <w:t>爱国卫生运动委员会办公室、</w:t>
      </w:r>
      <w:r>
        <w:rPr>
          <w:rFonts w:hint="eastAsia" w:ascii="仿宋_GB2312" w:hAnsi="仿宋_GB2312" w:eastAsia="仿宋_GB2312" w:cs="仿宋_GB2312"/>
          <w:color w:val="auto"/>
        </w:rPr>
        <w:t>卫生健康局提出省级健康县区评估申请及相关材料（附件1、2）。</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市（州）级</w:t>
      </w:r>
      <w:r>
        <w:rPr>
          <w:rFonts w:hint="eastAsia" w:ascii="仿宋_GB2312" w:hAnsi="仿宋_GB2312" w:cs="仿宋_GB2312"/>
          <w:color w:val="auto"/>
          <w:lang w:val="en-US" w:eastAsia="zh-CN"/>
        </w:rPr>
        <w:t>爱国卫生运动委员会办公室、</w:t>
      </w:r>
      <w:r>
        <w:rPr>
          <w:rFonts w:hint="eastAsia" w:ascii="仿宋_GB2312" w:hAnsi="仿宋_GB2312" w:eastAsia="仿宋_GB2312" w:cs="仿宋_GB2312"/>
          <w:color w:val="auto"/>
        </w:rPr>
        <w:t>卫生健康局审核并评估后，向</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省卫生健康委员会提交推荐参加省级健康县区技术评估的县区名单、市级评估表及评估报告。市级评估达700分以上的县（市、区、特区）方可推荐提交省级评估。</w:t>
      </w:r>
    </w:p>
    <w:p>
      <w:pPr>
        <w:numPr>
          <w:ilvl w:val="0"/>
          <w:numId w:val="2"/>
        </w:numPr>
        <w:spacing w:line="580" w:lineRule="exact"/>
        <w:ind w:firstLine="640"/>
        <w:jc w:val="left"/>
        <w:rPr>
          <w:rFonts w:hint="eastAsia" w:ascii="仿宋_GB2312" w:hAnsi="仿宋_GB2312" w:eastAsia="仿宋_GB2312" w:cs="仿宋_GB2312"/>
          <w:color w:val="auto"/>
          <w:spacing w:val="-2"/>
        </w:rPr>
      </w:pPr>
      <w:r>
        <w:rPr>
          <w:rFonts w:hint="eastAsia" w:ascii="仿宋_GB2312" w:hAnsi="仿宋_GB2312" w:eastAsia="仿宋_GB2312" w:cs="仿宋_GB2312"/>
          <w:color w:val="auto"/>
        </w:rPr>
        <w:t>现场评估。现场评估采取由</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w:t>
      </w:r>
      <w:r>
        <w:rPr>
          <w:rFonts w:hint="eastAsia" w:ascii="仿宋_GB2312" w:hAnsi="仿宋_GB2312" w:eastAsia="仿宋_GB2312" w:cs="仿宋_GB2312"/>
          <w:color w:val="auto"/>
          <w:spacing w:val="-2"/>
        </w:rPr>
        <w:t>健康委组织健康县区评估专家组，对申请评估的县（区）开展技术评估，包括听取工作汇报、查阅资料、现场查看、随机访谈等具体形式。</w:t>
      </w:r>
    </w:p>
    <w:p>
      <w:pPr>
        <w:numPr>
          <w:ilvl w:val="0"/>
          <w:numId w:val="2"/>
        </w:numPr>
        <w:spacing w:line="580" w:lineRule="exact"/>
        <w:ind w:firstLine="640"/>
        <w:jc w:val="left"/>
        <w:rPr>
          <w:rFonts w:hint="eastAsia" w:ascii="仿宋_GB2312" w:hAnsi="仿宋_GB2312" w:eastAsia="仿宋_GB2312" w:cs="仿宋_GB2312"/>
          <w:color w:val="auto"/>
          <w:spacing w:val="-2"/>
        </w:rPr>
      </w:pPr>
      <w:r>
        <w:rPr>
          <w:rFonts w:hint="eastAsia" w:ascii="仿宋_GB2312" w:hAnsi="仿宋_GB2312" w:eastAsia="仿宋_GB2312" w:cs="仿宋_GB2312"/>
          <w:color w:val="auto"/>
        </w:rPr>
        <w:t xml:space="preserve"> 综合评审</w:t>
      </w:r>
      <w:r>
        <w:rPr>
          <w:rFonts w:hint="eastAsia" w:ascii="仿宋_GB2312" w:hAnsi="仿宋_GB2312" w:eastAsia="仿宋_GB2312" w:cs="仿宋_GB2312"/>
          <w:color w:val="auto"/>
          <w:spacing w:val="-2"/>
        </w:rPr>
        <w:t>。</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spacing w:val="-2"/>
        </w:rPr>
        <w:t>省卫生健康委员会组织专家，审核评估相关材料，开展综合评审，形成综合评审结论。</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第十六条 经验总结。</w:t>
      </w:r>
      <w:r>
        <w:rPr>
          <w:rFonts w:hint="eastAsia" w:ascii="仿宋_GB2312" w:hAnsi="仿宋_GB2312" w:eastAsia="仿宋_GB2312" w:cs="仿宋_GB2312"/>
          <w:color w:val="auto"/>
          <w:spacing w:val="-2"/>
        </w:rPr>
        <w:t>省疾病预防控制中心卫生健康促进与宣传教育所在</w:t>
      </w:r>
      <w:r>
        <w:rPr>
          <w:rFonts w:hint="eastAsia" w:ascii="仿宋_GB2312" w:hAnsi="仿宋_GB2312" w:cs="仿宋_GB2312"/>
          <w:color w:val="auto"/>
          <w:spacing w:val="-2"/>
          <w:lang w:val="en-US" w:eastAsia="zh-CN"/>
        </w:rPr>
        <w:t>创建县区提交的</w:t>
      </w:r>
      <w:r>
        <w:rPr>
          <w:rFonts w:hint="eastAsia" w:ascii="仿宋_GB2312" w:hAnsi="仿宋_GB2312" w:eastAsia="仿宋_GB2312" w:cs="仿宋_GB2312"/>
          <w:color w:val="auto"/>
          <w:spacing w:val="-2"/>
        </w:rPr>
        <w:t>评估报告基础上，深入调研，</w:t>
      </w:r>
      <w:r>
        <w:rPr>
          <w:rFonts w:hint="eastAsia" w:ascii="仿宋_GB2312" w:hAnsi="仿宋_GB2312" w:cs="仿宋_GB2312"/>
          <w:color w:val="auto"/>
          <w:spacing w:val="-2"/>
          <w:lang w:val="en-US" w:eastAsia="zh-CN"/>
        </w:rPr>
        <w:t>组织提炼总结，向</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省卫生健康委员会</w:t>
      </w:r>
      <w:r>
        <w:rPr>
          <w:rFonts w:hint="eastAsia" w:ascii="仿宋_GB2312" w:hAnsi="仿宋_GB2312" w:cs="仿宋_GB2312"/>
          <w:color w:val="auto"/>
          <w:spacing w:val="-2"/>
          <w:lang w:val="en-US" w:eastAsia="zh-CN"/>
        </w:rPr>
        <w:t>推荐</w:t>
      </w:r>
      <w:r>
        <w:rPr>
          <w:rFonts w:hint="eastAsia" w:ascii="仿宋_GB2312" w:hAnsi="仿宋_GB2312" w:eastAsia="仿宋_GB2312" w:cs="仿宋_GB2312"/>
          <w:color w:val="auto"/>
          <w:spacing w:val="-2"/>
        </w:rPr>
        <w:t>健康县区典型经验和</w:t>
      </w:r>
      <w:r>
        <w:rPr>
          <w:rFonts w:hint="eastAsia" w:ascii="仿宋_GB2312" w:hAnsi="仿宋_GB2312" w:eastAsia="仿宋_GB2312" w:cs="仿宋_GB2312"/>
          <w:color w:val="auto"/>
        </w:rPr>
        <w:t>优秀实践案例。</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 xml:space="preserve">第十七条 </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省卫生健康委员会采取适当形式通报省级健康县区技术评估结果，推广经验做法。</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第十八条 未通过</w:t>
      </w:r>
      <w:r>
        <w:rPr>
          <w:rFonts w:hint="eastAsia" w:ascii="仿宋_GB2312" w:hAnsi="仿宋_GB2312" w:cs="仿宋_GB2312"/>
          <w:color w:val="auto"/>
          <w:lang w:val="en-US" w:eastAsia="zh-CN"/>
        </w:rPr>
        <w:t>省级</w:t>
      </w:r>
      <w:r>
        <w:rPr>
          <w:rFonts w:hint="eastAsia" w:ascii="仿宋_GB2312" w:hAnsi="仿宋_GB2312" w:eastAsia="仿宋_GB2312" w:cs="仿宋_GB2312"/>
          <w:color w:val="auto"/>
        </w:rPr>
        <w:t>评估的县区，限期整改，向</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省卫生健康委员会报送整改报告，落实各项建设任务，一年后参加次年评估。</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 xml:space="preserve">第十九条 </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省卫生健康委员会定期或不定期抽查健康县区的持续建设情况。</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各市州</w:t>
      </w:r>
      <w:r>
        <w:rPr>
          <w:rFonts w:hint="eastAsia" w:ascii="仿宋_GB2312" w:hAnsi="仿宋_GB2312" w:cs="仿宋_GB2312"/>
          <w:color w:val="auto"/>
          <w:lang w:val="en-US" w:eastAsia="zh-CN"/>
        </w:rPr>
        <w:t>爱国卫生运动委员会办公室、</w:t>
      </w:r>
      <w:r>
        <w:rPr>
          <w:rFonts w:hint="eastAsia" w:ascii="仿宋_GB2312" w:hAnsi="仿宋_GB2312" w:eastAsia="仿宋_GB2312" w:cs="仿宋_GB2312"/>
          <w:color w:val="auto"/>
        </w:rPr>
        <w:t>卫生健康局为健康县区建设提供培训、技术指导、</w:t>
      </w:r>
      <w:r>
        <w:rPr>
          <w:rFonts w:hint="eastAsia" w:ascii="仿宋_GB2312" w:hAnsi="仿宋_GB2312" w:cs="仿宋_GB2312"/>
          <w:color w:val="auto"/>
          <w:lang w:val="en-US" w:eastAsia="zh-CN"/>
        </w:rPr>
        <w:t>初</w:t>
      </w:r>
      <w:r>
        <w:rPr>
          <w:rFonts w:hint="eastAsia" w:ascii="仿宋_GB2312" w:hAnsi="仿宋_GB2312" w:eastAsia="仿宋_GB2312" w:cs="仿宋_GB2312"/>
          <w:color w:val="auto"/>
        </w:rPr>
        <w:t>评等工作，每年向省级推荐报送</w:t>
      </w:r>
      <w:r>
        <w:rPr>
          <w:rFonts w:hint="eastAsia" w:ascii="仿宋_GB2312" w:hAnsi="仿宋_GB2312" w:cs="仿宋_GB2312"/>
          <w:color w:val="auto"/>
          <w:lang w:val="en-US" w:eastAsia="zh-CN"/>
        </w:rPr>
        <w:t>符合</w:t>
      </w:r>
      <w:r>
        <w:rPr>
          <w:rFonts w:hint="eastAsia" w:ascii="仿宋_GB2312" w:hAnsi="仿宋_GB2312" w:eastAsia="仿宋_GB2312" w:cs="仿宋_GB2312"/>
          <w:color w:val="auto"/>
        </w:rPr>
        <w:t>省级评估</w:t>
      </w:r>
      <w:r>
        <w:rPr>
          <w:rFonts w:hint="eastAsia" w:ascii="仿宋_GB2312" w:hAnsi="仿宋_GB2312" w:cs="仿宋_GB2312"/>
          <w:color w:val="auto"/>
          <w:lang w:val="en-US" w:eastAsia="zh-CN"/>
        </w:rPr>
        <w:t>要求</w:t>
      </w:r>
      <w:r>
        <w:rPr>
          <w:rFonts w:hint="eastAsia" w:ascii="仿宋_GB2312" w:hAnsi="仿宋_GB2312" w:eastAsia="仿宋_GB2312" w:cs="仿宋_GB2312"/>
          <w:color w:val="auto"/>
        </w:rPr>
        <w:t>的健康县区。</w:t>
      </w:r>
    </w:p>
    <w:p>
      <w:pPr>
        <w:spacing w:line="580" w:lineRule="exact"/>
        <w:ind w:firstLine="640"/>
        <w:jc w:val="left"/>
        <w:rPr>
          <w:rFonts w:hint="eastAsia" w:ascii="仿宋_GB2312" w:hAnsi="仿宋_GB2312" w:eastAsia="仿宋_GB2312" w:cs="仿宋_GB2312"/>
          <w:color w:val="auto"/>
        </w:rPr>
      </w:pPr>
    </w:p>
    <w:p>
      <w:pPr>
        <w:spacing w:line="580" w:lineRule="exact"/>
        <w:ind w:firstLine="0" w:firstLineChars="0"/>
        <w:jc w:val="center"/>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第四章  复</w:t>
      </w:r>
      <w:r>
        <w:rPr>
          <w:rFonts w:hint="eastAsia" w:ascii="仿宋_GB2312" w:hAnsi="仿宋_GB2312" w:cs="仿宋_GB2312"/>
          <w:b/>
          <w:bCs/>
          <w:color w:val="auto"/>
          <w:lang w:val="en-US" w:eastAsia="zh-CN"/>
        </w:rPr>
        <w:t xml:space="preserve"> </w:t>
      </w:r>
      <w:r>
        <w:rPr>
          <w:rFonts w:hint="eastAsia" w:ascii="仿宋_GB2312" w:hAnsi="仿宋_GB2312" w:eastAsia="仿宋_GB2312" w:cs="仿宋_GB2312"/>
          <w:b/>
          <w:bCs/>
          <w:color w:val="auto"/>
        </w:rPr>
        <w:t>评</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第二十条 通过技术评估后，健康县区应持续开展建设工作，满5年需参加技术复评。</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 xml:space="preserve">第二十一条 </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省卫生健康委员会组织</w:t>
      </w:r>
      <w:r>
        <w:rPr>
          <w:rFonts w:hint="eastAsia" w:ascii="仿宋_GB2312" w:hAnsi="仿宋_GB2312" w:cs="仿宋_GB2312"/>
          <w:color w:val="auto"/>
          <w:lang w:val="en-US" w:eastAsia="zh-CN"/>
        </w:rPr>
        <w:t>创建满五年的</w:t>
      </w:r>
      <w:r>
        <w:rPr>
          <w:rFonts w:hint="eastAsia" w:ascii="仿宋_GB2312" w:hAnsi="仿宋_GB2312" w:eastAsia="仿宋_GB2312" w:cs="仿宋_GB2312"/>
          <w:color w:val="auto"/>
        </w:rPr>
        <w:t>省级健康</w:t>
      </w:r>
      <w:r>
        <w:rPr>
          <w:rFonts w:hint="eastAsia" w:ascii="仿宋_GB2312" w:hAnsi="仿宋_GB2312" w:cs="仿宋_GB2312"/>
          <w:color w:val="auto"/>
          <w:lang w:val="en-US" w:eastAsia="zh-CN"/>
        </w:rPr>
        <w:t>县区进行</w:t>
      </w:r>
      <w:r>
        <w:rPr>
          <w:rFonts w:hint="eastAsia" w:ascii="仿宋_GB2312" w:hAnsi="仿宋_GB2312" w:eastAsia="仿宋_GB2312" w:cs="仿宋_GB2312"/>
          <w:color w:val="auto"/>
        </w:rPr>
        <w:t>复评工作</w:t>
      </w:r>
      <w:r>
        <w:rPr>
          <w:rFonts w:hint="eastAsia" w:ascii="仿宋_GB2312" w:hAnsi="仿宋_GB2312" w:cs="仿宋_GB2312"/>
          <w:color w:val="auto"/>
          <w:lang w:eastAsia="zh-CN"/>
        </w:rPr>
        <w:t>，</w:t>
      </w:r>
      <w:r>
        <w:rPr>
          <w:rFonts w:hint="eastAsia" w:ascii="仿宋_GB2312" w:hAnsi="仿宋_GB2312" w:eastAsia="仿宋_GB2312" w:cs="仿宋_GB2312"/>
          <w:color w:val="auto"/>
        </w:rPr>
        <w:t>采取材料审查、现场评估、综合评审等流程</w:t>
      </w:r>
      <w:r>
        <w:rPr>
          <w:rFonts w:hint="eastAsia" w:ascii="仿宋_GB2312" w:hAnsi="仿宋_GB2312" w:cs="仿宋_GB2312"/>
          <w:color w:val="auto"/>
          <w:lang w:val="en-US" w:eastAsia="zh-CN"/>
        </w:rPr>
        <w:t>开展</w:t>
      </w:r>
      <w:r>
        <w:rPr>
          <w:rFonts w:hint="eastAsia" w:ascii="仿宋_GB2312" w:hAnsi="仿宋_GB2312" w:eastAsia="仿宋_GB2312" w:cs="仿宋_GB2312"/>
          <w:color w:val="auto"/>
        </w:rPr>
        <w:t>，形成复评结论</w:t>
      </w:r>
      <w:r>
        <w:rPr>
          <w:rFonts w:hint="eastAsia" w:ascii="仿宋_GB2312" w:hAnsi="仿宋_GB2312" w:cs="仿宋_GB2312"/>
          <w:color w:val="auto"/>
          <w:lang w:val="en-US" w:eastAsia="zh-CN"/>
        </w:rPr>
        <w:t>并</w:t>
      </w:r>
      <w:r>
        <w:rPr>
          <w:rFonts w:hint="eastAsia" w:ascii="仿宋_GB2312" w:hAnsi="仿宋_GB2312" w:eastAsia="仿宋_GB2312" w:cs="仿宋_GB2312"/>
          <w:color w:val="auto"/>
        </w:rPr>
        <w:t>在</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省卫生健康委备案。</w:t>
      </w:r>
    </w:p>
    <w:p>
      <w:pPr>
        <w:spacing w:line="580" w:lineRule="exact"/>
        <w:ind w:firstLine="640"/>
        <w:rPr>
          <w:rFonts w:hint="eastAsia" w:ascii="仿宋" w:hAnsi="仿宋" w:eastAsia="仿宋" w:cs="仿宋"/>
          <w:color w:val="auto"/>
          <w:sz w:val="32"/>
          <w:lang w:val="en-US" w:eastAsia="zh-CN"/>
        </w:rPr>
      </w:pPr>
      <w:r>
        <w:rPr>
          <w:rFonts w:hint="eastAsia" w:ascii="仿宋_GB2312" w:hAnsi="仿宋_GB2312" w:eastAsia="仿宋_GB2312" w:cs="仿宋_GB2312"/>
          <w:color w:val="auto"/>
        </w:rPr>
        <w:t>第二十</w:t>
      </w:r>
      <w:r>
        <w:rPr>
          <w:rFonts w:hint="eastAsia" w:ascii="仿宋_GB2312" w:hAnsi="仿宋_GB2312" w:cs="仿宋_GB2312"/>
          <w:color w:val="auto"/>
          <w:lang w:val="en-US" w:eastAsia="zh-CN"/>
        </w:rPr>
        <w:t>二</w:t>
      </w:r>
      <w:r>
        <w:rPr>
          <w:rFonts w:hint="eastAsia" w:ascii="仿宋_GB2312" w:hAnsi="仿宋_GB2312" w:eastAsia="仿宋_GB2312" w:cs="仿宋_GB2312"/>
          <w:color w:val="auto"/>
        </w:rPr>
        <w:t>条 到期未参加复评的、复评未通过的或抽查未通过的健康县区，从省级健康县区名单中删除。</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第二十</w:t>
      </w:r>
      <w:r>
        <w:rPr>
          <w:rFonts w:hint="eastAsia" w:ascii="仿宋_GB2312" w:hAnsi="仿宋_GB2312" w:cs="仿宋_GB2312"/>
          <w:color w:val="auto"/>
          <w:lang w:val="en-US" w:eastAsia="zh-CN"/>
        </w:rPr>
        <w:t>三</w:t>
      </w:r>
      <w:r>
        <w:rPr>
          <w:rFonts w:hint="eastAsia" w:ascii="仿宋_GB2312" w:hAnsi="仿宋_GB2312" w:eastAsia="仿宋_GB2312" w:cs="仿宋_GB2312"/>
          <w:color w:val="auto"/>
        </w:rPr>
        <w:t>条</w:t>
      </w: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各市州</w:t>
      </w:r>
      <w:r>
        <w:rPr>
          <w:rFonts w:hint="eastAsia" w:ascii="仿宋_GB2312" w:hAnsi="仿宋_GB2312" w:cs="仿宋_GB2312"/>
          <w:color w:val="auto"/>
          <w:lang w:val="en-US" w:eastAsia="zh-CN"/>
        </w:rPr>
        <w:t>爱国卫生运动委员会办公室、</w:t>
      </w:r>
      <w:r>
        <w:rPr>
          <w:rFonts w:hint="eastAsia" w:ascii="仿宋_GB2312" w:hAnsi="仿宋_GB2312" w:eastAsia="仿宋_GB2312" w:cs="仿宋_GB2312"/>
          <w:color w:val="auto"/>
        </w:rPr>
        <w:t>卫生健康局为</w:t>
      </w:r>
      <w:r>
        <w:rPr>
          <w:rFonts w:hint="eastAsia" w:ascii="仿宋_GB2312" w:hAnsi="仿宋_GB2312" w:cs="仿宋_GB2312"/>
          <w:color w:val="auto"/>
          <w:lang w:val="en-US" w:eastAsia="zh-CN"/>
        </w:rPr>
        <w:t>参加复评的</w:t>
      </w:r>
      <w:r>
        <w:rPr>
          <w:rFonts w:hint="eastAsia" w:ascii="仿宋_GB2312" w:hAnsi="仿宋_GB2312" w:eastAsia="仿宋_GB2312" w:cs="仿宋_GB2312"/>
          <w:color w:val="auto"/>
        </w:rPr>
        <w:t>健康县区提供技术指导，向省级推荐报送</w:t>
      </w:r>
      <w:r>
        <w:rPr>
          <w:rFonts w:hint="eastAsia" w:ascii="仿宋_GB2312" w:hAnsi="仿宋_GB2312" w:cs="仿宋_GB2312"/>
          <w:color w:val="auto"/>
          <w:lang w:val="en-US" w:eastAsia="zh-CN"/>
        </w:rPr>
        <w:t>符合参加</w:t>
      </w:r>
      <w:r>
        <w:rPr>
          <w:rFonts w:hint="eastAsia" w:ascii="仿宋_GB2312" w:hAnsi="仿宋_GB2312" w:eastAsia="仿宋_GB2312" w:cs="仿宋_GB2312"/>
          <w:color w:val="auto"/>
        </w:rPr>
        <w:t>省级</w:t>
      </w:r>
      <w:r>
        <w:rPr>
          <w:rFonts w:hint="eastAsia" w:ascii="仿宋_GB2312" w:hAnsi="仿宋_GB2312" w:cs="仿宋_GB2312"/>
          <w:color w:val="auto"/>
          <w:lang w:val="en-US" w:eastAsia="zh-CN"/>
        </w:rPr>
        <w:t>复评</w:t>
      </w:r>
      <w:r>
        <w:rPr>
          <w:rFonts w:hint="eastAsia" w:ascii="仿宋_GB2312" w:hAnsi="仿宋_GB2312" w:eastAsia="仿宋_GB2312" w:cs="仿宋_GB2312"/>
          <w:color w:val="auto"/>
        </w:rPr>
        <w:t>的健康县区。</w:t>
      </w:r>
    </w:p>
    <w:p>
      <w:pPr>
        <w:pStyle w:val="3"/>
        <w:rPr>
          <w:rFonts w:hint="eastAsia"/>
          <w:color w:val="auto"/>
        </w:rPr>
      </w:pPr>
    </w:p>
    <w:p>
      <w:pPr>
        <w:spacing w:line="580" w:lineRule="exact"/>
        <w:ind w:firstLine="0" w:firstLineChars="0"/>
        <w:jc w:val="center"/>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第五章 其</w:t>
      </w:r>
      <w:r>
        <w:rPr>
          <w:rFonts w:hint="eastAsia" w:ascii="仿宋_GB2312" w:hAnsi="仿宋_GB2312" w:cs="仿宋_GB2312"/>
          <w:b/>
          <w:bCs/>
          <w:color w:val="auto"/>
          <w:lang w:val="en-US" w:eastAsia="zh-CN"/>
        </w:rPr>
        <w:t xml:space="preserve">  </w:t>
      </w:r>
      <w:r>
        <w:rPr>
          <w:rFonts w:hint="eastAsia" w:ascii="仿宋_GB2312" w:hAnsi="仿宋_GB2312" w:eastAsia="仿宋_GB2312" w:cs="仿宋_GB2312"/>
          <w:b/>
          <w:bCs/>
          <w:color w:val="auto"/>
        </w:rPr>
        <w:t>他</w:t>
      </w:r>
    </w:p>
    <w:p>
      <w:pPr>
        <w:widowControl/>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第二十四条 现场评估需严格落实中央八项规定精神，遵守相关规章制度。</w:t>
      </w:r>
    </w:p>
    <w:p>
      <w:pPr>
        <w:spacing w:line="580" w:lineRule="exact"/>
        <w:ind w:firstLine="640"/>
        <w:jc w:val="left"/>
        <w:rPr>
          <w:rFonts w:hint="eastAsia" w:ascii="仿宋_GB2312" w:hAnsi="仿宋_GB2312" w:eastAsia="仿宋_GB2312" w:cs="仿宋_GB2312"/>
          <w:color w:val="auto"/>
        </w:rPr>
      </w:pPr>
      <w:r>
        <w:rPr>
          <w:rFonts w:hint="eastAsia" w:ascii="仿宋_GB2312" w:hAnsi="仿宋_GB2312" w:eastAsia="仿宋_GB2312" w:cs="仿宋_GB2312"/>
          <w:color w:val="auto"/>
        </w:rPr>
        <w:t>第二十五条 省级健康县区技术评估工作组采取申报地专家回避原则，受评县区及所在市（州）专家回避。</w:t>
      </w:r>
    </w:p>
    <w:p>
      <w:pPr>
        <w:widowControl/>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第二十六条 评估组严格按照标准和程序开展评估工作，不受外界干扰，实事求是下结论，对评估结论负责。要严格遵守评估纪律，保守工作秘密，不得擅自透露评估情况。</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第二十七条 健康县区评估不得搞形式主义和弄虚作假，不得阻碍群众反映问题。现场评估的档案材料原则上放置在属地单位备查，不得层层复印资料，减轻基层负担。</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第二十八条 国家基本公共卫生服务健康素养促进项目为健康县区建设、评估和复评提供经费支持。</w:t>
      </w: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第二十九条 本办法于2023年</w:t>
      </w:r>
      <w:r>
        <w:rPr>
          <w:rFonts w:hint="eastAsia" w:ascii="仿宋_GB2312" w:hAnsi="仿宋_GB2312" w:cs="仿宋_GB2312"/>
          <w:color w:val="auto"/>
          <w:lang w:val="en-US" w:eastAsia="zh-CN"/>
        </w:rPr>
        <w:t>7</w:t>
      </w:r>
      <w:r>
        <w:rPr>
          <w:rFonts w:hint="eastAsia" w:ascii="仿宋_GB2312" w:hAnsi="仿宋_GB2312" w:eastAsia="仿宋_GB2312" w:cs="仿宋_GB2312"/>
          <w:color w:val="auto"/>
        </w:rPr>
        <w:t>月</w:t>
      </w:r>
      <w:r>
        <w:rPr>
          <w:rFonts w:hint="eastAsia" w:ascii="仿宋_GB2312" w:hAnsi="仿宋_GB2312" w:cs="仿宋_GB2312"/>
          <w:color w:val="auto"/>
          <w:lang w:val="en-US" w:eastAsia="zh-CN"/>
        </w:rPr>
        <w:t xml:space="preserve">  </w:t>
      </w:r>
      <w:r>
        <w:rPr>
          <w:rFonts w:hint="eastAsia" w:ascii="仿宋_GB2312" w:hAnsi="仿宋_GB2312" w:eastAsia="仿宋_GB2312" w:cs="仿宋_GB2312"/>
          <w:color w:val="auto"/>
        </w:rPr>
        <w:t>日起实施，由</w:t>
      </w:r>
      <w:r>
        <w:rPr>
          <w:rFonts w:hint="eastAsia" w:ascii="仿宋_GB2312" w:hAnsi="仿宋_GB2312" w:cs="仿宋_GB2312"/>
          <w:color w:val="auto"/>
          <w:lang w:val="en-US" w:eastAsia="zh-CN"/>
        </w:rPr>
        <w:t>省爱国卫生运动委员会办公室、</w:t>
      </w:r>
      <w:r>
        <w:rPr>
          <w:rFonts w:hint="eastAsia" w:ascii="仿宋_GB2312" w:hAnsi="仿宋_GB2312" w:eastAsia="仿宋_GB2312" w:cs="仿宋_GB2312"/>
          <w:color w:val="auto"/>
        </w:rPr>
        <w:t>省卫生健康委员会负责解释。</w:t>
      </w:r>
    </w:p>
    <w:p>
      <w:pPr>
        <w:spacing w:line="580" w:lineRule="exact"/>
        <w:ind w:firstLine="640"/>
        <w:rPr>
          <w:rFonts w:hint="eastAsia" w:ascii="仿宋_GB2312" w:hAnsi="仿宋_GB2312" w:eastAsia="仿宋_GB2312" w:cs="仿宋_GB2312"/>
          <w:color w:val="auto"/>
        </w:rPr>
      </w:pPr>
    </w:p>
    <w:p>
      <w:pPr>
        <w:spacing w:line="580" w:lineRule="exact"/>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附件：</w:t>
      </w:r>
      <w:r>
        <w:rPr>
          <w:rFonts w:hint="eastAsia" w:ascii="仿宋_GB2312" w:hAnsi="仿宋_GB2312" w:cs="仿宋_GB2312"/>
          <w:color w:val="auto"/>
          <w:lang w:val="en-US" w:eastAsia="zh-CN"/>
        </w:rPr>
        <w:t>1.</w:t>
      </w:r>
      <w:r>
        <w:rPr>
          <w:rFonts w:hint="eastAsia" w:ascii="仿宋_GB2312" w:hAnsi="仿宋_GB2312" w:eastAsia="仿宋_GB2312" w:cs="仿宋_GB2312"/>
          <w:color w:val="auto"/>
        </w:rPr>
        <w:t>健康县（区）评估申请书</w:t>
      </w:r>
    </w:p>
    <w:p>
      <w:pPr>
        <w:numPr>
          <w:ilvl w:val="-1"/>
          <w:numId w:val="0"/>
        </w:numPr>
        <w:spacing w:line="580" w:lineRule="exact"/>
        <w:ind w:firstLine="1600" w:firstLineChars="500"/>
        <w:rPr>
          <w:rFonts w:hint="eastAsia" w:ascii="仿宋_GB2312" w:hAnsi="仿宋_GB2312" w:eastAsia="仿宋_GB2312" w:cs="仿宋_GB2312"/>
          <w:color w:val="auto"/>
        </w:rPr>
      </w:pPr>
      <w:r>
        <w:rPr>
          <w:rFonts w:hint="eastAsia" w:ascii="仿宋_GB2312" w:hAnsi="仿宋_GB2312" w:cs="仿宋_GB2312"/>
          <w:color w:val="auto"/>
          <w:lang w:val="en-US" w:eastAsia="zh-CN"/>
        </w:rPr>
        <w:t>2.</w:t>
      </w:r>
      <w:r>
        <w:rPr>
          <w:rFonts w:hint="eastAsia" w:ascii="仿宋_GB2312" w:hAnsi="仿宋_GB2312" w:eastAsia="仿宋_GB2312" w:cs="仿宋_GB2312"/>
          <w:color w:val="auto"/>
        </w:rPr>
        <w:t>健康县（区）建设情况表</w:t>
      </w:r>
    </w:p>
    <w:p>
      <w:pPr>
        <w:numPr>
          <w:ilvl w:val="-1"/>
          <w:numId w:val="0"/>
        </w:numPr>
        <w:spacing w:line="580" w:lineRule="exact"/>
        <w:ind w:firstLine="1600" w:firstLineChars="500"/>
        <w:rPr>
          <w:rFonts w:hint="eastAsia" w:ascii="仿宋_GB2312" w:hAnsi="仿宋_GB2312" w:eastAsia="仿宋_GB2312" w:cs="仿宋_GB2312"/>
          <w:color w:val="auto"/>
        </w:rPr>
      </w:pPr>
      <w:r>
        <w:rPr>
          <w:rFonts w:hint="eastAsia" w:ascii="仿宋_GB2312" w:hAnsi="仿宋_GB2312" w:cs="仿宋_GB2312"/>
          <w:color w:val="auto"/>
          <w:lang w:val="en-US" w:eastAsia="zh-CN"/>
        </w:rPr>
        <w:t>3.</w:t>
      </w:r>
      <w:r>
        <w:rPr>
          <w:rFonts w:hint="eastAsia" w:ascii="仿宋_GB2312" w:hAnsi="仿宋_GB2312" w:eastAsia="仿宋_GB2312" w:cs="仿宋_GB2312"/>
          <w:color w:val="auto"/>
        </w:rPr>
        <w:t>健康县（区）评估报告模板</w:t>
      </w:r>
    </w:p>
    <w:p>
      <w:pPr>
        <w:numPr>
          <w:ilvl w:val="-1"/>
          <w:numId w:val="0"/>
        </w:numPr>
        <w:spacing w:line="580" w:lineRule="exact"/>
        <w:ind w:firstLine="1600" w:firstLineChars="500"/>
        <w:rPr>
          <w:rFonts w:hint="eastAsia" w:ascii="仿宋_GB2312" w:hAnsi="仿宋_GB2312" w:eastAsia="仿宋_GB2312" w:cs="仿宋_GB2312"/>
          <w:color w:val="auto"/>
        </w:rPr>
      </w:pPr>
      <w:r>
        <w:rPr>
          <w:rFonts w:hint="eastAsia" w:ascii="仿宋_GB2312" w:hAnsi="仿宋_GB2312" w:cs="仿宋_GB2312"/>
          <w:color w:val="auto"/>
          <w:lang w:val="en-US" w:eastAsia="zh-CN"/>
        </w:rPr>
        <w:t>4.</w:t>
      </w:r>
      <w:r>
        <w:rPr>
          <w:rFonts w:hint="eastAsia" w:ascii="仿宋_GB2312" w:hAnsi="仿宋_GB2312" w:eastAsia="仿宋_GB2312" w:cs="仿宋_GB2312"/>
          <w:color w:val="auto"/>
        </w:rPr>
        <w:t>省级健康促进县区评估标准（2023版）</w:t>
      </w:r>
    </w:p>
    <w:p>
      <w:pPr>
        <w:spacing w:line="580" w:lineRule="exact"/>
        <w:ind w:firstLine="640"/>
        <w:rPr>
          <w:rFonts w:ascii="宋体" w:hAnsi="宋体" w:eastAsia="宋体" w:cs="宋体"/>
          <w:color w:val="auto"/>
        </w:rPr>
      </w:pPr>
    </w:p>
    <w:p>
      <w:pPr>
        <w:rPr>
          <w:color w:val="auto"/>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CFD61C2-B63F-4508-AB35-0A90AA403C69}"/>
  </w:font>
  <w:font w:name="黑体">
    <w:panose1 w:val="02010609060101010101"/>
    <w:charset w:val="86"/>
    <w:family w:val="auto"/>
    <w:pitch w:val="default"/>
    <w:sig w:usb0="800002BF" w:usb1="38CF7CFA" w:usb2="00000016" w:usb3="00000000" w:csb0="00040001" w:csb1="00000000"/>
    <w:embedRegular r:id="rId2" w:fontKey="{8921901E-542E-4F43-A573-6B234422D8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3F021EE-3AC5-4A83-8431-A42758B773E2}"/>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205A999D-D018-41A7-8CF4-27E221088115}"/>
  </w:font>
  <w:font w:name="方正小标宋简体">
    <w:panose1 w:val="02000000000000000000"/>
    <w:charset w:val="86"/>
    <w:family w:val="auto"/>
    <w:pitch w:val="default"/>
    <w:sig w:usb0="00000001" w:usb1="08000000" w:usb2="00000000" w:usb3="00000000" w:csb0="00040000" w:csb1="00000000"/>
    <w:embedRegular r:id="rId5" w:fontKey="{2B0263A0-ED48-48FE-A21D-5F0CB45187E0}"/>
  </w:font>
  <w:font w:name="仿宋">
    <w:panose1 w:val="02010609060101010101"/>
    <w:charset w:val="86"/>
    <w:family w:val="auto"/>
    <w:pitch w:val="default"/>
    <w:sig w:usb0="800002BF" w:usb1="38CF7CFA" w:usb2="00000016" w:usb3="00000000" w:csb0="00040001" w:csb1="00000000"/>
    <w:embedRegular r:id="rId6" w:fontKey="{5FCB71A8-EA93-4573-A6C2-72F22574B47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9B66D4"/>
    <w:multiLevelType w:val="singleLevel"/>
    <w:tmpl w:val="B79B66D4"/>
    <w:lvl w:ilvl="0" w:tentative="0">
      <w:start w:val="9"/>
      <w:numFmt w:val="chineseCounting"/>
      <w:suff w:val="space"/>
      <w:lvlText w:val="第%1条"/>
      <w:lvlJc w:val="left"/>
      <w:rPr>
        <w:rFonts w:hint="eastAsia"/>
      </w:rPr>
    </w:lvl>
  </w:abstractNum>
  <w:abstractNum w:abstractNumId="1">
    <w:nsid w:val="763B7F30"/>
    <w:multiLevelType w:val="singleLevel"/>
    <w:tmpl w:val="763B7F30"/>
    <w:lvl w:ilvl="0" w:tentative="0">
      <w:start w:val="14"/>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5YjNhZmY2YjQxMjIzOTIwODk4NWI2YTI4ZjEzMzgifQ=="/>
  </w:docVars>
  <w:rsids>
    <w:rsidRoot w:val="19DA387C"/>
    <w:rsid w:val="19DA3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等线" w:hAnsi="等线" w:eastAsia="仿宋_GB2312" w:cs="Times New Roman"/>
      <w:kern w:val="2"/>
      <w:sz w:val="32"/>
      <w:szCs w:val="32"/>
      <w:lang w:val="en-US" w:eastAsia="zh-CN" w:bidi="ar-SA"/>
    </w:rPr>
  </w:style>
  <w:style w:type="paragraph" w:styleId="4">
    <w:name w:val="heading 1"/>
    <w:basedOn w:val="1"/>
    <w:next w:val="1"/>
    <w:qFormat/>
    <w:uiPriority w:val="99"/>
    <w:pPr>
      <w:keepNext/>
      <w:keepLines/>
      <w:spacing w:before="340" w:after="330" w:line="576" w:lineRule="auto"/>
      <w:outlineLvl w:val="0"/>
    </w:pPr>
    <w:rPr>
      <w:rFonts w:eastAsia="宋体"/>
      <w:b/>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10"/>
    <w:pPr>
      <w:spacing w:line="0" w:lineRule="atLeast"/>
      <w:ind w:firstLine="0" w:firstLineChars="0"/>
      <w:jc w:val="center"/>
    </w:pPr>
    <w:rPr>
      <w:rFonts w:ascii="Arial" w:hAnsi="Arial" w:eastAsia="黑体"/>
      <w:sz w:val="52"/>
    </w:rPr>
  </w:style>
  <w:style w:type="paragraph" w:customStyle="1" w:styleId="3">
    <w:name w:val="BodyTextIndent"/>
    <w:basedOn w:val="1"/>
    <w:qFormat/>
    <w:uiPriority w:val="0"/>
    <w:pPr>
      <w:spacing w:line="570" w:lineRule="exact"/>
      <w:ind w:firstLine="616"/>
    </w:pPr>
    <w:rPr>
      <w:rFonts w:ascii="Calibri" w:hAnsi="Calibri" w:eastAsia="宋体"/>
      <w:spacing w:val="-6"/>
    </w:rPr>
  </w:style>
  <w:style w:type="character" w:customStyle="1" w:styleId="7">
    <w:name w:val="15"/>
    <w:basedOn w:val="6"/>
    <w:qFormat/>
    <w:uiPriority w:val="0"/>
    <w:rPr>
      <w:rFonts w:hint="eastAsia" w:ascii="等线" w:hAnsi="等线" w:eastAsia="等线"/>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2023-07-24T04:58:00Z</dcterms:created>
  <dc:creator>leiswl</dc:creator>
  <cp:lastModifiedBy>leiswl</cp:lastModifiedBy>
  <dcterms:modified xsi:type="dcterms:W3CDTF">2023-07-24T04:58:34Z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265FF107D6E649819620A59F0C49CC01_11</vt:lpwstr>
  </property>
</Properties>
</file>