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before="313" w:beforeLines="100"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湖南省居民基本医疗保险门诊慢特病病种范围和医保支付标准</w:t>
      </w:r>
    </w:p>
    <w:tbl>
      <w:tblPr>
        <w:tblStyle w:val="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2"/>
        <w:gridCol w:w="4033"/>
        <w:gridCol w:w="1771"/>
        <w:gridCol w:w="1521"/>
        <w:gridCol w:w="1537"/>
        <w:gridCol w:w="1316"/>
        <w:gridCol w:w="2144"/>
        <w:gridCol w:w="11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blHeader/>
        </w:trPr>
        <w:tc>
          <w:tcPr>
            <w:tcW w:w="224" w:type="pct"/>
            <w:vMerge w:val="restar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序号</w:t>
            </w:r>
          </w:p>
        </w:tc>
        <w:tc>
          <w:tcPr>
            <w:tcW w:w="1430" w:type="pct"/>
            <w:vMerge w:val="restart"/>
            <w:tcBorders>
              <w:top w:val="single" w:color="000000" w:sz="4" w:space="0"/>
              <w:left w:val="single" w:color="000000" w:sz="4" w:space="0"/>
              <w:bottom w:val="nil"/>
              <w:right w:val="single" w:color="000000" w:sz="4" w:space="0"/>
            </w:tcBorders>
            <w:shd w:val="clear" w:color="auto" w:fill="auto"/>
            <w:vAlign w:val="center"/>
          </w:tcPr>
          <w:p>
            <w:pPr>
              <w:rPr>
                <w:rFonts w:hint="eastAsia"/>
              </w:rPr>
            </w:pPr>
            <w:r>
              <w:rPr>
                <w:rFonts w:hint="eastAsia"/>
                <w:lang w:val="en-US" w:eastAsia="zh-CN"/>
              </w:rPr>
              <w:t>门诊慢特病病种</w:t>
            </w:r>
          </w:p>
        </w:tc>
        <w:tc>
          <w:tcPr>
            <w:tcW w:w="2939" w:type="pct"/>
            <w:gridSpan w:val="5"/>
            <w:tcBorders>
              <w:top w:val="single" w:color="000000" w:sz="4" w:space="0"/>
              <w:left w:val="single" w:color="000000" w:sz="4" w:space="0"/>
              <w:bottom w:val="nil"/>
              <w:right w:val="nil"/>
            </w:tcBorders>
            <w:shd w:val="clear" w:color="auto" w:fill="auto"/>
            <w:vAlign w:val="center"/>
          </w:tcPr>
          <w:p>
            <w:pPr>
              <w:rPr>
                <w:rFonts w:hint="eastAsia"/>
              </w:rPr>
            </w:pPr>
            <w:r>
              <w:rPr>
                <w:rFonts w:hint="eastAsia"/>
                <w:lang w:val="en-US" w:eastAsia="zh-CN"/>
              </w:rPr>
              <w:t>医保支付标准</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复审期限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blHeader/>
        </w:trPr>
        <w:tc>
          <w:tcPr>
            <w:tcW w:w="224"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430" w:type="pct"/>
            <w:vMerge w:val="continue"/>
            <w:tcBorders>
              <w:top w:val="single" w:color="000000" w:sz="4" w:space="0"/>
              <w:left w:val="single" w:color="000000" w:sz="4" w:space="0"/>
              <w:bottom w:val="nil"/>
              <w:right w:val="single" w:color="000000" w:sz="4" w:space="0"/>
            </w:tcBorders>
            <w:shd w:val="clear" w:color="auto" w:fill="auto"/>
            <w:vAlign w:val="center"/>
          </w:tcPr>
          <w:p>
            <w:pPr>
              <w:rPr>
                <w:rFonts w:hint="eastAsia"/>
              </w:rPr>
            </w:pPr>
          </w:p>
        </w:tc>
        <w:tc>
          <w:tcPr>
            <w:tcW w:w="1712" w:type="pct"/>
            <w:gridSpan w:val="3"/>
            <w:tcBorders>
              <w:top w:val="single" w:color="000000" w:sz="4" w:space="0"/>
              <w:left w:val="single" w:color="000000" w:sz="4" w:space="0"/>
              <w:bottom w:val="nil"/>
              <w:right w:val="single" w:color="000000" w:sz="4" w:space="0"/>
            </w:tcBorders>
            <w:shd w:val="clear" w:color="auto" w:fill="auto"/>
            <w:vAlign w:val="center"/>
          </w:tcPr>
          <w:p>
            <w:pPr>
              <w:rPr>
                <w:rFonts w:hint="eastAsia"/>
              </w:rPr>
            </w:pPr>
            <w:r>
              <w:rPr>
                <w:rFonts w:hint="eastAsia"/>
                <w:lang w:val="en-US" w:eastAsia="zh-CN"/>
              </w:rPr>
              <w:t>医药费用限额（元/月）</w:t>
            </w:r>
          </w:p>
        </w:tc>
        <w:tc>
          <w:tcPr>
            <w:tcW w:w="466" w:type="pct"/>
            <w:tcBorders>
              <w:top w:val="single" w:color="000000" w:sz="4" w:space="0"/>
              <w:left w:val="single" w:color="000000" w:sz="4" w:space="0"/>
              <w:bottom w:val="single" w:color="000000" w:sz="4" w:space="0"/>
              <w:right w:val="nil"/>
            </w:tcBorders>
            <w:shd w:val="clear" w:color="auto" w:fill="auto"/>
            <w:vAlign w:val="center"/>
          </w:tcPr>
          <w:p>
            <w:pPr>
              <w:rPr>
                <w:rFonts w:hint="eastAsia"/>
              </w:rPr>
            </w:pPr>
            <w:r>
              <w:rPr>
                <w:rFonts w:hint="eastAsia"/>
                <w:lang w:val="en-US" w:eastAsia="zh-CN"/>
              </w:rPr>
              <w:t>医保报销比例</w:t>
            </w:r>
          </w:p>
        </w:tc>
        <w:tc>
          <w:tcPr>
            <w:tcW w:w="760" w:type="pct"/>
            <w:tcBorders>
              <w:top w:val="single" w:color="000000" w:sz="4" w:space="0"/>
              <w:left w:val="single" w:color="000000" w:sz="4" w:space="0"/>
              <w:bottom w:val="single" w:color="000000" w:sz="4" w:space="0"/>
              <w:right w:val="nil"/>
            </w:tcBorders>
            <w:shd w:val="clear" w:color="auto" w:fill="auto"/>
            <w:vAlign w:val="center"/>
          </w:tcPr>
          <w:p>
            <w:pPr>
              <w:rPr>
                <w:rFonts w:hint="eastAsia"/>
              </w:rPr>
            </w:pPr>
            <w:r>
              <w:rPr>
                <w:rFonts w:hint="eastAsia"/>
                <w:lang w:val="en-US" w:eastAsia="zh-CN"/>
              </w:rPr>
              <w:t>医保支付限额（元/月）</w:t>
            </w: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restar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1</w:t>
            </w:r>
          </w:p>
        </w:tc>
        <w:tc>
          <w:tcPr>
            <w:tcW w:w="1430" w:type="pct"/>
            <w:vMerge w:val="restart"/>
            <w:tcBorders>
              <w:top w:val="single" w:color="000000" w:sz="4" w:space="0"/>
              <w:left w:val="single" w:color="000000" w:sz="4" w:space="0"/>
              <w:bottom w:val="nil"/>
              <w:right w:val="single" w:color="000000" w:sz="4" w:space="0"/>
            </w:tcBorders>
            <w:shd w:val="clear" w:color="auto" w:fill="auto"/>
            <w:vAlign w:val="center"/>
          </w:tcPr>
          <w:p>
            <w:pPr>
              <w:rPr>
                <w:rFonts w:hint="eastAsia"/>
              </w:rPr>
            </w:pPr>
            <w:r>
              <w:rPr>
                <w:rFonts w:hint="eastAsia"/>
                <w:lang w:val="en-US" w:eastAsia="zh-CN"/>
              </w:rPr>
              <w:t>恶性肿瘤</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康复治疗</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400（报销范围：限相关检查、治疗用药、肿瘤患者长期使用的造口袋和尿袋）</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280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tc>
        <w:tc>
          <w:tcPr>
            <w:tcW w:w="1430" w:type="pct"/>
            <w:vMerge w:val="continue"/>
            <w:tcBorders>
              <w:top w:val="single" w:color="000000" w:sz="4" w:space="0"/>
              <w:left w:val="single" w:color="000000" w:sz="4" w:space="0"/>
              <w:bottom w:val="nil"/>
              <w:right w:val="single" w:color="000000" w:sz="4" w:space="0"/>
            </w:tcBorders>
            <w:shd w:val="clear" w:color="auto" w:fill="auto"/>
            <w:vAlign w:val="center"/>
          </w:tcPr>
          <w:p>
            <w:pPr>
              <w:rPr>
                <w:rFonts w:hint="eastAsia"/>
              </w:rPr>
            </w:pPr>
          </w:p>
        </w:tc>
        <w:tc>
          <w:tcPr>
            <w:tcW w:w="628" w:type="pct"/>
            <w:tcBorders>
              <w:top w:val="single" w:color="000000" w:sz="4" w:space="0"/>
              <w:left w:val="single" w:color="000000" w:sz="4" w:space="0"/>
              <w:bottom w:val="single" w:color="000000" w:sz="4" w:space="0"/>
              <w:right w:val="nil"/>
            </w:tcBorders>
            <w:shd w:val="clear" w:color="auto" w:fill="auto"/>
            <w:vAlign w:val="center"/>
          </w:tcPr>
          <w:p>
            <w:pPr>
              <w:rPr>
                <w:rFonts w:hint="eastAsia"/>
              </w:rPr>
            </w:pPr>
            <w:r>
              <w:rPr>
                <w:rFonts w:hint="eastAsia"/>
                <w:lang w:val="en-US" w:eastAsia="zh-CN"/>
              </w:rPr>
              <w:t>门诊放化疗</w:t>
            </w:r>
          </w:p>
        </w:tc>
        <w:tc>
          <w:tcPr>
            <w:tcW w:w="271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依据《湖南省恶性肿瘤门诊放化疗医保支付管理暂行办法》执行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w:t>
            </w:r>
          </w:p>
        </w:tc>
        <w:tc>
          <w:tcPr>
            <w:tcW w:w="1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高血压病3级（有心、脑、肾、眼并发症之一）</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1至2个并发症</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140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2个以上并发症</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260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182</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3</w:t>
            </w:r>
          </w:p>
        </w:tc>
        <w:tc>
          <w:tcPr>
            <w:tcW w:w="1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糖尿病（合并心、肾、眼、足、神经病变之一）</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1至2个并发症</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210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2个以上并发症</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400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280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4</w:t>
            </w:r>
          </w:p>
        </w:tc>
        <w:tc>
          <w:tcPr>
            <w:tcW w:w="1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冠心病</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普通</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260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182</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PCI术后</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400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280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5</w:t>
            </w:r>
          </w:p>
        </w:tc>
        <w:tc>
          <w:tcPr>
            <w:tcW w:w="143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脑血管意外（包括脑出血、脑梗塞、蛛网膜下腔出血）后遗症康复治疗</w:t>
            </w:r>
          </w:p>
        </w:tc>
        <w:tc>
          <w:tcPr>
            <w:tcW w:w="17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140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6</w:t>
            </w:r>
          </w:p>
        </w:tc>
        <w:tc>
          <w:tcPr>
            <w:tcW w:w="1430" w:type="pct"/>
            <w:vMerge w:val="restart"/>
            <w:tcBorders>
              <w:top w:val="nil"/>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血友病</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非急性出血</w:t>
            </w:r>
          </w:p>
        </w:tc>
        <w:tc>
          <w:tcPr>
            <w:tcW w:w="1084" w:type="pct"/>
            <w:gridSpan w:val="2"/>
            <w:tcBorders>
              <w:top w:val="single" w:color="000000" w:sz="4" w:space="0"/>
              <w:left w:val="single" w:color="000000" w:sz="4" w:space="0"/>
              <w:bottom w:val="nil"/>
              <w:right w:val="single" w:color="000000" w:sz="4" w:space="0"/>
            </w:tcBorders>
            <w:shd w:val="clear" w:color="auto" w:fill="auto"/>
            <w:vAlign w:val="center"/>
          </w:tcPr>
          <w:p>
            <w:pPr>
              <w:rPr>
                <w:rFonts w:hint="eastAsia"/>
              </w:rPr>
            </w:pPr>
            <w:r>
              <w:rPr>
                <w:rFonts w:hint="eastAsia"/>
                <w:lang w:val="en-US" w:eastAsia="zh-CN"/>
              </w:rPr>
              <w:t>400</w:t>
            </w:r>
          </w:p>
        </w:tc>
        <w:tc>
          <w:tcPr>
            <w:tcW w:w="466" w:type="pct"/>
            <w:tcBorders>
              <w:top w:val="single" w:color="000000" w:sz="4" w:space="0"/>
              <w:left w:val="single" w:color="000000" w:sz="4" w:space="0"/>
              <w:bottom w:val="nil"/>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280</w:t>
            </w:r>
          </w:p>
        </w:tc>
        <w:tc>
          <w:tcPr>
            <w:tcW w:w="405" w:type="pct"/>
            <w:tcBorders>
              <w:top w:val="single" w:color="000000" w:sz="4" w:space="0"/>
              <w:left w:val="single" w:color="000000" w:sz="4" w:space="0"/>
              <w:bottom w:val="nil"/>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30" w:type="pct"/>
            <w:vMerge w:val="continue"/>
            <w:tcBorders>
              <w:top w:val="nil"/>
              <w:left w:val="single" w:color="000000" w:sz="4" w:space="0"/>
              <w:bottom w:val="single" w:color="000000" w:sz="4" w:space="0"/>
              <w:right w:val="single" w:color="000000" w:sz="4" w:space="0"/>
            </w:tcBorders>
            <w:shd w:val="clear" w:color="auto" w:fill="auto"/>
            <w:vAlign w:val="center"/>
          </w:tcPr>
          <w:p>
            <w:pPr>
              <w:rPr>
                <w:rFonts w:hint="eastAsia"/>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急性出血期</w:t>
            </w:r>
          </w:p>
        </w:tc>
        <w:tc>
          <w:tcPr>
            <w:tcW w:w="271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限医药机构现场注射治疗，参照住院起付线、报销比例、支付限额执行（报销范围：限相关治疗用药）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7</w:t>
            </w:r>
          </w:p>
        </w:tc>
        <w:tc>
          <w:tcPr>
            <w:tcW w:w="143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精神分裂症</w:t>
            </w:r>
          </w:p>
        </w:tc>
        <w:tc>
          <w:tcPr>
            <w:tcW w:w="17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140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8</w:t>
            </w:r>
          </w:p>
        </w:tc>
        <w:tc>
          <w:tcPr>
            <w:tcW w:w="1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肺结核</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普通</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150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105</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耐多药</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1500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1050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半年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rPr>
            </w:pPr>
            <w:r>
              <w:rPr>
                <w:rFonts w:hint="eastAsia"/>
                <w:lang w:val="en-US" w:eastAsia="zh-CN"/>
              </w:rPr>
              <w:t>9</w:t>
            </w:r>
          </w:p>
        </w:tc>
        <w:tc>
          <w:tcPr>
            <w:tcW w:w="1430"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系统性红斑狼疮（有心、肺、肾、脑及血液系统并发症之一）</w:t>
            </w:r>
          </w:p>
        </w:tc>
        <w:tc>
          <w:tcPr>
            <w:tcW w:w="17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140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rPr>
            </w:pPr>
            <w:r>
              <w:rPr>
                <w:rFonts w:hint="eastAsia"/>
                <w:lang w:val="en-US" w:eastAsia="zh-CN"/>
              </w:rPr>
              <w:t>10</w:t>
            </w:r>
          </w:p>
        </w:tc>
        <w:tc>
          <w:tcPr>
            <w:tcW w:w="1430" w:type="pct"/>
            <w:tcBorders>
              <w:top w:val="single" w:color="auto" w:sz="4" w:space="0"/>
              <w:left w:val="single" w:color="000000"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慢性再生障碍性贫血</w:t>
            </w:r>
          </w:p>
        </w:tc>
        <w:tc>
          <w:tcPr>
            <w:tcW w:w="1712"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210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11</w:t>
            </w:r>
          </w:p>
        </w:tc>
        <w:tc>
          <w:tcPr>
            <w:tcW w:w="1430" w:type="pct"/>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肝硬化</w:t>
            </w:r>
          </w:p>
        </w:tc>
        <w:tc>
          <w:tcPr>
            <w:tcW w:w="17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210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nil"/>
              <w:left w:val="single" w:color="000000" w:sz="4" w:space="0"/>
              <w:bottom w:val="single" w:color="auto" w:sz="4" w:space="0"/>
              <w:right w:val="single" w:color="000000" w:sz="4" w:space="0"/>
            </w:tcBorders>
            <w:shd w:val="clear" w:color="auto" w:fill="auto"/>
            <w:vAlign w:val="center"/>
          </w:tcPr>
          <w:p>
            <w:pPr>
              <w:jc w:val="center"/>
              <w:rPr>
                <w:rFonts w:hint="eastAsia"/>
              </w:rPr>
            </w:pPr>
            <w:r>
              <w:rPr>
                <w:rFonts w:hint="eastAsia"/>
                <w:lang w:val="en-US" w:eastAsia="zh-CN"/>
              </w:rPr>
              <w:t>12</w:t>
            </w:r>
          </w:p>
        </w:tc>
        <w:tc>
          <w:tcPr>
            <w:tcW w:w="1430"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帕金森病</w:t>
            </w:r>
          </w:p>
        </w:tc>
        <w:tc>
          <w:tcPr>
            <w:tcW w:w="1712" w:type="pct"/>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300</w:t>
            </w:r>
          </w:p>
        </w:tc>
        <w:tc>
          <w:tcPr>
            <w:tcW w:w="466"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210</w:t>
            </w:r>
          </w:p>
        </w:tc>
        <w:tc>
          <w:tcPr>
            <w:tcW w:w="405"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13</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肺心病（出现右心衰者）</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270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189</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14</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风湿性心脏病（心功能Ⅲ级）</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270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189</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15</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哮喘</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270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189</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16</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类风湿关节炎</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270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189</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17</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慢性乙型肝炎</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270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189</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18</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原发免疫性血小板减少症（ITP）</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260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182</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19</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多发性硬化症</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260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182</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20</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重症肌无力</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240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168</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21</w:t>
            </w:r>
          </w:p>
        </w:tc>
        <w:tc>
          <w:tcPr>
            <w:tcW w:w="1430" w:type="pct"/>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肝豆状核变性</w:t>
            </w:r>
          </w:p>
        </w:tc>
        <w:tc>
          <w:tcPr>
            <w:tcW w:w="1712"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260</w:t>
            </w:r>
          </w:p>
        </w:tc>
        <w:tc>
          <w:tcPr>
            <w:tcW w:w="466" w:type="pct"/>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182</w:t>
            </w:r>
          </w:p>
        </w:tc>
        <w:tc>
          <w:tcPr>
            <w:tcW w:w="405" w:type="pct"/>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22</w:t>
            </w:r>
          </w:p>
        </w:tc>
        <w:tc>
          <w:tcPr>
            <w:tcW w:w="143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多发性骨髓瘤</w:t>
            </w:r>
          </w:p>
        </w:tc>
        <w:tc>
          <w:tcPr>
            <w:tcW w:w="17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280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196</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23</w:t>
            </w:r>
          </w:p>
        </w:tc>
        <w:tc>
          <w:tcPr>
            <w:tcW w:w="143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系统性硬化症</w:t>
            </w:r>
          </w:p>
        </w:tc>
        <w:tc>
          <w:tcPr>
            <w:tcW w:w="17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220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154</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24</w:t>
            </w:r>
          </w:p>
        </w:tc>
        <w:tc>
          <w:tcPr>
            <w:tcW w:w="143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视神经脊髓炎谱系疾病</w:t>
            </w:r>
          </w:p>
        </w:tc>
        <w:tc>
          <w:tcPr>
            <w:tcW w:w="17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140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25</w:t>
            </w:r>
          </w:p>
        </w:tc>
        <w:tc>
          <w:tcPr>
            <w:tcW w:w="143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垂体瘤</w:t>
            </w:r>
          </w:p>
        </w:tc>
        <w:tc>
          <w:tcPr>
            <w:tcW w:w="17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230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161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26</w:t>
            </w:r>
          </w:p>
        </w:tc>
        <w:tc>
          <w:tcPr>
            <w:tcW w:w="143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克罗恩病</w:t>
            </w:r>
          </w:p>
        </w:tc>
        <w:tc>
          <w:tcPr>
            <w:tcW w:w="17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230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161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rPr>
            </w:pPr>
            <w:r>
              <w:rPr>
                <w:rFonts w:hint="eastAsia"/>
                <w:lang w:val="en-US" w:eastAsia="zh-CN"/>
              </w:rPr>
              <w:t>27</w:t>
            </w:r>
          </w:p>
        </w:tc>
        <w:tc>
          <w:tcPr>
            <w:tcW w:w="1430"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癫痫</w:t>
            </w:r>
          </w:p>
        </w:tc>
        <w:tc>
          <w:tcPr>
            <w:tcW w:w="1712" w:type="pct"/>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200</w:t>
            </w:r>
          </w:p>
        </w:tc>
        <w:tc>
          <w:tcPr>
            <w:tcW w:w="466"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140</w:t>
            </w:r>
          </w:p>
        </w:tc>
        <w:tc>
          <w:tcPr>
            <w:tcW w:w="405"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28</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阿尔茨海默病</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140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29</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中重度银屑病</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140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30</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肺动脉高压</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140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31</w:t>
            </w:r>
          </w:p>
        </w:tc>
        <w:tc>
          <w:tcPr>
            <w:tcW w:w="14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地中海贫血</w:t>
            </w:r>
          </w:p>
        </w:tc>
        <w:tc>
          <w:tcPr>
            <w:tcW w:w="628"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输血依赖型</w:t>
            </w:r>
          </w:p>
        </w:tc>
        <w:tc>
          <w:tcPr>
            <w:tcW w:w="2717"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限医疗机构诊治，参照住院起付线、报销比例、支付限额执行（报销范围：限输血前化验、输血治疗、相关治疗用药）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p>
        </w:tc>
        <w:tc>
          <w:tcPr>
            <w:tcW w:w="143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p>
        </w:tc>
        <w:tc>
          <w:tcPr>
            <w:tcW w:w="628"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非输血依赖型</w:t>
            </w:r>
          </w:p>
        </w:tc>
        <w:tc>
          <w:tcPr>
            <w:tcW w:w="108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140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32</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慢性阻塞性肺疾病</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210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33</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恶性肿瘤晚期恶病质（家庭病床）</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900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630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34</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植物状态（家庭病床）</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1500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1050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35</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晚期血吸虫病</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400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280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36</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肾病综合征</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210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37</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抑郁症（重度）</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500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350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38</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强直性脊柱炎</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w:t>
            </w:r>
            <w:bookmarkStart w:id="0" w:name="_GoBack"/>
            <w:bookmarkEnd w:id="0"/>
            <w:r>
              <w:rPr>
                <w:rFonts w:hint="eastAsia"/>
                <w:lang w:val="en-US" w:eastAsia="zh-CN"/>
              </w:rPr>
              <w:t>10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39</w:t>
            </w:r>
          </w:p>
        </w:tc>
        <w:tc>
          <w:tcPr>
            <w:tcW w:w="143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前列腺增生症</w:t>
            </w:r>
          </w:p>
        </w:tc>
        <w:tc>
          <w:tcPr>
            <w:tcW w:w="171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140</w:t>
            </w:r>
          </w:p>
        </w:tc>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40</w:t>
            </w:r>
          </w:p>
        </w:tc>
        <w:tc>
          <w:tcPr>
            <w:tcW w:w="1430" w:type="pct"/>
            <w:vMerge w:val="restart"/>
            <w:tcBorders>
              <w:top w:val="single" w:color="auto" w:sz="4" w:space="0"/>
              <w:left w:val="single" w:color="000000" w:sz="4" w:space="0"/>
              <w:bottom w:val="single" w:color="000000" w:sz="4" w:space="0"/>
              <w:right w:val="single" w:color="auto" w:sz="4" w:space="0"/>
            </w:tcBorders>
            <w:shd w:val="clear" w:color="auto" w:fill="auto"/>
            <w:vAlign w:val="center"/>
          </w:tcPr>
          <w:p>
            <w:pPr>
              <w:rPr>
                <w:rFonts w:hint="eastAsia"/>
              </w:rPr>
            </w:pPr>
            <w:r>
              <w:rPr>
                <w:rFonts w:hint="eastAsia"/>
                <w:lang w:val="en-US" w:eastAsia="zh-CN"/>
              </w:rPr>
              <w:t>器官移植后抗排异治疗</w:t>
            </w:r>
          </w:p>
        </w:tc>
        <w:tc>
          <w:tcPr>
            <w:tcW w:w="62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异基因造血干细胞移植</w:t>
            </w:r>
          </w:p>
        </w:tc>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半年内</w:t>
            </w:r>
          </w:p>
        </w:tc>
        <w:tc>
          <w:tcPr>
            <w:tcW w:w="54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5000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3500</w:t>
            </w:r>
          </w:p>
        </w:tc>
        <w:tc>
          <w:tcPr>
            <w:tcW w:w="405" w:type="pct"/>
            <w:vMerge w:val="restart"/>
            <w:tcBorders>
              <w:top w:val="single" w:color="auto" w:sz="4" w:space="0"/>
              <w:left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30"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rPr>
                <w:rFonts w:hint="eastAsia"/>
              </w:rPr>
            </w:pPr>
          </w:p>
        </w:tc>
        <w:tc>
          <w:tcPr>
            <w:tcW w:w="62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p>
        </w:tc>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6月~1年</w:t>
            </w:r>
          </w:p>
        </w:tc>
        <w:tc>
          <w:tcPr>
            <w:tcW w:w="54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2000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1400</w:t>
            </w:r>
          </w:p>
        </w:tc>
        <w:tc>
          <w:tcPr>
            <w:tcW w:w="405" w:type="pct"/>
            <w:vMerge w:val="continue"/>
            <w:tcBorders>
              <w:left w:val="single" w:color="auto" w:sz="4" w:space="0"/>
              <w:right w:val="single" w:color="auto"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30"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rPr>
                <w:rFonts w:hint="eastAsia"/>
              </w:rPr>
            </w:pPr>
          </w:p>
        </w:tc>
        <w:tc>
          <w:tcPr>
            <w:tcW w:w="62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p>
        </w:tc>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1年~5年</w:t>
            </w:r>
          </w:p>
        </w:tc>
        <w:tc>
          <w:tcPr>
            <w:tcW w:w="545"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500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350</w:t>
            </w:r>
          </w:p>
        </w:tc>
        <w:tc>
          <w:tcPr>
            <w:tcW w:w="405" w:type="pct"/>
            <w:vMerge w:val="continue"/>
            <w:tcBorders>
              <w:left w:val="single" w:color="auto" w:sz="4" w:space="0"/>
              <w:right w:val="single" w:color="auto"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p>
        </w:tc>
        <w:tc>
          <w:tcPr>
            <w:tcW w:w="1430"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rPr>
                <w:rFonts w:hint="eastAsia"/>
              </w:rPr>
            </w:pPr>
          </w:p>
        </w:tc>
        <w:tc>
          <w:tcPr>
            <w:tcW w:w="628"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肝、肾、肺、心脏、心肺联合移植</w:t>
            </w:r>
          </w:p>
        </w:tc>
        <w:tc>
          <w:tcPr>
            <w:tcW w:w="108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5000</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3500</w:t>
            </w:r>
          </w:p>
        </w:tc>
        <w:tc>
          <w:tcPr>
            <w:tcW w:w="405" w:type="pct"/>
            <w:vMerge w:val="continue"/>
            <w:tcBorders>
              <w:left w:val="single" w:color="auto" w:sz="4" w:space="0"/>
              <w:bottom w:val="single" w:color="auto" w:sz="4" w:space="0"/>
              <w:right w:val="single" w:color="auto" w:sz="4" w:space="0"/>
            </w:tcBorders>
            <w:shd w:val="clear" w:color="auto" w:fill="auto"/>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r>
              <w:rPr>
                <w:rFonts w:hint="eastAsia"/>
                <w:lang w:val="en-US" w:eastAsia="zh-CN"/>
              </w:rPr>
              <w:t>41</w:t>
            </w:r>
          </w:p>
        </w:tc>
        <w:tc>
          <w:tcPr>
            <w:tcW w:w="1430" w:type="pct"/>
            <w:tcBorders>
              <w:top w:val="single" w:color="000000" w:sz="4" w:space="0"/>
              <w:left w:val="single" w:color="000000" w:sz="4" w:space="0"/>
              <w:bottom w:val="nil"/>
              <w:right w:val="single" w:color="000000" w:sz="4" w:space="0"/>
            </w:tcBorders>
            <w:shd w:val="clear" w:color="auto" w:fill="auto"/>
            <w:vAlign w:val="center"/>
          </w:tcPr>
          <w:p>
            <w:pPr>
              <w:rPr>
                <w:rFonts w:hint="eastAsia"/>
              </w:rPr>
            </w:pPr>
            <w:r>
              <w:rPr>
                <w:rFonts w:hint="eastAsia"/>
                <w:lang w:val="en-US" w:eastAsia="zh-CN"/>
              </w:rPr>
              <w:t>子宫内膜异位症（术后6个月内）</w:t>
            </w:r>
          </w:p>
        </w:tc>
        <w:tc>
          <w:tcPr>
            <w:tcW w:w="3345" w:type="pct"/>
            <w:gridSpan w:val="6"/>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单列支付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42</w:t>
            </w:r>
          </w:p>
        </w:tc>
        <w:tc>
          <w:tcPr>
            <w:tcW w:w="143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艾滋病</w:t>
            </w:r>
          </w:p>
        </w:tc>
        <w:tc>
          <w:tcPr>
            <w:tcW w:w="334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单列支付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43</w:t>
            </w:r>
          </w:p>
        </w:tc>
        <w:tc>
          <w:tcPr>
            <w:tcW w:w="143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慢性肾功能衰竭（门诊透析治疗）</w:t>
            </w:r>
          </w:p>
        </w:tc>
        <w:tc>
          <w:tcPr>
            <w:tcW w:w="334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单独制定政策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44</w:t>
            </w:r>
          </w:p>
        </w:tc>
        <w:tc>
          <w:tcPr>
            <w:tcW w:w="1430" w:type="pct"/>
            <w:tcBorders>
              <w:top w:val="single" w:color="000000" w:sz="4" w:space="0"/>
              <w:left w:val="single" w:color="000000" w:sz="4" w:space="0"/>
              <w:bottom w:val="nil"/>
              <w:right w:val="single" w:color="000000" w:sz="4" w:space="0"/>
            </w:tcBorders>
            <w:shd w:val="clear" w:color="auto" w:fill="auto"/>
            <w:vAlign w:val="center"/>
          </w:tcPr>
          <w:p>
            <w:pPr>
              <w:rPr>
                <w:rFonts w:hint="eastAsia"/>
              </w:rPr>
            </w:pPr>
            <w:r>
              <w:rPr>
                <w:rFonts w:hint="eastAsia"/>
                <w:lang w:val="en-US" w:eastAsia="zh-CN"/>
              </w:rPr>
              <w:t>儿童脑性瘫痪（0~7岁）</w:t>
            </w:r>
          </w:p>
        </w:tc>
        <w:tc>
          <w:tcPr>
            <w:tcW w:w="17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lang w:val="en-US" w:eastAsia="zh-CN"/>
              </w:rPr>
            </w:pPr>
            <w:r>
              <w:rPr>
                <w:rFonts w:hint="eastAsia"/>
                <w:lang w:val="en-US" w:eastAsia="zh-CN"/>
              </w:rPr>
              <w:t>1000（含康复治疗费用）</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lang w:val="en-US"/>
              </w:rPr>
            </w:pPr>
            <w:r>
              <w:rPr>
                <w:rFonts w:hint="eastAsia"/>
                <w:lang w:val="en-US" w:eastAsia="zh-CN"/>
              </w:rPr>
              <w:t>700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rPr>
            </w:pPr>
            <w:r>
              <w:rPr>
                <w:rFonts w:hint="eastAsia"/>
                <w:lang w:val="en-US" w:eastAsia="zh-CN"/>
              </w:rPr>
              <w:t>45</w:t>
            </w:r>
          </w:p>
        </w:tc>
        <w:tc>
          <w:tcPr>
            <w:tcW w:w="1430"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小胖威利症</w:t>
            </w:r>
          </w:p>
        </w:tc>
        <w:tc>
          <w:tcPr>
            <w:tcW w:w="17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lang w:val="en-US"/>
              </w:rPr>
            </w:pPr>
            <w:r>
              <w:rPr>
                <w:rFonts w:hint="eastAsia"/>
                <w:lang w:val="en-US" w:eastAsia="zh-CN"/>
              </w:rPr>
              <w:t>500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lang w:val="en-US"/>
              </w:rPr>
            </w:pPr>
            <w:r>
              <w:rPr>
                <w:rFonts w:hint="eastAsia"/>
                <w:lang w:val="en-US" w:eastAsia="zh-CN"/>
              </w:rPr>
              <w:t>350</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2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rPr>
            </w:pPr>
            <w:r>
              <w:rPr>
                <w:rFonts w:hint="eastAsia"/>
                <w:lang w:val="en-US" w:eastAsia="zh-CN"/>
              </w:rPr>
              <w:t>46</w:t>
            </w:r>
          </w:p>
        </w:tc>
        <w:tc>
          <w:tcPr>
            <w:tcW w:w="1430"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苯丙酮尿症（PKU限0~14岁）</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lang w:val="en-US" w:eastAsia="zh-CN"/>
              </w:rPr>
            </w:pPr>
            <w:r>
              <w:rPr>
                <w:rFonts w:hint="eastAsia"/>
                <w:lang w:val="en-US" w:eastAsia="zh-CN"/>
              </w:rPr>
              <w:t>1岁以内</w:t>
            </w:r>
          </w:p>
        </w:tc>
        <w:tc>
          <w:tcPr>
            <w:tcW w:w="10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lang w:val="en-US" w:eastAsia="zh-CN"/>
              </w:rPr>
            </w:pPr>
            <w:r>
              <w:rPr>
                <w:rFonts w:hint="eastAsia"/>
                <w:lang w:val="en-US" w:eastAsia="zh-CN"/>
              </w:rPr>
              <w:t>1250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lang w:val="en-US" w:eastAsia="zh-CN"/>
              </w:rPr>
            </w:pPr>
            <w:r>
              <w:rPr>
                <w:rFonts w:hint="eastAsia"/>
                <w:lang w:val="en-US" w:eastAsia="zh-CN"/>
              </w:rPr>
              <w:t>70%</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lang w:val="en-US" w:eastAsia="zh-CN"/>
              </w:rPr>
            </w:pPr>
            <w:r>
              <w:rPr>
                <w:rFonts w:hint="eastAsia"/>
                <w:lang w:val="en-US" w:eastAsia="zh-CN"/>
              </w:rPr>
              <w:t>875</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lang w:val="en-US" w:eastAsia="zh-CN"/>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22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rPr>
            </w:pPr>
          </w:p>
        </w:tc>
        <w:tc>
          <w:tcPr>
            <w:tcW w:w="143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rPr>
            </w:pPr>
          </w:p>
        </w:tc>
        <w:tc>
          <w:tcPr>
            <w:tcW w:w="628" w:type="pct"/>
            <w:tcBorders>
              <w:top w:val="single" w:color="000000" w:sz="4" w:space="0"/>
              <w:left w:val="single" w:color="000000" w:sz="4" w:space="0"/>
              <w:bottom w:val="single" w:color="000000" w:sz="4" w:space="0"/>
              <w:right w:val="single" w:color="auto" w:sz="4" w:space="0"/>
            </w:tcBorders>
            <w:shd w:val="clear" w:color="auto" w:fill="auto"/>
            <w:vAlign w:val="center"/>
          </w:tcPr>
          <w:p>
            <w:pPr>
              <w:rPr>
                <w:rFonts w:hint="eastAsia"/>
                <w:lang w:val="en-US" w:eastAsia="zh-CN"/>
              </w:rPr>
            </w:pPr>
            <w:r>
              <w:rPr>
                <w:rFonts w:hint="eastAsia"/>
                <w:lang w:val="en-US" w:eastAsia="zh-CN"/>
              </w:rPr>
              <w:t>1岁以上</w:t>
            </w:r>
          </w:p>
        </w:tc>
        <w:tc>
          <w:tcPr>
            <w:tcW w:w="1084"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rPr>
                <w:rFonts w:hint="eastAsia"/>
                <w:lang w:val="en-US" w:eastAsia="zh-CN"/>
              </w:rPr>
            </w:pPr>
            <w:r>
              <w:rPr>
                <w:rFonts w:hint="eastAsia"/>
                <w:lang w:val="en-US" w:eastAsia="zh-CN"/>
              </w:rPr>
              <w:t>400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lang w:val="en-US" w:eastAsia="zh-CN"/>
              </w:rPr>
            </w:pPr>
            <w:r>
              <w:rPr>
                <w:rFonts w:hint="eastAsia"/>
                <w:lang w:val="en-US" w:eastAsia="zh-CN"/>
              </w:rPr>
              <w:t>70%</w:t>
            </w:r>
          </w:p>
        </w:tc>
        <w:tc>
          <w:tcPr>
            <w:tcW w:w="760"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lang w:val="en-US" w:eastAsia="zh-CN"/>
              </w:rPr>
            </w:pPr>
            <w:r>
              <w:rPr>
                <w:rFonts w:hint="eastAsia"/>
                <w:lang w:val="en-US" w:eastAsia="zh-CN"/>
              </w:rPr>
              <w:t>280</w:t>
            </w:r>
          </w:p>
        </w:tc>
        <w:tc>
          <w:tcPr>
            <w:tcW w:w="405"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224" w:type="pct"/>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rPr>
            </w:pPr>
            <w:r>
              <w:rPr>
                <w:rFonts w:hint="eastAsia"/>
                <w:lang w:val="en-US" w:eastAsia="zh-CN"/>
              </w:rPr>
              <w:t>47</w:t>
            </w:r>
          </w:p>
        </w:tc>
        <w:tc>
          <w:tcPr>
            <w:tcW w:w="1430" w:type="pct"/>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尘肺病</w:t>
            </w:r>
          </w:p>
        </w:tc>
        <w:tc>
          <w:tcPr>
            <w:tcW w:w="628" w:type="pct"/>
            <w:tcBorders>
              <w:top w:val="single" w:color="000000" w:sz="4" w:space="0"/>
              <w:left w:val="single" w:color="auto" w:sz="4" w:space="0"/>
              <w:bottom w:val="single" w:color="000000" w:sz="4" w:space="0"/>
              <w:right w:val="single" w:color="auto" w:sz="4" w:space="0"/>
            </w:tcBorders>
            <w:shd w:val="clear" w:color="auto" w:fill="auto"/>
            <w:vAlign w:val="center"/>
          </w:tcPr>
          <w:p>
            <w:pPr>
              <w:rPr>
                <w:rFonts w:hint="eastAsia"/>
                <w:lang w:val="en-US" w:eastAsia="zh-CN"/>
              </w:rPr>
            </w:pPr>
            <w:r>
              <w:rPr>
                <w:rFonts w:hint="eastAsia"/>
                <w:lang w:val="en-US" w:eastAsia="zh-CN"/>
              </w:rPr>
              <w:t>尘肺壹期</w:t>
            </w:r>
          </w:p>
        </w:tc>
        <w:tc>
          <w:tcPr>
            <w:tcW w:w="1084"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rPr>
                <w:rFonts w:hint="eastAsia"/>
                <w:lang w:val="en-US" w:eastAsia="zh-CN"/>
              </w:rPr>
            </w:pPr>
            <w:r>
              <w:rPr>
                <w:rFonts w:hint="eastAsia"/>
                <w:lang w:val="en-US" w:eastAsia="zh-CN"/>
              </w:rPr>
              <w:t>200</w:t>
            </w:r>
          </w:p>
        </w:tc>
        <w:tc>
          <w:tcPr>
            <w:tcW w:w="466" w:type="pct"/>
            <w:tcBorders>
              <w:top w:val="single" w:color="000000" w:sz="4" w:space="0"/>
              <w:left w:val="single" w:color="000000" w:sz="4" w:space="0"/>
              <w:bottom w:val="single" w:color="000000" w:sz="4" w:space="0"/>
              <w:right w:val="single" w:color="auto" w:sz="4" w:space="0"/>
            </w:tcBorders>
            <w:shd w:val="clear" w:color="auto" w:fill="auto"/>
            <w:vAlign w:val="center"/>
          </w:tcPr>
          <w:p>
            <w:pPr>
              <w:rPr>
                <w:rFonts w:hint="eastAsia"/>
                <w:lang w:val="en-US" w:eastAsia="zh-CN"/>
              </w:rPr>
            </w:pPr>
            <w:r>
              <w:rPr>
                <w:rFonts w:hint="eastAsia"/>
                <w:lang w:val="en-US" w:eastAsia="zh-CN"/>
              </w:rPr>
              <w:t>70%</w:t>
            </w:r>
          </w:p>
        </w:tc>
        <w:tc>
          <w:tcPr>
            <w:tcW w:w="760" w:type="pct"/>
            <w:tcBorders>
              <w:top w:val="single" w:color="auto" w:sz="4" w:space="0"/>
              <w:left w:val="single" w:color="auto" w:sz="4" w:space="0"/>
              <w:bottom w:val="single" w:color="auto" w:sz="4" w:space="0"/>
              <w:right w:val="single" w:color="000000" w:sz="4" w:space="0"/>
            </w:tcBorders>
            <w:shd w:val="clear" w:color="auto" w:fill="auto"/>
            <w:vAlign w:val="center"/>
          </w:tcPr>
          <w:p>
            <w:pPr>
              <w:rPr>
                <w:rFonts w:hint="eastAsia"/>
                <w:lang w:val="en-US" w:eastAsia="zh-CN"/>
              </w:rPr>
            </w:pPr>
            <w:r>
              <w:rPr>
                <w:rFonts w:hint="eastAsia"/>
                <w:lang w:val="en-US" w:eastAsia="zh-CN"/>
              </w:rPr>
              <w:t>140</w:t>
            </w:r>
          </w:p>
        </w:tc>
        <w:tc>
          <w:tcPr>
            <w:tcW w:w="405" w:type="pct"/>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rPr>
                <w:rFonts w:hint="eastAsia"/>
              </w:rPr>
            </w:pPr>
            <w:r>
              <w:rPr>
                <w:rFonts w:hint="eastAsia"/>
                <w:lang w:val="en-US" w:eastAsia="zh-CN"/>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224"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lang w:val="en-US" w:eastAsia="zh-CN"/>
              </w:rPr>
            </w:pPr>
          </w:p>
        </w:tc>
        <w:tc>
          <w:tcPr>
            <w:tcW w:w="1430"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rPr>
                <w:rFonts w:hint="eastAsia"/>
                <w:lang w:val="en-US" w:eastAsia="zh-CN"/>
              </w:rPr>
            </w:pPr>
          </w:p>
        </w:tc>
        <w:tc>
          <w:tcPr>
            <w:tcW w:w="628" w:type="pct"/>
            <w:tcBorders>
              <w:top w:val="single" w:color="000000" w:sz="4" w:space="0"/>
              <w:left w:val="single" w:color="auto" w:sz="4" w:space="0"/>
              <w:bottom w:val="single" w:color="000000" w:sz="4" w:space="0"/>
              <w:right w:val="single" w:color="auto" w:sz="4" w:space="0"/>
            </w:tcBorders>
            <w:shd w:val="clear" w:color="auto" w:fill="auto"/>
            <w:vAlign w:val="center"/>
          </w:tcPr>
          <w:p>
            <w:pPr>
              <w:rPr>
                <w:rFonts w:hint="eastAsia"/>
                <w:lang w:val="en-US" w:eastAsia="zh-CN"/>
              </w:rPr>
            </w:pPr>
            <w:r>
              <w:rPr>
                <w:rFonts w:hint="eastAsia"/>
                <w:lang w:val="en-US" w:eastAsia="zh-CN"/>
              </w:rPr>
              <w:t>尘肺贰期</w:t>
            </w:r>
          </w:p>
        </w:tc>
        <w:tc>
          <w:tcPr>
            <w:tcW w:w="1084"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rPr>
                <w:rFonts w:hint="eastAsia"/>
                <w:lang w:val="en-US" w:eastAsia="zh-CN"/>
              </w:rPr>
            </w:pPr>
            <w:r>
              <w:rPr>
                <w:rFonts w:hint="eastAsia"/>
                <w:lang w:val="en-US" w:eastAsia="zh-CN"/>
              </w:rPr>
              <w:t>300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lang w:val="en-US" w:eastAsia="zh-CN"/>
              </w:rPr>
            </w:pPr>
            <w:r>
              <w:rPr>
                <w:rFonts w:hint="eastAsia"/>
                <w:lang w:val="en-US" w:eastAsia="zh-CN"/>
              </w:rPr>
              <w:t>70%</w:t>
            </w:r>
          </w:p>
        </w:tc>
        <w:tc>
          <w:tcPr>
            <w:tcW w:w="760" w:type="pct"/>
            <w:tcBorders>
              <w:top w:val="single" w:color="auto" w:sz="4" w:space="0"/>
              <w:left w:val="single" w:color="000000" w:sz="4" w:space="0"/>
              <w:bottom w:val="single" w:color="000000" w:sz="4" w:space="0"/>
              <w:right w:val="single" w:color="000000" w:sz="4" w:space="0"/>
            </w:tcBorders>
            <w:shd w:val="clear" w:color="auto" w:fill="auto"/>
            <w:vAlign w:val="center"/>
          </w:tcPr>
          <w:p>
            <w:pPr>
              <w:rPr>
                <w:rFonts w:hint="eastAsia"/>
                <w:lang w:val="en-US" w:eastAsia="zh-CN"/>
              </w:rPr>
            </w:pPr>
            <w:r>
              <w:rPr>
                <w:rFonts w:hint="eastAsia"/>
                <w:lang w:val="en-US" w:eastAsia="zh-CN"/>
              </w:rPr>
              <w:t>210</w:t>
            </w:r>
          </w:p>
        </w:tc>
        <w:tc>
          <w:tcPr>
            <w:tcW w:w="405" w:type="pct"/>
            <w:vMerge w:val="continue"/>
            <w:tcBorders>
              <w:top w:val="single" w:color="auto" w:sz="4" w:space="0"/>
              <w:left w:val="single" w:color="000000" w:sz="4" w:space="0"/>
              <w:right w:val="single" w:color="auto" w:sz="4" w:space="0"/>
            </w:tcBorders>
            <w:shd w:val="clear" w:color="auto" w:fill="auto"/>
            <w:vAlign w:val="center"/>
          </w:tcPr>
          <w:p>
            <w:pP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224"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lang w:val="en-US" w:eastAsia="zh-CN"/>
              </w:rPr>
            </w:pPr>
          </w:p>
        </w:tc>
        <w:tc>
          <w:tcPr>
            <w:tcW w:w="1430"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rPr>
                <w:rFonts w:hint="eastAsia"/>
                <w:lang w:val="en-US" w:eastAsia="zh-CN"/>
              </w:rPr>
            </w:pPr>
          </w:p>
        </w:tc>
        <w:tc>
          <w:tcPr>
            <w:tcW w:w="628" w:type="pct"/>
            <w:tcBorders>
              <w:top w:val="single" w:color="000000" w:sz="4" w:space="0"/>
              <w:left w:val="single" w:color="auto" w:sz="4" w:space="0"/>
              <w:bottom w:val="single" w:color="auto" w:sz="4" w:space="0"/>
              <w:right w:val="single" w:color="auto" w:sz="4" w:space="0"/>
            </w:tcBorders>
            <w:shd w:val="clear" w:color="auto" w:fill="auto"/>
            <w:vAlign w:val="center"/>
          </w:tcPr>
          <w:p>
            <w:pPr>
              <w:rPr>
                <w:rFonts w:hint="eastAsia"/>
                <w:lang w:val="en-US" w:eastAsia="zh-CN"/>
              </w:rPr>
            </w:pPr>
            <w:r>
              <w:rPr>
                <w:rFonts w:hint="eastAsia"/>
                <w:lang w:val="en-US" w:eastAsia="zh-CN"/>
              </w:rPr>
              <w:t>尘肺叁期</w:t>
            </w:r>
          </w:p>
        </w:tc>
        <w:tc>
          <w:tcPr>
            <w:tcW w:w="1084" w:type="pct"/>
            <w:gridSpan w:val="2"/>
            <w:tcBorders>
              <w:top w:val="single" w:color="000000" w:sz="4" w:space="0"/>
              <w:left w:val="single" w:color="auto" w:sz="4" w:space="0"/>
              <w:bottom w:val="single" w:color="auto" w:sz="4" w:space="0"/>
              <w:right w:val="single" w:color="000000" w:sz="4" w:space="0"/>
            </w:tcBorders>
            <w:shd w:val="clear" w:color="auto" w:fill="auto"/>
            <w:vAlign w:val="center"/>
          </w:tcPr>
          <w:p>
            <w:pPr>
              <w:rPr>
                <w:rFonts w:hint="eastAsia"/>
                <w:lang w:val="en-US" w:eastAsia="zh-CN"/>
              </w:rPr>
            </w:pPr>
            <w:r>
              <w:rPr>
                <w:rFonts w:hint="eastAsia"/>
                <w:lang w:val="en-US" w:eastAsia="zh-CN"/>
              </w:rPr>
              <w:t>350</w:t>
            </w:r>
          </w:p>
        </w:tc>
        <w:tc>
          <w:tcPr>
            <w:tcW w:w="466"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lang w:val="en-US" w:eastAsia="zh-CN"/>
              </w:rPr>
            </w:pPr>
            <w:r>
              <w:rPr>
                <w:rFonts w:hint="eastAsia"/>
                <w:lang w:val="en-US" w:eastAsia="zh-CN"/>
              </w:rPr>
              <w:t>70%</w:t>
            </w:r>
          </w:p>
        </w:tc>
        <w:tc>
          <w:tcPr>
            <w:tcW w:w="760" w:type="pct"/>
            <w:tcBorders>
              <w:top w:val="single" w:color="000000" w:sz="4" w:space="0"/>
              <w:left w:val="single" w:color="000000" w:sz="4" w:space="0"/>
              <w:bottom w:val="single" w:color="auto" w:sz="4" w:space="0"/>
              <w:right w:val="single" w:color="000000" w:sz="4" w:space="0"/>
            </w:tcBorders>
            <w:shd w:val="clear" w:color="auto" w:fill="auto"/>
            <w:vAlign w:val="center"/>
          </w:tcPr>
          <w:p>
            <w:pPr>
              <w:rPr>
                <w:rFonts w:hint="eastAsia"/>
                <w:lang w:val="en-US" w:eastAsia="zh-CN"/>
              </w:rPr>
            </w:pPr>
            <w:r>
              <w:rPr>
                <w:rFonts w:hint="eastAsia"/>
                <w:lang w:val="en-US" w:eastAsia="zh-CN"/>
              </w:rPr>
              <w:t>245</w:t>
            </w:r>
          </w:p>
        </w:tc>
        <w:tc>
          <w:tcPr>
            <w:tcW w:w="405" w:type="pct"/>
            <w:vMerge w:val="continue"/>
            <w:tcBorders>
              <w:left w:val="single" w:color="000000" w:sz="4" w:space="0"/>
              <w:bottom w:val="single" w:color="auto" w:sz="4" w:space="0"/>
              <w:right w:val="single" w:color="auto" w:sz="4" w:space="0"/>
            </w:tcBorders>
            <w:shd w:val="clear" w:color="auto" w:fill="auto"/>
            <w:vAlign w:val="center"/>
          </w:tcPr>
          <w:p>
            <w:pP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备注：各市州（含省本级，下同）原则上按照全省统一的居民医保门诊慢特病病种范围及医保支付标准执行。各市州原有的个别门诊慢特病病种，确有需要的经报省医保局备案后可暂予保留；门诊慢特病医药费用限额比新支付标准高出较多、难以一步调整到位的，在确保基金可承受的前提下，经报省医保局备案后可分步调整或暂按原标准执行。各市州超范围病种和超标准医药费用限额在下次提高全省居民医保普通门诊统筹待遇或启动省级统筹时须按全省统一标准调整到位。</w:t>
            </w:r>
          </w:p>
        </w:tc>
      </w:tr>
    </w:tbl>
    <w:p>
      <w:pPr>
        <w:rPr>
          <w:rFonts w:hint="default"/>
          <w:lang w:val="en-US" w:eastAsia="zh-CN"/>
        </w:rPr>
      </w:pPr>
    </w:p>
    <w:sectPr>
      <w:pgSz w:w="16838" w:h="11906" w:orient="landscape"/>
      <w:pgMar w:top="1474"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书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jYmU0OWU3ZjQwY2RlZGI2NTFhOWJiY2M5ZjMxMWMifQ=="/>
  </w:docVars>
  <w:rsids>
    <w:rsidRoot w:val="401E4F6A"/>
    <w:rsid w:val="002D269B"/>
    <w:rsid w:val="03F31506"/>
    <w:rsid w:val="080812F8"/>
    <w:rsid w:val="08236132"/>
    <w:rsid w:val="08850B9A"/>
    <w:rsid w:val="088650DD"/>
    <w:rsid w:val="08953153"/>
    <w:rsid w:val="08C96CD9"/>
    <w:rsid w:val="0D863964"/>
    <w:rsid w:val="0EF02B48"/>
    <w:rsid w:val="0F661726"/>
    <w:rsid w:val="10275FF1"/>
    <w:rsid w:val="11D30BC8"/>
    <w:rsid w:val="13E04CDB"/>
    <w:rsid w:val="14A27D6B"/>
    <w:rsid w:val="168C45E3"/>
    <w:rsid w:val="19397232"/>
    <w:rsid w:val="19636CD6"/>
    <w:rsid w:val="1B341F5E"/>
    <w:rsid w:val="1E946B94"/>
    <w:rsid w:val="207B4905"/>
    <w:rsid w:val="20D63E58"/>
    <w:rsid w:val="2115623E"/>
    <w:rsid w:val="235A2EF8"/>
    <w:rsid w:val="254B719F"/>
    <w:rsid w:val="26526108"/>
    <w:rsid w:val="26A22D14"/>
    <w:rsid w:val="26CC42FD"/>
    <w:rsid w:val="26CC7C68"/>
    <w:rsid w:val="271C59DE"/>
    <w:rsid w:val="28587A4E"/>
    <w:rsid w:val="28940C5A"/>
    <w:rsid w:val="2A5A4C0A"/>
    <w:rsid w:val="2AEC7004"/>
    <w:rsid w:val="2C3B319A"/>
    <w:rsid w:val="2D1E6BF7"/>
    <w:rsid w:val="30E23221"/>
    <w:rsid w:val="3335134C"/>
    <w:rsid w:val="3385640A"/>
    <w:rsid w:val="346A3A86"/>
    <w:rsid w:val="35845BB2"/>
    <w:rsid w:val="3B137D4E"/>
    <w:rsid w:val="3CB7061B"/>
    <w:rsid w:val="3CDE72F7"/>
    <w:rsid w:val="3E8409D1"/>
    <w:rsid w:val="401E4F6A"/>
    <w:rsid w:val="43B078AE"/>
    <w:rsid w:val="447D0F49"/>
    <w:rsid w:val="4927373A"/>
    <w:rsid w:val="4AF869CF"/>
    <w:rsid w:val="4C334424"/>
    <w:rsid w:val="4E593C28"/>
    <w:rsid w:val="4EF41B46"/>
    <w:rsid w:val="4FA17C57"/>
    <w:rsid w:val="529C40E3"/>
    <w:rsid w:val="53D43DC1"/>
    <w:rsid w:val="54FF5B87"/>
    <w:rsid w:val="55EE2EA8"/>
    <w:rsid w:val="57C02622"/>
    <w:rsid w:val="597942D7"/>
    <w:rsid w:val="59C81C62"/>
    <w:rsid w:val="5C0C052C"/>
    <w:rsid w:val="5D992A5F"/>
    <w:rsid w:val="5FEF7F48"/>
    <w:rsid w:val="627110E9"/>
    <w:rsid w:val="64882719"/>
    <w:rsid w:val="65EE18F1"/>
    <w:rsid w:val="664B7EA3"/>
    <w:rsid w:val="67381478"/>
    <w:rsid w:val="687028B0"/>
    <w:rsid w:val="69E00902"/>
    <w:rsid w:val="6AD94CA4"/>
    <w:rsid w:val="6C2F37F7"/>
    <w:rsid w:val="6CFA59CE"/>
    <w:rsid w:val="723C0925"/>
    <w:rsid w:val="733A7DD5"/>
    <w:rsid w:val="74E4574A"/>
    <w:rsid w:val="764A3CD3"/>
    <w:rsid w:val="7A74131E"/>
    <w:rsid w:val="7B735A7A"/>
    <w:rsid w:val="7C0466D2"/>
    <w:rsid w:val="7C45422B"/>
    <w:rsid w:val="7EED169F"/>
    <w:rsid w:val="7FAD6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91"/>
    <w:basedOn w:val="3"/>
    <w:qFormat/>
    <w:uiPriority w:val="0"/>
    <w:rPr>
      <w:rFonts w:hint="eastAsia" w:ascii="等线" w:hAnsi="等线" w:eastAsia="等线" w:cs="等线"/>
      <w:color w:val="000000"/>
      <w:sz w:val="18"/>
      <w:szCs w:val="18"/>
      <w:u w:val="none"/>
    </w:rPr>
  </w:style>
  <w:style w:type="character" w:customStyle="1" w:styleId="5">
    <w:name w:val="font101"/>
    <w:basedOn w:val="3"/>
    <w:qFormat/>
    <w:uiPriority w:val="0"/>
    <w:rPr>
      <w:rFonts w:hint="eastAsia" w:ascii="等线" w:hAnsi="等线" w:eastAsia="等线" w:cs="等线"/>
      <w:color w:val="FF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1290</Words>
  <Characters>1677</Characters>
  <Lines>0</Lines>
  <Paragraphs>0</Paragraphs>
  <TotalTime>34</TotalTime>
  <ScaleCrop>false</ScaleCrop>
  <LinksUpToDate>false</LinksUpToDate>
  <CharactersWithSpaces>1677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2023-04-27T07:52:00Z</dcterms:created>
  <dc:creator>许运琴</dc:creator>
  <cp:lastModifiedBy>许运琴</cp:lastModifiedBy>
  <cp:lastPrinted>2023-06-28T09:37:00Z</cp:lastPrinted>
  <dcterms:modified xsi:type="dcterms:W3CDTF">2023-07-30T03:36:24Z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429B721101E547148AD514A7EBAC009F_11</vt:lpwstr>
  </property>
</Properties>
</file>