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方正小标宋简体" w:hAnsi="方正小标宋简体" w:eastAsia="方正小标宋简体" w:cs="方正小标宋简体"/>
          <w:color w:val="auto"/>
          <w:sz w:val="28"/>
          <w:szCs w:val="28"/>
          <w:highlight w:val="none"/>
        </w:rPr>
      </w:pPr>
    </w:p>
    <w:p>
      <w:pPr>
        <w:jc w:val="center"/>
        <w:rPr>
          <w:rFonts w:ascii="方正小标宋简体" w:hAnsi="方正小标宋简体" w:eastAsia="方正小标宋简体" w:cs="方正小标宋简体"/>
          <w:color w:val="auto"/>
          <w:sz w:val="52"/>
          <w:szCs w:val="52"/>
          <w:highlight w:val="none"/>
        </w:rPr>
      </w:pP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760" w:lineRule="exact"/>
        <w:ind w:left="0" w:leftChars="0" w:rightChars="0" w:firstLine="0" w:firstLineChars="0"/>
        <w:jc w:val="center"/>
        <w:textAlignment w:val="auto"/>
        <w:rPr>
          <w:rFonts w:hint="default" w:ascii="Times New Roman" w:hAnsi="Times New Roman" w:eastAsia="方正小标宋_GBK" w:cs="Times New Roman"/>
          <w:b w:val="0"/>
          <w:i w:val="0"/>
          <w:sz w:val="48"/>
          <w:szCs w:val="48"/>
        </w:rPr>
      </w:pPr>
      <w:r>
        <w:rPr>
          <w:rFonts w:hint="default" w:ascii="Times New Roman" w:hAnsi="Times New Roman" w:eastAsia="方正小标宋_GBK" w:cs="Times New Roman"/>
          <w:b w:val="0"/>
          <w:i w:val="0"/>
          <w:sz w:val="48"/>
          <w:szCs w:val="48"/>
        </w:rPr>
        <w:t>三级医院评审标准（202</w:t>
      </w:r>
      <w:r>
        <w:rPr>
          <w:rFonts w:hint="default" w:ascii="Times New Roman" w:hAnsi="Times New Roman" w:eastAsia="方正小标宋_GBK" w:cs="Times New Roman"/>
          <w:b w:val="0"/>
          <w:i w:val="0"/>
          <w:sz w:val="48"/>
          <w:szCs w:val="48"/>
          <w:lang w:val="en-US" w:eastAsia="zh-CN"/>
        </w:rPr>
        <w:t>2年</w:t>
      </w:r>
      <w:r>
        <w:rPr>
          <w:rFonts w:hint="default" w:ascii="Times New Roman" w:hAnsi="Times New Roman" w:eastAsia="方正小标宋_GBK" w:cs="Times New Roman"/>
          <w:b w:val="0"/>
          <w:i w:val="0"/>
          <w:sz w:val="48"/>
          <w:szCs w:val="48"/>
        </w:rPr>
        <w:t>版）</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760" w:lineRule="exact"/>
        <w:ind w:left="0" w:leftChars="0" w:rightChars="0" w:firstLine="0" w:firstLineChars="0"/>
        <w:jc w:val="center"/>
        <w:textAlignment w:val="auto"/>
        <w:rPr>
          <w:rFonts w:hint="default" w:ascii="Times New Roman" w:hAnsi="Times New Roman" w:eastAsia="方正小标宋_GBK" w:cs="Times New Roman"/>
          <w:b w:val="0"/>
          <w:i w:val="0"/>
          <w:sz w:val="44"/>
        </w:rPr>
      </w:pPr>
      <w:r>
        <w:rPr>
          <w:rFonts w:hint="default" w:ascii="Times New Roman" w:hAnsi="Times New Roman" w:eastAsia="方正小标宋_GBK" w:cs="Times New Roman"/>
          <w:b w:val="0"/>
          <w:i w:val="0"/>
          <w:sz w:val="48"/>
          <w:szCs w:val="48"/>
        </w:rPr>
        <w:t>安徽省实施细则（试行）</w:t>
      </w:r>
    </w:p>
    <w:p>
      <w:pPr>
        <w:pStyle w:val="11"/>
        <w:bidi w:val="0"/>
        <w:spacing w:before="0" w:beforeAutospacing="0" w:after="0" w:afterAutospacing="0" w:line="560" w:lineRule="exact"/>
        <w:ind w:left="0" w:leftChars="0" w:rightChars="0" w:firstLine="0" w:firstLineChars="0"/>
        <w:jc w:val="center"/>
        <w:rPr>
          <w:rFonts w:hint="default" w:ascii="Times New Roman" w:hAnsi="Times New Roman" w:eastAsia="方正小标宋_GBK" w:cs="Times New Roman"/>
          <w:b w:val="0"/>
          <w:i w:val="0"/>
          <w:sz w:val="44"/>
        </w:rPr>
      </w:pPr>
    </w:p>
    <w:p>
      <w:pPr>
        <w:jc w:val="center"/>
        <w:rPr>
          <w:rFonts w:ascii="方正小标宋简体" w:hAnsi="方正小标宋简体" w:eastAsia="方正小标宋简体" w:cs="方正小标宋简体"/>
          <w:color w:val="auto"/>
          <w:sz w:val="44"/>
          <w:szCs w:val="44"/>
          <w:highlight w:val="none"/>
        </w:rPr>
      </w:pPr>
    </w:p>
    <w:p>
      <w:pPr>
        <w:jc w:val="center"/>
        <w:rPr>
          <w:rFonts w:ascii="方正小标宋简体" w:hAnsi="方正小标宋简体" w:eastAsia="方正小标宋简体" w:cs="方正小标宋简体"/>
          <w:color w:val="auto"/>
          <w:sz w:val="44"/>
          <w:szCs w:val="44"/>
          <w:highlight w:val="none"/>
        </w:rPr>
      </w:pPr>
    </w:p>
    <w:p>
      <w:pPr>
        <w:jc w:val="center"/>
        <w:rPr>
          <w:rFonts w:ascii="方正小标宋简体" w:hAnsi="方正小标宋简体" w:eastAsia="方正小标宋简体" w:cs="方正小标宋简体"/>
          <w:color w:val="auto"/>
          <w:sz w:val="44"/>
          <w:szCs w:val="44"/>
          <w:highlight w:val="none"/>
        </w:rPr>
      </w:pPr>
    </w:p>
    <w:p>
      <w:pPr>
        <w:jc w:val="center"/>
        <w:rPr>
          <w:rFonts w:ascii="方正小标宋简体" w:hAnsi="方正小标宋简体" w:eastAsia="方正小标宋简体" w:cs="方正小标宋简体"/>
          <w:color w:val="auto"/>
          <w:sz w:val="44"/>
          <w:szCs w:val="44"/>
          <w:highlight w:val="none"/>
        </w:rPr>
      </w:pPr>
    </w:p>
    <w:p>
      <w:pPr>
        <w:jc w:val="center"/>
        <w:rPr>
          <w:rFonts w:ascii="方正小标宋简体" w:hAnsi="方正小标宋简体" w:eastAsia="方正小标宋简体" w:cs="方正小标宋简体"/>
          <w:color w:val="auto"/>
          <w:sz w:val="44"/>
          <w:szCs w:val="44"/>
          <w:highlight w:val="none"/>
        </w:rPr>
      </w:pPr>
    </w:p>
    <w:p>
      <w:pPr>
        <w:jc w:val="both"/>
        <w:rPr>
          <w:rFonts w:ascii="方正小标宋简体" w:hAnsi="方正小标宋简体" w:eastAsia="方正小标宋简体" w:cs="方正小标宋简体"/>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line="860" w:lineRule="exact"/>
        <w:jc w:val="both"/>
        <w:textAlignment w:val="auto"/>
        <w:rPr>
          <w:rFonts w:ascii="方正小标宋简体" w:hAnsi="方正小标宋简体" w:eastAsia="方正小标宋简体" w:cs="方正小标宋简体"/>
          <w:color w:val="auto"/>
          <w:sz w:val="44"/>
          <w:szCs w:val="44"/>
          <w:highlight w:val="none"/>
        </w:rPr>
      </w:pPr>
    </w:p>
    <w:p>
      <w:pPr>
        <w:spacing w:before="0" w:beforeAutospacing="0" w:after="0" w:afterAutospacing="0" w:line="560" w:lineRule="exact"/>
        <w:ind w:left="0" w:leftChars="0" w:rightChars="0" w:firstLine="0" w:firstLineChars="0"/>
        <w:jc w:val="center"/>
        <w:rPr>
          <w:rFonts w:hint="default" w:ascii="Times New Roman" w:hAnsi="Times New Roman" w:eastAsia="方正楷体_GBK" w:cs="Times New Roman"/>
          <w:b w:val="0"/>
          <w:i w:val="0"/>
          <w:color w:val="auto"/>
          <w:sz w:val="32"/>
          <w:szCs w:val="44"/>
          <w:highlight w:val="none"/>
        </w:rPr>
      </w:pPr>
      <w:r>
        <w:rPr>
          <w:rFonts w:hint="default" w:ascii="Times New Roman" w:hAnsi="Times New Roman" w:eastAsia="方正楷体_GBK" w:cs="Times New Roman"/>
          <w:b w:val="0"/>
          <w:i w:val="0"/>
          <w:color w:val="auto"/>
          <w:sz w:val="32"/>
          <w:szCs w:val="44"/>
          <w:highlight w:val="none"/>
        </w:rPr>
        <w:t>安徽省卫生健康委员会</w:t>
      </w:r>
    </w:p>
    <w:p>
      <w:pPr>
        <w:spacing w:before="0" w:beforeAutospacing="0" w:after="0" w:afterAutospacing="0" w:line="560" w:lineRule="exact"/>
        <w:ind w:left="0" w:leftChars="0" w:rightChars="0" w:firstLine="0" w:firstLineChars="0"/>
        <w:jc w:val="center"/>
        <w:rPr>
          <w:rFonts w:ascii="方正小标宋简体" w:hAnsi="方正小标宋简体" w:eastAsia="方正小标宋简体" w:cs="方正小标宋简体"/>
          <w:color w:val="auto"/>
          <w:sz w:val="44"/>
          <w:szCs w:val="44"/>
          <w:highlight w:val="none"/>
        </w:rPr>
      </w:pPr>
      <w:r>
        <w:rPr>
          <w:rFonts w:hint="default" w:ascii="Times New Roman" w:hAnsi="Times New Roman" w:eastAsia="方正楷体_GBK" w:cs="Times New Roman"/>
          <w:b w:val="0"/>
          <w:i w:val="0"/>
          <w:color w:val="auto"/>
          <w:sz w:val="32"/>
          <w:szCs w:val="44"/>
          <w:highlight w:val="none"/>
        </w:rPr>
        <w:t>二0二</w:t>
      </w:r>
      <w:r>
        <w:rPr>
          <w:rFonts w:hint="default" w:ascii="Times New Roman" w:hAnsi="Times New Roman" w:eastAsia="方正楷体_GBK" w:cs="Times New Roman"/>
          <w:b w:val="0"/>
          <w:i w:val="0"/>
          <w:color w:val="auto"/>
          <w:sz w:val="32"/>
          <w:szCs w:val="44"/>
          <w:highlight w:val="none"/>
          <w:lang w:val="en-US" w:eastAsia="zh-CN"/>
        </w:rPr>
        <w:t>三</w:t>
      </w:r>
      <w:r>
        <w:rPr>
          <w:rFonts w:hint="default" w:ascii="Times New Roman" w:hAnsi="Times New Roman" w:eastAsia="方正楷体_GBK" w:cs="Times New Roman"/>
          <w:b w:val="0"/>
          <w:i w:val="0"/>
          <w:color w:val="auto"/>
          <w:sz w:val="32"/>
          <w:szCs w:val="44"/>
          <w:highlight w:val="none"/>
        </w:rPr>
        <w:t>年</w:t>
      </w:r>
      <w:r>
        <w:rPr>
          <w:rFonts w:hint="default" w:ascii="Times New Roman" w:hAnsi="Times New Roman" w:eastAsia="方正楷体_GBK" w:cs="Times New Roman"/>
          <w:b w:val="0"/>
          <w:i w:val="0"/>
          <w:color w:val="auto"/>
          <w:sz w:val="32"/>
          <w:szCs w:val="44"/>
          <w:highlight w:val="none"/>
          <w:lang w:val="en-US" w:eastAsia="zh-CN"/>
        </w:rPr>
        <w:t>七</w:t>
      </w:r>
      <w:r>
        <w:rPr>
          <w:rFonts w:hint="default" w:ascii="Times New Roman" w:hAnsi="Times New Roman" w:eastAsia="方正楷体_GBK" w:cs="Times New Roman"/>
          <w:b w:val="0"/>
          <w:i w:val="0"/>
          <w:color w:val="auto"/>
          <w:sz w:val="32"/>
          <w:szCs w:val="44"/>
          <w:highlight w:val="none"/>
        </w:rPr>
        <w:t>月</w:t>
      </w:r>
    </w:p>
    <w:p>
      <w:pPr>
        <w:ind w:left="0" w:leftChars="0" w:right="0" w:rightChars="0" w:firstLine="0" w:firstLineChars="0"/>
        <w:jc w:val="center"/>
        <w:rPr>
          <w:rFonts w:ascii="黑体" w:hAnsi="宋体" w:eastAsia="黑体" w:cs="黑体"/>
          <w:color w:val="auto"/>
          <w:sz w:val="44"/>
          <w:szCs w:val="44"/>
          <w:highlight w:val="none"/>
        </w:rPr>
      </w:pPr>
      <w:r>
        <w:rPr>
          <w:rFonts w:hint="default" w:ascii="Times New Roman" w:hAnsi="Times New Roman" w:eastAsia="方正小标宋_GBK" w:cs="Times New Roman"/>
          <w:b w:val="0"/>
          <w:i w:val="0"/>
          <w:sz w:val="44"/>
        </w:rPr>
        <w:t>目录</w:t>
      </w:r>
    </w:p>
    <w:p>
      <w:pPr>
        <w:widowControl/>
        <w:jc w:val="both"/>
        <w:rPr>
          <w:rFonts w:ascii="黑体" w:hAnsi="宋体" w:eastAsia="黑体" w:cs="黑体"/>
          <w:color w:val="auto"/>
          <w:kern w:val="0"/>
          <w:sz w:val="31"/>
          <w:szCs w:val="31"/>
          <w:highlight w:val="none"/>
        </w:rPr>
      </w:pPr>
    </w:p>
    <w:p>
      <w:pPr>
        <w:widowControl/>
        <w:jc w:val="both"/>
        <w:rPr>
          <w:rFonts w:ascii="黑体" w:hAnsi="宋体" w:eastAsia="黑体" w:cs="黑体"/>
          <w:color w:val="auto"/>
          <w:kern w:val="0"/>
          <w:sz w:val="31"/>
          <w:szCs w:val="31"/>
          <w:highlight w:val="none"/>
        </w:rPr>
        <w:sectPr>
          <w:footerReference r:id="rId3" w:type="default"/>
          <w:type w:val="continuous"/>
          <w:pgSz w:w="11906" w:h="16838"/>
          <w:pgMar w:top="1134" w:right="1587" w:bottom="1134" w:left="1587" w:header="1134" w:footer="1134" w:gutter="0"/>
          <w:pgNumType w:start="1"/>
          <w:cols w:space="0" w:num="1"/>
          <w:rtlGutter w:val="0"/>
          <w:docGrid w:type="linesAndChars" w:linePitch="662" w:charSpace="-1668"/>
        </w:sectPr>
      </w:pPr>
    </w:p>
    <w:p>
      <w:pPr>
        <w:pStyle w:val="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楷体" w:hAnsi="楷体" w:eastAsia="楷体" w:cs="楷体"/>
          <w:color w:val="auto"/>
          <w:szCs w:val="28"/>
          <w:highlight w:val="none"/>
        </w:rPr>
      </w:pPr>
      <w:r>
        <w:rPr>
          <w:rFonts w:hint="eastAsia" w:ascii="楷体" w:hAnsi="楷体" w:eastAsia="楷体" w:cs="楷体"/>
          <w:color w:val="auto"/>
          <w:sz w:val="28"/>
          <w:szCs w:val="28"/>
          <w:highlight w:val="none"/>
        </w:rPr>
        <w:fldChar w:fldCharType="begin"/>
      </w:r>
      <w:r>
        <w:rPr>
          <w:rFonts w:hint="eastAsia" w:ascii="楷体" w:hAnsi="楷体" w:eastAsia="楷体" w:cs="楷体"/>
          <w:color w:val="auto"/>
          <w:sz w:val="28"/>
          <w:szCs w:val="28"/>
          <w:highlight w:val="none"/>
        </w:rPr>
        <w:instrText xml:space="preserve"> TOC \o "1-2" \h \z \u </w:instrText>
      </w:r>
      <w:r>
        <w:rPr>
          <w:rFonts w:hint="eastAsia" w:ascii="楷体" w:hAnsi="楷体" w:eastAsia="楷体" w:cs="楷体"/>
          <w:color w:val="auto"/>
          <w:sz w:val="28"/>
          <w:szCs w:val="28"/>
          <w:highlight w:val="none"/>
        </w:rPr>
        <w:fldChar w:fldCharType="separate"/>
      </w:r>
      <w:r>
        <w:rPr>
          <w:rFonts w:hint="eastAsia" w:ascii="楷体" w:hAnsi="楷体" w:eastAsia="楷体" w:cs="楷体"/>
          <w:color w:val="auto"/>
          <w:szCs w:val="28"/>
          <w:highlight w:val="none"/>
          <w:lang w:eastAsia="zh-TW"/>
        </w:rPr>
        <w:fldChar w:fldCharType="begin"/>
      </w:r>
      <w:r>
        <w:rPr>
          <w:rFonts w:hint="eastAsia" w:ascii="楷体" w:hAnsi="楷体" w:eastAsia="楷体" w:cs="楷体"/>
          <w:color w:val="auto"/>
          <w:szCs w:val="28"/>
          <w:highlight w:val="none"/>
          <w:lang w:eastAsia="zh-TW"/>
        </w:rPr>
        <w:instrText xml:space="preserve"> HYPERLINK \l _Toc13383 </w:instrText>
      </w:r>
      <w:r>
        <w:rPr>
          <w:rFonts w:hint="eastAsia" w:ascii="楷体" w:hAnsi="楷体" w:eastAsia="楷体" w:cs="楷体"/>
          <w:color w:val="auto"/>
          <w:szCs w:val="28"/>
          <w:highlight w:val="none"/>
          <w:lang w:eastAsia="zh-TW"/>
        </w:rPr>
        <w:fldChar w:fldCharType="separate"/>
      </w:r>
      <w:r>
        <w:rPr>
          <w:rFonts w:hint="eastAsia" w:ascii="楷体" w:hAnsi="楷体" w:eastAsia="楷体" w:cs="楷体"/>
          <w:color w:val="auto"/>
          <w:szCs w:val="28"/>
          <w:highlight w:val="none"/>
        </w:rPr>
        <w:t>实施细则说明</w:t>
      </w:r>
      <w:r>
        <w:rPr>
          <w:rFonts w:hint="eastAsia" w:ascii="楷体" w:hAnsi="楷体" w:eastAsia="楷体" w:cs="楷体"/>
          <w:color w:val="auto"/>
          <w:szCs w:val="28"/>
          <w:highlight w:val="none"/>
        </w:rPr>
        <w:tab/>
      </w:r>
      <w:r>
        <w:rPr>
          <w:rFonts w:hint="eastAsia" w:ascii="楷体" w:hAnsi="楷体" w:eastAsia="楷体" w:cs="楷体"/>
          <w:color w:val="auto"/>
          <w:szCs w:val="28"/>
          <w:highlight w:val="none"/>
        </w:rPr>
        <w:fldChar w:fldCharType="begin"/>
      </w:r>
      <w:r>
        <w:rPr>
          <w:rFonts w:hint="eastAsia" w:ascii="楷体" w:hAnsi="楷体" w:eastAsia="楷体" w:cs="楷体"/>
          <w:color w:val="auto"/>
          <w:szCs w:val="28"/>
          <w:highlight w:val="none"/>
        </w:rPr>
        <w:instrText xml:space="preserve"> PAGEREF _Toc13383 \h </w:instrText>
      </w:r>
      <w:r>
        <w:rPr>
          <w:rFonts w:hint="eastAsia" w:ascii="楷体" w:hAnsi="楷体" w:eastAsia="楷体" w:cs="楷体"/>
          <w:color w:val="auto"/>
          <w:szCs w:val="28"/>
          <w:highlight w:val="none"/>
        </w:rPr>
        <w:fldChar w:fldCharType="separate"/>
      </w:r>
      <w:r>
        <w:rPr>
          <w:rFonts w:hint="eastAsia" w:ascii="楷体" w:hAnsi="楷体" w:eastAsia="楷体" w:cs="楷体"/>
          <w:color w:val="auto"/>
          <w:szCs w:val="28"/>
          <w:highlight w:val="none"/>
        </w:rPr>
        <w:t>1</w:t>
      </w:r>
      <w:r>
        <w:rPr>
          <w:rFonts w:hint="eastAsia" w:ascii="楷体" w:hAnsi="楷体" w:eastAsia="楷体" w:cs="楷体"/>
          <w:color w:val="auto"/>
          <w:szCs w:val="28"/>
          <w:highlight w:val="none"/>
        </w:rPr>
        <w:fldChar w:fldCharType="end"/>
      </w:r>
      <w:r>
        <w:rPr>
          <w:rFonts w:hint="eastAsia" w:ascii="楷体" w:hAnsi="楷体" w:eastAsia="楷体" w:cs="楷体"/>
          <w:color w:val="auto"/>
          <w:szCs w:val="28"/>
          <w:highlight w:val="none"/>
          <w:lang w:eastAsia="zh-TW"/>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楷体" w:hAnsi="楷体" w:eastAsia="楷体" w:cs="楷体"/>
          <w:color w:val="auto"/>
          <w:szCs w:val="28"/>
          <w:highlight w:val="none"/>
        </w:rPr>
      </w:pPr>
      <w:r>
        <w:rPr>
          <w:rFonts w:hint="eastAsia" w:ascii="楷体" w:hAnsi="楷体" w:eastAsia="楷体" w:cs="楷体"/>
          <w:color w:val="auto"/>
          <w:szCs w:val="28"/>
          <w:highlight w:val="none"/>
          <w:lang w:eastAsia="zh-TW"/>
        </w:rPr>
        <w:fldChar w:fldCharType="begin"/>
      </w:r>
      <w:r>
        <w:rPr>
          <w:rFonts w:hint="eastAsia" w:ascii="楷体" w:hAnsi="楷体" w:eastAsia="楷体" w:cs="楷体"/>
          <w:color w:val="auto"/>
          <w:szCs w:val="28"/>
          <w:highlight w:val="none"/>
          <w:lang w:eastAsia="zh-TW"/>
        </w:rPr>
        <w:instrText xml:space="preserve"> HYPERLINK \l _Toc29827 </w:instrText>
      </w:r>
      <w:r>
        <w:rPr>
          <w:rFonts w:hint="eastAsia" w:ascii="楷体" w:hAnsi="楷体" w:eastAsia="楷体" w:cs="楷体"/>
          <w:color w:val="auto"/>
          <w:szCs w:val="28"/>
          <w:highlight w:val="none"/>
          <w:lang w:eastAsia="zh-TW"/>
        </w:rPr>
        <w:fldChar w:fldCharType="separate"/>
      </w:r>
      <w:r>
        <w:rPr>
          <w:rFonts w:hint="eastAsia" w:ascii="楷体" w:hAnsi="楷体" w:eastAsia="楷体" w:cs="楷体"/>
          <w:color w:val="auto"/>
          <w:szCs w:val="28"/>
          <w:highlight w:val="none"/>
        </w:rPr>
        <w:t>第一部分 前置要求</w:t>
      </w:r>
      <w:r>
        <w:rPr>
          <w:rFonts w:hint="eastAsia" w:ascii="楷体" w:hAnsi="楷体" w:eastAsia="楷体" w:cs="楷体"/>
          <w:color w:val="auto"/>
          <w:szCs w:val="28"/>
          <w:highlight w:val="none"/>
        </w:rPr>
        <w:tab/>
      </w:r>
      <w:r>
        <w:rPr>
          <w:rFonts w:hint="eastAsia" w:ascii="楷体" w:hAnsi="楷体" w:eastAsia="楷体" w:cs="楷体"/>
          <w:color w:val="auto"/>
          <w:szCs w:val="28"/>
          <w:highlight w:val="none"/>
        </w:rPr>
        <w:fldChar w:fldCharType="begin"/>
      </w:r>
      <w:r>
        <w:rPr>
          <w:rFonts w:hint="eastAsia" w:ascii="楷体" w:hAnsi="楷体" w:eastAsia="楷体" w:cs="楷体"/>
          <w:color w:val="auto"/>
          <w:szCs w:val="28"/>
          <w:highlight w:val="none"/>
        </w:rPr>
        <w:instrText xml:space="preserve"> PAGEREF _Toc29827 \h </w:instrText>
      </w:r>
      <w:r>
        <w:rPr>
          <w:rFonts w:hint="eastAsia" w:ascii="楷体" w:hAnsi="楷体" w:eastAsia="楷体" w:cs="楷体"/>
          <w:color w:val="auto"/>
          <w:szCs w:val="28"/>
          <w:highlight w:val="none"/>
        </w:rPr>
        <w:fldChar w:fldCharType="separate"/>
      </w:r>
      <w:r>
        <w:rPr>
          <w:rFonts w:hint="eastAsia" w:ascii="楷体" w:hAnsi="楷体" w:eastAsia="楷体" w:cs="楷体"/>
          <w:color w:val="auto"/>
          <w:szCs w:val="28"/>
          <w:highlight w:val="none"/>
        </w:rPr>
        <w:t>10</w:t>
      </w:r>
      <w:r>
        <w:rPr>
          <w:rFonts w:hint="eastAsia" w:ascii="楷体" w:hAnsi="楷体" w:eastAsia="楷体" w:cs="楷体"/>
          <w:color w:val="auto"/>
          <w:szCs w:val="28"/>
          <w:highlight w:val="none"/>
        </w:rPr>
        <w:fldChar w:fldCharType="end"/>
      </w:r>
      <w:r>
        <w:rPr>
          <w:rFonts w:hint="eastAsia" w:ascii="楷体" w:hAnsi="楷体" w:eastAsia="楷体" w:cs="楷体"/>
          <w:color w:val="auto"/>
          <w:szCs w:val="28"/>
          <w:highlight w:val="none"/>
          <w:lang w:eastAsia="zh-TW"/>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eastAsia="zh-TW"/>
        </w:rPr>
        <w:fldChar w:fldCharType="begin"/>
      </w:r>
      <w:r>
        <w:rPr>
          <w:rFonts w:hint="eastAsia" w:ascii="楷体" w:hAnsi="楷体" w:eastAsia="楷体" w:cs="楷体"/>
          <w:color w:val="auto"/>
          <w:sz w:val="28"/>
          <w:szCs w:val="28"/>
          <w:highlight w:val="none"/>
          <w:lang w:eastAsia="zh-TW"/>
        </w:rPr>
        <w:instrText xml:space="preserve"> HYPERLINK \l _Toc19922 </w:instrText>
      </w:r>
      <w:r>
        <w:rPr>
          <w:rFonts w:hint="eastAsia" w:ascii="楷体" w:hAnsi="楷体" w:eastAsia="楷体" w:cs="楷体"/>
          <w:color w:val="auto"/>
          <w:sz w:val="28"/>
          <w:szCs w:val="28"/>
          <w:highlight w:val="none"/>
          <w:lang w:eastAsia="zh-TW"/>
        </w:rPr>
        <w:fldChar w:fldCharType="separate"/>
      </w:r>
      <w:r>
        <w:rPr>
          <w:rFonts w:hint="eastAsia" w:ascii="楷体" w:hAnsi="楷体" w:eastAsia="楷体" w:cs="楷体"/>
          <w:color w:val="auto"/>
          <w:sz w:val="28"/>
          <w:szCs w:val="28"/>
          <w:highlight w:val="none"/>
        </w:rPr>
        <w:t>一、依法设置与执业</w:t>
      </w:r>
      <w:r>
        <w:rPr>
          <w:rFonts w:hint="eastAsia" w:ascii="楷体" w:hAnsi="楷体" w:eastAsia="楷体" w:cs="楷体"/>
          <w:color w:val="auto"/>
          <w:sz w:val="28"/>
          <w:szCs w:val="28"/>
          <w:highlight w:val="none"/>
        </w:rPr>
        <w:tab/>
      </w:r>
      <w:r>
        <w:rPr>
          <w:rFonts w:hint="eastAsia" w:ascii="楷体" w:hAnsi="楷体" w:eastAsia="楷体" w:cs="楷体"/>
          <w:color w:val="auto"/>
          <w:sz w:val="28"/>
          <w:szCs w:val="28"/>
          <w:highlight w:val="none"/>
        </w:rPr>
        <w:fldChar w:fldCharType="begin"/>
      </w:r>
      <w:r>
        <w:rPr>
          <w:rFonts w:hint="eastAsia" w:ascii="楷体" w:hAnsi="楷体" w:eastAsia="楷体" w:cs="楷体"/>
          <w:color w:val="auto"/>
          <w:sz w:val="28"/>
          <w:szCs w:val="28"/>
          <w:highlight w:val="none"/>
        </w:rPr>
        <w:instrText xml:space="preserve"> PAGEREF _Toc19922 \h </w:instrText>
      </w:r>
      <w:r>
        <w:rPr>
          <w:rFonts w:hint="eastAsia" w:ascii="楷体" w:hAnsi="楷体" w:eastAsia="楷体" w:cs="楷体"/>
          <w:color w:val="auto"/>
          <w:sz w:val="28"/>
          <w:szCs w:val="28"/>
          <w:highlight w:val="none"/>
        </w:rPr>
        <w:fldChar w:fldCharType="separate"/>
      </w:r>
      <w:r>
        <w:rPr>
          <w:rFonts w:hint="eastAsia" w:ascii="楷体" w:hAnsi="楷体" w:eastAsia="楷体" w:cs="楷体"/>
          <w:color w:val="auto"/>
          <w:sz w:val="28"/>
          <w:szCs w:val="28"/>
          <w:highlight w:val="none"/>
        </w:rPr>
        <w:t>10</w:t>
      </w:r>
      <w:r>
        <w:rPr>
          <w:rFonts w:hint="eastAsia" w:ascii="楷体" w:hAnsi="楷体" w:eastAsia="楷体" w:cs="楷体"/>
          <w:color w:val="auto"/>
          <w:sz w:val="28"/>
          <w:szCs w:val="28"/>
          <w:highlight w:val="none"/>
        </w:rPr>
        <w:fldChar w:fldCharType="end"/>
      </w:r>
      <w:r>
        <w:rPr>
          <w:rFonts w:hint="eastAsia" w:ascii="楷体" w:hAnsi="楷体" w:eastAsia="楷体" w:cs="楷体"/>
          <w:color w:val="auto"/>
          <w:sz w:val="28"/>
          <w:szCs w:val="28"/>
          <w:highlight w:val="none"/>
          <w:lang w:eastAsia="zh-TW"/>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eastAsia="zh-TW"/>
        </w:rPr>
        <w:fldChar w:fldCharType="begin"/>
      </w:r>
      <w:r>
        <w:rPr>
          <w:rFonts w:hint="eastAsia" w:ascii="楷体" w:hAnsi="楷体" w:eastAsia="楷体" w:cs="楷体"/>
          <w:color w:val="auto"/>
          <w:sz w:val="28"/>
          <w:szCs w:val="28"/>
          <w:highlight w:val="none"/>
          <w:lang w:eastAsia="zh-TW"/>
        </w:rPr>
        <w:instrText xml:space="preserve"> HYPERLINK \l _Toc23694 </w:instrText>
      </w:r>
      <w:r>
        <w:rPr>
          <w:rFonts w:hint="eastAsia" w:ascii="楷体" w:hAnsi="楷体" w:eastAsia="楷体" w:cs="楷体"/>
          <w:color w:val="auto"/>
          <w:sz w:val="28"/>
          <w:szCs w:val="28"/>
          <w:highlight w:val="none"/>
          <w:lang w:eastAsia="zh-TW"/>
        </w:rPr>
        <w:fldChar w:fldCharType="separate"/>
      </w:r>
      <w:r>
        <w:rPr>
          <w:rFonts w:hint="eastAsia" w:ascii="楷体" w:hAnsi="楷体" w:eastAsia="楷体" w:cs="楷体"/>
          <w:color w:val="auto"/>
          <w:sz w:val="28"/>
          <w:szCs w:val="28"/>
          <w:highlight w:val="none"/>
        </w:rPr>
        <w:t>二、公益性责任和行风诚信</w:t>
      </w:r>
      <w:r>
        <w:rPr>
          <w:rFonts w:hint="eastAsia" w:ascii="楷体" w:hAnsi="楷体" w:eastAsia="楷体" w:cs="楷体"/>
          <w:color w:val="auto"/>
          <w:sz w:val="28"/>
          <w:szCs w:val="28"/>
          <w:highlight w:val="none"/>
        </w:rPr>
        <w:tab/>
      </w:r>
      <w:r>
        <w:rPr>
          <w:rFonts w:hint="eastAsia" w:ascii="楷体" w:hAnsi="楷体" w:eastAsia="楷体" w:cs="楷体"/>
          <w:color w:val="auto"/>
          <w:sz w:val="28"/>
          <w:szCs w:val="28"/>
          <w:highlight w:val="none"/>
        </w:rPr>
        <w:fldChar w:fldCharType="begin"/>
      </w:r>
      <w:r>
        <w:rPr>
          <w:rFonts w:hint="eastAsia" w:ascii="楷体" w:hAnsi="楷体" w:eastAsia="楷体" w:cs="楷体"/>
          <w:color w:val="auto"/>
          <w:sz w:val="28"/>
          <w:szCs w:val="28"/>
          <w:highlight w:val="none"/>
        </w:rPr>
        <w:instrText xml:space="preserve"> PAGEREF _Toc23694 \h </w:instrText>
      </w:r>
      <w:r>
        <w:rPr>
          <w:rFonts w:hint="eastAsia" w:ascii="楷体" w:hAnsi="楷体" w:eastAsia="楷体" w:cs="楷体"/>
          <w:color w:val="auto"/>
          <w:sz w:val="28"/>
          <w:szCs w:val="28"/>
          <w:highlight w:val="none"/>
        </w:rPr>
        <w:fldChar w:fldCharType="separate"/>
      </w:r>
      <w:r>
        <w:rPr>
          <w:rFonts w:hint="eastAsia" w:ascii="楷体" w:hAnsi="楷体" w:eastAsia="楷体" w:cs="楷体"/>
          <w:color w:val="auto"/>
          <w:sz w:val="28"/>
          <w:szCs w:val="28"/>
          <w:highlight w:val="none"/>
        </w:rPr>
        <w:t>12</w:t>
      </w:r>
      <w:r>
        <w:rPr>
          <w:rFonts w:hint="eastAsia" w:ascii="楷体" w:hAnsi="楷体" w:eastAsia="楷体" w:cs="楷体"/>
          <w:color w:val="auto"/>
          <w:sz w:val="28"/>
          <w:szCs w:val="28"/>
          <w:highlight w:val="none"/>
        </w:rPr>
        <w:fldChar w:fldCharType="end"/>
      </w:r>
      <w:r>
        <w:rPr>
          <w:rFonts w:hint="eastAsia" w:ascii="楷体" w:hAnsi="楷体" w:eastAsia="楷体" w:cs="楷体"/>
          <w:color w:val="auto"/>
          <w:sz w:val="28"/>
          <w:szCs w:val="28"/>
          <w:highlight w:val="none"/>
          <w:lang w:eastAsia="zh-TW"/>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eastAsia="zh-TW"/>
        </w:rPr>
        <w:fldChar w:fldCharType="begin"/>
      </w:r>
      <w:r>
        <w:rPr>
          <w:rFonts w:hint="eastAsia" w:ascii="楷体" w:hAnsi="楷体" w:eastAsia="楷体" w:cs="楷体"/>
          <w:color w:val="auto"/>
          <w:sz w:val="28"/>
          <w:szCs w:val="28"/>
          <w:highlight w:val="none"/>
          <w:lang w:eastAsia="zh-TW"/>
        </w:rPr>
        <w:instrText xml:space="preserve"> HYPERLINK \l _Toc26191 </w:instrText>
      </w:r>
      <w:r>
        <w:rPr>
          <w:rFonts w:hint="eastAsia" w:ascii="楷体" w:hAnsi="楷体" w:eastAsia="楷体" w:cs="楷体"/>
          <w:color w:val="auto"/>
          <w:sz w:val="28"/>
          <w:szCs w:val="28"/>
          <w:highlight w:val="none"/>
          <w:lang w:eastAsia="zh-TW"/>
        </w:rPr>
        <w:fldChar w:fldCharType="separate"/>
      </w:r>
      <w:r>
        <w:rPr>
          <w:rFonts w:hint="eastAsia" w:ascii="楷体" w:hAnsi="楷体" w:eastAsia="楷体" w:cs="楷体"/>
          <w:color w:val="auto"/>
          <w:sz w:val="28"/>
          <w:szCs w:val="28"/>
          <w:highlight w:val="none"/>
        </w:rPr>
        <w:t>三、安全管理与重大事件</w:t>
      </w:r>
      <w:r>
        <w:rPr>
          <w:rFonts w:hint="eastAsia" w:ascii="楷体" w:hAnsi="楷体" w:eastAsia="楷体" w:cs="楷体"/>
          <w:color w:val="auto"/>
          <w:sz w:val="28"/>
          <w:szCs w:val="28"/>
          <w:highlight w:val="none"/>
        </w:rPr>
        <w:tab/>
      </w:r>
      <w:r>
        <w:rPr>
          <w:rFonts w:hint="eastAsia" w:ascii="楷体" w:hAnsi="楷体" w:eastAsia="楷体" w:cs="楷体"/>
          <w:color w:val="auto"/>
          <w:sz w:val="28"/>
          <w:szCs w:val="28"/>
          <w:highlight w:val="none"/>
        </w:rPr>
        <w:fldChar w:fldCharType="begin"/>
      </w:r>
      <w:r>
        <w:rPr>
          <w:rFonts w:hint="eastAsia" w:ascii="楷体" w:hAnsi="楷体" w:eastAsia="楷体" w:cs="楷体"/>
          <w:color w:val="auto"/>
          <w:sz w:val="28"/>
          <w:szCs w:val="28"/>
          <w:highlight w:val="none"/>
        </w:rPr>
        <w:instrText xml:space="preserve"> PAGEREF _Toc26191 \h </w:instrText>
      </w:r>
      <w:r>
        <w:rPr>
          <w:rFonts w:hint="eastAsia" w:ascii="楷体" w:hAnsi="楷体" w:eastAsia="楷体" w:cs="楷体"/>
          <w:color w:val="auto"/>
          <w:sz w:val="28"/>
          <w:szCs w:val="28"/>
          <w:highlight w:val="none"/>
        </w:rPr>
        <w:fldChar w:fldCharType="separate"/>
      </w:r>
      <w:r>
        <w:rPr>
          <w:rFonts w:hint="eastAsia" w:ascii="楷体" w:hAnsi="楷体" w:eastAsia="楷体" w:cs="楷体"/>
          <w:color w:val="auto"/>
          <w:sz w:val="28"/>
          <w:szCs w:val="28"/>
          <w:highlight w:val="none"/>
        </w:rPr>
        <w:t>12</w:t>
      </w:r>
      <w:r>
        <w:rPr>
          <w:rFonts w:hint="eastAsia" w:ascii="楷体" w:hAnsi="楷体" w:eastAsia="楷体" w:cs="楷体"/>
          <w:color w:val="auto"/>
          <w:sz w:val="28"/>
          <w:szCs w:val="28"/>
          <w:highlight w:val="none"/>
        </w:rPr>
        <w:fldChar w:fldCharType="end"/>
      </w:r>
      <w:r>
        <w:rPr>
          <w:rFonts w:hint="eastAsia" w:ascii="楷体" w:hAnsi="楷体" w:eastAsia="楷体" w:cs="楷体"/>
          <w:color w:val="auto"/>
          <w:sz w:val="28"/>
          <w:szCs w:val="28"/>
          <w:highlight w:val="none"/>
          <w:lang w:eastAsia="zh-TW"/>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eastAsia="zh-TW"/>
        </w:rPr>
        <w:fldChar w:fldCharType="begin"/>
      </w:r>
      <w:r>
        <w:rPr>
          <w:rFonts w:hint="eastAsia" w:ascii="楷体" w:hAnsi="楷体" w:eastAsia="楷体" w:cs="楷体"/>
          <w:color w:val="auto"/>
          <w:sz w:val="28"/>
          <w:szCs w:val="28"/>
          <w:highlight w:val="none"/>
          <w:lang w:eastAsia="zh-TW"/>
        </w:rPr>
        <w:instrText xml:space="preserve"> HYPERLINK \l _Toc21853 </w:instrText>
      </w:r>
      <w:r>
        <w:rPr>
          <w:rFonts w:hint="eastAsia" w:ascii="楷体" w:hAnsi="楷体" w:eastAsia="楷体" w:cs="楷体"/>
          <w:color w:val="auto"/>
          <w:sz w:val="28"/>
          <w:szCs w:val="28"/>
          <w:highlight w:val="none"/>
          <w:lang w:eastAsia="zh-TW"/>
        </w:rPr>
        <w:fldChar w:fldCharType="separate"/>
      </w:r>
      <w:r>
        <w:rPr>
          <w:rFonts w:hint="eastAsia" w:ascii="楷体" w:hAnsi="楷体" w:eastAsia="楷体" w:cs="楷体"/>
          <w:color w:val="auto"/>
          <w:sz w:val="28"/>
          <w:szCs w:val="28"/>
          <w:highlight w:val="none"/>
        </w:rPr>
        <w:t>四、国家公立医院绩效考核</w:t>
      </w:r>
      <w:r>
        <w:rPr>
          <w:rFonts w:hint="eastAsia" w:ascii="楷体" w:hAnsi="楷体" w:eastAsia="楷体" w:cs="楷体"/>
          <w:color w:val="auto"/>
          <w:sz w:val="28"/>
          <w:szCs w:val="28"/>
          <w:highlight w:val="none"/>
        </w:rPr>
        <w:tab/>
      </w:r>
      <w:r>
        <w:rPr>
          <w:rFonts w:hint="eastAsia" w:ascii="楷体" w:hAnsi="楷体" w:eastAsia="楷体" w:cs="楷体"/>
          <w:color w:val="auto"/>
          <w:sz w:val="28"/>
          <w:szCs w:val="28"/>
          <w:highlight w:val="none"/>
        </w:rPr>
        <w:fldChar w:fldCharType="begin"/>
      </w:r>
      <w:r>
        <w:rPr>
          <w:rFonts w:hint="eastAsia" w:ascii="楷体" w:hAnsi="楷体" w:eastAsia="楷体" w:cs="楷体"/>
          <w:color w:val="auto"/>
          <w:sz w:val="28"/>
          <w:szCs w:val="28"/>
          <w:highlight w:val="none"/>
        </w:rPr>
        <w:instrText xml:space="preserve"> PAGEREF _Toc21853 \h </w:instrText>
      </w:r>
      <w:r>
        <w:rPr>
          <w:rFonts w:hint="eastAsia" w:ascii="楷体" w:hAnsi="楷体" w:eastAsia="楷体" w:cs="楷体"/>
          <w:color w:val="auto"/>
          <w:sz w:val="28"/>
          <w:szCs w:val="28"/>
          <w:highlight w:val="none"/>
        </w:rPr>
        <w:fldChar w:fldCharType="separate"/>
      </w:r>
      <w:r>
        <w:rPr>
          <w:rFonts w:hint="eastAsia" w:ascii="楷体" w:hAnsi="楷体" w:eastAsia="楷体" w:cs="楷体"/>
          <w:color w:val="auto"/>
          <w:sz w:val="28"/>
          <w:szCs w:val="28"/>
          <w:highlight w:val="none"/>
        </w:rPr>
        <w:t>13</w:t>
      </w:r>
      <w:r>
        <w:rPr>
          <w:rFonts w:hint="eastAsia" w:ascii="楷体" w:hAnsi="楷体" w:eastAsia="楷体" w:cs="楷体"/>
          <w:color w:val="auto"/>
          <w:sz w:val="28"/>
          <w:szCs w:val="28"/>
          <w:highlight w:val="none"/>
        </w:rPr>
        <w:fldChar w:fldCharType="end"/>
      </w:r>
      <w:r>
        <w:rPr>
          <w:rFonts w:hint="eastAsia" w:ascii="楷体" w:hAnsi="楷体" w:eastAsia="楷体" w:cs="楷体"/>
          <w:color w:val="auto"/>
          <w:sz w:val="28"/>
          <w:szCs w:val="28"/>
          <w:highlight w:val="none"/>
          <w:lang w:eastAsia="zh-TW"/>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eastAsia="zh-TW"/>
        </w:rPr>
        <w:fldChar w:fldCharType="begin"/>
      </w:r>
      <w:r>
        <w:rPr>
          <w:rFonts w:hint="eastAsia" w:ascii="楷体" w:hAnsi="楷体" w:eastAsia="楷体" w:cs="楷体"/>
          <w:color w:val="auto"/>
          <w:sz w:val="28"/>
          <w:szCs w:val="28"/>
          <w:highlight w:val="none"/>
          <w:lang w:eastAsia="zh-TW"/>
        </w:rPr>
        <w:instrText xml:space="preserve"> HYPERLINK \l _Toc6327 </w:instrText>
      </w:r>
      <w:r>
        <w:rPr>
          <w:rFonts w:hint="eastAsia" w:ascii="楷体" w:hAnsi="楷体" w:eastAsia="楷体" w:cs="楷体"/>
          <w:color w:val="auto"/>
          <w:sz w:val="28"/>
          <w:szCs w:val="28"/>
          <w:highlight w:val="none"/>
          <w:lang w:eastAsia="zh-TW"/>
        </w:rPr>
        <w:fldChar w:fldCharType="separate"/>
      </w:r>
      <w:r>
        <w:rPr>
          <w:rFonts w:hint="eastAsia" w:ascii="楷体" w:hAnsi="楷体" w:eastAsia="楷体" w:cs="楷体"/>
          <w:color w:val="auto"/>
          <w:sz w:val="28"/>
          <w:szCs w:val="28"/>
          <w:highlight w:val="none"/>
        </w:rPr>
        <w:t>五、信息化建设</w:t>
      </w:r>
      <w:r>
        <w:rPr>
          <w:rFonts w:hint="eastAsia" w:ascii="楷体" w:hAnsi="楷体" w:eastAsia="楷体" w:cs="楷体"/>
          <w:color w:val="auto"/>
          <w:sz w:val="28"/>
          <w:szCs w:val="28"/>
          <w:highlight w:val="none"/>
        </w:rPr>
        <w:tab/>
      </w:r>
      <w:r>
        <w:rPr>
          <w:rFonts w:hint="eastAsia" w:ascii="楷体" w:hAnsi="楷体" w:eastAsia="楷体" w:cs="楷体"/>
          <w:color w:val="auto"/>
          <w:sz w:val="28"/>
          <w:szCs w:val="28"/>
          <w:highlight w:val="none"/>
        </w:rPr>
        <w:fldChar w:fldCharType="begin"/>
      </w:r>
      <w:r>
        <w:rPr>
          <w:rFonts w:hint="eastAsia" w:ascii="楷体" w:hAnsi="楷体" w:eastAsia="楷体" w:cs="楷体"/>
          <w:color w:val="auto"/>
          <w:sz w:val="28"/>
          <w:szCs w:val="28"/>
          <w:highlight w:val="none"/>
        </w:rPr>
        <w:instrText xml:space="preserve"> PAGEREF _Toc6327 \h </w:instrText>
      </w:r>
      <w:r>
        <w:rPr>
          <w:rFonts w:hint="eastAsia" w:ascii="楷体" w:hAnsi="楷体" w:eastAsia="楷体" w:cs="楷体"/>
          <w:color w:val="auto"/>
          <w:sz w:val="28"/>
          <w:szCs w:val="28"/>
          <w:highlight w:val="none"/>
        </w:rPr>
        <w:fldChar w:fldCharType="separate"/>
      </w:r>
      <w:r>
        <w:rPr>
          <w:rFonts w:hint="eastAsia" w:ascii="楷体" w:hAnsi="楷体" w:eastAsia="楷体" w:cs="楷体"/>
          <w:color w:val="auto"/>
          <w:sz w:val="28"/>
          <w:szCs w:val="28"/>
          <w:highlight w:val="none"/>
        </w:rPr>
        <w:t>13</w:t>
      </w:r>
      <w:r>
        <w:rPr>
          <w:rFonts w:hint="eastAsia" w:ascii="楷体" w:hAnsi="楷体" w:eastAsia="楷体" w:cs="楷体"/>
          <w:color w:val="auto"/>
          <w:sz w:val="28"/>
          <w:szCs w:val="28"/>
          <w:highlight w:val="none"/>
        </w:rPr>
        <w:fldChar w:fldCharType="end"/>
      </w:r>
      <w:r>
        <w:rPr>
          <w:rFonts w:hint="eastAsia" w:ascii="楷体" w:hAnsi="楷体" w:eastAsia="楷体" w:cs="楷体"/>
          <w:color w:val="auto"/>
          <w:sz w:val="28"/>
          <w:szCs w:val="28"/>
          <w:highlight w:val="none"/>
          <w:lang w:eastAsia="zh-TW"/>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eastAsia="zh-TW"/>
        </w:rPr>
        <w:fldChar w:fldCharType="begin"/>
      </w:r>
      <w:r>
        <w:rPr>
          <w:rFonts w:hint="eastAsia" w:ascii="楷体" w:hAnsi="楷体" w:eastAsia="楷体" w:cs="楷体"/>
          <w:color w:val="auto"/>
          <w:sz w:val="28"/>
          <w:szCs w:val="28"/>
          <w:highlight w:val="none"/>
          <w:lang w:eastAsia="zh-TW"/>
        </w:rPr>
        <w:instrText xml:space="preserve"> HYPERLINK \l _Toc15565 </w:instrText>
      </w:r>
      <w:r>
        <w:rPr>
          <w:rFonts w:hint="eastAsia" w:ascii="楷体" w:hAnsi="楷体" w:eastAsia="楷体" w:cs="楷体"/>
          <w:color w:val="auto"/>
          <w:sz w:val="28"/>
          <w:szCs w:val="28"/>
          <w:highlight w:val="none"/>
          <w:lang w:eastAsia="zh-TW"/>
        </w:rPr>
        <w:fldChar w:fldCharType="separate"/>
      </w:r>
      <w:r>
        <w:rPr>
          <w:rFonts w:hint="eastAsia" w:ascii="楷体" w:hAnsi="楷体" w:eastAsia="楷体" w:cs="楷体"/>
          <w:color w:val="auto"/>
          <w:sz w:val="28"/>
          <w:szCs w:val="28"/>
          <w:highlight w:val="none"/>
          <w:lang w:eastAsia="zh-CN"/>
        </w:rPr>
        <w:t>六、总会计师制度落实</w:t>
      </w:r>
      <w:r>
        <w:rPr>
          <w:rFonts w:hint="eastAsia" w:ascii="楷体" w:hAnsi="楷体" w:eastAsia="楷体" w:cs="楷体"/>
          <w:color w:val="auto"/>
          <w:sz w:val="28"/>
          <w:szCs w:val="28"/>
          <w:highlight w:val="none"/>
        </w:rPr>
        <w:tab/>
      </w:r>
      <w:r>
        <w:rPr>
          <w:rFonts w:hint="eastAsia" w:ascii="楷体" w:hAnsi="楷体" w:eastAsia="楷体" w:cs="楷体"/>
          <w:color w:val="auto"/>
          <w:sz w:val="28"/>
          <w:szCs w:val="28"/>
          <w:highlight w:val="none"/>
        </w:rPr>
        <w:fldChar w:fldCharType="begin"/>
      </w:r>
      <w:r>
        <w:rPr>
          <w:rFonts w:hint="eastAsia" w:ascii="楷体" w:hAnsi="楷体" w:eastAsia="楷体" w:cs="楷体"/>
          <w:color w:val="auto"/>
          <w:sz w:val="28"/>
          <w:szCs w:val="28"/>
          <w:highlight w:val="none"/>
        </w:rPr>
        <w:instrText xml:space="preserve"> PAGEREF _Toc15565 \h </w:instrText>
      </w:r>
      <w:r>
        <w:rPr>
          <w:rFonts w:hint="eastAsia" w:ascii="楷体" w:hAnsi="楷体" w:eastAsia="楷体" w:cs="楷体"/>
          <w:color w:val="auto"/>
          <w:sz w:val="28"/>
          <w:szCs w:val="28"/>
          <w:highlight w:val="none"/>
        </w:rPr>
        <w:fldChar w:fldCharType="separate"/>
      </w:r>
      <w:r>
        <w:rPr>
          <w:rFonts w:hint="eastAsia" w:ascii="楷体" w:hAnsi="楷体" w:eastAsia="楷体" w:cs="楷体"/>
          <w:color w:val="auto"/>
          <w:sz w:val="28"/>
          <w:szCs w:val="28"/>
          <w:highlight w:val="none"/>
        </w:rPr>
        <w:t>13</w:t>
      </w:r>
      <w:r>
        <w:rPr>
          <w:rFonts w:hint="eastAsia" w:ascii="楷体" w:hAnsi="楷体" w:eastAsia="楷体" w:cs="楷体"/>
          <w:color w:val="auto"/>
          <w:sz w:val="28"/>
          <w:szCs w:val="28"/>
          <w:highlight w:val="none"/>
        </w:rPr>
        <w:fldChar w:fldCharType="end"/>
      </w:r>
      <w:r>
        <w:rPr>
          <w:rFonts w:hint="eastAsia" w:ascii="楷体" w:hAnsi="楷体" w:eastAsia="楷体" w:cs="楷体"/>
          <w:color w:val="auto"/>
          <w:sz w:val="28"/>
          <w:szCs w:val="28"/>
          <w:highlight w:val="none"/>
          <w:lang w:eastAsia="zh-TW"/>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楷体" w:hAnsi="楷体" w:eastAsia="楷体" w:cs="楷体"/>
          <w:color w:val="auto"/>
          <w:szCs w:val="28"/>
          <w:highlight w:val="none"/>
        </w:rPr>
      </w:pPr>
      <w:r>
        <w:rPr>
          <w:rFonts w:hint="eastAsia" w:ascii="楷体" w:hAnsi="楷体" w:eastAsia="楷体" w:cs="楷体"/>
          <w:color w:val="auto"/>
          <w:szCs w:val="28"/>
          <w:highlight w:val="none"/>
          <w:lang w:eastAsia="zh-TW"/>
        </w:rPr>
        <w:fldChar w:fldCharType="begin"/>
      </w:r>
      <w:r>
        <w:rPr>
          <w:rFonts w:hint="eastAsia" w:ascii="楷体" w:hAnsi="楷体" w:eastAsia="楷体" w:cs="楷体"/>
          <w:color w:val="auto"/>
          <w:szCs w:val="28"/>
          <w:highlight w:val="none"/>
          <w:lang w:eastAsia="zh-TW"/>
        </w:rPr>
        <w:instrText xml:space="preserve"> HYPERLINK \l _Toc26384 </w:instrText>
      </w:r>
      <w:r>
        <w:rPr>
          <w:rFonts w:hint="eastAsia" w:ascii="楷体" w:hAnsi="楷体" w:eastAsia="楷体" w:cs="楷体"/>
          <w:color w:val="auto"/>
          <w:szCs w:val="28"/>
          <w:highlight w:val="none"/>
          <w:lang w:eastAsia="zh-TW"/>
        </w:rPr>
        <w:fldChar w:fldCharType="separate"/>
      </w:r>
      <w:r>
        <w:rPr>
          <w:rFonts w:hint="eastAsia" w:ascii="楷体" w:hAnsi="楷体" w:eastAsia="楷体" w:cs="楷体"/>
          <w:color w:val="auto"/>
          <w:szCs w:val="28"/>
          <w:highlight w:val="none"/>
        </w:rPr>
        <w:t>第二部分 医疗服务能力与质量安全监测数据</w:t>
      </w:r>
      <w:r>
        <w:rPr>
          <w:rFonts w:hint="eastAsia" w:ascii="楷体" w:hAnsi="楷体" w:eastAsia="楷体" w:cs="楷体"/>
          <w:color w:val="auto"/>
          <w:szCs w:val="28"/>
          <w:highlight w:val="none"/>
        </w:rPr>
        <w:tab/>
      </w:r>
      <w:r>
        <w:rPr>
          <w:rFonts w:hint="eastAsia" w:ascii="楷体" w:hAnsi="楷体" w:eastAsia="楷体" w:cs="楷体"/>
          <w:color w:val="auto"/>
          <w:szCs w:val="28"/>
          <w:highlight w:val="none"/>
        </w:rPr>
        <w:fldChar w:fldCharType="begin"/>
      </w:r>
      <w:r>
        <w:rPr>
          <w:rFonts w:hint="eastAsia" w:ascii="楷体" w:hAnsi="楷体" w:eastAsia="楷体" w:cs="楷体"/>
          <w:color w:val="auto"/>
          <w:szCs w:val="28"/>
          <w:highlight w:val="none"/>
        </w:rPr>
        <w:instrText xml:space="preserve"> PAGEREF _Toc26384 \h </w:instrText>
      </w:r>
      <w:r>
        <w:rPr>
          <w:rFonts w:hint="eastAsia" w:ascii="楷体" w:hAnsi="楷体" w:eastAsia="楷体" w:cs="楷体"/>
          <w:color w:val="auto"/>
          <w:szCs w:val="28"/>
          <w:highlight w:val="none"/>
        </w:rPr>
        <w:fldChar w:fldCharType="separate"/>
      </w:r>
      <w:r>
        <w:rPr>
          <w:rFonts w:hint="eastAsia" w:ascii="楷体" w:hAnsi="楷体" w:eastAsia="楷体" w:cs="楷体"/>
          <w:color w:val="auto"/>
          <w:szCs w:val="28"/>
          <w:highlight w:val="none"/>
        </w:rPr>
        <w:t>14</w:t>
      </w:r>
      <w:r>
        <w:rPr>
          <w:rFonts w:hint="eastAsia" w:ascii="楷体" w:hAnsi="楷体" w:eastAsia="楷体" w:cs="楷体"/>
          <w:color w:val="auto"/>
          <w:szCs w:val="28"/>
          <w:highlight w:val="none"/>
        </w:rPr>
        <w:fldChar w:fldCharType="end"/>
      </w:r>
      <w:r>
        <w:rPr>
          <w:rFonts w:hint="eastAsia" w:ascii="楷体" w:hAnsi="楷体" w:eastAsia="楷体" w:cs="楷体"/>
          <w:color w:val="auto"/>
          <w:szCs w:val="28"/>
          <w:highlight w:val="none"/>
          <w:lang w:eastAsia="zh-TW"/>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eastAsia="zh-TW"/>
        </w:rPr>
        <w:fldChar w:fldCharType="begin"/>
      </w:r>
      <w:r>
        <w:rPr>
          <w:rFonts w:hint="eastAsia" w:ascii="楷体" w:hAnsi="楷体" w:eastAsia="楷体" w:cs="楷体"/>
          <w:color w:val="auto"/>
          <w:sz w:val="28"/>
          <w:szCs w:val="28"/>
          <w:highlight w:val="none"/>
          <w:lang w:eastAsia="zh-TW"/>
        </w:rPr>
        <w:instrText xml:space="preserve"> HYPERLINK \l _Toc16868 </w:instrText>
      </w:r>
      <w:r>
        <w:rPr>
          <w:rFonts w:hint="eastAsia" w:ascii="楷体" w:hAnsi="楷体" w:eastAsia="楷体" w:cs="楷体"/>
          <w:color w:val="auto"/>
          <w:sz w:val="28"/>
          <w:szCs w:val="28"/>
          <w:highlight w:val="none"/>
          <w:lang w:eastAsia="zh-TW"/>
        </w:rPr>
        <w:fldChar w:fldCharType="separate"/>
      </w:r>
      <w:r>
        <w:rPr>
          <w:rFonts w:hint="eastAsia" w:ascii="楷体" w:hAnsi="楷体" w:eastAsia="楷体" w:cs="楷体"/>
          <w:color w:val="auto"/>
          <w:sz w:val="28"/>
          <w:szCs w:val="28"/>
          <w:highlight w:val="none"/>
        </w:rPr>
        <w:t>第一章 资源配置与运行数据指标</w:t>
      </w:r>
      <w:r>
        <w:rPr>
          <w:rFonts w:hint="eastAsia" w:ascii="楷体" w:hAnsi="楷体" w:eastAsia="楷体" w:cs="楷体"/>
          <w:color w:val="auto"/>
          <w:sz w:val="28"/>
          <w:szCs w:val="28"/>
          <w:highlight w:val="none"/>
        </w:rPr>
        <w:tab/>
      </w:r>
      <w:r>
        <w:rPr>
          <w:rFonts w:hint="eastAsia" w:ascii="楷体" w:hAnsi="楷体" w:eastAsia="楷体" w:cs="楷体"/>
          <w:color w:val="auto"/>
          <w:sz w:val="28"/>
          <w:szCs w:val="28"/>
          <w:highlight w:val="none"/>
        </w:rPr>
        <w:fldChar w:fldCharType="begin"/>
      </w:r>
      <w:r>
        <w:rPr>
          <w:rFonts w:hint="eastAsia" w:ascii="楷体" w:hAnsi="楷体" w:eastAsia="楷体" w:cs="楷体"/>
          <w:color w:val="auto"/>
          <w:sz w:val="28"/>
          <w:szCs w:val="28"/>
          <w:highlight w:val="none"/>
        </w:rPr>
        <w:instrText xml:space="preserve"> PAGEREF _Toc16868 \h </w:instrText>
      </w:r>
      <w:r>
        <w:rPr>
          <w:rFonts w:hint="eastAsia" w:ascii="楷体" w:hAnsi="楷体" w:eastAsia="楷体" w:cs="楷体"/>
          <w:color w:val="auto"/>
          <w:sz w:val="28"/>
          <w:szCs w:val="28"/>
          <w:highlight w:val="none"/>
        </w:rPr>
        <w:fldChar w:fldCharType="separate"/>
      </w:r>
      <w:r>
        <w:rPr>
          <w:rFonts w:hint="eastAsia" w:ascii="楷体" w:hAnsi="楷体" w:eastAsia="楷体" w:cs="楷体"/>
          <w:color w:val="auto"/>
          <w:sz w:val="28"/>
          <w:szCs w:val="28"/>
          <w:highlight w:val="none"/>
        </w:rPr>
        <w:t>14</w:t>
      </w:r>
      <w:r>
        <w:rPr>
          <w:rFonts w:hint="eastAsia" w:ascii="楷体" w:hAnsi="楷体" w:eastAsia="楷体" w:cs="楷体"/>
          <w:color w:val="auto"/>
          <w:sz w:val="28"/>
          <w:szCs w:val="28"/>
          <w:highlight w:val="none"/>
        </w:rPr>
        <w:fldChar w:fldCharType="end"/>
      </w:r>
      <w:r>
        <w:rPr>
          <w:rFonts w:hint="eastAsia" w:ascii="楷体" w:hAnsi="楷体" w:eastAsia="楷体" w:cs="楷体"/>
          <w:color w:val="auto"/>
          <w:sz w:val="28"/>
          <w:szCs w:val="28"/>
          <w:highlight w:val="none"/>
          <w:lang w:eastAsia="zh-TW"/>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eastAsia="zh-TW"/>
        </w:rPr>
        <w:fldChar w:fldCharType="begin"/>
      </w:r>
      <w:r>
        <w:rPr>
          <w:rFonts w:hint="eastAsia" w:ascii="楷体" w:hAnsi="楷体" w:eastAsia="楷体" w:cs="楷体"/>
          <w:color w:val="auto"/>
          <w:sz w:val="28"/>
          <w:szCs w:val="28"/>
          <w:highlight w:val="none"/>
          <w:lang w:eastAsia="zh-TW"/>
        </w:rPr>
        <w:instrText xml:space="preserve"> HYPERLINK \l _Toc3322 </w:instrText>
      </w:r>
      <w:r>
        <w:rPr>
          <w:rFonts w:hint="eastAsia" w:ascii="楷体" w:hAnsi="楷体" w:eastAsia="楷体" w:cs="楷体"/>
          <w:color w:val="auto"/>
          <w:sz w:val="28"/>
          <w:szCs w:val="28"/>
          <w:highlight w:val="none"/>
          <w:lang w:eastAsia="zh-TW"/>
        </w:rPr>
        <w:fldChar w:fldCharType="separate"/>
      </w:r>
      <w:r>
        <w:rPr>
          <w:rFonts w:hint="eastAsia" w:ascii="楷体" w:hAnsi="楷体" w:eastAsia="楷体" w:cs="楷体"/>
          <w:color w:val="auto"/>
          <w:sz w:val="28"/>
          <w:szCs w:val="28"/>
          <w:highlight w:val="none"/>
        </w:rPr>
        <w:t>第二章 医疗服务能力与医院质量安全指标</w:t>
      </w:r>
      <w:r>
        <w:rPr>
          <w:rFonts w:hint="eastAsia" w:ascii="楷体" w:hAnsi="楷体" w:eastAsia="楷体" w:cs="楷体"/>
          <w:color w:val="auto"/>
          <w:sz w:val="28"/>
          <w:szCs w:val="28"/>
          <w:highlight w:val="none"/>
        </w:rPr>
        <w:tab/>
      </w:r>
      <w:r>
        <w:rPr>
          <w:rFonts w:hint="eastAsia" w:ascii="楷体" w:hAnsi="楷体" w:eastAsia="楷体" w:cs="楷体"/>
          <w:color w:val="auto"/>
          <w:sz w:val="28"/>
          <w:szCs w:val="28"/>
          <w:highlight w:val="none"/>
        </w:rPr>
        <w:fldChar w:fldCharType="begin"/>
      </w:r>
      <w:r>
        <w:rPr>
          <w:rFonts w:hint="eastAsia" w:ascii="楷体" w:hAnsi="楷体" w:eastAsia="楷体" w:cs="楷体"/>
          <w:color w:val="auto"/>
          <w:sz w:val="28"/>
          <w:szCs w:val="28"/>
          <w:highlight w:val="none"/>
        </w:rPr>
        <w:instrText xml:space="preserve"> PAGEREF _Toc3322 \h </w:instrText>
      </w:r>
      <w:r>
        <w:rPr>
          <w:rFonts w:hint="eastAsia" w:ascii="楷体" w:hAnsi="楷体" w:eastAsia="楷体" w:cs="楷体"/>
          <w:color w:val="auto"/>
          <w:sz w:val="28"/>
          <w:szCs w:val="28"/>
          <w:highlight w:val="none"/>
        </w:rPr>
        <w:fldChar w:fldCharType="separate"/>
      </w:r>
      <w:r>
        <w:rPr>
          <w:rFonts w:hint="eastAsia" w:ascii="楷体" w:hAnsi="楷体" w:eastAsia="楷体" w:cs="楷体"/>
          <w:color w:val="auto"/>
          <w:sz w:val="28"/>
          <w:szCs w:val="28"/>
          <w:highlight w:val="none"/>
        </w:rPr>
        <w:t>17</w:t>
      </w:r>
      <w:r>
        <w:rPr>
          <w:rFonts w:hint="eastAsia" w:ascii="楷体" w:hAnsi="楷体" w:eastAsia="楷体" w:cs="楷体"/>
          <w:color w:val="auto"/>
          <w:sz w:val="28"/>
          <w:szCs w:val="28"/>
          <w:highlight w:val="none"/>
        </w:rPr>
        <w:fldChar w:fldCharType="end"/>
      </w:r>
      <w:r>
        <w:rPr>
          <w:rFonts w:hint="eastAsia" w:ascii="楷体" w:hAnsi="楷体" w:eastAsia="楷体" w:cs="楷体"/>
          <w:color w:val="auto"/>
          <w:sz w:val="28"/>
          <w:szCs w:val="28"/>
          <w:highlight w:val="none"/>
          <w:lang w:eastAsia="zh-TW"/>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eastAsia="zh-TW"/>
        </w:rPr>
        <w:fldChar w:fldCharType="begin"/>
      </w:r>
      <w:r>
        <w:rPr>
          <w:rFonts w:hint="eastAsia" w:ascii="楷体" w:hAnsi="楷体" w:eastAsia="楷体" w:cs="楷体"/>
          <w:color w:val="auto"/>
          <w:sz w:val="28"/>
          <w:szCs w:val="28"/>
          <w:highlight w:val="none"/>
          <w:lang w:eastAsia="zh-TW"/>
        </w:rPr>
        <w:instrText xml:space="preserve"> HYPERLINK \l _Toc8115 </w:instrText>
      </w:r>
      <w:r>
        <w:rPr>
          <w:rFonts w:hint="eastAsia" w:ascii="楷体" w:hAnsi="楷体" w:eastAsia="楷体" w:cs="楷体"/>
          <w:color w:val="auto"/>
          <w:sz w:val="28"/>
          <w:szCs w:val="28"/>
          <w:highlight w:val="none"/>
          <w:lang w:eastAsia="zh-TW"/>
        </w:rPr>
        <w:fldChar w:fldCharType="separate"/>
      </w:r>
      <w:r>
        <w:rPr>
          <w:rFonts w:hint="eastAsia" w:ascii="楷体" w:hAnsi="楷体" w:eastAsia="楷体" w:cs="楷体"/>
          <w:color w:val="auto"/>
          <w:sz w:val="28"/>
          <w:szCs w:val="28"/>
          <w:highlight w:val="none"/>
        </w:rPr>
        <w:t>第三章 重点专业质量控制指标</w:t>
      </w:r>
      <w:r>
        <w:rPr>
          <w:rFonts w:hint="eastAsia" w:ascii="楷体" w:hAnsi="楷体" w:eastAsia="楷体" w:cs="楷体"/>
          <w:color w:val="auto"/>
          <w:sz w:val="28"/>
          <w:szCs w:val="28"/>
          <w:highlight w:val="none"/>
        </w:rPr>
        <w:tab/>
      </w:r>
      <w:r>
        <w:rPr>
          <w:rFonts w:hint="eastAsia" w:ascii="楷体" w:hAnsi="楷体" w:eastAsia="楷体" w:cs="楷体"/>
          <w:color w:val="auto"/>
          <w:sz w:val="28"/>
          <w:szCs w:val="28"/>
          <w:highlight w:val="none"/>
        </w:rPr>
        <w:fldChar w:fldCharType="begin"/>
      </w:r>
      <w:r>
        <w:rPr>
          <w:rFonts w:hint="eastAsia" w:ascii="楷体" w:hAnsi="楷体" w:eastAsia="楷体" w:cs="楷体"/>
          <w:color w:val="auto"/>
          <w:sz w:val="28"/>
          <w:szCs w:val="28"/>
          <w:highlight w:val="none"/>
        </w:rPr>
        <w:instrText xml:space="preserve"> PAGEREF _Toc8115 \h </w:instrText>
      </w:r>
      <w:r>
        <w:rPr>
          <w:rFonts w:hint="eastAsia" w:ascii="楷体" w:hAnsi="楷体" w:eastAsia="楷体" w:cs="楷体"/>
          <w:color w:val="auto"/>
          <w:sz w:val="28"/>
          <w:szCs w:val="28"/>
          <w:highlight w:val="none"/>
        </w:rPr>
        <w:fldChar w:fldCharType="separate"/>
      </w:r>
      <w:r>
        <w:rPr>
          <w:rFonts w:hint="eastAsia" w:ascii="楷体" w:hAnsi="楷体" w:eastAsia="楷体" w:cs="楷体"/>
          <w:color w:val="auto"/>
          <w:sz w:val="28"/>
          <w:szCs w:val="28"/>
          <w:highlight w:val="none"/>
        </w:rPr>
        <w:t>19</w:t>
      </w:r>
      <w:r>
        <w:rPr>
          <w:rFonts w:hint="eastAsia" w:ascii="楷体" w:hAnsi="楷体" w:eastAsia="楷体" w:cs="楷体"/>
          <w:color w:val="auto"/>
          <w:sz w:val="28"/>
          <w:szCs w:val="28"/>
          <w:highlight w:val="none"/>
        </w:rPr>
        <w:fldChar w:fldCharType="end"/>
      </w:r>
      <w:r>
        <w:rPr>
          <w:rFonts w:hint="eastAsia" w:ascii="楷体" w:hAnsi="楷体" w:eastAsia="楷体" w:cs="楷体"/>
          <w:color w:val="auto"/>
          <w:sz w:val="28"/>
          <w:szCs w:val="28"/>
          <w:highlight w:val="none"/>
          <w:lang w:eastAsia="zh-TW"/>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eastAsia="zh-TW"/>
        </w:rPr>
        <w:fldChar w:fldCharType="begin"/>
      </w:r>
      <w:r>
        <w:rPr>
          <w:rFonts w:hint="eastAsia" w:ascii="楷体" w:hAnsi="楷体" w:eastAsia="楷体" w:cs="楷体"/>
          <w:color w:val="auto"/>
          <w:sz w:val="28"/>
          <w:szCs w:val="28"/>
          <w:highlight w:val="none"/>
          <w:lang w:eastAsia="zh-TW"/>
        </w:rPr>
        <w:instrText xml:space="preserve"> HYPERLINK \l _Toc14218 </w:instrText>
      </w:r>
      <w:r>
        <w:rPr>
          <w:rFonts w:hint="eastAsia" w:ascii="楷体" w:hAnsi="楷体" w:eastAsia="楷体" w:cs="楷体"/>
          <w:color w:val="auto"/>
          <w:sz w:val="28"/>
          <w:szCs w:val="28"/>
          <w:highlight w:val="none"/>
          <w:lang w:eastAsia="zh-TW"/>
        </w:rPr>
        <w:fldChar w:fldCharType="separate"/>
      </w:r>
      <w:r>
        <w:rPr>
          <w:rFonts w:hint="eastAsia" w:ascii="楷体" w:hAnsi="楷体" w:eastAsia="楷体" w:cs="楷体"/>
          <w:color w:val="auto"/>
          <w:sz w:val="28"/>
          <w:szCs w:val="28"/>
          <w:highlight w:val="none"/>
        </w:rPr>
        <w:t>第四章 单病种（术种）质量控制指标</w:t>
      </w:r>
      <w:r>
        <w:rPr>
          <w:rFonts w:hint="eastAsia" w:ascii="楷体" w:hAnsi="楷体" w:eastAsia="楷体" w:cs="楷体"/>
          <w:color w:val="auto"/>
          <w:sz w:val="28"/>
          <w:szCs w:val="28"/>
          <w:highlight w:val="none"/>
        </w:rPr>
        <w:tab/>
      </w:r>
      <w:r>
        <w:rPr>
          <w:rFonts w:hint="eastAsia" w:ascii="楷体" w:hAnsi="楷体" w:eastAsia="楷体" w:cs="楷体"/>
          <w:color w:val="auto"/>
          <w:sz w:val="28"/>
          <w:szCs w:val="28"/>
          <w:highlight w:val="none"/>
        </w:rPr>
        <w:fldChar w:fldCharType="begin"/>
      </w:r>
      <w:r>
        <w:rPr>
          <w:rFonts w:hint="eastAsia" w:ascii="楷体" w:hAnsi="楷体" w:eastAsia="楷体" w:cs="楷体"/>
          <w:color w:val="auto"/>
          <w:sz w:val="28"/>
          <w:szCs w:val="28"/>
          <w:highlight w:val="none"/>
        </w:rPr>
        <w:instrText xml:space="preserve"> PAGEREF _Toc14218 \h </w:instrText>
      </w:r>
      <w:r>
        <w:rPr>
          <w:rFonts w:hint="eastAsia" w:ascii="楷体" w:hAnsi="楷体" w:eastAsia="楷体" w:cs="楷体"/>
          <w:color w:val="auto"/>
          <w:sz w:val="28"/>
          <w:szCs w:val="28"/>
          <w:highlight w:val="none"/>
        </w:rPr>
        <w:fldChar w:fldCharType="separate"/>
      </w:r>
      <w:r>
        <w:rPr>
          <w:rFonts w:hint="eastAsia" w:ascii="楷体" w:hAnsi="楷体" w:eastAsia="楷体" w:cs="楷体"/>
          <w:color w:val="auto"/>
          <w:sz w:val="28"/>
          <w:szCs w:val="28"/>
          <w:highlight w:val="none"/>
        </w:rPr>
        <w:t>34</w:t>
      </w:r>
      <w:r>
        <w:rPr>
          <w:rFonts w:hint="eastAsia" w:ascii="楷体" w:hAnsi="楷体" w:eastAsia="楷体" w:cs="楷体"/>
          <w:color w:val="auto"/>
          <w:sz w:val="28"/>
          <w:szCs w:val="28"/>
          <w:highlight w:val="none"/>
        </w:rPr>
        <w:fldChar w:fldCharType="end"/>
      </w:r>
      <w:r>
        <w:rPr>
          <w:rFonts w:hint="eastAsia" w:ascii="楷体" w:hAnsi="楷体" w:eastAsia="楷体" w:cs="楷体"/>
          <w:color w:val="auto"/>
          <w:sz w:val="28"/>
          <w:szCs w:val="28"/>
          <w:highlight w:val="none"/>
          <w:lang w:eastAsia="zh-TW"/>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eastAsia="zh-TW"/>
        </w:rPr>
        <w:fldChar w:fldCharType="begin"/>
      </w:r>
      <w:r>
        <w:rPr>
          <w:rFonts w:hint="eastAsia" w:ascii="楷体" w:hAnsi="楷体" w:eastAsia="楷体" w:cs="楷体"/>
          <w:color w:val="auto"/>
          <w:sz w:val="28"/>
          <w:szCs w:val="28"/>
          <w:highlight w:val="none"/>
          <w:lang w:eastAsia="zh-TW"/>
        </w:rPr>
        <w:instrText xml:space="preserve"> HYPERLINK \l _Toc15408 </w:instrText>
      </w:r>
      <w:r>
        <w:rPr>
          <w:rFonts w:hint="eastAsia" w:ascii="楷体" w:hAnsi="楷体" w:eastAsia="楷体" w:cs="楷体"/>
          <w:color w:val="auto"/>
          <w:sz w:val="28"/>
          <w:szCs w:val="28"/>
          <w:highlight w:val="none"/>
          <w:lang w:eastAsia="zh-TW"/>
        </w:rPr>
        <w:fldChar w:fldCharType="separate"/>
      </w:r>
      <w:r>
        <w:rPr>
          <w:rFonts w:hint="eastAsia" w:ascii="楷体" w:hAnsi="楷体" w:eastAsia="楷体" w:cs="楷体"/>
          <w:color w:val="auto"/>
          <w:sz w:val="28"/>
          <w:szCs w:val="28"/>
          <w:highlight w:val="none"/>
        </w:rPr>
        <w:t>第五章 重点医疗技术临床应用质量控制指标</w:t>
      </w:r>
      <w:r>
        <w:rPr>
          <w:rFonts w:hint="eastAsia" w:ascii="楷体" w:hAnsi="楷体" w:eastAsia="楷体" w:cs="楷体"/>
          <w:color w:val="auto"/>
          <w:sz w:val="28"/>
          <w:szCs w:val="28"/>
          <w:highlight w:val="none"/>
        </w:rPr>
        <w:tab/>
      </w:r>
      <w:r>
        <w:rPr>
          <w:rFonts w:hint="eastAsia" w:ascii="楷体" w:hAnsi="楷体" w:eastAsia="楷体" w:cs="楷体"/>
          <w:color w:val="auto"/>
          <w:sz w:val="28"/>
          <w:szCs w:val="28"/>
          <w:highlight w:val="none"/>
        </w:rPr>
        <w:fldChar w:fldCharType="begin"/>
      </w:r>
      <w:r>
        <w:rPr>
          <w:rFonts w:hint="eastAsia" w:ascii="楷体" w:hAnsi="楷体" w:eastAsia="楷体" w:cs="楷体"/>
          <w:color w:val="auto"/>
          <w:sz w:val="28"/>
          <w:szCs w:val="28"/>
          <w:highlight w:val="none"/>
        </w:rPr>
        <w:instrText xml:space="preserve"> PAGEREF _Toc15408 \h </w:instrText>
      </w:r>
      <w:r>
        <w:rPr>
          <w:rFonts w:hint="eastAsia" w:ascii="楷体" w:hAnsi="楷体" w:eastAsia="楷体" w:cs="楷体"/>
          <w:color w:val="auto"/>
          <w:sz w:val="28"/>
          <w:szCs w:val="28"/>
          <w:highlight w:val="none"/>
        </w:rPr>
        <w:fldChar w:fldCharType="separate"/>
      </w:r>
      <w:r>
        <w:rPr>
          <w:rFonts w:hint="eastAsia" w:ascii="楷体" w:hAnsi="楷体" w:eastAsia="楷体" w:cs="楷体"/>
          <w:color w:val="auto"/>
          <w:sz w:val="28"/>
          <w:szCs w:val="28"/>
          <w:highlight w:val="none"/>
        </w:rPr>
        <w:t>39</w:t>
      </w:r>
      <w:r>
        <w:rPr>
          <w:rFonts w:hint="eastAsia" w:ascii="楷体" w:hAnsi="楷体" w:eastAsia="楷体" w:cs="楷体"/>
          <w:color w:val="auto"/>
          <w:sz w:val="28"/>
          <w:szCs w:val="28"/>
          <w:highlight w:val="none"/>
        </w:rPr>
        <w:fldChar w:fldCharType="end"/>
      </w:r>
      <w:r>
        <w:rPr>
          <w:rFonts w:hint="eastAsia" w:ascii="楷体" w:hAnsi="楷体" w:eastAsia="楷体" w:cs="楷体"/>
          <w:color w:val="auto"/>
          <w:sz w:val="28"/>
          <w:szCs w:val="28"/>
          <w:highlight w:val="none"/>
          <w:lang w:eastAsia="zh-TW"/>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楷体" w:hAnsi="楷体" w:eastAsia="楷体" w:cs="楷体"/>
          <w:color w:val="auto"/>
          <w:szCs w:val="28"/>
          <w:highlight w:val="none"/>
        </w:rPr>
      </w:pPr>
      <w:r>
        <w:rPr>
          <w:rFonts w:hint="eastAsia" w:ascii="楷体" w:hAnsi="楷体" w:eastAsia="楷体" w:cs="楷体"/>
          <w:color w:val="auto"/>
          <w:szCs w:val="28"/>
          <w:highlight w:val="none"/>
          <w:lang w:eastAsia="zh-TW"/>
        </w:rPr>
        <w:fldChar w:fldCharType="begin"/>
      </w:r>
      <w:r>
        <w:rPr>
          <w:rFonts w:hint="eastAsia" w:ascii="楷体" w:hAnsi="楷体" w:eastAsia="楷体" w:cs="楷体"/>
          <w:color w:val="auto"/>
          <w:szCs w:val="28"/>
          <w:highlight w:val="none"/>
          <w:lang w:eastAsia="zh-TW"/>
        </w:rPr>
        <w:instrText xml:space="preserve"> HYPERLINK \l _Toc21803 </w:instrText>
      </w:r>
      <w:r>
        <w:rPr>
          <w:rFonts w:hint="eastAsia" w:ascii="楷体" w:hAnsi="楷体" w:eastAsia="楷体" w:cs="楷体"/>
          <w:color w:val="auto"/>
          <w:szCs w:val="28"/>
          <w:highlight w:val="none"/>
          <w:lang w:eastAsia="zh-TW"/>
        </w:rPr>
        <w:fldChar w:fldCharType="separate"/>
      </w:r>
      <w:r>
        <w:rPr>
          <w:rFonts w:hint="eastAsia" w:ascii="楷体" w:hAnsi="楷体" w:eastAsia="楷体" w:cs="楷体"/>
          <w:color w:val="auto"/>
          <w:szCs w:val="28"/>
          <w:highlight w:val="none"/>
        </w:rPr>
        <w:t>第三部分 现场检查</w:t>
      </w:r>
      <w:r>
        <w:rPr>
          <w:rFonts w:hint="eastAsia" w:ascii="楷体" w:hAnsi="楷体" w:eastAsia="楷体" w:cs="楷体"/>
          <w:color w:val="auto"/>
          <w:szCs w:val="28"/>
          <w:highlight w:val="none"/>
        </w:rPr>
        <w:tab/>
      </w:r>
      <w:r>
        <w:rPr>
          <w:rFonts w:hint="eastAsia" w:ascii="楷体" w:hAnsi="楷体" w:eastAsia="楷体" w:cs="楷体"/>
          <w:color w:val="auto"/>
          <w:szCs w:val="28"/>
          <w:highlight w:val="none"/>
        </w:rPr>
        <w:fldChar w:fldCharType="begin"/>
      </w:r>
      <w:r>
        <w:rPr>
          <w:rFonts w:hint="eastAsia" w:ascii="楷体" w:hAnsi="楷体" w:eastAsia="楷体" w:cs="楷体"/>
          <w:color w:val="auto"/>
          <w:szCs w:val="28"/>
          <w:highlight w:val="none"/>
        </w:rPr>
        <w:instrText xml:space="preserve"> PAGEREF _Toc21803 \h </w:instrText>
      </w:r>
      <w:r>
        <w:rPr>
          <w:rFonts w:hint="eastAsia" w:ascii="楷体" w:hAnsi="楷体" w:eastAsia="楷体" w:cs="楷体"/>
          <w:color w:val="auto"/>
          <w:szCs w:val="28"/>
          <w:highlight w:val="none"/>
        </w:rPr>
        <w:fldChar w:fldCharType="separate"/>
      </w:r>
      <w:r>
        <w:rPr>
          <w:rFonts w:hint="eastAsia" w:ascii="楷体" w:hAnsi="楷体" w:eastAsia="楷体" w:cs="楷体"/>
          <w:color w:val="auto"/>
          <w:szCs w:val="28"/>
          <w:highlight w:val="none"/>
        </w:rPr>
        <w:t>45</w:t>
      </w:r>
      <w:r>
        <w:rPr>
          <w:rFonts w:hint="eastAsia" w:ascii="楷体" w:hAnsi="楷体" w:eastAsia="楷体" w:cs="楷体"/>
          <w:color w:val="auto"/>
          <w:szCs w:val="28"/>
          <w:highlight w:val="none"/>
        </w:rPr>
        <w:fldChar w:fldCharType="end"/>
      </w:r>
      <w:r>
        <w:rPr>
          <w:rFonts w:hint="eastAsia" w:ascii="楷体" w:hAnsi="楷体" w:eastAsia="楷体" w:cs="楷体"/>
          <w:color w:val="auto"/>
          <w:szCs w:val="28"/>
          <w:highlight w:val="none"/>
          <w:lang w:eastAsia="zh-TW"/>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eastAsia="zh-TW"/>
        </w:rPr>
        <w:fldChar w:fldCharType="begin"/>
      </w:r>
      <w:r>
        <w:rPr>
          <w:rFonts w:hint="eastAsia" w:ascii="楷体" w:hAnsi="楷体" w:eastAsia="楷体" w:cs="楷体"/>
          <w:color w:val="auto"/>
          <w:sz w:val="28"/>
          <w:szCs w:val="28"/>
          <w:highlight w:val="none"/>
          <w:lang w:eastAsia="zh-TW"/>
        </w:rPr>
        <w:instrText xml:space="preserve"> HYPERLINK \l _Toc13095 </w:instrText>
      </w:r>
      <w:r>
        <w:rPr>
          <w:rFonts w:hint="eastAsia" w:ascii="楷体" w:hAnsi="楷体" w:eastAsia="楷体" w:cs="楷体"/>
          <w:color w:val="auto"/>
          <w:sz w:val="28"/>
          <w:szCs w:val="28"/>
          <w:highlight w:val="none"/>
          <w:lang w:eastAsia="zh-TW"/>
        </w:rPr>
        <w:fldChar w:fldCharType="separate"/>
      </w:r>
      <w:r>
        <w:rPr>
          <w:rFonts w:hint="eastAsia" w:ascii="楷体" w:hAnsi="楷体" w:eastAsia="楷体" w:cs="楷体"/>
          <w:color w:val="auto"/>
          <w:kern w:val="44"/>
          <w:sz w:val="28"/>
          <w:szCs w:val="28"/>
          <w:highlight w:val="none"/>
        </w:rPr>
        <w:t>第一章 医院功能与任务</w:t>
      </w:r>
      <w:r>
        <w:rPr>
          <w:rFonts w:hint="eastAsia" w:ascii="楷体" w:hAnsi="楷体" w:eastAsia="楷体" w:cs="楷体"/>
          <w:color w:val="auto"/>
          <w:sz w:val="28"/>
          <w:szCs w:val="28"/>
          <w:highlight w:val="none"/>
        </w:rPr>
        <w:tab/>
      </w:r>
      <w:r>
        <w:rPr>
          <w:rFonts w:hint="eastAsia" w:ascii="楷体" w:hAnsi="楷体" w:eastAsia="楷体" w:cs="楷体"/>
          <w:color w:val="auto"/>
          <w:sz w:val="28"/>
          <w:szCs w:val="28"/>
          <w:highlight w:val="none"/>
        </w:rPr>
        <w:fldChar w:fldCharType="begin"/>
      </w:r>
      <w:r>
        <w:rPr>
          <w:rFonts w:hint="eastAsia" w:ascii="楷体" w:hAnsi="楷体" w:eastAsia="楷体" w:cs="楷体"/>
          <w:color w:val="auto"/>
          <w:sz w:val="28"/>
          <w:szCs w:val="28"/>
          <w:highlight w:val="none"/>
        </w:rPr>
        <w:instrText xml:space="preserve"> PAGEREF _Toc13095 \h </w:instrText>
      </w:r>
      <w:r>
        <w:rPr>
          <w:rFonts w:hint="eastAsia" w:ascii="楷体" w:hAnsi="楷体" w:eastAsia="楷体" w:cs="楷体"/>
          <w:color w:val="auto"/>
          <w:sz w:val="28"/>
          <w:szCs w:val="28"/>
          <w:highlight w:val="none"/>
        </w:rPr>
        <w:fldChar w:fldCharType="separate"/>
      </w:r>
      <w:r>
        <w:rPr>
          <w:rFonts w:hint="eastAsia" w:ascii="楷体" w:hAnsi="楷体" w:eastAsia="楷体" w:cs="楷体"/>
          <w:color w:val="auto"/>
          <w:sz w:val="28"/>
          <w:szCs w:val="28"/>
          <w:highlight w:val="none"/>
        </w:rPr>
        <w:t>45</w:t>
      </w:r>
      <w:r>
        <w:rPr>
          <w:rFonts w:hint="eastAsia" w:ascii="楷体" w:hAnsi="楷体" w:eastAsia="楷体" w:cs="楷体"/>
          <w:color w:val="auto"/>
          <w:sz w:val="28"/>
          <w:szCs w:val="28"/>
          <w:highlight w:val="none"/>
        </w:rPr>
        <w:fldChar w:fldCharType="end"/>
      </w:r>
      <w:r>
        <w:rPr>
          <w:rFonts w:hint="eastAsia" w:ascii="楷体" w:hAnsi="楷体" w:eastAsia="楷体" w:cs="楷体"/>
          <w:color w:val="auto"/>
          <w:sz w:val="28"/>
          <w:szCs w:val="28"/>
          <w:highlight w:val="none"/>
          <w:lang w:eastAsia="zh-TW"/>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eastAsia="zh-TW"/>
        </w:rPr>
        <w:fldChar w:fldCharType="begin"/>
      </w:r>
      <w:r>
        <w:rPr>
          <w:rFonts w:hint="eastAsia" w:ascii="楷体" w:hAnsi="楷体" w:eastAsia="楷体" w:cs="楷体"/>
          <w:color w:val="auto"/>
          <w:sz w:val="28"/>
          <w:szCs w:val="28"/>
          <w:highlight w:val="none"/>
          <w:lang w:eastAsia="zh-TW"/>
        </w:rPr>
        <w:instrText xml:space="preserve"> HYPERLINK \l _Toc1372 </w:instrText>
      </w:r>
      <w:r>
        <w:rPr>
          <w:rFonts w:hint="eastAsia" w:ascii="楷体" w:hAnsi="楷体" w:eastAsia="楷体" w:cs="楷体"/>
          <w:color w:val="auto"/>
          <w:sz w:val="28"/>
          <w:szCs w:val="28"/>
          <w:highlight w:val="none"/>
          <w:lang w:eastAsia="zh-TW"/>
        </w:rPr>
        <w:fldChar w:fldCharType="separate"/>
      </w:r>
      <w:r>
        <w:rPr>
          <w:rFonts w:hint="eastAsia" w:ascii="楷体" w:hAnsi="楷体" w:eastAsia="楷体" w:cs="楷体"/>
          <w:color w:val="auto"/>
          <w:kern w:val="44"/>
          <w:sz w:val="28"/>
          <w:szCs w:val="28"/>
          <w:highlight w:val="none"/>
        </w:rPr>
        <w:t>第二章 临床服务质量与安全管理</w:t>
      </w:r>
      <w:r>
        <w:rPr>
          <w:rFonts w:hint="eastAsia" w:ascii="楷体" w:hAnsi="楷体" w:eastAsia="楷体" w:cs="楷体"/>
          <w:color w:val="auto"/>
          <w:sz w:val="28"/>
          <w:szCs w:val="28"/>
          <w:highlight w:val="none"/>
        </w:rPr>
        <w:tab/>
      </w:r>
      <w:r>
        <w:rPr>
          <w:rFonts w:hint="eastAsia" w:ascii="楷体" w:hAnsi="楷体" w:eastAsia="楷体" w:cs="楷体"/>
          <w:color w:val="auto"/>
          <w:sz w:val="28"/>
          <w:szCs w:val="28"/>
          <w:highlight w:val="none"/>
        </w:rPr>
        <w:fldChar w:fldCharType="begin"/>
      </w:r>
      <w:r>
        <w:rPr>
          <w:rFonts w:hint="eastAsia" w:ascii="楷体" w:hAnsi="楷体" w:eastAsia="楷体" w:cs="楷体"/>
          <w:color w:val="auto"/>
          <w:sz w:val="28"/>
          <w:szCs w:val="28"/>
          <w:highlight w:val="none"/>
        </w:rPr>
        <w:instrText xml:space="preserve"> PAGEREF _Toc1372 \h </w:instrText>
      </w:r>
      <w:r>
        <w:rPr>
          <w:rFonts w:hint="eastAsia" w:ascii="楷体" w:hAnsi="楷体" w:eastAsia="楷体" w:cs="楷体"/>
          <w:color w:val="auto"/>
          <w:sz w:val="28"/>
          <w:szCs w:val="28"/>
          <w:highlight w:val="none"/>
        </w:rPr>
        <w:fldChar w:fldCharType="separate"/>
      </w:r>
      <w:r>
        <w:rPr>
          <w:rFonts w:hint="eastAsia" w:ascii="楷体" w:hAnsi="楷体" w:eastAsia="楷体" w:cs="楷体"/>
          <w:color w:val="auto"/>
          <w:sz w:val="28"/>
          <w:szCs w:val="28"/>
          <w:highlight w:val="none"/>
        </w:rPr>
        <w:t>51</w:t>
      </w:r>
      <w:r>
        <w:rPr>
          <w:rFonts w:hint="eastAsia" w:ascii="楷体" w:hAnsi="楷体" w:eastAsia="楷体" w:cs="楷体"/>
          <w:color w:val="auto"/>
          <w:sz w:val="28"/>
          <w:szCs w:val="28"/>
          <w:highlight w:val="none"/>
        </w:rPr>
        <w:fldChar w:fldCharType="end"/>
      </w:r>
      <w:r>
        <w:rPr>
          <w:rFonts w:hint="eastAsia" w:ascii="楷体" w:hAnsi="楷体" w:eastAsia="楷体" w:cs="楷体"/>
          <w:color w:val="auto"/>
          <w:sz w:val="28"/>
          <w:szCs w:val="28"/>
          <w:highlight w:val="none"/>
          <w:lang w:eastAsia="zh-TW"/>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eastAsia="zh-TW"/>
        </w:rPr>
        <w:fldChar w:fldCharType="begin"/>
      </w:r>
      <w:r>
        <w:rPr>
          <w:rFonts w:hint="eastAsia" w:ascii="楷体" w:hAnsi="楷体" w:eastAsia="楷体" w:cs="楷体"/>
          <w:color w:val="auto"/>
          <w:sz w:val="28"/>
          <w:szCs w:val="28"/>
          <w:highlight w:val="none"/>
          <w:lang w:eastAsia="zh-TW"/>
        </w:rPr>
        <w:instrText xml:space="preserve"> HYPERLINK \l _Toc21874 </w:instrText>
      </w:r>
      <w:r>
        <w:rPr>
          <w:rFonts w:hint="eastAsia" w:ascii="楷体" w:hAnsi="楷体" w:eastAsia="楷体" w:cs="楷体"/>
          <w:color w:val="auto"/>
          <w:sz w:val="28"/>
          <w:szCs w:val="28"/>
          <w:highlight w:val="none"/>
          <w:lang w:eastAsia="zh-TW"/>
        </w:rPr>
        <w:fldChar w:fldCharType="separate"/>
      </w:r>
      <w:r>
        <w:rPr>
          <w:rFonts w:hint="eastAsia" w:ascii="楷体" w:hAnsi="楷体" w:eastAsia="楷体" w:cs="楷体"/>
          <w:color w:val="auto"/>
          <w:kern w:val="44"/>
          <w:sz w:val="28"/>
          <w:szCs w:val="28"/>
          <w:highlight w:val="none"/>
        </w:rPr>
        <w:t>第三章 医院管理</w:t>
      </w:r>
      <w:r>
        <w:rPr>
          <w:rFonts w:hint="eastAsia" w:ascii="楷体" w:hAnsi="楷体" w:eastAsia="楷体" w:cs="楷体"/>
          <w:color w:val="auto"/>
          <w:sz w:val="28"/>
          <w:szCs w:val="28"/>
          <w:highlight w:val="none"/>
        </w:rPr>
        <w:tab/>
      </w:r>
      <w:r>
        <w:rPr>
          <w:rFonts w:hint="eastAsia" w:ascii="楷体" w:hAnsi="楷体" w:eastAsia="楷体" w:cs="楷体"/>
          <w:color w:val="auto"/>
          <w:sz w:val="28"/>
          <w:szCs w:val="28"/>
          <w:highlight w:val="none"/>
        </w:rPr>
        <w:fldChar w:fldCharType="begin"/>
      </w:r>
      <w:r>
        <w:rPr>
          <w:rFonts w:hint="eastAsia" w:ascii="楷体" w:hAnsi="楷体" w:eastAsia="楷体" w:cs="楷体"/>
          <w:color w:val="auto"/>
          <w:sz w:val="28"/>
          <w:szCs w:val="28"/>
          <w:highlight w:val="none"/>
        </w:rPr>
        <w:instrText xml:space="preserve"> PAGEREF _Toc21874 \h </w:instrText>
      </w:r>
      <w:r>
        <w:rPr>
          <w:rFonts w:hint="eastAsia" w:ascii="楷体" w:hAnsi="楷体" w:eastAsia="楷体" w:cs="楷体"/>
          <w:color w:val="auto"/>
          <w:sz w:val="28"/>
          <w:szCs w:val="28"/>
          <w:highlight w:val="none"/>
        </w:rPr>
        <w:fldChar w:fldCharType="separate"/>
      </w:r>
      <w:r>
        <w:rPr>
          <w:rFonts w:hint="eastAsia" w:ascii="楷体" w:hAnsi="楷体" w:eastAsia="楷体" w:cs="楷体"/>
          <w:color w:val="auto"/>
          <w:sz w:val="28"/>
          <w:szCs w:val="28"/>
          <w:highlight w:val="none"/>
        </w:rPr>
        <w:t>146</w:t>
      </w:r>
      <w:r>
        <w:rPr>
          <w:rFonts w:hint="eastAsia" w:ascii="楷体" w:hAnsi="楷体" w:eastAsia="楷体" w:cs="楷体"/>
          <w:color w:val="auto"/>
          <w:sz w:val="28"/>
          <w:szCs w:val="28"/>
          <w:highlight w:val="none"/>
        </w:rPr>
        <w:fldChar w:fldCharType="end"/>
      </w:r>
      <w:r>
        <w:rPr>
          <w:rFonts w:hint="eastAsia" w:ascii="楷体" w:hAnsi="楷体" w:eastAsia="楷体" w:cs="楷体"/>
          <w:color w:val="auto"/>
          <w:sz w:val="28"/>
          <w:szCs w:val="28"/>
          <w:highlight w:val="none"/>
          <w:lang w:eastAsia="zh-TW"/>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楷体" w:hAnsi="楷体" w:eastAsia="楷体" w:cs="楷体"/>
          <w:color w:val="auto"/>
          <w:szCs w:val="28"/>
          <w:highlight w:val="none"/>
        </w:rPr>
      </w:pPr>
      <w:r>
        <w:rPr>
          <w:rFonts w:hint="eastAsia" w:ascii="楷体" w:hAnsi="楷体" w:eastAsia="楷体" w:cs="楷体"/>
          <w:color w:val="auto"/>
          <w:szCs w:val="28"/>
          <w:highlight w:val="none"/>
          <w:lang w:eastAsia="zh-TW"/>
        </w:rPr>
        <w:fldChar w:fldCharType="begin"/>
      </w:r>
      <w:r>
        <w:rPr>
          <w:rFonts w:hint="eastAsia" w:ascii="楷体" w:hAnsi="楷体" w:eastAsia="楷体" w:cs="楷体"/>
          <w:color w:val="auto"/>
          <w:szCs w:val="28"/>
          <w:highlight w:val="none"/>
          <w:lang w:eastAsia="zh-TW"/>
        </w:rPr>
        <w:instrText xml:space="preserve"> HYPERLINK \l _Toc12162 </w:instrText>
      </w:r>
      <w:r>
        <w:rPr>
          <w:rFonts w:hint="eastAsia" w:ascii="楷体" w:hAnsi="楷体" w:eastAsia="楷体" w:cs="楷体"/>
          <w:color w:val="auto"/>
          <w:szCs w:val="28"/>
          <w:highlight w:val="none"/>
          <w:lang w:eastAsia="zh-TW"/>
        </w:rPr>
        <w:fldChar w:fldCharType="separate"/>
      </w:r>
      <w:r>
        <w:rPr>
          <w:rFonts w:hint="eastAsia" w:ascii="楷体" w:hAnsi="楷体" w:eastAsia="楷体" w:cs="楷体"/>
          <w:color w:val="auto"/>
          <w:szCs w:val="28"/>
          <w:highlight w:val="none"/>
          <w:lang w:eastAsia="zh-CN"/>
        </w:rPr>
        <w:t>附件</w:t>
      </w:r>
      <w:r>
        <w:rPr>
          <w:rFonts w:hint="eastAsia" w:ascii="楷体" w:hAnsi="楷体" w:eastAsia="楷体" w:cs="楷体"/>
          <w:color w:val="auto"/>
          <w:szCs w:val="28"/>
          <w:highlight w:val="none"/>
          <w:lang w:val="en-US" w:eastAsia="zh-CN"/>
        </w:rPr>
        <w:t>1</w:t>
      </w:r>
      <w:r>
        <w:rPr>
          <w:rFonts w:hint="eastAsia" w:ascii="楷体" w:hAnsi="楷体" w:eastAsia="楷体" w:cs="楷体"/>
          <w:color w:val="auto"/>
          <w:szCs w:val="28"/>
          <w:highlight w:val="none"/>
          <w:lang w:eastAsia="zh-TW"/>
        </w:rPr>
        <w:fldChar w:fldCharType="end"/>
      </w:r>
      <w:r>
        <w:rPr>
          <w:rFonts w:hint="eastAsia" w:ascii="楷体" w:hAnsi="楷体" w:eastAsia="楷体" w:cs="楷体"/>
          <w:color w:val="auto"/>
          <w:szCs w:val="28"/>
          <w:highlight w:val="none"/>
          <w:lang w:val="en-US" w:eastAsia="zh-CN"/>
        </w:rPr>
        <w:t xml:space="preserve"> </w:t>
      </w:r>
      <w:r>
        <w:rPr>
          <w:rFonts w:hint="eastAsia" w:ascii="楷体" w:hAnsi="楷体" w:eastAsia="楷体" w:cs="楷体"/>
          <w:color w:val="auto"/>
          <w:szCs w:val="28"/>
          <w:highlight w:val="none"/>
          <w:lang w:eastAsia="zh-TW"/>
        </w:rPr>
        <w:fldChar w:fldCharType="begin"/>
      </w:r>
      <w:r>
        <w:rPr>
          <w:rFonts w:hint="eastAsia" w:ascii="楷体" w:hAnsi="楷体" w:eastAsia="楷体" w:cs="楷体"/>
          <w:color w:val="auto"/>
          <w:szCs w:val="28"/>
          <w:highlight w:val="none"/>
          <w:lang w:eastAsia="zh-TW"/>
        </w:rPr>
        <w:instrText xml:space="preserve"> HYPERLINK \l _Toc9997 </w:instrText>
      </w:r>
      <w:r>
        <w:rPr>
          <w:rFonts w:hint="eastAsia" w:ascii="楷体" w:hAnsi="楷体" w:eastAsia="楷体" w:cs="楷体"/>
          <w:color w:val="auto"/>
          <w:szCs w:val="28"/>
          <w:highlight w:val="none"/>
          <w:lang w:eastAsia="zh-TW"/>
        </w:rPr>
        <w:fldChar w:fldCharType="separate"/>
      </w:r>
      <w:r>
        <w:rPr>
          <w:rFonts w:hint="eastAsia" w:ascii="楷体" w:hAnsi="楷体" w:eastAsia="楷体" w:cs="楷体"/>
          <w:color w:val="auto"/>
          <w:szCs w:val="28"/>
          <w:highlight w:val="none"/>
        </w:rPr>
        <w:t>115 个低风险病种ICD-10（2019 v2.0）编码表</w:t>
      </w:r>
      <w:r>
        <w:rPr>
          <w:rFonts w:hint="eastAsia" w:ascii="楷体" w:hAnsi="楷体" w:eastAsia="楷体" w:cs="楷体"/>
          <w:color w:val="auto"/>
          <w:szCs w:val="28"/>
          <w:highlight w:val="none"/>
        </w:rPr>
        <w:tab/>
      </w:r>
      <w:r>
        <w:rPr>
          <w:rFonts w:hint="eastAsia" w:ascii="楷体" w:hAnsi="楷体" w:eastAsia="楷体" w:cs="楷体"/>
          <w:color w:val="auto"/>
          <w:szCs w:val="28"/>
          <w:highlight w:val="none"/>
        </w:rPr>
        <w:fldChar w:fldCharType="begin"/>
      </w:r>
      <w:r>
        <w:rPr>
          <w:rFonts w:hint="eastAsia" w:ascii="楷体" w:hAnsi="楷体" w:eastAsia="楷体" w:cs="楷体"/>
          <w:color w:val="auto"/>
          <w:szCs w:val="28"/>
          <w:highlight w:val="none"/>
        </w:rPr>
        <w:instrText xml:space="preserve"> PAGEREF _Toc9997 \h </w:instrText>
      </w:r>
      <w:r>
        <w:rPr>
          <w:rFonts w:hint="eastAsia" w:ascii="楷体" w:hAnsi="楷体" w:eastAsia="楷体" w:cs="楷体"/>
          <w:color w:val="auto"/>
          <w:szCs w:val="28"/>
          <w:highlight w:val="none"/>
        </w:rPr>
        <w:fldChar w:fldCharType="separate"/>
      </w:r>
      <w:r>
        <w:rPr>
          <w:rFonts w:hint="eastAsia" w:ascii="楷体" w:hAnsi="楷体" w:eastAsia="楷体" w:cs="楷体"/>
          <w:color w:val="auto"/>
          <w:szCs w:val="28"/>
          <w:highlight w:val="none"/>
        </w:rPr>
        <w:t>175</w:t>
      </w:r>
      <w:r>
        <w:rPr>
          <w:rFonts w:hint="eastAsia" w:ascii="楷体" w:hAnsi="楷体" w:eastAsia="楷体" w:cs="楷体"/>
          <w:color w:val="auto"/>
          <w:szCs w:val="28"/>
          <w:highlight w:val="none"/>
        </w:rPr>
        <w:fldChar w:fldCharType="end"/>
      </w:r>
      <w:r>
        <w:rPr>
          <w:rFonts w:hint="eastAsia" w:ascii="楷体" w:hAnsi="楷体" w:eastAsia="楷体" w:cs="楷体"/>
          <w:color w:val="auto"/>
          <w:szCs w:val="28"/>
          <w:highlight w:val="none"/>
          <w:lang w:eastAsia="zh-TW"/>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楷体" w:hAnsi="楷体" w:eastAsia="楷体" w:cs="楷体"/>
          <w:color w:val="auto"/>
          <w:szCs w:val="28"/>
          <w:highlight w:val="none"/>
        </w:rPr>
      </w:pPr>
      <w:r>
        <w:rPr>
          <w:rFonts w:hint="eastAsia" w:ascii="楷体" w:hAnsi="楷体" w:eastAsia="楷体" w:cs="楷体"/>
          <w:color w:val="auto"/>
          <w:szCs w:val="28"/>
          <w:highlight w:val="none"/>
          <w:lang w:eastAsia="zh-TW"/>
        </w:rPr>
        <w:fldChar w:fldCharType="begin"/>
      </w:r>
      <w:r>
        <w:rPr>
          <w:rFonts w:hint="eastAsia" w:ascii="楷体" w:hAnsi="楷体" w:eastAsia="楷体" w:cs="楷体"/>
          <w:color w:val="auto"/>
          <w:szCs w:val="28"/>
          <w:highlight w:val="none"/>
          <w:lang w:eastAsia="zh-TW"/>
        </w:rPr>
        <w:instrText xml:space="preserve"> HYPERLINK \l _Toc16682 </w:instrText>
      </w:r>
      <w:r>
        <w:rPr>
          <w:rFonts w:hint="eastAsia" w:ascii="楷体" w:hAnsi="楷体" w:eastAsia="楷体" w:cs="楷体"/>
          <w:color w:val="auto"/>
          <w:szCs w:val="28"/>
          <w:highlight w:val="none"/>
          <w:lang w:eastAsia="zh-TW"/>
        </w:rPr>
        <w:fldChar w:fldCharType="separate"/>
      </w:r>
      <w:r>
        <w:rPr>
          <w:rFonts w:hint="eastAsia" w:ascii="楷体" w:hAnsi="楷体" w:eastAsia="楷体" w:cs="楷体"/>
          <w:color w:val="auto"/>
          <w:szCs w:val="28"/>
          <w:highlight w:val="none"/>
        </w:rPr>
        <w:t>附件</w:t>
      </w:r>
      <w:r>
        <w:rPr>
          <w:rFonts w:hint="eastAsia" w:ascii="楷体" w:hAnsi="楷体" w:eastAsia="楷体" w:cs="楷体"/>
          <w:color w:val="auto"/>
          <w:szCs w:val="28"/>
          <w:highlight w:val="none"/>
          <w:lang w:val="en-US" w:eastAsia="zh-CN"/>
        </w:rPr>
        <w:t>2</w:t>
      </w:r>
      <w:r>
        <w:rPr>
          <w:rFonts w:hint="eastAsia" w:ascii="楷体" w:hAnsi="楷体" w:eastAsia="楷体" w:cs="楷体"/>
          <w:color w:val="auto"/>
          <w:szCs w:val="28"/>
          <w:highlight w:val="none"/>
          <w:lang w:eastAsia="zh-TW"/>
        </w:rPr>
        <w:fldChar w:fldCharType="end"/>
      </w:r>
      <w:r>
        <w:rPr>
          <w:rFonts w:hint="eastAsia" w:ascii="楷体" w:hAnsi="楷体" w:eastAsia="楷体" w:cs="楷体"/>
          <w:color w:val="auto"/>
          <w:szCs w:val="28"/>
          <w:highlight w:val="none"/>
          <w:lang w:val="en-US" w:eastAsia="zh-CN"/>
        </w:rPr>
        <w:t xml:space="preserve"> </w:t>
      </w:r>
      <w:r>
        <w:rPr>
          <w:rFonts w:hint="eastAsia" w:ascii="楷体" w:hAnsi="楷体" w:eastAsia="楷体" w:cs="楷体"/>
          <w:color w:val="auto"/>
          <w:szCs w:val="28"/>
          <w:highlight w:val="none"/>
          <w:lang w:eastAsia="zh-TW"/>
        </w:rPr>
        <w:fldChar w:fldCharType="begin"/>
      </w:r>
      <w:r>
        <w:rPr>
          <w:rFonts w:hint="eastAsia" w:ascii="楷体" w:hAnsi="楷体" w:eastAsia="楷体" w:cs="楷体"/>
          <w:color w:val="auto"/>
          <w:szCs w:val="28"/>
          <w:highlight w:val="none"/>
          <w:lang w:eastAsia="zh-TW"/>
        </w:rPr>
        <w:instrText xml:space="preserve"> HYPERLINK \l _Toc31436 </w:instrText>
      </w:r>
      <w:r>
        <w:rPr>
          <w:rFonts w:hint="eastAsia" w:ascii="楷体" w:hAnsi="楷体" w:eastAsia="楷体" w:cs="楷体"/>
          <w:color w:val="auto"/>
          <w:szCs w:val="28"/>
          <w:highlight w:val="none"/>
          <w:lang w:eastAsia="zh-TW"/>
        </w:rPr>
        <w:fldChar w:fldCharType="separate"/>
      </w:r>
      <w:r>
        <w:rPr>
          <w:rFonts w:hint="eastAsia" w:ascii="楷体" w:hAnsi="楷体" w:eastAsia="楷体" w:cs="楷体"/>
          <w:bCs/>
          <w:color w:val="auto"/>
          <w:szCs w:val="28"/>
          <w:highlight w:val="none"/>
          <w:lang w:val="en-US" w:eastAsia="zh-CN"/>
        </w:rPr>
        <w:t>关键技术目录</w:t>
      </w:r>
      <w:r>
        <w:rPr>
          <w:rFonts w:hint="eastAsia" w:ascii="楷体" w:hAnsi="楷体" w:eastAsia="楷体" w:cs="楷体"/>
          <w:color w:val="auto"/>
          <w:szCs w:val="28"/>
          <w:highlight w:val="none"/>
        </w:rPr>
        <w:tab/>
      </w:r>
      <w:r>
        <w:rPr>
          <w:rFonts w:hint="eastAsia" w:ascii="楷体" w:hAnsi="楷体" w:eastAsia="楷体" w:cs="楷体"/>
          <w:color w:val="auto"/>
          <w:szCs w:val="28"/>
          <w:highlight w:val="none"/>
        </w:rPr>
        <w:fldChar w:fldCharType="begin"/>
      </w:r>
      <w:r>
        <w:rPr>
          <w:rFonts w:hint="eastAsia" w:ascii="楷体" w:hAnsi="楷体" w:eastAsia="楷体" w:cs="楷体"/>
          <w:color w:val="auto"/>
          <w:szCs w:val="28"/>
          <w:highlight w:val="none"/>
        </w:rPr>
        <w:instrText xml:space="preserve"> PAGEREF _Toc31436 \h </w:instrText>
      </w:r>
      <w:r>
        <w:rPr>
          <w:rFonts w:hint="eastAsia" w:ascii="楷体" w:hAnsi="楷体" w:eastAsia="楷体" w:cs="楷体"/>
          <w:color w:val="auto"/>
          <w:szCs w:val="28"/>
          <w:highlight w:val="none"/>
        </w:rPr>
        <w:fldChar w:fldCharType="separate"/>
      </w:r>
      <w:r>
        <w:rPr>
          <w:rFonts w:hint="eastAsia" w:ascii="楷体" w:hAnsi="楷体" w:eastAsia="楷体" w:cs="楷体"/>
          <w:color w:val="auto"/>
          <w:szCs w:val="28"/>
          <w:highlight w:val="none"/>
        </w:rPr>
        <w:t>179</w:t>
      </w:r>
      <w:r>
        <w:rPr>
          <w:rFonts w:hint="eastAsia" w:ascii="楷体" w:hAnsi="楷体" w:eastAsia="楷体" w:cs="楷体"/>
          <w:color w:val="auto"/>
          <w:szCs w:val="28"/>
          <w:highlight w:val="none"/>
        </w:rPr>
        <w:fldChar w:fldCharType="end"/>
      </w:r>
      <w:r>
        <w:rPr>
          <w:rFonts w:hint="eastAsia" w:ascii="楷体" w:hAnsi="楷体" w:eastAsia="楷体" w:cs="楷体"/>
          <w:color w:val="auto"/>
          <w:szCs w:val="28"/>
          <w:highlight w:val="none"/>
          <w:lang w:eastAsia="zh-TW"/>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color w:val="auto"/>
          <w:highlight w:val="none"/>
        </w:rPr>
      </w:pPr>
      <w:r>
        <w:rPr>
          <w:rFonts w:hint="eastAsia" w:ascii="楷体" w:hAnsi="楷体" w:eastAsia="楷体" w:cs="楷体"/>
          <w:color w:val="auto"/>
          <w:szCs w:val="28"/>
          <w:highlight w:val="none"/>
          <w:lang w:eastAsia="zh-TW"/>
        </w:rPr>
        <w:fldChar w:fldCharType="begin"/>
      </w:r>
      <w:r>
        <w:rPr>
          <w:rFonts w:hint="eastAsia" w:ascii="楷体" w:hAnsi="楷体" w:eastAsia="楷体" w:cs="楷体"/>
          <w:color w:val="auto"/>
          <w:szCs w:val="28"/>
          <w:highlight w:val="none"/>
          <w:lang w:eastAsia="zh-TW"/>
        </w:rPr>
        <w:instrText xml:space="preserve"> HYPERLINK \l _Toc22376 </w:instrText>
      </w:r>
      <w:r>
        <w:rPr>
          <w:rFonts w:hint="eastAsia" w:ascii="楷体" w:hAnsi="楷体" w:eastAsia="楷体" w:cs="楷体"/>
          <w:color w:val="auto"/>
          <w:szCs w:val="28"/>
          <w:highlight w:val="none"/>
          <w:lang w:eastAsia="zh-TW"/>
        </w:rPr>
        <w:fldChar w:fldCharType="separate"/>
      </w:r>
      <w:r>
        <w:rPr>
          <w:rFonts w:hint="eastAsia" w:ascii="楷体" w:hAnsi="楷体" w:eastAsia="楷体" w:cs="楷体"/>
          <w:color w:val="auto"/>
          <w:szCs w:val="28"/>
          <w:highlight w:val="none"/>
        </w:rPr>
        <w:t>附件</w:t>
      </w:r>
      <w:r>
        <w:rPr>
          <w:rFonts w:hint="eastAsia" w:ascii="楷体" w:hAnsi="楷体" w:eastAsia="楷体" w:cs="楷体"/>
          <w:color w:val="auto"/>
          <w:szCs w:val="28"/>
          <w:highlight w:val="none"/>
          <w:lang w:val="en-US" w:eastAsia="zh-CN"/>
        </w:rPr>
        <w:t>3</w:t>
      </w:r>
      <w:r>
        <w:rPr>
          <w:rFonts w:hint="eastAsia" w:ascii="楷体" w:hAnsi="楷体" w:eastAsia="楷体" w:cs="楷体"/>
          <w:color w:val="auto"/>
          <w:szCs w:val="28"/>
          <w:highlight w:val="none"/>
          <w:lang w:eastAsia="zh-TW"/>
        </w:rPr>
        <w:fldChar w:fldCharType="end"/>
      </w:r>
      <w:r>
        <w:rPr>
          <w:rFonts w:hint="eastAsia" w:ascii="楷体" w:hAnsi="楷体" w:eastAsia="楷体" w:cs="楷体"/>
          <w:color w:val="auto"/>
          <w:szCs w:val="28"/>
          <w:highlight w:val="none"/>
          <w:lang w:eastAsia="zh-TW"/>
        </w:rPr>
        <w:fldChar w:fldCharType="begin"/>
      </w:r>
      <w:r>
        <w:rPr>
          <w:rFonts w:hint="eastAsia" w:ascii="楷体" w:hAnsi="楷体" w:eastAsia="楷体" w:cs="楷体"/>
          <w:color w:val="auto"/>
          <w:szCs w:val="28"/>
          <w:highlight w:val="none"/>
          <w:lang w:eastAsia="zh-TW"/>
        </w:rPr>
        <w:instrText xml:space="preserve"> HYPERLINK \l _Toc186 </w:instrText>
      </w:r>
      <w:r>
        <w:rPr>
          <w:rFonts w:hint="eastAsia" w:ascii="楷体" w:hAnsi="楷体" w:eastAsia="楷体" w:cs="楷体"/>
          <w:color w:val="auto"/>
          <w:szCs w:val="28"/>
          <w:highlight w:val="none"/>
          <w:lang w:eastAsia="zh-TW"/>
        </w:rPr>
        <w:fldChar w:fldCharType="separate"/>
      </w:r>
      <w:r>
        <w:rPr>
          <w:rFonts w:hint="eastAsia" w:ascii="楷体" w:hAnsi="楷体" w:eastAsia="楷体" w:cs="楷体"/>
          <w:color w:val="auto"/>
          <w:szCs w:val="28"/>
          <w:highlight w:val="none"/>
        </w:rPr>
        <w:t>专科医院单病种（术种）目录</w:t>
      </w:r>
      <w:r>
        <w:rPr>
          <w:rFonts w:hint="eastAsia" w:ascii="楷体" w:hAnsi="楷体" w:eastAsia="楷体" w:cs="楷体"/>
          <w:color w:val="auto"/>
          <w:szCs w:val="28"/>
          <w:highlight w:val="none"/>
        </w:rPr>
        <w:tab/>
      </w:r>
      <w:r>
        <w:rPr>
          <w:rFonts w:hint="eastAsia" w:ascii="楷体" w:hAnsi="楷体" w:eastAsia="楷体" w:cs="楷体"/>
          <w:color w:val="auto"/>
          <w:szCs w:val="28"/>
          <w:highlight w:val="none"/>
        </w:rPr>
        <w:fldChar w:fldCharType="begin"/>
      </w:r>
      <w:r>
        <w:rPr>
          <w:rFonts w:hint="eastAsia" w:ascii="楷体" w:hAnsi="楷体" w:eastAsia="楷体" w:cs="楷体"/>
          <w:color w:val="auto"/>
          <w:szCs w:val="28"/>
          <w:highlight w:val="none"/>
        </w:rPr>
        <w:instrText xml:space="preserve"> PAGEREF _Toc186 \h </w:instrText>
      </w:r>
      <w:r>
        <w:rPr>
          <w:rFonts w:hint="eastAsia" w:ascii="楷体" w:hAnsi="楷体" w:eastAsia="楷体" w:cs="楷体"/>
          <w:color w:val="auto"/>
          <w:szCs w:val="28"/>
          <w:highlight w:val="none"/>
        </w:rPr>
        <w:fldChar w:fldCharType="separate"/>
      </w:r>
      <w:r>
        <w:rPr>
          <w:rFonts w:hint="eastAsia" w:ascii="楷体" w:hAnsi="楷体" w:eastAsia="楷体" w:cs="楷体"/>
          <w:color w:val="auto"/>
          <w:szCs w:val="28"/>
          <w:highlight w:val="none"/>
        </w:rPr>
        <w:t>186</w:t>
      </w:r>
      <w:r>
        <w:rPr>
          <w:rFonts w:hint="eastAsia" w:ascii="楷体" w:hAnsi="楷体" w:eastAsia="楷体" w:cs="楷体"/>
          <w:color w:val="auto"/>
          <w:szCs w:val="28"/>
          <w:highlight w:val="none"/>
        </w:rPr>
        <w:fldChar w:fldCharType="end"/>
      </w:r>
      <w:r>
        <w:rPr>
          <w:rFonts w:hint="eastAsia" w:ascii="楷体" w:hAnsi="楷体" w:eastAsia="楷体" w:cs="楷体"/>
          <w:color w:val="auto"/>
          <w:szCs w:val="28"/>
          <w:highlight w:val="none"/>
          <w:lang w:eastAsia="zh-TW"/>
        </w:rPr>
        <w:fldChar w:fldCharType="end"/>
      </w:r>
    </w:p>
    <w:p>
      <w:pPr>
        <w:spacing w:line="360" w:lineRule="auto"/>
        <w:rPr>
          <w:rFonts w:hint="eastAsia" w:ascii="宋体" w:hAnsi="宋体" w:eastAsia="宋体" w:cs="宋体"/>
          <w:color w:val="auto"/>
          <w:sz w:val="44"/>
          <w:highlight w:val="none"/>
        </w:rPr>
        <w:sectPr>
          <w:headerReference r:id="rId6" w:type="first"/>
          <w:headerReference r:id="rId4" w:type="default"/>
          <w:footerReference r:id="rId7" w:type="default"/>
          <w:headerReference r:id="rId5" w:type="even"/>
          <w:type w:val="continuous"/>
          <w:pgSz w:w="11906" w:h="16838"/>
          <w:pgMar w:top="1134" w:right="1587" w:bottom="1134" w:left="1587" w:header="1134" w:footer="1134" w:gutter="0"/>
          <w:pgNumType w:start="1"/>
          <w:cols w:space="0" w:num="1"/>
          <w:rtlGutter w:val="0"/>
          <w:docGrid w:type="linesAndChars" w:linePitch="662" w:charSpace="-1668"/>
        </w:sectPr>
      </w:pPr>
      <w:r>
        <w:rPr>
          <w:rFonts w:hint="eastAsia" w:ascii="楷体" w:hAnsi="楷体" w:eastAsia="楷体" w:cs="楷体"/>
          <w:color w:val="auto"/>
          <w:sz w:val="28"/>
          <w:szCs w:val="28"/>
          <w:highlight w:val="none"/>
          <w:lang w:eastAsia="zh-TW"/>
        </w:rPr>
        <w:fldChar w:fldCharType="end"/>
      </w:r>
      <w:bookmarkStart w:id="0" w:name="_Toc20070"/>
      <w:bookmarkStart w:id="1" w:name="_Toc31567"/>
      <w:bookmarkStart w:id="2" w:name="_Toc10269"/>
      <w:bookmarkStart w:id="3" w:name="_Toc419"/>
    </w:p>
    <w:p>
      <w:pPr>
        <w:pStyle w:val="2"/>
        <w:jc w:val="center"/>
        <w:rPr>
          <w:rFonts w:hint="eastAsia"/>
        </w:rPr>
      </w:pPr>
      <w:bookmarkStart w:id="4" w:name="_Toc25191"/>
      <w:bookmarkStart w:id="5" w:name="_Toc13383"/>
      <w:bookmarkStart w:id="6" w:name="_Toc17438"/>
      <w:bookmarkStart w:id="7" w:name="_Toc31308"/>
      <w:r>
        <w:rPr>
          <w:rFonts w:hint="eastAsia"/>
        </w:rPr>
        <w:t>实施细则说明</w:t>
      </w:r>
      <w:bookmarkEnd w:id="0"/>
      <w:bookmarkEnd w:id="1"/>
      <w:bookmarkEnd w:id="2"/>
      <w:bookmarkEnd w:id="3"/>
      <w:bookmarkEnd w:id="4"/>
      <w:bookmarkEnd w:id="5"/>
      <w:bookmarkEnd w:id="6"/>
      <w:bookmarkEnd w:id="7"/>
    </w:p>
    <w:p>
      <w:pPr>
        <w:spacing w:line="560" w:lineRule="exact"/>
        <w:ind w:firstLine="624" w:firstLineChars="200"/>
        <w:rPr>
          <w:rFonts w:ascii="Times New Roman" w:hAnsi="Times New Roman" w:eastAsia="方正黑体_GBK" w:cs="Times New Roman"/>
          <w:b w:val="0"/>
          <w:bCs/>
          <w:color w:val="auto"/>
          <w:szCs w:val="24"/>
          <w:highlight w:val="none"/>
        </w:rPr>
      </w:pPr>
      <w:r>
        <w:rPr>
          <w:rFonts w:hint="default" w:ascii="Times New Roman" w:hAnsi="Times New Roman" w:eastAsia="方正黑体_GBK" w:cs="Times New Roman"/>
          <w:b w:val="0"/>
          <w:bCs/>
          <w:color w:val="auto"/>
          <w:sz w:val="32"/>
          <w:szCs w:val="24"/>
          <w:highlight w:val="none"/>
        </w:rPr>
        <w:t>一、总则</w:t>
      </w:r>
    </w:p>
    <w:p>
      <w:pPr>
        <w:pStyle w:val="10"/>
        <w:spacing w:line="560" w:lineRule="exact"/>
        <w:ind w:left="0" w:leftChars="0" w:firstLine="624" w:firstLineChars="200"/>
        <w:jc w:val="both"/>
        <w:rPr>
          <w:rFonts w:hint="default" w:ascii="Times New Roman" w:hAnsi="Times New Roman" w:eastAsia="方正仿宋_GBK" w:cs="Times New Roman"/>
          <w:color w:val="auto"/>
          <w:sz w:val="32"/>
          <w:szCs w:val="24"/>
          <w:highlight w:val="none"/>
          <w:lang w:val="en-US" w:eastAsia="zh-CN"/>
        </w:rPr>
      </w:pPr>
      <w:r>
        <w:rPr>
          <w:rFonts w:hint="default" w:ascii="Times New Roman" w:hAnsi="Times New Roman" w:eastAsia="方正仿宋_GBK" w:cs="Times New Roman"/>
          <w:color w:val="auto"/>
          <w:sz w:val="32"/>
          <w:szCs w:val="24"/>
          <w:highlight w:val="none"/>
          <w:lang w:eastAsia="zh-CN"/>
        </w:rPr>
        <w:t>为充分发挥医院评审工作在推动医院落实深化医药卫生体制改革、健全现代医院管理制度、加强</w:t>
      </w:r>
      <w:r>
        <w:rPr>
          <w:rFonts w:hint="default" w:ascii="Times New Roman" w:hAnsi="Times New Roman" w:eastAsia="方正仿宋_GBK" w:cs="Times New Roman"/>
          <w:color w:val="auto"/>
          <w:sz w:val="32"/>
          <w:szCs w:val="24"/>
          <w:highlight w:val="none"/>
          <w:lang w:val="en-US" w:eastAsia="zh-CN"/>
        </w:rPr>
        <w:t>医院</w:t>
      </w:r>
      <w:r>
        <w:rPr>
          <w:rFonts w:hint="default" w:ascii="Times New Roman" w:hAnsi="Times New Roman" w:eastAsia="方正仿宋_GBK" w:cs="Times New Roman"/>
          <w:color w:val="auto"/>
          <w:sz w:val="32"/>
          <w:szCs w:val="24"/>
          <w:highlight w:val="none"/>
          <w:lang w:eastAsia="zh-CN"/>
        </w:rPr>
        <w:t>内部管理、提升医疗质量安全水平等方面的作用，努力实现</w:t>
      </w:r>
      <w:r>
        <w:rPr>
          <w:rFonts w:hint="eastAsia" w:eastAsia="方正仿宋_GBK"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lang w:eastAsia="zh-CN"/>
        </w:rPr>
        <w:t>三个转变、三个提高</w:t>
      </w:r>
      <w:r>
        <w:rPr>
          <w:rFonts w:hint="eastAsia" w:eastAsia="方正仿宋_GBK"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lang w:eastAsia="zh-CN"/>
        </w:rPr>
        <w:t>，持续推动</w:t>
      </w:r>
      <w:r>
        <w:rPr>
          <w:rFonts w:hint="default" w:ascii="Times New Roman" w:hAnsi="Times New Roman" w:eastAsia="方正仿宋_GBK" w:cs="Times New Roman"/>
          <w:color w:val="auto"/>
          <w:sz w:val="32"/>
          <w:szCs w:val="24"/>
          <w:highlight w:val="none"/>
          <w:lang w:val="en-US" w:eastAsia="zh-CN"/>
        </w:rPr>
        <w:t>三级</w:t>
      </w:r>
      <w:r>
        <w:rPr>
          <w:rFonts w:hint="default" w:ascii="Times New Roman" w:hAnsi="Times New Roman" w:eastAsia="方正仿宋_GBK" w:cs="Times New Roman"/>
          <w:color w:val="auto"/>
          <w:sz w:val="32"/>
          <w:szCs w:val="24"/>
          <w:highlight w:val="none"/>
          <w:lang w:eastAsia="zh-CN"/>
        </w:rPr>
        <w:t>医院高质量发展，依据国家卫生健康委《三级医院评审标准（2020年版）》（国卫医发〔2020〕26号）和《三级医院评审标准（2020年版）实施细则》（国卫办医发〔2021〕19号），遵循</w:t>
      </w:r>
      <w:r>
        <w:rPr>
          <w:rFonts w:hint="eastAsia" w:eastAsia="方正仿宋_GBK"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lang w:eastAsia="zh-CN"/>
        </w:rPr>
        <w:t>继承、发展、创新，兼顾普遍适用与专科特点</w:t>
      </w:r>
      <w:r>
        <w:rPr>
          <w:rFonts w:hint="eastAsia" w:eastAsia="方正仿宋_GBK"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lang w:eastAsia="zh-CN"/>
        </w:rPr>
        <w:t>的原则，</w:t>
      </w:r>
      <w:r>
        <w:rPr>
          <w:rFonts w:hint="default" w:ascii="Times New Roman" w:hAnsi="Times New Roman" w:eastAsia="方正仿宋_GBK" w:cs="Times New Roman"/>
          <w:color w:val="auto"/>
          <w:sz w:val="32"/>
          <w:szCs w:val="24"/>
          <w:highlight w:val="none"/>
          <w:lang w:val="en-US" w:eastAsia="zh-CN"/>
        </w:rPr>
        <w:t>我委于2021年12月</w:t>
      </w:r>
      <w:r>
        <w:rPr>
          <w:rFonts w:hint="default" w:ascii="Times New Roman" w:hAnsi="Times New Roman" w:eastAsia="方正仿宋_GBK" w:cs="Times New Roman"/>
          <w:color w:val="auto"/>
          <w:sz w:val="32"/>
          <w:szCs w:val="24"/>
          <w:highlight w:val="none"/>
          <w:lang w:eastAsia="zh-CN"/>
        </w:rPr>
        <w:t>制定《三级医院评审标准（2020年版）安徽省实施细则（试行）》（皖卫发〔2022〕1号）。</w:t>
      </w:r>
      <w:r>
        <w:rPr>
          <w:rFonts w:hint="default" w:ascii="Times New Roman" w:hAnsi="Times New Roman" w:eastAsia="方正仿宋_GBK" w:cs="Times New Roman"/>
          <w:color w:val="auto"/>
          <w:sz w:val="32"/>
          <w:szCs w:val="24"/>
          <w:highlight w:val="none"/>
          <w:lang w:val="en-US" w:eastAsia="zh-CN"/>
        </w:rPr>
        <w:t>该细则自公布实施以来，在指导我省规范三级医院评审、提升评审质量,引导</w:t>
      </w:r>
      <w:r>
        <w:rPr>
          <w:rFonts w:hint="default" w:ascii="Times New Roman" w:hAnsi="Times New Roman" w:eastAsia="方正仿宋_GBK" w:cs="Times New Roman"/>
          <w:color w:val="auto"/>
          <w:spacing w:val="-6"/>
          <w:sz w:val="32"/>
          <w:szCs w:val="24"/>
          <w:highlight w:val="none"/>
          <w:lang w:val="en-US" w:eastAsia="zh-CN"/>
        </w:rPr>
        <w:t>医院加强自我管理和健康可持续发展等方面发挥了重要作用。</w:t>
      </w:r>
    </w:p>
    <w:p>
      <w:pPr>
        <w:pStyle w:val="10"/>
        <w:spacing w:line="560" w:lineRule="exact"/>
        <w:ind w:left="0" w:leftChars="0" w:firstLine="624" w:firstLineChars="200"/>
        <w:jc w:val="both"/>
        <w:rPr>
          <w:rFonts w:hint="eastAsia" w:ascii="Times New Roman" w:hAnsi="Times New Roman" w:eastAsia="方正仿宋_GBK"/>
          <w:color w:val="auto"/>
          <w:sz w:val="32"/>
          <w:szCs w:val="24"/>
          <w:highlight w:val="none"/>
          <w:lang w:val="en-US" w:eastAsia="zh-CN"/>
        </w:rPr>
      </w:pPr>
      <w:r>
        <w:rPr>
          <w:rFonts w:hint="default" w:ascii="Times New Roman" w:hAnsi="Times New Roman" w:eastAsia="方正仿宋_GBK" w:cs="Times New Roman"/>
          <w:color w:val="auto"/>
          <w:sz w:val="32"/>
          <w:szCs w:val="24"/>
          <w:highlight w:val="none"/>
          <w:lang w:val="en-US" w:eastAsia="zh-CN"/>
        </w:rPr>
        <w:t>2022年国家卫生健康委对《三级医院评审标准（2020 年版）》及其实施细则进行了</w:t>
      </w:r>
      <w:r>
        <w:rPr>
          <w:rFonts w:hint="eastAsia" w:eastAsia="方正仿宋_GBK" w:cs="Times New Roman"/>
          <w:color w:val="auto"/>
          <w:sz w:val="32"/>
          <w:szCs w:val="24"/>
          <w:highlight w:val="none"/>
          <w:lang w:val="en-US" w:eastAsia="zh-CN"/>
        </w:rPr>
        <w:t>“</w:t>
      </w:r>
      <w:r>
        <w:rPr>
          <w:rFonts w:hint="default" w:ascii="Times New Roman" w:hAnsi="Times New Roman" w:eastAsia="方正仿宋_GBK" w:cs="Times New Roman"/>
          <w:color w:val="auto"/>
          <w:sz w:val="32"/>
          <w:szCs w:val="24"/>
          <w:highlight w:val="none"/>
          <w:lang w:val="en-US" w:eastAsia="zh-CN"/>
        </w:rPr>
        <w:t>更新式</w:t>
      </w:r>
      <w:r>
        <w:rPr>
          <w:rFonts w:hint="eastAsia" w:eastAsia="方正仿宋_GBK" w:cs="Times New Roman"/>
          <w:color w:val="auto"/>
          <w:sz w:val="32"/>
          <w:szCs w:val="24"/>
          <w:highlight w:val="none"/>
          <w:lang w:val="en-US" w:eastAsia="zh-CN"/>
        </w:rPr>
        <w:t>”</w:t>
      </w:r>
      <w:r>
        <w:rPr>
          <w:rFonts w:hint="default" w:ascii="Times New Roman" w:hAnsi="Times New Roman" w:eastAsia="方正仿宋_GBK" w:cs="Times New Roman"/>
          <w:color w:val="auto"/>
          <w:sz w:val="32"/>
          <w:szCs w:val="24"/>
          <w:highlight w:val="none"/>
          <w:lang w:val="en-US" w:eastAsia="zh-CN"/>
        </w:rPr>
        <w:t>的修订，在保持标准主体内容不变的基础上，补充或更新了近2年来国家新发布的政策要求，并根据行业发展，对部分通用术语和编码进行了修订和完善。基于此，我委同步更新、修订</w:t>
      </w:r>
      <w:r>
        <w:rPr>
          <w:rFonts w:hint="default" w:ascii="Times New Roman" w:hAnsi="Times New Roman" w:eastAsia="方正仿宋_GBK" w:cs="Times New Roman"/>
          <w:color w:val="auto"/>
          <w:sz w:val="32"/>
          <w:szCs w:val="24"/>
          <w:highlight w:val="none"/>
          <w:lang w:eastAsia="zh-CN"/>
        </w:rPr>
        <w:t>《三级医院评审标准（2020年版）安徽省实施细则（试行）》</w:t>
      </w:r>
      <w:r>
        <w:rPr>
          <w:rFonts w:hint="default" w:ascii="Times New Roman" w:hAnsi="Times New Roman" w:eastAsia="方正仿宋_GBK" w:cs="Times New Roman"/>
          <w:color w:val="auto"/>
          <w:sz w:val="32"/>
          <w:szCs w:val="24"/>
          <w:highlight w:val="none"/>
          <w:lang w:val="en-US" w:eastAsia="zh-CN"/>
        </w:rPr>
        <w:t>，制定了</w:t>
      </w:r>
      <w:r>
        <w:rPr>
          <w:rFonts w:hint="default" w:ascii="Times New Roman" w:hAnsi="Times New Roman" w:eastAsia="方正仿宋_GBK" w:cs="Times New Roman"/>
          <w:color w:val="auto"/>
          <w:sz w:val="32"/>
          <w:szCs w:val="24"/>
          <w:highlight w:val="none"/>
          <w:lang w:eastAsia="zh-CN"/>
        </w:rPr>
        <w:t>《三级医院评审标准（202</w:t>
      </w:r>
      <w:r>
        <w:rPr>
          <w:rFonts w:hint="default" w:ascii="Times New Roman" w:hAnsi="Times New Roman" w:eastAsia="方正仿宋_GBK" w:cs="Times New Roman"/>
          <w:color w:val="auto"/>
          <w:sz w:val="32"/>
          <w:szCs w:val="24"/>
          <w:highlight w:val="none"/>
          <w:lang w:val="en-US" w:eastAsia="zh-CN"/>
        </w:rPr>
        <w:t>2</w:t>
      </w:r>
      <w:r>
        <w:rPr>
          <w:rFonts w:hint="default" w:ascii="Times New Roman" w:hAnsi="Times New Roman" w:eastAsia="方正仿宋_GBK" w:cs="Times New Roman"/>
          <w:color w:val="auto"/>
          <w:sz w:val="32"/>
          <w:szCs w:val="24"/>
          <w:highlight w:val="none"/>
          <w:lang w:eastAsia="zh-CN"/>
        </w:rPr>
        <w:t>年版）安徽省实施细则（试行）》（</w:t>
      </w:r>
      <w:r>
        <w:rPr>
          <w:rFonts w:hint="default" w:ascii="Times New Roman" w:hAnsi="Times New Roman" w:eastAsia="方正仿宋_GBK" w:cs="Times New Roman"/>
          <w:color w:val="auto"/>
          <w:sz w:val="32"/>
          <w:szCs w:val="24"/>
          <w:highlight w:val="none"/>
          <w:lang w:val="en-US" w:eastAsia="zh-CN"/>
        </w:rPr>
        <w:t>以下简称《实施细则》），</w:t>
      </w:r>
      <w:r>
        <w:rPr>
          <w:rFonts w:hint="default" w:ascii="Times New Roman" w:hAnsi="Times New Roman" w:eastAsia="方正仿宋_GBK" w:cs="Times New Roman"/>
          <w:color w:val="auto"/>
          <w:sz w:val="32"/>
          <w:szCs w:val="24"/>
          <w:highlight w:val="none"/>
          <w:lang w:eastAsia="zh-CN"/>
        </w:rPr>
        <w:t>适用于三级综合医院及三级专科医院</w:t>
      </w:r>
      <w:r>
        <w:rPr>
          <w:rFonts w:hint="default" w:ascii="Times New Roman" w:hAnsi="Times New Roman" w:eastAsia="方正仿宋_GBK" w:cs="Times New Roman"/>
          <w:color w:val="auto"/>
          <w:sz w:val="32"/>
          <w:szCs w:val="24"/>
          <w:highlight w:val="none"/>
          <w:lang w:val="en-US" w:eastAsia="zh-CN"/>
        </w:rPr>
        <w:t>的评审工作</w:t>
      </w:r>
      <w:r>
        <w:rPr>
          <w:rFonts w:hint="default" w:ascii="Times New Roman" w:hAnsi="Times New Roman" w:eastAsia="方正仿宋_GBK" w:cs="Times New Roman"/>
          <w:color w:val="auto"/>
          <w:sz w:val="32"/>
          <w:szCs w:val="24"/>
          <w:highlight w:val="none"/>
          <w:lang w:eastAsia="zh-CN"/>
        </w:rPr>
        <w:t>，二级医院等医疗机构可参照使用。</w:t>
      </w:r>
      <w:r>
        <w:rPr>
          <w:rFonts w:hint="default" w:ascii="Times New Roman" w:hAnsi="Times New Roman" w:eastAsia="方正仿宋_GBK" w:cs="Times New Roman"/>
          <w:color w:val="auto"/>
          <w:sz w:val="32"/>
          <w:szCs w:val="24"/>
          <w:highlight w:val="none"/>
          <w:lang w:val="en-US" w:eastAsia="zh-CN"/>
        </w:rPr>
        <w:t>本《实施细则》</w:t>
      </w:r>
      <w:r>
        <w:rPr>
          <w:rFonts w:hint="default" w:ascii="Times New Roman" w:hAnsi="Times New Roman" w:eastAsia="方正仿宋_GBK" w:cs="Times New Roman"/>
          <w:color w:val="auto"/>
          <w:sz w:val="32"/>
          <w:szCs w:val="24"/>
          <w:highlight w:val="none"/>
          <w:lang w:eastAsia="zh-CN"/>
        </w:rPr>
        <w:t>印发后，医院评审工作应当</w:t>
      </w:r>
      <w:r>
        <w:rPr>
          <w:rFonts w:hint="default" w:ascii="Times New Roman" w:hAnsi="Times New Roman" w:eastAsia="方正仿宋_GBK" w:cs="Times New Roman"/>
          <w:color w:val="auto"/>
          <w:sz w:val="32"/>
          <w:szCs w:val="24"/>
          <w:highlight w:val="none"/>
          <w:lang w:val="en-US" w:eastAsia="zh-CN"/>
        </w:rPr>
        <w:t>遵照执行</w:t>
      </w:r>
      <w:r>
        <w:rPr>
          <w:rFonts w:hint="default" w:ascii="Times New Roman" w:hAnsi="Times New Roman" w:eastAsia="方正仿宋_GBK" w:cs="Times New Roman"/>
          <w:color w:val="auto"/>
          <w:sz w:val="32"/>
          <w:szCs w:val="24"/>
          <w:highlight w:val="none"/>
          <w:lang w:eastAsia="zh-CN"/>
        </w:rPr>
        <w:t>。《三级医院评审标准（2020年版）安徽省实施细则（试行）》（皖卫发〔2022〕1号）</w:t>
      </w:r>
      <w:r>
        <w:rPr>
          <w:rFonts w:hint="default" w:ascii="Times New Roman" w:hAnsi="Times New Roman" w:eastAsia="方正仿宋_GBK" w:cs="Times New Roman"/>
          <w:color w:val="auto"/>
          <w:sz w:val="32"/>
          <w:szCs w:val="24"/>
          <w:highlight w:val="none"/>
          <w:lang w:val="en-US" w:eastAsia="zh-CN"/>
        </w:rPr>
        <w:t>自本《实施细则》</w:t>
      </w:r>
      <w:r>
        <w:rPr>
          <w:rFonts w:hint="default" w:ascii="Times New Roman" w:hAnsi="Times New Roman" w:eastAsia="方正仿宋_GBK" w:cs="Times New Roman"/>
          <w:color w:val="auto"/>
          <w:sz w:val="32"/>
          <w:szCs w:val="24"/>
          <w:highlight w:val="none"/>
          <w:lang w:eastAsia="zh-CN"/>
        </w:rPr>
        <w:t>印发之日起废止。</w:t>
      </w:r>
    </w:p>
    <w:p>
      <w:pPr>
        <w:spacing w:line="560" w:lineRule="exact"/>
        <w:ind w:firstLine="624" w:firstLineChars="200"/>
        <w:rPr>
          <w:rFonts w:ascii="Times New Roman" w:hAnsi="Times New Roman" w:eastAsia="方正黑体_GBK" w:cs="Times New Roman"/>
          <w:b w:val="0"/>
          <w:bCs/>
          <w:color w:val="auto"/>
          <w:sz w:val="32"/>
          <w:szCs w:val="24"/>
          <w:highlight w:val="none"/>
        </w:rPr>
      </w:pPr>
      <w:r>
        <w:rPr>
          <w:rFonts w:hint="default" w:ascii="Times New Roman" w:hAnsi="Times New Roman" w:eastAsia="方正黑体_GBK" w:cs="Times New Roman"/>
          <w:b w:val="0"/>
          <w:bCs/>
          <w:color w:val="auto"/>
          <w:sz w:val="32"/>
          <w:szCs w:val="24"/>
          <w:highlight w:val="none"/>
        </w:rPr>
        <w:t>二、主要内容</w:t>
      </w:r>
    </w:p>
    <w:p>
      <w:pPr>
        <w:pStyle w:val="17"/>
        <w:spacing w:line="560" w:lineRule="exact"/>
        <w:ind w:firstLine="624"/>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本《实施细则》涉及标准共3个部分</w:t>
      </w:r>
      <w:r>
        <w:rPr>
          <w:rFonts w:ascii="Times New Roman" w:hAnsi="Times New Roman" w:eastAsia="方正仿宋_GBK" w:cs="Times New Roman"/>
          <w:color w:val="auto"/>
          <w:sz w:val="32"/>
          <w:szCs w:val="24"/>
          <w:highlight w:val="none"/>
        </w:rPr>
        <w:t>1</w:t>
      </w:r>
      <w:r>
        <w:rPr>
          <w:rFonts w:hint="default" w:ascii="Times New Roman" w:hAnsi="Times New Roman" w:eastAsia="方正仿宋_GBK" w:cs="Times New Roman"/>
          <w:color w:val="auto"/>
          <w:sz w:val="32"/>
          <w:szCs w:val="24"/>
          <w:highlight w:val="none"/>
          <w:lang w:val="en-US" w:eastAsia="zh-CN"/>
        </w:rPr>
        <w:t>23</w:t>
      </w:r>
      <w:r>
        <w:rPr>
          <w:rFonts w:hint="default" w:ascii="Times New Roman" w:hAnsi="Times New Roman" w:eastAsia="方正仿宋_GBK" w:cs="Times New Roman"/>
          <w:color w:val="auto"/>
          <w:sz w:val="32"/>
          <w:szCs w:val="24"/>
          <w:highlight w:val="none"/>
        </w:rPr>
        <w:t>节，设置</w:t>
      </w:r>
      <w:r>
        <w:rPr>
          <w:rFonts w:hint="default" w:ascii="Times New Roman" w:hAnsi="Times New Roman" w:eastAsia="方正仿宋_GBK" w:cs="Times New Roman"/>
          <w:color w:val="auto"/>
          <w:sz w:val="32"/>
          <w:szCs w:val="24"/>
          <w:highlight w:val="none"/>
          <w:lang w:val="en-US" w:eastAsia="zh-CN"/>
        </w:rPr>
        <w:t>384</w:t>
      </w:r>
      <w:r>
        <w:rPr>
          <w:rFonts w:hint="default" w:ascii="Times New Roman" w:hAnsi="Times New Roman" w:eastAsia="方正仿宋_GBK" w:cs="Times New Roman"/>
          <w:color w:val="auto"/>
          <w:sz w:val="32"/>
          <w:szCs w:val="24"/>
          <w:highlight w:val="none"/>
        </w:rPr>
        <w:t>条标准和监测指标。</w:t>
      </w:r>
    </w:p>
    <w:p>
      <w:pPr>
        <w:spacing w:line="560" w:lineRule="exact"/>
        <w:ind w:firstLine="624" w:firstLineChars="200"/>
        <w:jc w:val="both"/>
        <w:rPr>
          <w:rFonts w:hint="default" w:ascii="Times New Roman" w:hAnsi="Times New Roman" w:eastAsia="方正仿宋_GBK" w:cs="Times New Roman"/>
          <w:b w:val="0"/>
          <w:bCs/>
          <w:color w:val="auto"/>
          <w:sz w:val="32"/>
          <w:szCs w:val="24"/>
          <w:highlight w:val="none"/>
        </w:rPr>
      </w:pPr>
      <w:r>
        <w:rPr>
          <w:rFonts w:hint="default" w:ascii="Times New Roman" w:hAnsi="Times New Roman" w:eastAsia="方正仿宋_GBK" w:cs="Times New Roman"/>
          <w:b/>
          <w:bCs w:val="0"/>
          <w:color w:val="auto"/>
          <w:sz w:val="32"/>
          <w:szCs w:val="24"/>
          <w:highlight w:val="none"/>
        </w:rPr>
        <w:t>第一部分为前置要求部分。</w:t>
      </w:r>
      <w:r>
        <w:rPr>
          <w:rFonts w:hint="default" w:ascii="Times New Roman" w:hAnsi="Times New Roman" w:eastAsia="方正仿宋_GBK" w:cs="Times New Roman"/>
          <w:color w:val="auto"/>
          <w:sz w:val="32"/>
          <w:szCs w:val="24"/>
          <w:highlight w:val="none"/>
        </w:rPr>
        <w:t>共</w:t>
      </w:r>
      <w:r>
        <w:rPr>
          <w:rFonts w:hint="default" w:ascii="Times New Roman" w:hAnsi="Times New Roman" w:eastAsia="方正仿宋_GBK" w:cs="Times New Roman"/>
          <w:color w:val="auto"/>
          <w:sz w:val="32"/>
          <w:szCs w:val="24"/>
          <w:highlight w:val="none"/>
          <w:lang w:val="en-US" w:eastAsia="zh-CN"/>
        </w:rPr>
        <w:t>6</w:t>
      </w:r>
      <w:r>
        <w:rPr>
          <w:rFonts w:hint="default" w:ascii="Times New Roman" w:hAnsi="Times New Roman" w:eastAsia="方正仿宋_GBK" w:cs="Times New Roman"/>
          <w:color w:val="auto"/>
          <w:sz w:val="32"/>
          <w:szCs w:val="24"/>
          <w:highlight w:val="none"/>
        </w:rPr>
        <w:t>节</w:t>
      </w:r>
      <w:r>
        <w:rPr>
          <w:rFonts w:hint="default" w:ascii="Times New Roman" w:hAnsi="Times New Roman" w:eastAsia="方正仿宋_GBK" w:cs="Times New Roman"/>
          <w:color w:val="auto"/>
          <w:sz w:val="32"/>
          <w:szCs w:val="24"/>
          <w:highlight w:val="none"/>
          <w:lang w:val="en-US" w:eastAsia="zh-CN"/>
        </w:rPr>
        <w:t>30</w:t>
      </w:r>
      <w:r>
        <w:rPr>
          <w:rFonts w:hint="default" w:ascii="Times New Roman" w:hAnsi="Times New Roman" w:eastAsia="方正仿宋_GBK" w:cs="Times New Roman"/>
          <w:color w:val="auto"/>
          <w:sz w:val="32"/>
          <w:szCs w:val="24"/>
          <w:highlight w:val="none"/>
        </w:rPr>
        <w:t>条评审前置</w:t>
      </w:r>
      <w:r>
        <w:rPr>
          <w:rFonts w:hint="default" w:ascii="Times New Roman" w:hAnsi="Times New Roman" w:eastAsia="方正仿宋_GBK" w:cs="Times New Roman"/>
          <w:color w:val="auto"/>
          <w:sz w:val="32"/>
          <w:szCs w:val="24"/>
          <w:highlight w:val="none"/>
          <w:lang w:val="en-US" w:eastAsia="zh-CN"/>
        </w:rPr>
        <w:t>条款</w:t>
      </w:r>
      <w:r>
        <w:rPr>
          <w:rFonts w:hint="default" w:ascii="Times New Roman" w:hAnsi="Times New Roman" w:eastAsia="方正仿宋_GBK" w:cs="Times New Roman"/>
          <w:color w:val="auto"/>
          <w:sz w:val="32"/>
          <w:szCs w:val="24"/>
          <w:highlight w:val="none"/>
        </w:rPr>
        <w:t>。医院在评审周期内发生一项及以上情形的，延期一年评审。延期期间原等次取</w:t>
      </w:r>
      <w:r>
        <w:rPr>
          <w:rFonts w:hint="default" w:ascii="Times New Roman" w:hAnsi="Times New Roman" w:eastAsia="方正仿宋_GBK" w:cs="Times New Roman"/>
          <w:color w:val="auto"/>
          <w:spacing w:val="-6"/>
          <w:sz w:val="32"/>
          <w:szCs w:val="24"/>
          <w:highlight w:val="none"/>
        </w:rPr>
        <w:t>消，按照</w:t>
      </w:r>
      <w:r>
        <w:rPr>
          <w:rFonts w:hint="eastAsia" w:cs="Times New Roman"/>
          <w:color w:val="auto"/>
          <w:spacing w:val="-6"/>
          <w:sz w:val="32"/>
          <w:szCs w:val="24"/>
          <w:highlight w:val="none"/>
          <w:lang w:eastAsia="zh-CN"/>
        </w:rPr>
        <w:t>“</w:t>
      </w:r>
      <w:r>
        <w:rPr>
          <w:rFonts w:hint="default" w:ascii="Times New Roman" w:hAnsi="Times New Roman" w:eastAsia="方正仿宋_GBK" w:cs="Times New Roman"/>
          <w:color w:val="auto"/>
          <w:spacing w:val="-6"/>
          <w:sz w:val="32"/>
          <w:szCs w:val="24"/>
          <w:highlight w:val="none"/>
        </w:rPr>
        <w:t>未定等</w:t>
      </w:r>
      <w:r>
        <w:rPr>
          <w:rFonts w:hint="eastAsia" w:cs="Times New Roman"/>
          <w:color w:val="auto"/>
          <w:spacing w:val="-6"/>
          <w:sz w:val="32"/>
          <w:szCs w:val="24"/>
          <w:highlight w:val="none"/>
          <w:lang w:eastAsia="zh-CN"/>
        </w:rPr>
        <w:t>”</w:t>
      </w:r>
      <w:r>
        <w:rPr>
          <w:rFonts w:hint="default" w:ascii="Times New Roman" w:hAnsi="Times New Roman" w:eastAsia="方正仿宋_GBK" w:cs="Times New Roman"/>
          <w:color w:val="auto"/>
          <w:spacing w:val="-6"/>
          <w:sz w:val="32"/>
          <w:szCs w:val="24"/>
          <w:highlight w:val="none"/>
        </w:rPr>
        <w:t>管理。旨在进</w:t>
      </w:r>
      <w:r>
        <w:rPr>
          <w:rFonts w:hint="default" w:ascii="Times New Roman" w:hAnsi="Times New Roman" w:eastAsia="方正仿宋_GBK" w:cs="Times New Roman"/>
          <w:color w:val="auto"/>
          <w:sz w:val="32"/>
          <w:szCs w:val="24"/>
          <w:highlight w:val="none"/>
        </w:rPr>
        <w:t>一步发挥医院评审工作对</w:t>
      </w:r>
      <w:r>
        <w:rPr>
          <w:rFonts w:hint="default" w:ascii="Times New Roman" w:hAnsi="Times New Roman" w:eastAsia="方正仿宋_GBK" w:cs="Times New Roman"/>
          <w:color w:val="auto"/>
          <w:spacing w:val="-6"/>
          <w:sz w:val="32"/>
          <w:szCs w:val="24"/>
          <w:highlight w:val="none"/>
        </w:rPr>
        <w:t>于推动医院落实相关法律法规制度要求和改革政策的杠杆作用。</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b/>
          <w:bCs w:val="0"/>
          <w:color w:val="auto"/>
          <w:sz w:val="32"/>
          <w:szCs w:val="24"/>
          <w:highlight w:val="none"/>
        </w:rPr>
        <w:t>第二部分为医疗服务能力与质量安全监测数据部分。</w:t>
      </w:r>
      <w:r>
        <w:rPr>
          <w:rFonts w:hint="default" w:ascii="Times New Roman" w:hAnsi="Times New Roman" w:eastAsia="方正仿宋_GBK" w:cs="Times New Roman"/>
          <w:color w:val="auto"/>
          <w:sz w:val="32"/>
          <w:szCs w:val="24"/>
          <w:highlight w:val="none"/>
        </w:rPr>
        <w:t>共</w:t>
      </w:r>
      <w:r>
        <w:rPr>
          <w:rFonts w:hint="default" w:ascii="Times New Roman" w:hAnsi="Times New Roman" w:eastAsia="方正仿宋_GBK" w:cs="Times New Roman"/>
          <w:color w:val="auto"/>
          <w:sz w:val="32"/>
          <w:szCs w:val="24"/>
          <w:highlight w:val="none"/>
          <w:lang w:val="en-US" w:eastAsia="zh-CN"/>
        </w:rPr>
        <w:t>90</w:t>
      </w:r>
      <w:r>
        <w:rPr>
          <w:rFonts w:hint="default" w:ascii="Times New Roman" w:hAnsi="Times New Roman" w:eastAsia="方正仿宋_GBK" w:cs="Times New Roman"/>
          <w:color w:val="auto"/>
          <w:sz w:val="32"/>
          <w:szCs w:val="24"/>
          <w:highlight w:val="none"/>
        </w:rPr>
        <w:t>节</w:t>
      </w:r>
      <w:r>
        <w:rPr>
          <w:rFonts w:hint="default" w:ascii="Times New Roman" w:hAnsi="Times New Roman" w:eastAsia="方正仿宋_GBK" w:cs="Times New Roman"/>
          <w:color w:val="auto"/>
          <w:sz w:val="32"/>
          <w:szCs w:val="24"/>
          <w:highlight w:val="none"/>
          <w:lang w:val="en-US" w:eastAsia="zh-CN"/>
        </w:rPr>
        <w:t>166</w:t>
      </w:r>
      <w:r>
        <w:rPr>
          <w:rFonts w:hint="default" w:ascii="Times New Roman" w:hAnsi="Times New Roman" w:eastAsia="方正仿宋_GBK" w:cs="Times New Roman"/>
          <w:color w:val="auto"/>
          <w:sz w:val="32"/>
          <w:szCs w:val="24"/>
          <w:highlight w:val="none"/>
        </w:rPr>
        <w:t>条。内容包括医院资源配置、质量、安全、服务、绩效等指标监测、DRG 评价、单病种</w:t>
      </w:r>
      <w:r>
        <w:rPr>
          <w:rFonts w:hint="default" w:ascii="Times New Roman" w:hAnsi="Times New Roman" w:eastAsia="方正仿宋_GBK" w:cs="Times New Roman"/>
          <w:color w:val="auto"/>
          <w:sz w:val="32"/>
          <w:szCs w:val="24"/>
          <w:highlight w:val="none"/>
          <w:lang w:val="en-US" w:eastAsia="zh-CN"/>
        </w:rPr>
        <w:t>、</w:t>
      </w:r>
      <w:r>
        <w:rPr>
          <w:rFonts w:hint="default" w:ascii="Times New Roman" w:hAnsi="Times New Roman" w:eastAsia="方正仿宋_GBK" w:cs="Times New Roman"/>
          <w:color w:val="auto"/>
          <w:sz w:val="32"/>
          <w:szCs w:val="24"/>
          <w:highlight w:val="none"/>
        </w:rPr>
        <w:t>重点医疗技术质控等日常监测数据</w:t>
      </w:r>
      <w:r>
        <w:rPr>
          <w:rFonts w:hint="default" w:ascii="Times New Roman" w:hAnsi="Times New Roman" w:eastAsia="方正仿宋_GBK" w:cs="Times New Roman"/>
          <w:color w:val="auto"/>
          <w:sz w:val="32"/>
          <w:szCs w:val="24"/>
          <w:highlight w:val="none"/>
          <w:lang w:val="en-US" w:eastAsia="zh-CN"/>
        </w:rPr>
        <w:t>及专科医院评价指标</w:t>
      </w:r>
      <w:r>
        <w:rPr>
          <w:rFonts w:hint="default" w:ascii="Times New Roman" w:hAnsi="Times New Roman" w:eastAsia="方正仿宋_GBK" w:cs="Times New Roman"/>
          <w:color w:val="auto"/>
          <w:sz w:val="32"/>
          <w:szCs w:val="24"/>
          <w:highlight w:val="none"/>
        </w:rPr>
        <w:t>，数据统计周期为全评审周期。本部分在评审综合得分中的权重为60%。</w:t>
      </w:r>
      <w:r>
        <w:rPr>
          <w:rFonts w:hint="default" w:ascii="Times New Roman" w:hAnsi="Times New Roman" w:eastAsia="方正仿宋_GBK" w:cs="Times New Roman"/>
          <w:color w:val="auto"/>
          <w:sz w:val="32"/>
          <w:szCs w:val="24"/>
          <w:highlight w:val="none"/>
          <w:lang w:val="en-US" w:eastAsia="zh-CN"/>
        </w:rPr>
        <w:t>深入推进以</w:t>
      </w:r>
      <w:r>
        <w:rPr>
          <w:rFonts w:hint="default" w:ascii="Times New Roman" w:hAnsi="Times New Roman" w:eastAsia="方正仿宋_GBK" w:cs="Times New Roman"/>
          <w:color w:val="auto"/>
          <w:sz w:val="32"/>
          <w:szCs w:val="24"/>
          <w:highlight w:val="none"/>
        </w:rPr>
        <w:t>日常行为、客观指标、定量评价为主的评审工作模式，引导医院重视日常质量管理和绩效指标的完成。</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b/>
          <w:bCs w:val="0"/>
          <w:color w:val="auto"/>
          <w:sz w:val="32"/>
          <w:szCs w:val="24"/>
          <w:highlight w:val="none"/>
        </w:rPr>
        <w:t>第三部分为现场检查部分。</w:t>
      </w:r>
      <w:r>
        <w:rPr>
          <w:rFonts w:hint="default" w:ascii="Times New Roman" w:hAnsi="Times New Roman" w:eastAsia="方正仿宋_GBK" w:cs="Times New Roman"/>
          <w:color w:val="auto"/>
          <w:sz w:val="32"/>
          <w:szCs w:val="24"/>
          <w:highlight w:val="none"/>
        </w:rPr>
        <w:t>共3章27节18</w:t>
      </w:r>
      <w:r>
        <w:rPr>
          <w:rFonts w:hint="default" w:ascii="Times New Roman" w:hAnsi="Times New Roman" w:eastAsia="方正仿宋_GBK" w:cs="Times New Roman"/>
          <w:color w:val="auto"/>
          <w:sz w:val="32"/>
          <w:szCs w:val="24"/>
          <w:highlight w:val="none"/>
          <w:lang w:val="en-US" w:eastAsia="zh-CN"/>
        </w:rPr>
        <w:t>8</w:t>
      </w:r>
      <w:r>
        <w:rPr>
          <w:rFonts w:hint="default" w:ascii="Times New Roman" w:hAnsi="Times New Roman" w:eastAsia="方正仿宋_GBK" w:cs="Times New Roman"/>
          <w:color w:val="auto"/>
          <w:sz w:val="32"/>
          <w:szCs w:val="24"/>
          <w:highlight w:val="none"/>
        </w:rPr>
        <w:t>条</w:t>
      </w:r>
      <w:r>
        <w:rPr>
          <w:rFonts w:hint="default" w:ascii="Times New Roman" w:hAnsi="Times New Roman" w:eastAsia="方正仿宋_GBK" w:cs="Times New Roman"/>
          <w:color w:val="auto"/>
          <w:sz w:val="32"/>
          <w:szCs w:val="24"/>
          <w:highlight w:val="none"/>
          <w:lang w:val="en-US" w:eastAsia="zh-CN"/>
        </w:rPr>
        <w:t>351</w:t>
      </w:r>
      <w:r>
        <w:rPr>
          <w:rFonts w:hint="default" w:ascii="Times New Roman" w:hAnsi="Times New Roman" w:eastAsia="方正仿宋_GBK" w:cs="Times New Roman"/>
          <w:color w:val="auto"/>
          <w:sz w:val="32"/>
          <w:szCs w:val="24"/>
          <w:highlight w:val="none"/>
        </w:rPr>
        <w:t>款。用于对医院日常管理和持续改进情况的现场评价。本部分在评审综合得分中的权重为40%。旨在最大限度减少实地评审工作量，提高工作效率；努力降低评审人员主观评价偏倚，提升标准可操作性和评审结果客观性。</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本《实施细则》增加了</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指令性指标</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板块，旨在及时评价国家及本省政府主管部门部署的工作，指标类型为准入性指标，以</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已开展</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或</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已完成</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评价。</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本《实施细则》中引用的疾病名称与ICD-10 编码采用国家</w:t>
      </w:r>
      <w:r>
        <w:rPr>
          <w:rFonts w:hint="eastAsia" w:cs="Times New Roman"/>
          <w:color w:val="auto"/>
          <w:sz w:val="32"/>
          <w:szCs w:val="24"/>
          <w:highlight w:val="none"/>
          <w:lang w:val="en-US" w:eastAsia="zh-CN"/>
        </w:rPr>
        <w:t>卫生健康委</w:t>
      </w:r>
      <w:r>
        <w:rPr>
          <w:rFonts w:hint="default" w:ascii="Times New Roman" w:hAnsi="Times New Roman" w:eastAsia="方正仿宋_GBK" w:cs="Times New Roman"/>
          <w:color w:val="auto"/>
          <w:sz w:val="32"/>
          <w:szCs w:val="24"/>
          <w:highlight w:val="none"/>
        </w:rPr>
        <w:t>发布的《疾病分类与代码国家临床版2.0</w:t>
      </w:r>
      <w:r>
        <w:rPr>
          <w:rFonts w:hint="default" w:ascii="Times New Roman" w:hAnsi="Times New Roman" w:eastAsia="方正仿宋_GBK" w:cs="Times New Roman"/>
          <w:color w:val="auto"/>
          <w:spacing w:val="11"/>
          <w:sz w:val="32"/>
          <w:szCs w:val="24"/>
          <w:highlight w:val="none"/>
        </w:rPr>
        <w:t>》（</w:t>
      </w:r>
      <w:r>
        <w:rPr>
          <w:rFonts w:hint="default" w:ascii="Times New Roman" w:hAnsi="Times New Roman" w:eastAsia="方正仿宋_GBK" w:cs="Times New Roman"/>
          <w:color w:val="auto"/>
          <w:spacing w:val="20"/>
          <w:sz w:val="32"/>
          <w:szCs w:val="24"/>
          <w:highlight w:val="none"/>
        </w:rPr>
        <w:t>国</w:t>
      </w:r>
      <w:r>
        <w:rPr>
          <w:rFonts w:hint="default" w:ascii="Times New Roman" w:hAnsi="Times New Roman" w:eastAsia="方正仿宋_GBK" w:cs="Times New Roman"/>
          <w:color w:val="auto"/>
          <w:sz w:val="32"/>
          <w:szCs w:val="24"/>
          <w:highlight w:val="none"/>
        </w:rPr>
        <w:t>卫办医函〔2019〕371号）。手术操作名称与ICD-9-CM-3 编码采用国家</w:t>
      </w:r>
      <w:r>
        <w:rPr>
          <w:rFonts w:hint="eastAsia" w:cs="Times New Roman"/>
          <w:color w:val="auto"/>
          <w:sz w:val="32"/>
          <w:szCs w:val="24"/>
          <w:highlight w:val="none"/>
          <w:lang w:val="en-US" w:eastAsia="zh-CN"/>
        </w:rPr>
        <w:t>卫生健康委</w:t>
      </w:r>
      <w:r>
        <w:rPr>
          <w:rFonts w:hint="default" w:ascii="Times New Roman" w:hAnsi="Times New Roman" w:eastAsia="方正仿宋_GBK" w:cs="Times New Roman"/>
          <w:color w:val="auto"/>
          <w:sz w:val="32"/>
          <w:szCs w:val="24"/>
          <w:highlight w:val="none"/>
        </w:rPr>
        <w:t>发布的《手术操作分类代码国家临床版3.0》（国卫办医函〔20</w:t>
      </w:r>
      <w:r>
        <w:rPr>
          <w:rFonts w:ascii="Times New Roman" w:hAnsi="Times New Roman" w:eastAsia="方正仿宋_GBK" w:cs="Times New Roman"/>
          <w:color w:val="auto"/>
          <w:sz w:val="32"/>
          <w:szCs w:val="24"/>
          <w:highlight w:val="none"/>
        </w:rPr>
        <w:t>20</w:t>
      </w:r>
      <w:r>
        <w:rPr>
          <w:rFonts w:hint="default" w:ascii="Times New Roman" w:hAnsi="Times New Roman" w:eastAsia="方正仿宋_GBK" w:cs="Times New Roman"/>
          <w:color w:val="auto"/>
          <w:sz w:val="32"/>
          <w:szCs w:val="24"/>
          <w:highlight w:val="none"/>
        </w:rPr>
        <w:t>〕</w:t>
      </w:r>
      <w:r>
        <w:rPr>
          <w:rFonts w:ascii="Times New Roman" w:hAnsi="Times New Roman" w:eastAsia="方正仿宋_GBK" w:cs="Times New Roman"/>
          <w:color w:val="auto"/>
          <w:sz w:val="32"/>
          <w:szCs w:val="24"/>
          <w:highlight w:val="none"/>
        </w:rPr>
        <w:t>438</w:t>
      </w:r>
      <w:r>
        <w:rPr>
          <w:rFonts w:hint="default" w:ascii="Times New Roman" w:hAnsi="Times New Roman" w:eastAsia="方正仿宋_GBK" w:cs="Times New Roman"/>
          <w:color w:val="auto"/>
          <w:sz w:val="32"/>
          <w:szCs w:val="24"/>
          <w:highlight w:val="none"/>
        </w:rPr>
        <w:t>号）。</w:t>
      </w:r>
    </w:p>
    <w:p>
      <w:pPr>
        <w:spacing w:line="560" w:lineRule="exact"/>
        <w:ind w:firstLine="624" w:firstLineChars="200"/>
        <w:rPr>
          <w:rFonts w:asciiTheme="minorEastAsia" w:hAnsiTheme="minorEastAsia" w:eastAsiaTheme="minorEastAsia"/>
          <w:color w:val="auto"/>
          <w:sz w:val="24"/>
          <w:szCs w:val="24"/>
          <w:highlight w:val="none"/>
        </w:rPr>
      </w:pPr>
      <w:r>
        <w:rPr>
          <w:rFonts w:hint="default" w:ascii="Times New Roman" w:hAnsi="Times New Roman" w:eastAsia="方正黑体_GBK" w:cs="Times New Roman"/>
          <w:b w:val="0"/>
          <w:bCs/>
          <w:color w:val="auto"/>
          <w:sz w:val="32"/>
          <w:szCs w:val="24"/>
          <w:highlight w:val="none"/>
        </w:rPr>
        <w:t>三、评审程序</w:t>
      </w:r>
    </w:p>
    <w:p>
      <w:pPr>
        <w:spacing w:line="560" w:lineRule="exact"/>
        <w:ind w:firstLine="624" w:firstLineChars="200"/>
        <w:jc w:val="both"/>
        <w:rPr>
          <w:rFonts w:hint="default" w:ascii="Times New Roman" w:hAnsi="Times New Roman" w:eastAsia="方正仿宋_GBK" w:cs="Times New Roman"/>
          <w:color w:val="auto"/>
          <w:sz w:val="32"/>
          <w:szCs w:val="24"/>
          <w:highlight w:val="none"/>
          <w:lang w:val="en-US" w:eastAsia="zh-CN"/>
        </w:rPr>
      </w:pPr>
      <w:r>
        <w:rPr>
          <w:rFonts w:hint="default" w:ascii="Times New Roman" w:hAnsi="Times New Roman" w:eastAsia="方正仿宋_GBK" w:cs="Times New Roman"/>
          <w:color w:val="auto"/>
          <w:sz w:val="32"/>
          <w:szCs w:val="24"/>
          <w:highlight w:val="none"/>
        </w:rPr>
        <w:t>第一阶段：由卫生健康委相关部门对照《实施细则》第一部分《前置要求》逐条对参评医院</w:t>
      </w:r>
      <w:r>
        <w:rPr>
          <w:rFonts w:hint="default" w:ascii="Times New Roman" w:hAnsi="Times New Roman" w:eastAsia="方正仿宋_GBK" w:cs="Times New Roman"/>
          <w:color w:val="auto"/>
          <w:sz w:val="32"/>
          <w:szCs w:val="24"/>
          <w:highlight w:val="none"/>
          <w:lang w:val="en-US" w:eastAsia="zh-CN"/>
        </w:rPr>
        <w:t>进行</w:t>
      </w:r>
      <w:r>
        <w:rPr>
          <w:rFonts w:hint="default" w:ascii="Times New Roman" w:hAnsi="Times New Roman" w:eastAsia="方正仿宋_GBK" w:cs="Times New Roman"/>
          <w:color w:val="auto"/>
          <w:sz w:val="32"/>
          <w:szCs w:val="24"/>
          <w:highlight w:val="none"/>
        </w:rPr>
        <w:t>审核，并向有关部门（前置要求涉及的发展改革、生态环境、医保等部门）和社会公开征询参评医院是否存在违反前置</w:t>
      </w:r>
      <w:r>
        <w:rPr>
          <w:rFonts w:hint="default" w:ascii="Times New Roman" w:hAnsi="Times New Roman" w:eastAsia="方正仿宋_GBK" w:cs="Times New Roman"/>
          <w:color w:val="auto"/>
          <w:sz w:val="32"/>
          <w:szCs w:val="24"/>
          <w:highlight w:val="none"/>
          <w:lang w:val="en-US" w:eastAsia="zh-CN"/>
        </w:rPr>
        <w:t>要求</w:t>
      </w:r>
      <w:r>
        <w:rPr>
          <w:rFonts w:hint="default" w:ascii="Times New Roman" w:hAnsi="Times New Roman" w:eastAsia="方正仿宋_GBK" w:cs="Times New Roman"/>
          <w:color w:val="auto"/>
          <w:sz w:val="32"/>
          <w:szCs w:val="24"/>
          <w:highlight w:val="none"/>
        </w:rPr>
        <w:t>的情况，征询时间</w:t>
      </w:r>
      <w:r>
        <w:rPr>
          <w:rFonts w:hint="default" w:ascii="Times New Roman" w:hAnsi="Times New Roman" w:eastAsia="方正仿宋_GBK" w:cs="Times New Roman"/>
          <w:color w:val="auto"/>
          <w:sz w:val="32"/>
          <w:szCs w:val="24"/>
          <w:highlight w:val="none"/>
          <w:lang w:val="en-US" w:eastAsia="zh-CN"/>
        </w:rPr>
        <w:t>不少于</w:t>
      </w:r>
      <w:r>
        <w:rPr>
          <w:rFonts w:hint="default" w:ascii="Times New Roman" w:hAnsi="Times New Roman" w:eastAsia="方正仿宋_GBK" w:cs="Times New Roman"/>
          <w:color w:val="auto"/>
          <w:sz w:val="32"/>
          <w:szCs w:val="24"/>
          <w:highlight w:val="none"/>
        </w:rPr>
        <w:t>7个工作日。</w:t>
      </w:r>
      <w:r>
        <w:rPr>
          <w:rFonts w:hint="default" w:ascii="Times New Roman" w:hAnsi="Times New Roman" w:eastAsia="方正仿宋_GBK" w:cs="Times New Roman"/>
          <w:color w:val="auto"/>
          <w:sz w:val="32"/>
          <w:szCs w:val="24"/>
          <w:highlight w:val="none"/>
          <w:lang w:val="en-US" w:eastAsia="zh-CN"/>
        </w:rPr>
        <w:t>省属医院由省卫生健康委相关部门进行审核，市、县（区）级医院由市卫生健康委相关部门进行审核，审核结果上传安徽省三级医院评审管理系统。</w:t>
      </w:r>
      <w:r>
        <w:rPr>
          <w:rFonts w:hint="default" w:ascii="Times New Roman" w:hAnsi="Times New Roman" w:eastAsia="方正仿宋_GBK" w:cs="Times New Roman"/>
          <w:color w:val="auto"/>
          <w:sz w:val="32"/>
          <w:szCs w:val="24"/>
          <w:highlight w:val="none"/>
        </w:rPr>
        <w:t>《前置要求》</w:t>
      </w:r>
      <w:r>
        <w:rPr>
          <w:rFonts w:hint="default" w:ascii="Times New Roman" w:hAnsi="Times New Roman" w:eastAsia="方正仿宋_GBK" w:cs="Times New Roman"/>
          <w:color w:val="auto"/>
          <w:sz w:val="32"/>
          <w:szCs w:val="24"/>
          <w:highlight w:val="none"/>
          <w:lang w:eastAsia="zh-CN"/>
        </w:rPr>
        <w:t>中我省暂未开展</w:t>
      </w:r>
      <w:r>
        <w:rPr>
          <w:rFonts w:hint="default" w:ascii="Times New Roman" w:hAnsi="Times New Roman" w:eastAsia="方正仿宋_GBK" w:cs="Times New Roman"/>
          <w:color w:val="auto"/>
          <w:sz w:val="32"/>
          <w:szCs w:val="24"/>
          <w:highlight w:val="none"/>
          <w:lang w:val="en-US" w:eastAsia="zh-CN"/>
        </w:rPr>
        <w:t>的</w:t>
      </w:r>
      <w:r>
        <w:rPr>
          <w:rFonts w:hint="default" w:ascii="Times New Roman" w:hAnsi="Times New Roman" w:eastAsia="方正仿宋_GBK" w:cs="Times New Roman"/>
          <w:color w:val="auto"/>
          <w:sz w:val="32"/>
          <w:szCs w:val="24"/>
          <w:highlight w:val="none"/>
          <w:lang w:eastAsia="zh-CN"/>
        </w:rPr>
        <w:t>条款，本周期内不作考核。</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第二阶段：在参评医院《实施细则》第一部分《前置要求》通过的前提下，参评医院登录安徽省</w:t>
      </w:r>
      <w:r>
        <w:rPr>
          <w:rFonts w:hint="default" w:ascii="Times New Roman" w:hAnsi="Times New Roman" w:eastAsia="方正仿宋_GBK" w:cs="Times New Roman"/>
          <w:color w:val="auto"/>
          <w:sz w:val="32"/>
          <w:szCs w:val="24"/>
          <w:highlight w:val="none"/>
          <w:lang w:val="en-US" w:eastAsia="zh-CN"/>
        </w:rPr>
        <w:t>三级</w:t>
      </w:r>
      <w:r>
        <w:rPr>
          <w:rFonts w:hint="default" w:ascii="Times New Roman" w:hAnsi="Times New Roman" w:eastAsia="方正仿宋_GBK" w:cs="Times New Roman"/>
          <w:color w:val="auto"/>
          <w:sz w:val="32"/>
          <w:szCs w:val="24"/>
          <w:highlight w:val="none"/>
        </w:rPr>
        <w:t>医院评审管理系统进行《实施细则》的第二部分《医疗服务能力与质量安全监测数据》的数据填报，</w:t>
      </w:r>
      <w:r>
        <w:rPr>
          <w:rFonts w:hint="default" w:ascii="Times New Roman" w:hAnsi="Times New Roman" w:eastAsia="方正仿宋_GBK" w:cs="Times New Roman"/>
          <w:color w:val="auto"/>
          <w:sz w:val="32"/>
          <w:szCs w:val="24"/>
          <w:highlight w:val="none"/>
          <w:lang w:val="en-US" w:eastAsia="zh-CN"/>
        </w:rPr>
        <w:t>指标定义及统计口径</w:t>
      </w:r>
      <w:r>
        <w:rPr>
          <w:rFonts w:hint="default" w:ascii="Times New Roman" w:hAnsi="Times New Roman" w:eastAsia="方正仿宋_GBK" w:cs="Times New Roman"/>
          <w:color w:val="auto"/>
          <w:sz w:val="32"/>
          <w:szCs w:val="24"/>
          <w:highlight w:val="none"/>
        </w:rPr>
        <w:t>依照省卫健委发布的《医疗服务能力与质量安全监测数据指标口径及计算方法指导手册（202</w:t>
      </w:r>
      <w:r>
        <w:rPr>
          <w:rFonts w:hint="default" w:ascii="Times New Roman" w:hAnsi="Times New Roman" w:eastAsia="方正仿宋_GBK" w:cs="Times New Roman"/>
          <w:color w:val="auto"/>
          <w:sz w:val="32"/>
          <w:szCs w:val="24"/>
          <w:highlight w:val="none"/>
          <w:lang w:val="en-US" w:eastAsia="zh-CN"/>
        </w:rPr>
        <w:t>2年</w:t>
      </w:r>
      <w:r>
        <w:rPr>
          <w:rFonts w:hint="default" w:ascii="Times New Roman" w:hAnsi="Times New Roman" w:eastAsia="方正仿宋_GBK" w:cs="Times New Roman"/>
          <w:color w:val="auto"/>
          <w:sz w:val="32"/>
          <w:szCs w:val="24"/>
          <w:highlight w:val="none"/>
        </w:rPr>
        <w:t>版）》</w:t>
      </w:r>
      <w:r>
        <w:rPr>
          <w:rFonts w:hint="default" w:ascii="Times New Roman" w:hAnsi="Times New Roman" w:eastAsia="方正仿宋_GBK"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系统依据评分办法和评审等次认定标准进行评价。</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第三阶段：在第二阶段评价结果合格的前提下，由专家至参评医院进行《实施细则》第二部分数据的现场复核。</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第四阶段：在第三阶段评价结果现场复核合格的前提下，由专家至参评医院进行第三部分《现场检查》评审。</w:t>
      </w:r>
    </w:p>
    <w:p>
      <w:pPr>
        <w:spacing w:line="560" w:lineRule="exact"/>
        <w:ind w:firstLine="624" w:firstLineChars="200"/>
        <w:rPr>
          <w:rFonts w:asciiTheme="minorEastAsia" w:hAnsiTheme="minorEastAsia" w:eastAsiaTheme="minorEastAsia"/>
          <w:b/>
          <w:bCs/>
          <w:color w:val="auto"/>
          <w:sz w:val="24"/>
          <w:szCs w:val="24"/>
          <w:highlight w:val="none"/>
        </w:rPr>
      </w:pPr>
      <w:r>
        <w:rPr>
          <w:rFonts w:hint="default" w:ascii="Times New Roman" w:hAnsi="Times New Roman" w:eastAsia="方正黑体_GBK" w:cs="Times New Roman"/>
          <w:b w:val="0"/>
          <w:bCs/>
          <w:color w:val="auto"/>
          <w:sz w:val="32"/>
          <w:szCs w:val="24"/>
          <w:highlight w:val="none"/>
        </w:rPr>
        <w:t>四、评分办法</w:t>
      </w:r>
    </w:p>
    <w:p>
      <w:pPr>
        <w:spacing w:line="560" w:lineRule="exact"/>
        <w:ind w:firstLine="624" w:firstLineChars="200"/>
        <w:jc w:val="left"/>
        <w:rPr>
          <w:rFonts w:asciiTheme="minorEastAsia" w:hAnsiTheme="minorEastAsia" w:eastAsiaTheme="minorEastAsia"/>
          <w:b/>
          <w:bCs/>
          <w:color w:val="auto"/>
          <w:sz w:val="24"/>
          <w:szCs w:val="24"/>
          <w:highlight w:val="none"/>
        </w:rPr>
      </w:pPr>
      <w:r>
        <w:rPr>
          <w:rFonts w:hint="default" w:ascii="Times New Roman" w:hAnsi="Times New Roman" w:eastAsia="方正楷体_GBK" w:cs="Times New Roman"/>
          <w:b w:val="0"/>
          <w:bCs/>
          <w:color w:val="auto"/>
          <w:sz w:val="32"/>
          <w:szCs w:val="24"/>
          <w:highlight w:val="none"/>
        </w:rPr>
        <w:t>第二部分《医疗服务能力与质量安全监测数据》</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1．根据指标性质不同分为准入指标</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标注*</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、横向对比指标（标注△）、纵向对比指标（标注#）及观察指标（标注⊙）四类。每个指标评价及赋值分为四档，分别为A（优秀</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赋值10分），B（良好</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赋值8分），C（合格</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赋值6分），D（不合格，赋值4分）。</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2．第一章指标评价方法：该章节的指标均为准入指标，本章指标</w:t>
      </w:r>
      <w:r>
        <w:rPr>
          <w:rFonts w:hint="eastAsia" w:ascii="Times New Roman" w:hAnsi="Times New Roman" w:eastAsia="方正仿宋_GBK"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除科研指标</w:t>
      </w:r>
      <w:r>
        <w:rPr>
          <w:rFonts w:hint="eastAsia" w:ascii="Times New Roman" w:hAnsi="Times New Roman" w:eastAsia="方正仿宋_GBK"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只需报送评审周期最后一年数据,达标即为A</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不达标为D。科研指标在提供评审周期近四年数据的基础上进行评价，达标即为A</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不达标为D，若未能提供评审周期近四年数据也认定为D。</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3．第二章、第三章横向对比指标评价方法：</w:t>
      </w:r>
      <w:r>
        <w:rPr>
          <w:rFonts w:hint="default" w:ascii="Times New Roman" w:hAnsi="Times New Roman" w:eastAsia="方正仿宋_GBK" w:cs="Times New Roman"/>
          <w:color w:val="auto"/>
          <w:sz w:val="32"/>
          <w:szCs w:val="24"/>
          <w:highlight w:val="none"/>
          <w:lang w:val="en-US"/>
        </w:rPr>
        <w:t>收集</w:t>
      </w:r>
      <w:r>
        <w:rPr>
          <w:rFonts w:hint="default" w:ascii="Times New Roman" w:hAnsi="Times New Roman" w:eastAsia="方正仿宋_GBK" w:cs="Times New Roman"/>
          <w:color w:val="auto"/>
          <w:sz w:val="32"/>
          <w:szCs w:val="24"/>
          <w:highlight w:val="none"/>
        </w:rPr>
        <w:t>现有各</w:t>
      </w:r>
      <w:r>
        <w:rPr>
          <w:rFonts w:hint="default" w:ascii="Times New Roman" w:hAnsi="Times New Roman" w:eastAsia="方正仿宋_GBK" w:cs="Times New Roman"/>
          <w:color w:val="auto"/>
          <w:sz w:val="32"/>
          <w:szCs w:val="24"/>
          <w:highlight w:val="none"/>
          <w:lang w:val="en-US" w:eastAsia="zh-CN"/>
        </w:rPr>
        <w:t>三级甲等</w:t>
      </w:r>
      <w:r>
        <w:rPr>
          <w:rFonts w:hint="default" w:ascii="Times New Roman" w:hAnsi="Times New Roman" w:eastAsia="方正仿宋_GBK" w:cs="Times New Roman"/>
          <w:color w:val="auto"/>
          <w:sz w:val="32"/>
          <w:szCs w:val="24"/>
          <w:highlight w:val="none"/>
        </w:rPr>
        <w:t>医院数据，同一指标数值四年均值从小到大进行排序后计算百分之二十（P20）、五十（P50）及八十分位数（P80）；以参评医院指标数值λ为例，当λ为高优指标时，λ≥P50评为A；P20≤λ＜P50时评为B，λ＜P20时若本评审周期最后一个年度与前三个年度均值相比有提高则评为C，未提高则为D；当λ为低优指标时，λ≤P50评为A；P50＜λ≤P80时评为B，λ＞P80时若</w:t>
      </w:r>
      <w:r>
        <w:rPr>
          <w:rFonts w:hint="default" w:ascii="Times New Roman" w:hAnsi="Times New Roman" w:eastAsia="方正仿宋_GBK" w:cs="Times New Roman"/>
          <w:color w:val="auto"/>
          <w:spacing w:val="-6"/>
          <w:sz w:val="32"/>
          <w:szCs w:val="24"/>
          <w:highlight w:val="none"/>
        </w:rPr>
        <w:t>本评审周期最后一个年度与前三个年度均值相比有降低则评为C，未降低则为D。</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4．第二至第五章，准入指标评价方法同第一章。第二、三、五章纵向对比指标评价方法：四年数据完整，本评审周期最后一个年度优于其他三个年度或达到指标理论最优水平</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例如:病死率为0</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为A；若最后一个年度水平优于任意两个年度则为B；若优于任意一个年度则为C,若最后一个年度为最差水平则为D；若只报送一年数据则直接判定为D。</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5．第四章单病种质量指标评价方法：评审周期内数据不完整或单个病种年均上报例数少于30例的病种，</w:t>
      </w:r>
      <w:r>
        <w:rPr>
          <w:rFonts w:hint="default" w:ascii="Times New Roman" w:hAnsi="Times New Roman" w:eastAsia="方正仿宋_GBK" w:cs="Times New Roman"/>
          <w:color w:val="auto"/>
          <w:sz w:val="32"/>
          <w:szCs w:val="24"/>
          <w:highlight w:val="none"/>
          <w:lang w:val="en-US" w:eastAsia="zh-CN"/>
        </w:rPr>
        <w:t>计0分</w:t>
      </w:r>
      <w:r>
        <w:rPr>
          <w:rFonts w:hint="default" w:ascii="Times New Roman" w:hAnsi="Times New Roman" w:eastAsia="方正仿宋_GBK" w:cs="Times New Roman"/>
          <w:color w:val="auto"/>
          <w:sz w:val="32"/>
          <w:szCs w:val="24"/>
          <w:highlight w:val="none"/>
        </w:rPr>
        <w:t>。不低于30例的病种，每个病种考察平均住院日及病死率两项（平均住院日的单位为</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天</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，保留小数点后</w:t>
      </w:r>
      <w:r>
        <w:rPr>
          <w:rFonts w:hint="default" w:ascii="Times New Roman" w:hAnsi="Times New Roman" w:eastAsia="方正仿宋_GBK" w:cs="Times New Roman"/>
          <w:color w:val="auto"/>
          <w:sz w:val="32"/>
          <w:szCs w:val="24"/>
          <w:highlight w:val="none"/>
          <w:lang w:val="en-US" w:eastAsia="zh-CN"/>
        </w:rPr>
        <w:t>一</w:t>
      </w:r>
      <w:r>
        <w:rPr>
          <w:rFonts w:hint="default" w:ascii="Times New Roman" w:hAnsi="Times New Roman" w:eastAsia="方正仿宋_GBK" w:cs="Times New Roman"/>
          <w:color w:val="auto"/>
          <w:sz w:val="32"/>
          <w:szCs w:val="24"/>
          <w:highlight w:val="none"/>
        </w:rPr>
        <w:t>位；病死率的取值范围为小数点后两位，计量单位为%）。本评审周期最后一个年度与前三个年度均值相比，两项均下降或住院日下降的同时病死率为0 ，则为A；若任意一项下降为B；若无下降项，有任一项持平为C；两项均升高为D。</w:t>
      </w:r>
    </w:p>
    <w:p>
      <w:pPr>
        <w:spacing w:line="560" w:lineRule="exact"/>
        <w:ind w:firstLine="624" w:firstLineChars="200"/>
        <w:jc w:val="both"/>
        <w:rPr>
          <w:rFonts w:hint="default" w:ascii="Times New Roman" w:hAnsi="Times New Roman" w:eastAsia="方正仿宋_GBK" w:cs="Times New Roman"/>
          <w:color w:val="auto"/>
          <w:sz w:val="32"/>
          <w:szCs w:val="24"/>
          <w:highlight w:val="none"/>
          <w:lang w:val="en-US" w:eastAsia="zh-CN"/>
        </w:rPr>
      </w:pPr>
      <w:r>
        <w:rPr>
          <w:rFonts w:ascii="Times New Roman" w:hAnsi="Times New Roman" w:eastAsia="方正仿宋_GBK" w:cs="Times New Roman"/>
          <w:color w:val="auto"/>
          <w:sz w:val="32"/>
          <w:szCs w:val="24"/>
          <w:highlight w:val="none"/>
        </w:rPr>
        <w:t>6</w:t>
      </w:r>
      <w:r>
        <w:rPr>
          <w:rFonts w:hint="default" w:ascii="Times New Roman" w:hAnsi="Times New Roman" w:eastAsia="方正仿宋_GBK" w:cs="Times New Roman"/>
          <w:color w:val="auto"/>
          <w:sz w:val="32"/>
          <w:szCs w:val="24"/>
          <w:highlight w:val="none"/>
        </w:rPr>
        <w:t>．评价指标数量原则上不低于指标总</w:t>
      </w:r>
      <w:r>
        <w:rPr>
          <w:rFonts w:hint="default" w:ascii="Times New Roman" w:hAnsi="Times New Roman" w:eastAsia="方正仿宋_GBK" w:cs="Times New Roman"/>
          <w:color w:val="auto"/>
          <w:sz w:val="32"/>
          <w:szCs w:val="24"/>
          <w:highlight w:val="none"/>
          <w:lang w:eastAsia="zh-CN"/>
        </w:rPr>
        <w:t>条</w:t>
      </w:r>
      <w:r>
        <w:rPr>
          <w:rFonts w:hint="default" w:ascii="Times New Roman" w:hAnsi="Times New Roman" w:eastAsia="方正仿宋_GBK" w:cs="Times New Roman"/>
          <w:color w:val="auto"/>
          <w:sz w:val="32"/>
          <w:szCs w:val="24"/>
          <w:highlight w:val="none"/>
        </w:rPr>
        <w:t>数的</w:t>
      </w:r>
      <w:r>
        <w:rPr>
          <w:rFonts w:ascii="Times New Roman" w:hAnsi="Times New Roman" w:eastAsia="方正仿宋_GBK" w:cs="Times New Roman"/>
          <w:color w:val="auto"/>
          <w:sz w:val="32"/>
          <w:szCs w:val="24"/>
          <w:highlight w:val="none"/>
        </w:rPr>
        <w:t>80%</w:t>
      </w:r>
      <w:r>
        <w:rPr>
          <w:rFonts w:hint="default" w:ascii="Times New Roman" w:hAnsi="Times New Roman" w:eastAsia="方正仿宋_GBK" w:cs="Times New Roman"/>
          <w:color w:val="auto"/>
          <w:sz w:val="32"/>
          <w:szCs w:val="24"/>
          <w:highlight w:val="none"/>
        </w:rPr>
        <w:t>，</w:t>
      </w:r>
      <w:r>
        <w:rPr>
          <w:rFonts w:hint="default" w:ascii="Times New Roman" w:hAnsi="Times New Roman" w:eastAsia="方正仿宋_GBK" w:cs="Times New Roman"/>
          <w:color w:val="auto"/>
          <w:sz w:val="32"/>
          <w:szCs w:val="24"/>
          <w:highlight w:val="none"/>
          <w:lang w:val="en-US" w:eastAsia="zh-CN"/>
        </w:rPr>
        <w:t>不纳入评价范围的</w:t>
      </w:r>
      <w:r>
        <w:rPr>
          <w:rFonts w:hint="default" w:ascii="Times New Roman" w:hAnsi="Times New Roman" w:eastAsia="方正仿宋_GBK" w:cs="Times New Roman"/>
          <w:color w:val="auto"/>
          <w:sz w:val="32"/>
          <w:szCs w:val="24"/>
          <w:highlight w:val="none"/>
        </w:rPr>
        <w:t>指标为观察指标，观察指标由医疗机构正常报送数据但不参与评价。观察指标数量根据政策要求及本省数据水平实际情况动态调整，直至实现全指标覆盖评价。</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7．数据复核</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（1）复核数据比例：原则上不少于医院上报数据的20%。如果医院信息化平台不能满足数据上报质量要求，抽取数据核查比例适当提高，增加复核内容视上报数据具体情况确定。</w:t>
      </w:r>
    </w:p>
    <w:p>
      <w:pPr>
        <w:spacing w:line="540" w:lineRule="exact"/>
        <w:ind w:firstLine="624" w:firstLineChars="200"/>
        <w:jc w:val="both"/>
        <w:rPr>
          <w:rFonts w:hint="default" w:ascii="Times New Roman" w:hAnsi="Times New Roman" w:eastAsia="方正仿宋_GBK" w:cs="Times New Roman"/>
          <w:color w:val="auto"/>
          <w:sz w:val="32"/>
          <w:szCs w:val="24"/>
          <w:highlight w:val="none"/>
          <w:lang w:val="en-US" w:eastAsia="zh-CN"/>
        </w:rPr>
      </w:pPr>
      <w:r>
        <w:rPr>
          <w:rFonts w:hint="default" w:ascii="Times New Roman" w:hAnsi="Times New Roman" w:eastAsia="方正仿宋_GBK" w:cs="Times New Roman"/>
          <w:color w:val="auto"/>
          <w:sz w:val="32"/>
          <w:szCs w:val="24"/>
          <w:highlight w:val="none"/>
        </w:rPr>
        <w:t>（2）复核数据类别：第一章指标全部必核；</w:t>
      </w:r>
      <w:r>
        <w:rPr>
          <w:rFonts w:hint="default" w:ascii="Times New Roman" w:hAnsi="Times New Roman" w:eastAsia="方正仿宋_GBK" w:cs="Times New Roman"/>
          <w:color w:val="auto"/>
          <w:sz w:val="32"/>
          <w:szCs w:val="24"/>
          <w:highlight w:val="none"/>
          <w:lang w:val="en-US" w:eastAsia="zh-CN"/>
        </w:rPr>
        <w:t>第二章到第四章</w:t>
      </w:r>
      <w:r>
        <w:rPr>
          <w:rFonts w:hint="default" w:ascii="Times New Roman" w:hAnsi="Times New Roman" w:eastAsia="方正仿宋_GBK" w:cs="Times New Roman"/>
          <w:color w:val="auto"/>
          <w:sz w:val="32"/>
          <w:szCs w:val="24"/>
          <w:highlight w:val="none"/>
        </w:rPr>
        <w:t>按照整群随机抽样的原则抽取</w:t>
      </w:r>
      <w:r>
        <w:rPr>
          <w:rFonts w:hint="default" w:ascii="Times New Roman" w:hAnsi="Times New Roman" w:eastAsia="方正仿宋_GBK" w:cs="Times New Roman"/>
          <w:color w:val="auto"/>
          <w:sz w:val="32"/>
          <w:szCs w:val="24"/>
          <w:highlight w:val="none"/>
          <w:lang w:val="en-US" w:eastAsia="zh-CN"/>
        </w:rPr>
        <w:t>11</w:t>
      </w:r>
      <w:r>
        <w:rPr>
          <w:rFonts w:hint="default" w:ascii="Times New Roman" w:hAnsi="Times New Roman" w:eastAsia="方正仿宋_GBK" w:cs="Times New Roman"/>
          <w:color w:val="auto"/>
          <w:sz w:val="32"/>
          <w:szCs w:val="24"/>
          <w:highlight w:val="none"/>
          <w:lang w:eastAsia="zh-CN"/>
        </w:rPr>
        <w:t>节</w:t>
      </w:r>
      <w:r>
        <w:rPr>
          <w:rFonts w:hint="default" w:ascii="Times New Roman" w:hAnsi="Times New Roman" w:eastAsia="方正仿宋_GBK" w:cs="Times New Roman"/>
          <w:color w:val="auto"/>
          <w:sz w:val="32"/>
          <w:szCs w:val="24"/>
          <w:highlight w:val="none"/>
        </w:rPr>
        <w:t>（其中第二章抽取一</w:t>
      </w:r>
      <w:r>
        <w:rPr>
          <w:rFonts w:hint="default" w:ascii="Times New Roman" w:hAnsi="Times New Roman" w:eastAsia="方正仿宋_GBK" w:cs="Times New Roman"/>
          <w:color w:val="auto"/>
          <w:sz w:val="32"/>
          <w:szCs w:val="24"/>
          <w:highlight w:val="none"/>
          <w:lang w:eastAsia="zh-CN"/>
        </w:rPr>
        <w:t>节</w:t>
      </w:r>
      <w:r>
        <w:rPr>
          <w:rFonts w:hint="default" w:ascii="Times New Roman" w:hAnsi="Times New Roman" w:eastAsia="方正仿宋_GBK" w:cs="Times New Roman"/>
          <w:color w:val="auto"/>
          <w:sz w:val="32"/>
          <w:szCs w:val="24"/>
          <w:highlight w:val="none"/>
        </w:rPr>
        <w:t>，第三章抽取</w:t>
      </w:r>
      <w:r>
        <w:rPr>
          <w:rFonts w:hint="default" w:ascii="Times New Roman" w:hAnsi="Times New Roman" w:eastAsia="方正仿宋_GBK" w:cs="Times New Roman"/>
          <w:color w:val="auto"/>
          <w:sz w:val="32"/>
          <w:szCs w:val="24"/>
          <w:highlight w:val="none"/>
          <w:lang w:val="en-US" w:eastAsia="zh-CN"/>
        </w:rPr>
        <w:t>三</w:t>
      </w:r>
      <w:r>
        <w:rPr>
          <w:rFonts w:hint="default" w:ascii="Times New Roman" w:hAnsi="Times New Roman" w:eastAsia="方正仿宋_GBK" w:cs="Times New Roman"/>
          <w:color w:val="auto"/>
          <w:sz w:val="32"/>
          <w:szCs w:val="24"/>
          <w:highlight w:val="none"/>
          <w:lang w:eastAsia="zh-CN"/>
        </w:rPr>
        <w:t>节</w:t>
      </w:r>
      <w:r>
        <w:rPr>
          <w:rFonts w:hint="default" w:ascii="Times New Roman" w:hAnsi="Times New Roman" w:eastAsia="方正仿宋_GBK" w:cs="Times New Roman"/>
          <w:color w:val="auto"/>
          <w:sz w:val="32"/>
          <w:szCs w:val="24"/>
          <w:highlight w:val="none"/>
        </w:rPr>
        <w:t>，第四章抽取七</w:t>
      </w:r>
      <w:r>
        <w:rPr>
          <w:rFonts w:hint="default" w:ascii="Times New Roman" w:hAnsi="Times New Roman" w:eastAsia="方正仿宋_GBK" w:cs="Times New Roman"/>
          <w:color w:val="auto"/>
          <w:sz w:val="32"/>
          <w:szCs w:val="24"/>
          <w:highlight w:val="none"/>
          <w:lang w:eastAsia="zh-CN"/>
        </w:rPr>
        <w:t>节</w:t>
      </w:r>
      <w:r>
        <w:rPr>
          <w:rFonts w:hint="default" w:ascii="Times New Roman" w:hAnsi="Times New Roman" w:eastAsia="方正仿宋_GBK" w:cs="Times New Roman"/>
          <w:color w:val="auto"/>
          <w:sz w:val="32"/>
          <w:szCs w:val="24"/>
          <w:highlight w:val="none"/>
        </w:rPr>
        <w:t>）；第五章重点医疗技术抽取</w:t>
      </w:r>
      <w:r>
        <w:rPr>
          <w:rFonts w:hint="default" w:ascii="Times New Roman" w:hAnsi="Times New Roman" w:eastAsia="方正仿宋_GBK" w:cs="Times New Roman"/>
          <w:color w:val="auto"/>
          <w:sz w:val="32"/>
          <w:szCs w:val="24"/>
          <w:highlight w:val="none"/>
          <w:lang w:val="en-US" w:eastAsia="zh-CN"/>
        </w:rPr>
        <w:t>一个技术类别</w:t>
      </w:r>
      <w:r>
        <w:rPr>
          <w:rFonts w:hint="default" w:ascii="Times New Roman" w:hAnsi="Times New Roman" w:eastAsia="方正仿宋_GBK"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lang w:val="en-US" w:eastAsia="zh-CN"/>
        </w:rPr>
        <w:t>此外，医院申报的不适用条款和系统判定的异常数据全部必核。</w:t>
      </w:r>
      <w:r>
        <w:rPr>
          <w:rFonts w:hint="default" w:ascii="Times New Roman" w:hAnsi="Times New Roman" w:eastAsia="方正仿宋_GBK" w:cs="Times New Roman"/>
          <w:color w:val="auto"/>
          <w:sz w:val="32"/>
          <w:szCs w:val="24"/>
          <w:highlight w:val="none"/>
        </w:rPr>
        <w:t>通过查看相关支撑材料、信息系统数据及纸质病历等核查数据。</w:t>
      </w:r>
    </w:p>
    <w:p>
      <w:pPr>
        <w:spacing w:line="540" w:lineRule="exact"/>
        <w:ind w:firstLine="624" w:firstLineChars="200"/>
        <w:jc w:val="both"/>
        <w:rPr>
          <w:rFonts w:hint="default"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w:t>
      </w:r>
      <w:r>
        <w:rPr>
          <w:rFonts w:hint="default" w:ascii="Times New Roman" w:hAnsi="Times New Roman" w:eastAsia="方正仿宋_GBK" w:cs="Times New Roman"/>
          <w:color w:val="auto"/>
          <w:sz w:val="32"/>
          <w:szCs w:val="24"/>
          <w:highlight w:val="none"/>
          <w:lang w:val="en-US" w:eastAsia="zh-CN"/>
        </w:rPr>
        <w:t>3</w:t>
      </w:r>
      <w:r>
        <w:rPr>
          <w:rFonts w:hint="default" w:ascii="Times New Roman" w:hAnsi="Times New Roman" w:eastAsia="方正仿宋_GBK" w:cs="Times New Roman"/>
          <w:color w:val="auto"/>
          <w:sz w:val="32"/>
          <w:szCs w:val="24"/>
          <w:highlight w:val="none"/>
        </w:rPr>
        <w:t>）</w:t>
      </w:r>
      <w:r>
        <w:rPr>
          <w:rFonts w:hint="default" w:ascii="Times New Roman" w:hAnsi="Times New Roman" w:eastAsia="方正仿宋_GBK" w:cs="Times New Roman"/>
          <w:color w:val="auto"/>
          <w:sz w:val="32"/>
          <w:szCs w:val="24"/>
          <w:highlight w:val="none"/>
          <w:lang w:eastAsia="zh-CN"/>
        </w:rPr>
        <w:t>数据复核准备</w:t>
      </w:r>
      <w:r>
        <w:rPr>
          <w:rFonts w:hint="default" w:ascii="Times New Roman" w:hAnsi="Times New Roman" w:eastAsia="方正仿宋_GBK" w:cs="Times New Roman"/>
          <w:color w:val="auto"/>
          <w:sz w:val="32"/>
          <w:szCs w:val="24"/>
          <w:highlight w:val="none"/>
        </w:rPr>
        <w:t>：医院应当准备所有纳入本轮评审标准涉及的数据目录清单。该清单应当包含每个数据定义、数据源、采集方式、采集时间范畴，采集结果等要素，数据应当有负责部门，有条件的应当设置汇总部门。对于计算所得的数据，应当有可追溯的原始数据。</w:t>
      </w:r>
    </w:p>
    <w:p>
      <w:pPr>
        <w:spacing w:line="54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w:t>
      </w:r>
      <w:r>
        <w:rPr>
          <w:rFonts w:hint="default" w:ascii="Times New Roman" w:hAnsi="Times New Roman" w:eastAsia="方正仿宋_GBK" w:cs="Times New Roman"/>
          <w:color w:val="auto"/>
          <w:sz w:val="32"/>
          <w:szCs w:val="24"/>
          <w:highlight w:val="none"/>
          <w:lang w:val="en-US" w:eastAsia="zh-CN"/>
        </w:rPr>
        <w:t>4</w:t>
      </w:r>
      <w:r>
        <w:rPr>
          <w:rFonts w:hint="default" w:ascii="Times New Roman" w:hAnsi="Times New Roman" w:eastAsia="方正仿宋_GBK" w:cs="Times New Roman"/>
          <w:color w:val="auto"/>
          <w:sz w:val="32"/>
          <w:szCs w:val="24"/>
          <w:highlight w:val="none"/>
        </w:rPr>
        <w:t>）复核结果处理：所有错误数据应按核查后的数据结果再次计算，并根据错误数据占现场复核数据的百分比予以惩罚性扣分，扣除第二部分最后得分比例见下表。</w:t>
      </w:r>
    </w:p>
    <w:tbl>
      <w:tblPr>
        <w:tblStyle w:val="12"/>
        <w:tblW w:w="47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9"/>
        <w:gridCol w:w="4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top"/>
          </w:tcPr>
          <w:p>
            <w:pPr>
              <w:widowControl/>
              <w:spacing w:line="300" w:lineRule="exact"/>
              <w:jc w:val="center"/>
              <w:rPr>
                <w:rFonts w:hint="eastAsia" w:ascii="Times New Roman" w:hAnsi="Times New Roman" w:eastAsia="方正黑体_GBK" w:cs="Times New Roman"/>
                <w:color w:val="auto"/>
                <w:sz w:val="24"/>
                <w:szCs w:val="24"/>
                <w:highlight w:val="none"/>
                <w:lang w:val="en-US" w:eastAsia="zh-CN"/>
              </w:rPr>
            </w:pPr>
            <w:r>
              <w:rPr>
                <w:rFonts w:hint="eastAsia" w:ascii="Times New Roman" w:hAnsi="Times New Roman" w:eastAsia="方正黑体_GBK" w:cs="Times New Roman"/>
                <w:color w:val="auto"/>
                <w:sz w:val="24"/>
                <w:szCs w:val="24"/>
                <w:highlight w:val="none"/>
              </w:rPr>
              <w:t>错误数据比例（%）</w:t>
            </w:r>
          </w:p>
        </w:tc>
        <w:tc>
          <w:tcPr>
            <w:tcW w:w="2500" w:type="pct"/>
            <w:vAlign w:val="top"/>
          </w:tcPr>
          <w:p>
            <w:pPr>
              <w:widowControl/>
              <w:spacing w:line="300" w:lineRule="exact"/>
              <w:jc w:val="center"/>
              <w:rPr>
                <w:rFonts w:hint="eastAsia" w:ascii="Times New Roman" w:hAnsi="Times New Roman" w:eastAsia="方正黑体_GBK" w:cs="Times New Roman"/>
                <w:color w:val="auto"/>
                <w:sz w:val="24"/>
                <w:szCs w:val="24"/>
                <w:highlight w:val="none"/>
                <w:lang w:val="en-US" w:eastAsia="zh-CN"/>
              </w:rPr>
            </w:pPr>
            <w:r>
              <w:rPr>
                <w:rFonts w:hint="eastAsia" w:ascii="Times New Roman" w:hAnsi="Times New Roman" w:eastAsia="方正黑体_GBK" w:cs="Times New Roman"/>
                <w:color w:val="auto"/>
                <w:sz w:val="24"/>
                <w:szCs w:val="24"/>
                <w:highlight w:val="none"/>
              </w:rPr>
              <w:t>处罚扣分比例（%）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top"/>
          </w:tcPr>
          <w:p>
            <w:pPr>
              <w:spacing w:line="480" w:lineRule="exact"/>
              <w:ind w:left="0" w:leftChars="0" w:right="0" w:rightChars="0" w:firstLine="0" w:firstLineChars="0"/>
              <w:jc w:val="center"/>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rPr>
              <w:t>≥1%～≤2%</w:t>
            </w:r>
          </w:p>
        </w:tc>
        <w:tc>
          <w:tcPr>
            <w:tcW w:w="2500" w:type="pct"/>
            <w:vAlign w:val="top"/>
          </w:tcPr>
          <w:p>
            <w:pPr>
              <w:spacing w:line="480" w:lineRule="exact"/>
              <w:ind w:left="0" w:leftChars="0" w:right="0" w:rightChars="0" w:firstLine="0" w:firstLineChars="0"/>
              <w:jc w:val="center"/>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top"/>
          </w:tcPr>
          <w:p>
            <w:pPr>
              <w:spacing w:line="480" w:lineRule="exact"/>
              <w:ind w:left="0" w:leftChars="0" w:right="0" w:rightChars="0" w:firstLine="0" w:firstLineChars="0"/>
              <w:jc w:val="center"/>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rPr>
              <w:t>＞2%～≤5%</w:t>
            </w:r>
          </w:p>
        </w:tc>
        <w:tc>
          <w:tcPr>
            <w:tcW w:w="2500" w:type="pct"/>
            <w:vAlign w:val="top"/>
          </w:tcPr>
          <w:p>
            <w:pPr>
              <w:spacing w:line="480" w:lineRule="exact"/>
              <w:ind w:left="0" w:leftChars="0" w:right="0" w:rightChars="0" w:firstLine="0" w:firstLineChars="0"/>
              <w:jc w:val="center"/>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top"/>
          </w:tcPr>
          <w:p>
            <w:pPr>
              <w:spacing w:line="480" w:lineRule="exact"/>
              <w:ind w:left="0" w:leftChars="0" w:right="0" w:rightChars="0" w:firstLine="0" w:firstLineChars="0"/>
              <w:jc w:val="center"/>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rPr>
              <w:t>＞5%～≤10%</w:t>
            </w:r>
          </w:p>
        </w:tc>
        <w:tc>
          <w:tcPr>
            <w:tcW w:w="2500" w:type="pct"/>
            <w:vAlign w:val="top"/>
          </w:tcPr>
          <w:p>
            <w:pPr>
              <w:spacing w:line="480" w:lineRule="exact"/>
              <w:ind w:left="0" w:leftChars="0" w:right="0" w:rightChars="0" w:firstLine="0" w:firstLineChars="0"/>
              <w:jc w:val="center"/>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top"/>
          </w:tcPr>
          <w:p>
            <w:pPr>
              <w:spacing w:line="480" w:lineRule="exact"/>
              <w:ind w:left="0" w:leftChars="0" w:right="0" w:rightChars="0" w:firstLine="0" w:firstLineChars="0"/>
              <w:jc w:val="center"/>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rPr>
              <w:t>＞10%</w:t>
            </w:r>
          </w:p>
        </w:tc>
        <w:tc>
          <w:tcPr>
            <w:tcW w:w="2500" w:type="pct"/>
            <w:vAlign w:val="top"/>
          </w:tcPr>
          <w:p>
            <w:pPr>
              <w:spacing w:line="480" w:lineRule="exact"/>
              <w:ind w:left="0" w:leftChars="0" w:right="0" w:rightChars="0" w:firstLine="0" w:firstLineChars="0"/>
              <w:jc w:val="center"/>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rPr>
              <w:t>不予通过</w:t>
            </w:r>
          </w:p>
        </w:tc>
      </w:tr>
    </w:tbl>
    <w:p>
      <w:pPr>
        <w:spacing w:line="500" w:lineRule="exact"/>
        <w:ind w:firstLine="624" w:firstLineChars="200"/>
        <w:jc w:val="both"/>
        <w:rPr>
          <w:rFonts w:hint="default" w:ascii="Times New Roman" w:hAnsi="Times New Roman" w:eastAsia="方正仿宋_GBK" w:cs="Times New Roman"/>
          <w:color w:val="auto"/>
          <w:sz w:val="32"/>
          <w:szCs w:val="24"/>
          <w:highlight w:val="none"/>
          <w:lang w:val="en-US" w:eastAsia="zh-CN"/>
        </w:rPr>
      </w:pPr>
      <w:r>
        <w:rPr>
          <w:rFonts w:hint="default" w:ascii="Times New Roman" w:hAnsi="Times New Roman" w:eastAsia="方正仿宋_GBK" w:cs="Times New Roman"/>
          <w:color w:val="auto"/>
          <w:sz w:val="32"/>
          <w:szCs w:val="24"/>
          <w:highlight w:val="none"/>
          <w:lang w:val="en-US" w:eastAsia="zh-CN"/>
        </w:rPr>
        <w:t>8.数据管理</w:t>
      </w:r>
    </w:p>
    <w:p>
      <w:pPr>
        <w:spacing w:line="50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数据实行动态管理。</w:t>
      </w:r>
      <w:r>
        <w:rPr>
          <w:rFonts w:ascii="Times New Roman" w:hAnsi="Times New Roman" w:eastAsia="方正仿宋_GBK" w:cs="Times New Roman"/>
          <w:color w:val="auto"/>
          <w:sz w:val="32"/>
          <w:szCs w:val="24"/>
          <w:highlight w:val="none"/>
        </w:rPr>
        <w:t>三级甲等医院每年三月底前完成上一年数据填报，以保证数据库的</w:t>
      </w:r>
      <w:r>
        <w:rPr>
          <w:rFonts w:hint="default" w:ascii="Times New Roman" w:hAnsi="Times New Roman" w:eastAsia="方正仿宋_GBK" w:cs="Times New Roman"/>
          <w:color w:val="auto"/>
          <w:sz w:val="32"/>
          <w:szCs w:val="24"/>
          <w:highlight w:val="none"/>
        </w:rPr>
        <w:t>及时</w:t>
      </w:r>
      <w:r>
        <w:rPr>
          <w:rFonts w:ascii="Times New Roman" w:hAnsi="Times New Roman" w:eastAsia="方正仿宋_GBK" w:cs="Times New Roman"/>
          <w:color w:val="auto"/>
          <w:sz w:val="32"/>
          <w:szCs w:val="24"/>
          <w:highlight w:val="none"/>
        </w:rPr>
        <w:t>更新。</w:t>
      </w:r>
    </w:p>
    <w:p>
      <w:pPr>
        <w:spacing w:line="500" w:lineRule="exact"/>
        <w:ind w:firstLine="624" w:firstLineChars="200"/>
        <w:rPr>
          <w:rFonts w:asciiTheme="minorEastAsia" w:hAnsiTheme="minorEastAsia" w:eastAsiaTheme="minorEastAsia"/>
          <w:b/>
          <w:bCs/>
          <w:color w:val="auto"/>
          <w:sz w:val="24"/>
          <w:szCs w:val="24"/>
          <w:highlight w:val="none"/>
        </w:rPr>
      </w:pPr>
      <w:r>
        <w:rPr>
          <w:rFonts w:hint="default" w:ascii="Times New Roman" w:hAnsi="Times New Roman" w:eastAsia="方正黑体_GBK" w:cs="Times New Roman"/>
          <w:b w:val="0"/>
          <w:bCs/>
          <w:color w:val="auto"/>
          <w:sz w:val="32"/>
          <w:szCs w:val="24"/>
          <w:highlight w:val="none"/>
        </w:rPr>
        <w:t>五、评审等次认定</w:t>
      </w:r>
    </w:p>
    <w:p>
      <w:pPr>
        <w:spacing w:line="50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除第一部分外，其余部分评审总分为1000分（第二部分600分，第三部分400分）。判定相应等次必须同时满足以下</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一</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至（二）条件：</w:t>
      </w:r>
    </w:p>
    <w:p>
      <w:pPr>
        <w:spacing w:line="540" w:lineRule="exact"/>
        <w:ind w:firstLine="624" w:firstLineChars="200"/>
        <w:rPr>
          <w:rFonts w:asciiTheme="minorEastAsia" w:hAnsiTheme="minorEastAsia" w:eastAsiaTheme="minorEastAsia"/>
          <w:b/>
          <w:bCs/>
          <w:color w:val="auto"/>
          <w:sz w:val="24"/>
          <w:szCs w:val="24"/>
          <w:highlight w:val="none"/>
        </w:rPr>
      </w:pPr>
      <w:r>
        <w:rPr>
          <w:rFonts w:hint="default" w:ascii="Times New Roman" w:hAnsi="Times New Roman" w:eastAsia="方正楷体_GBK" w:cs="Times New Roman"/>
          <w:b w:val="0"/>
          <w:bCs/>
          <w:color w:val="auto"/>
          <w:sz w:val="32"/>
          <w:szCs w:val="24"/>
          <w:highlight w:val="none"/>
        </w:rPr>
        <w:t>（一）第二部分评价</w:t>
      </w:r>
    </w:p>
    <w:tbl>
      <w:tblPr>
        <w:tblStyle w:val="13"/>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1800"/>
        <w:gridCol w:w="1605"/>
        <w:gridCol w:w="1932"/>
        <w:gridCol w:w="1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vMerge w:val="restart"/>
            <w:vAlign w:val="center"/>
          </w:tcPr>
          <w:p>
            <w:pPr>
              <w:spacing w:line="300" w:lineRule="exact"/>
              <w:ind w:firstLine="0" w:firstLineChars="0"/>
              <w:jc w:val="center"/>
              <w:rPr>
                <w:rFonts w:ascii="宋体" w:hAnsi="宋体" w:eastAsia="宋体" w:cs="仿宋_GB2312"/>
                <w:color w:val="auto"/>
                <w:sz w:val="24"/>
                <w:szCs w:val="24"/>
                <w:highlight w:val="none"/>
              </w:rPr>
            </w:pPr>
            <w:r>
              <w:rPr>
                <w:rFonts w:hint="default" w:ascii="Times New Roman" w:hAnsi="Times New Roman" w:eastAsia="方正黑体_GBK" w:cs="Times New Roman"/>
                <w:color w:val="auto"/>
                <w:sz w:val="24"/>
                <w:szCs w:val="24"/>
                <w:highlight w:val="none"/>
              </w:rPr>
              <w:t>项目类别</w:t>
            </w:r>
          </w:p>
        </w:tc>
        <w:tc>
          <w:tcPr>
            <w:tcW w:w="5337" w:type="dxa"/>
            <w:gridSpan w:val="3"/>
            <w:vAlign w:val="center"/>
          </w:tcPr>
          <w:p>
            <w:pPr>
              <w:spacing w:line="300" w:lineRule="exact"/>
              <w:ind w:firstLine="0" w:firstLineChars="0"/>
              <w:jc w:val="center"/>
              <w:rPr>
                <w:rFonts w:hint="eastAsia" w:asciiTheme="minorEastAsia" w:hAnsiTheme="minorEastAsia" w:eastAsiaTheme="minorEastAsia"/>
                <w:color w:val="auto"/>
                <w:sz w:val="24"/>
                <w:szCs w:val="24"/>
                <w:highlight w:val="none"/>
              </w:rPr>
            </w:pPr>
            <w:r>
              <w:rPr>
                <w:rFonts w:hint="default" w:ascii="Times New Roman" w:hAnsi="Times New Roman" w:eastAsia="方正黑体_GBK" w:cs="Times New Roman"/>
                <w:color w:val="auto"/>
                <w:sz w:val="24"/>
                <w:szCs w:val="24"/>
                <w:highlight w:val="none"/>
              </w:rPr>
              <w:t>第一章至第四章</w:t>
            </w:r>
          </w:p>
        </w:tc>
        <w:tc>
          <w:tcPr>
            <w:tcW w:w="1658" w:type="dxa"/>
            <w:vMerge w:val="restart"/>
            <w:vAlign w:val="center"/>
          </w:tcPr>
          <w:p>
            <w:pPr>
              <w:spacing w:line="300" w:lineRule="exact"/>
              <w:ind w:firstLine="0" w:firstLineChars="0"/>
              <w:jc w:val="center"/>
              <w:rPr>
                <w:rFonts w:hint="default" w:asciiTheme="minorEastAsia" w:hAnsiTheme="minorEastAsia" w:eastAsiaTheme="minorEastAsia"/>
                <w:color w:val="auto"/>
                <w:sz w:val="24"/>
                <w:szCs w:val="24"/>
                <w:highlight w:val="none"/>
                <w:lang w:val="en-US" w:eastAsia="zh-CN"/>
              </w:rPr>
            </w:pPr>
            <w:r>
              <w:rPr>
                <w:rFonts w:hint="default" w:ascii="Times New Roman" w:hAnsi="Times New Roman" w:eastAsia="方正仿宋_GBK" w:cs="Times New Roman"/>
                <w:b/>
                <w:bCs/>
                <w:color w:val="auto"/>
                <w:sz w:val="24"/>
                <w:szCs w:val="24"/>
                <w:highlight w:val="none"/>
              </w:rPr>
              <w:t>第五章重点医疗技术开展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vMerge w:val="continue"/>
            <w:vAlign w:val="center"/>
          </w:tcPr>
          <w:p>
            <w:pPr>
              <w:spacing w:line="300" w:lineRule="exact"/>
              <w:jc w:val="center"/>
              <w:rPr>
                <w:rFonts w:asciiTheme="minorEastAsia" w:hAnsiTheme="minorEastAsia" w:eastAsiaTheme="minorEastAsia"/>
                <w:color w:val="auto"/>
                <w:sz w:val="24"/>
                <w:szCs w:val="24"/>
                <w:highlight w:val="none"/>
              </w:rPr>
            </w:pPr>
          </w:p>
        </w:tc>
        <w:tc>
          <w:tcPr>
            <w:tcW w:w="1800" w:type="dxa"/>
            <w:vAlign w:val="center"/>
          </w:tcPr>
          <w:p>
            <w:pPr>
              <w:spacing w:line="300" w:lineRule="exact"/>
              <w:ind w:firstLine="0" w:firstLineChars="0"/>
              <w:jc w:val="center"/>
              <w:rPr>
                <w:rFonts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评为</w:t>
            </w:r>
            <w:r>
              <w:rPr>
                <w:rFonts w:ascii="Times New Roman" w:hAnsi="Times New Roman" w:eastAsia="方正仿宋_GBK" w:cs="Times New Roman"/>
                <w:color w:val="auto"/>
                <w:sz w:val="24"/>
                <w:szCs w:val="24"/>
                <w:highlight w:val="none"/>
              </w:rPr>
              <w:t>C或C以上指标数占总</w:t>
            </w:r>
            <w:r>
              <w:rPr>
                <w:rFonts w:hint="default" w:ascii="Times New Roman" w:hAnsi="Times New Roman" w:eastAsia="方正仿宋_GBK" w:cs="Times New Roman"/>
                <w:color w:val="auto"/>
                <w:sz w:val="24"/>
                <w:szCs w:val="24"/>
                <w:highlight w:val="none"/>
              </w:rPr>
              <w:t>评价指标数比例</w:t>
            </w:r>
          </w:p>
        </w:tc>
        <w:tc>
          <w:tcPr>
            <w:tcW w:w="1605" w:type="dxa"/>
            <w:vAlign w:val="center"/>
          </w:tcPr>
          <w:p>
            <w:pPr>
              <w:spacing w:line="300" w:lineRule="exact"/>
              <w:ind w:firstLine="0" w:firstLineChars="0"/>
              <w:jc w:val="center"/>
              <w:rPr>
                <w:rFonts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评为</w:t>
            </w:r>
            <w:r>
              <w:rPr>
                <w:rFonts w:ascii="Times New Roman" w:hAnsi="Times New Roman" w:eastAsia="方正仿宋_GBK" w:cs="Times New Roman"/>
                <w:color w:val="auto"/>
                <w:sz w:val="24"/>
                <w:szCs w:val="24"/>
                <w:highlight w:val="none"/>
              </w:rPr>
              <w:t>A的指标数</w:t>
            </w:r>
            <w:r>
              <w:rPr>
                <w:rFonts w:hint="default" w:ascii="Times New Roman" w:hAnsi="Times New Roman" w:eastAsia="方正仿宋_GBK" w:cs="Times New Roman"/>
                <w:color w:val="auto"/>
                <w:sz w:val="24"/>
                <w:szCs w:val="24"/>
                <w:highlight w:val="none"/>
              </w:rPr>
              <w:t>占总评价指标数比例</w:t>
            </w:r>
          </w:p>
        </w:tc>
        <w:tc>
          <w:tcPr>
            <w:tcW w:w="1932" w:type="dxa"/>
            <w:vAlign w:val="center"/>
          </w:tcPr>
          <w:p>
            <w:pPr>
              <w:spacing w:line="300" w:lineRule="exact"/>
              <w:ind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eastAsia="zh-CN"/>
              </w:rPr>
              <w:t>科研项目数量</w:t>
            </w:r>
            <w:r>
              <w:rPr>
                <w:rFonts w:hint="default" w:ascii="Times New Roman" w:hAnsi="Times New Roman" w:eastAsia="方正仿宋_GBK" w:cs="Times New Roman"/>
                <w:color w:val="auto"/>
                <w:sz w:val="24"/>
                <w:szCs w:val="24"/>
                <w:highlight w:val="none"/>
                <w:lang w:val="en-US" w:eastAsia="zh-CN"/>
              </w:rPr>
              <w:t>指标和</w:t>
            </w:r>
            <w:r>
              <w:rPr>
                <w:rFonts w:hint="default" w:ascii="Times New Roman" w:hAnsi="Times New Roman" w:eastAsia="方正仿宋_GBK" w:cs="Times New Roman"/>
                <w:color w:val="auto"/>
                <w:sz w:val="24"/>
                <w:szCs w:val="24"/>
                <w:highlight w:val="none"/>
                <w:lang w:eastAsia="zh-CN"/>
              </w:rPr>
              <w:t>重点专科数量</w:t>
            </w:r>
            <w:r>
              <w:rPr>
                <w:rFonts w:hint="default" w:ascii="Times New Roman" w:hAnsi="Times New Roman" w:eastAsia="方正仿宋_GBK" w:cs="Times New Roman"/>
                <w:color w:val="auto"/>
                <w:sz w:val="24"/>
                <w:szCs w:val="24"/>
                <w:highlight w:val="none"/>
                <w:lang w:val="en-US" w:eastAsia="zh-CN"/>
              </w:rPr>
              <w:t>指标</w:t>
            </w:r>
          </w:p>
        </w:tc>
        <w:tc>
          <w:tcPr>
            <w:tcW w:w="1658" w:type="dxa"/>
            <w:vMerge w:val="continue"/>
            <w:vAlign w:val="center"/>
          </w:tcPr>
          <w:p>
            <w:pPr>
              <w:spacing w:line="300" w:lineRule="exact"/>
              <w:jc w:val="center"/>
              <w:rPr>
                <w:rFonts w:asciiTheme="minorEastAsia" w:hAnsiTheme="minorEastAsia"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vAlign w:val="center"/>
          </w:tcPr>
          <w:p>
            <w:pPr>
              <w:spacing w:line="300" w:lineRule="exact"/>
              <w:ind w:firstLine="0" w:firstLineChars="0"/>
              <w:jc w:val="center"/>
              <w:rPr>
                <w:rFonts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甲等</w:t>
            </w:r>
          </w:p>
        </w:tc>
        <w:tc>
          <w:tcPr>
            <w:tcW w:w="1800" w:type="dxa"/>
            <w:vAlign w:val="center"/>
          </w:tcPr>
          <w:p>
            <w:pPr>
              <w:spacing w:line="300" w:lineRule="exact"/>
              <w:ind w:firstLine="0" w:firstLineChars="0"/>
              <w:jc w:val="center"/>
              <w:rPr>
                <w:rFonts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≥9</w:t>
            </w:r>
            <w:r>
              <w:rPr>
                <w:rFonts w:ascii="Times New Roman" w:hAnsi="Times New Roman" w:eastAsia="方正仿宋_GBK" w:cs="Times New Roman"/>
                <w:color w:val="auto"/>
                <w:sz w:val="24"/>
                <w:szCs w:val="24"/>
                <w:highlight w:val="none"/>
              </w:rPr>
              <w:t>0</w:t>
            </w:r>
            <w:r>
              <w:rPr>
                <w:rFonts w:hint="default" w:ascii="Times New Roman" w:hAnsi="Times New Roman" w:eastAsia="方正仿宋_GBK" w:cs="Times New Roman"/>
                <w:color w:val="auto"/>
                <w:sz w:val="24"/>
                <w:szCs w:val="24"/>
                <w:highlight w:val="none"/>
              </w:rPr>
              <w:t>%</w:t>
            </w:r>
          </w:p>
        </w:tc>
        <w:tc>
          <w:tcPr>
            <w:tcW w:w="1605" w:type="dxa"/>
            <w:vAlign w:val="center"/>
          </w:tcPr>
          <w:p>
            <w:pPr>
              <w:spacing w:line="300" w:lineRule="exact"/>
              <w:ind w:firstLine="0" w:firstLineChars="0"/>
              <w:jc w:val="center"/>
              <w:rPr>
                <w:rFonts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≥20%</w:t>
            </w:r>
          </w:p>
        </w:tc>
        <w:tc>
          <w:tcPr>
            <w:tcW w:w="1932" w:type="dxa"/>
            <w:vAlign w:val="center"/>
          </w:tcPr>
          <w:p>
            <w:pPr>
              <w:spacing w:line="300" w:lineRule="exact"/>
              <w:ind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达标2项</w:t>
            </w:r>
          </w:p>
        </w:tc>
        <w:tc>
          <w:tcPr>
            <w:tcW w:w="1658" w:type="dxa"/>
            <w:vAlign w:val="center"/>
          </w:tcPr>
          <w:p>
            <w:pPr>
              <w:spacing w:line="300" w:lineRule="exact"/>
              <w:ind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vAlign w:val="center"/>
          </w:tcPr>
          <w:p>
            <w:pPr>
              <w:spacing w:line="300" w:lineRule="exact"/>
              <w:ind w:firstLine="0" w:firstLineChars="0"/>
              <w:jc w:val="center"/>
              <w:rPr>
                <w:rFonts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乙等</w:t>
            </w:r>
          </w:p>
        </w:tc>
        <w:tc>
          <w:tcPr>
            <w:tcW w:w="1800" w:type="dxa"/>
            <w:vAlign w:val="center"/>
          </w:tcPr>
          <w:p>
            <w:pPr>
              <w:spacing w:line="300" w:lineRule="exact"/>
              <w:ind w:firstLine="0" w:firstLineChars="0"/>
              <w:jc w:val="center"/>
              <w:rPr>
                <w:rFonts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≥8</w:t>
            </w:r>
            <w:r>
              <w:rPr>
                <w:rFonts w:ascii="Times New Roman" w:hAnsi="Times New Roman" w:eastAsia="方正仿宋_GBK" w:cs="Times New Roman"/>
                <w:color w:val="auto"/>
                <w:sz w:val="24"/>
                <w:szCs w:val="24"/>
                <w:highlight w:val="none"/>
              </w:rPr>
              <w:t>0</w:t>
            </w:r>
            <w:r>
              <w:rPr>
                <w:rFonts w:hint="default" w:ascii="Times New Roman" w:hAnsi="Times New Roman" w:eastAsia="方正仿宋_GBK" w:cs="Times New Roman"/>
                <w:color w:val="auto"/>
                <w:sz w:val="24"/>
                <w:szCs w:val="24"/>
                <w:highlight w:val="none"/>
              </w:rPr>
              <w:t>%</w:t>
            </w:r>
          </w:p>
        </w:tc>
        <w:tc>
          <w:tcPr>
            <w:tcW w:w="1605" w:type="dxa"/>
            <w:vAlign w:val="center"/>
          </w:tcPr>
          <w:p>
            <w:pPr>
              <w:spacing w:line="300" w:lineRule="exact"/>
              <w:ind w:firstLine="0" w:firstLineChars="0"/>
              <w:jc w:val="center"/>
              <w:rPr>
                <w:rFonts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≥10%</w:t>
            </w:r>
          </w:p>
        </w:tc>
        <w:tc>
          <w:tcPr>
            <w:tcW w:w="1932" w:type="dxa"/>
            <w:vAlign w:val="center"/>
          </w:tcPr>
          <w:p>
            <w:pPr>
              <w:spacing w:line="300" w:lineRule="exact"/>
              <w:ind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eastAsia="zh-CN"/>
              </w:rPr>
              <w:t>达标</w:t>
            </w:r>
            <w:r>
              <w:rPr>
                <w:rFonts w:hint="default" w:ascii="Times New Roman" w:hAnsi="Times New Roman" w:eastAsia="方正仿宋_GBK" w:cs="Times New Roman"/>
                <w:color w:val="auto"/>
                <w:sz w:val="24"/>
                <w:szCs w:val="24"/>
                <w:highlight w:val="none"/>
                <w:lang w:val="en-US" w:eastAsia="zh-CN"/>
              </w:rPr>
              <w:t>1项</w:t>
            </w:r>
          </w:p>
        </w:tc>
        <w:tc>
          <w:tcPr>
            <w:tcW w:w="1658" w:type="dxa"/>
            <w:vAlign w:val="center"/>
          </w:tcPr>
          <w:p>
            <w:pPr>
              <w:spacing w:line="300" w:lineRule="exact"/>
              <w:ind w:firstLine="0" w:firstLineChars="0"/>
              <w:jc w:val="center"/>
              <w:rPr>
                <w:rFonts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≥1项</w:t>
            </w:r>
          </w:p>
        </w:tc>
      </w:tr>
    </w:tbl>
    <w:p>
      <w:pPr>
        <w:spacing w:line="50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第二部分理论赋值满分=总指标数量×10，第二部分实际得分=（N</w:t>
      </w:r>
      <w:r>
        <w:rPr>
          <w:rFonts w:hint="default" w:ascii="Times New Roman" w:hAnsi="Times New Roman" w:eastAsia="方正仿宋_GBK" w:cs="Times New Roman"/>
          <w:color w:val="auto"/>
          <w:sz w:val="32"/>
          <w:szCs w:val="24"/>
          <w:highlight w:val="none"/>
          <w:vertAlign w:val="subscript"/>
        </w:rPr>
        <w:t>A</w:t>
      </w:r>
      <w:r>
        <w:rPr>
          <w:rFonts w:hint="default" w:ascii="Times New Roman" w:hAnsi="Times New Roman" w:eastAsia="方正仿宋_GBK" w:cs="Times New Roman"/>
          <w:color w:val="auto"/>
          <w:sz w:val="32"/>
          <w:szCs w:val="24"/>
          <w:highlight w:val="none"/>
        </w:rPr>
        <w:t>×10+N</w:t>
      </w:r>
      <w:r>
        <w:rPr>
          <w:rFonts w:hint="default" w:ascii="Times New Roman" w:hAnsi="Times New Roman" w:eastAsia="方正仿宋_GBK" w:cs="Times New Roman"/>
          <w:color w:val="auto"/>
          <w:sz w:val="32"/>
          <w:szCs w:val="24"/>
          <w:highlight w:val="none"/>
          <w:vertAlign w:val="subscript"/>
        </w:rPr>
        <w:t>B</w:t>
      </w:r>
      <w:r>
        <w:rPr>
          <w:rFonts w:hint="default" w:ascii="Times New Roman" w:hAnsi="Times New Roman" w:eastAsia="方正仿宋_GBK" w:cs="Times New Roman"/>
          <w:color w:val="auto"/>
          <w:sz w:val="32"/>
          <w:szCs w:val="24"/>
          <w:highlight w:val="none"/>
        </w:rPr>
        <w:t>×8+ N</w:t>
      </w:r>
      <w:r>
        <w:rPr>
          <w:rFonts w:hint="default" w:ascii="Times New Roman" w:hAnsi="Times New Roman" w:eastAsia="方正仿宋_GBK" w:cs="Times New Roman"/>
          <w:color w:val="auto"/>
          <w:sz w:val="32"/>
          <w:szCs w:val="24"/>
          <w:highlight w:val="none"/>
          <w:vertAlign w:val="subscript"/>
        </w:rPr>
        <w:t>C</w:t>
      </w:r>
      <w:r>
        <w:rPr>
          <w:rFonts w:hint="default" w:ascii="Times New Roman" w:hAnsi="Times New Roman" w:eastAsia="方正仿宋_GBK" w:cs="Times New Roman"/>
          <w:color w:val="auto"/>
          <w:sz w:val="32"/>
          <w:szCs w:val="24"/>
          <w:highlight w:val="none"/>
        </w:rPr>
        <w:t>×6+ N</w:t>
      </w:r>
      <w:r>
        <w:rPr>
          <w:rFonts w:hint="default" w:ascii="Times New Roman" w:hAnsi="Times New Roman" w:eastAsia="方正仿宋_GBK" w:cs="Times New Roman"/>
          <w:color w:val="auto"/>
          <w:sz w:val="32"/>
          <w:szCs w:val="24"/>
          <w:highlight w:val="none"/>
          <w:vertAlign w:val="subscript"/>
        </w:rPr>
        <w:t>D</w:t>
      </w:r>
      <w:r>
        <w:rPr>
          <w:rFonts w:hint="default" w:ascii="Times New Roman" w:hAnsi="Times New Roman" w:eastAsia="方正仿宋_GBK" w:cs="Times New Roman"/>
          <w:color w:val="auto"/>
          <w:sz w:val="32"/>
          <w:szCs w:val="24"/>
          <w:highlight w:val="none"/>
        </w:rPr>
        <w:t>×4）×600/（N×10），其中，N</w:t>
      </w:r>
      <w:r>
        <w:rPr>
          <w:rFonts w:hint="default" w:ascii="Times New Roman" w:hAnsi="Times New Roman" w:eastAsia="方正仿宋_GBK" w:cs="Times New Roman"/>
          <w:color w:val="auto"/>
          <w:sz w:val="32"/>
          <w:szCs w:val="24"/>
          <w:highlight w:val="none"/>
          <w:vertAlign w:val="subscript"/>
        </w:rPr>
        <w:t>A</w:t>
      </w:r>
      <w:r>
        <w:rPr>
          <w:rFonts w:hint="default" w:ascii="Times New Roman" w:hAnsi="Times New Roman" w:eastAsia="方正仿宋_GBK" w:cs="Times New Roman"/>
          <w:color w:val="auto"/>
          <w:sz w:val="32"/>
          <w:szCs w:val="24"/>
          <w:highlight w:val="none"/>
        </w:rPr>
        <w:t>代表评为A的指标数量，N</w:t>
      </w:r>
      <w:r>
        <w:rPr>
          <w:rFonts w:hint="default" w:ascii="Times New Roman" w:hAnsi="Times New Roman" w:eastAsia="方正仿宋_GBK" w:cs="Times New Roman"/>
          <w:color w:val="auto"/>
          <w:sz w:val="32"/>
          <w:szCs w:val="24"/>
          <w:highlight w:val="none"/>
          <w:vertAlign w:val="subscript"/>
        </w:rPr>
        <w:t>B</w:t>
      </w:r>
      <w:r>
        <w:rPr>
          <w:rFonts w:hint="default" w:ascii="Times New Roman" w:hAnsi="Times New Roman" w:eastAsia="方正仿宋_GBK" w:cs="Times New Roman"/>
          <w:color w:val="auto"/>
          <w:sz w:val="32"/>
          <w:szCs w:val="24"/>
          <w:highlight w:val="none"/>
        </w:rPr>
        <w:t>代表评为B的指标数量，N</w:t>
      </w:r>
      <w:r>
        <w:rPr>
          <w:rFonts w:hint="default" w:ascii="Times New Roman" w:hAnsi="Times New Roman" w:eastAsia="方正仿宋_GBK" w:cs="Times New Roman"/>
          <w:color w:val="auto"/>
          <w:sz w:val="32"/>
          <w:szCs w:val="24"/>
          <w:highlight w:val="none"/>
          <w:vertAlign w:val="subscript"/>
        </w:rPr>
        <w:t>C</w:t>
      </w:r>
      <w:r>
        <w:rPr>
          <w:rFonts w:hint="default" w:ascii="Times New Roman" w:hAnsi="Times New Roman" w:eastAsia="方正仿宋_GBK" w:cs="Times New Roman"/>
          <w:color w:val="auto"/>
          <w:sz w:val="32"/>
          <w:szCs w:val="24"/>
          <w:highlight w:val="none"/>
        </w:rPr>
        <w:t>代表评为C的指标数量，N</w:t>
      </w:r>
      <w:r>
        <w:rPr>
          <w:rFonts w:hint="default" w:ascii="Times New Roman" w:hAnsi="Times New Roman" w:eastAsia="方正仿宋_GBK" w:cs="Times New Roman"/>
          <w:color w:val="auto"/>
          <w:sz w:val="32"/>
          <w:szCs w:val="24"/>
          <w:highlight w:val="none"/>
          <w:vertAlign w:val="subscript"/>
        </w:rPr>
        <w:t>D</w:t>
      </w:r>
      <w:r>
        <w:rPr>
          <w:rFonts w:hint="default" w:ascii="Times New Roman" w:hAnsi="Times New Roman" w:eastAsia="方正仿宋_GBK" w:cs="Times New Roman"/>
          <w:color w:val="auto"/>
          <w:sz w:val="32"/>
          <w:szCs w:val="24"/>
          <w:highlight w:val="none"/>
        </w:rPr>
        <w:t>代表评为D的指标数量，N代表第二部分去除观察指标后的总指标数</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备注：</w:t>
      </w:r>
      <w:r>
        <w:rPr>
          <w:rFonts w:hint="default" w:ascii="Times New Roman" w:hAnsi="Times New Roman" w:eastAsia="方正仿宋_GBK" w:cs="Times New Roman"/>
          <w:color w:val="auto"/>
          <w:sz w:val="32"/>
          <w:szCs w:val="24"/>
          <w:highlight w:val="none"/>
          <w:lang w:eastAsia="zh-CN"/>
        </w:rPr>
        <w:t>根据国家标准及我省实施细则更新情况，</w:t>
      </w:r>
      <w:r>
        <w:rPr>
          <w:rFonts w:hint="default" w:ascii="Times New Roman" w:hAnsi="Times New Roman" w:eastAsia="方正仿宋_GBK" w:cs="Times New Roman"/>
          <w:color w:val="auto"/>
          <w:sz w:val="32"/>
          <w:szCs w:val="24"/>
          <w:highlight w:val="none"/>
        </w:rPr>
        <w:t>为兼顾实事求是和持续改进，在本《实施细则》实施的第一个评审周期内三级甲等C或C以上指标占比调整为不低于7</w:t>
      </w:r>
      <w:r>
        <w:rPr>
          <w:rFonts w:hint="default" w:ascii="Times New Roman" w:hAnsi="Times New Roman" w:eastAsia="方正仿宋_GBK" w:cs="Times New Roman"/>
          <w:color w:val="auto"/>
          <w:sz w:val="32"/>
          <w:szCs w:val="24"/>
          <w:highlight w:val="none"/>
          <w:lang w:val="en-US" w:eastAsia="zh-CN"/>
        </w:rPr>
        <w:t>5</w:t>
      </w:r>
      <w:r>
        <w:rPr>
          <w:rFonts w:hint="default" w:ascii="Times New Roman" w:hAnsi="Times New Roman" w:eastAsia="方正仿宋_GBK" w:cs="Times New Roman"/>
          <w:color w:val="auto"/>
          <w:sz w:val="32"/>
          <w:szCs w:val="24"/>
          <w:highlight w:val="none"/>
        </w:rPr>
        <w:t>%，三级乙等C或C以上指标占比调整为不低于6</w:t>
      </w:r>
      <w:r>
        <w:rPr>
          <w:rFonts w:hint="default" w:ascii="Times New Roman" w:hAnsi="Times New Roman" w:eastAsia="方正仿宋_GBK" w:cs="Times New Roman"/>
          <w:color w:val="auto"/>
          <w:sz w:val="32"/>
          <w:szCs w:val="24"/>
          <w:highlight w:val="none"/>
          <w:lang w:val="en-US" w:eastAsia="zh-CN"/>
        </w:rPr>
        <w:t>5</w:t>
      </w:r>
      <w:r>
        <w:rPr>
          <w:rFonts w:hint="default" w:ascii="Times New Roman" w:hAnsi="Times New Roman" w:eastAsia="方正仿宋_GBK" w:cs="Times New Roman"/>
          <w:color w:val="auto"/>
          <w:sz w:val="32"/>
          <w:szCs w:val="24"/>
          <w:highlight w:val="none"/>
        </w:rPr>
        <w:t>%；后续每个评审周期该项占比上调5%，直至三级甲等C或C以上指标不低于90%，三级乙等C或C以上指标不低于80%后不再上调</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w:t>
      </w:r>
    </w:p>
    <w:p>
      <w:pPr>
        <w:spacing w:line="500" w:lineRule="exact"/>
        <w:ind w:firstLine="624" w:firstLineChars="200"/>
        <w:rPr>
          <w:rFonts w:asciiTheme="minorEastAsia" w:hAnsiTheme="minorEastAsia" w:eastAsiaTheme="minorEastAsia"/>
          <w:b/>
          <w:bCs/>
          <w:color w:val="auto"/>
          <w:sz w:val="24"/>
          <w:szCs w:val="24"/>
          <w:highlight w:val="none"/>
        </w:rPr>
      </w:pPr>
      <w:r>
        <w:rPr>
          <w:rFonts w:hint="default" w:ascii="Times New Roman" w:hAnsi="Times New Roman" w:eastAsia="方正楷体_GBK" w:cs="Times New Roman"/>
          <w:b w:val="0"/>
          <w:bCs/>
          <w:color w:val="auto"/>
          <w:sz w:val="32"/>
          <w:szCs w:val="24"/>
          <w:highlight w:val="none"/>
        </w:rPr>
        <w:t>（二）第三部分评价</w:t>
      </w:r>
    </w:p>
    <w:p>
      <w:pPr>
        <w:spacing w:line="500" w:lineRule="exact"/>
        <w:ind w:firstLine="624" w:firstLineChars="200"/>
        <w:jc w:val="both"/>
        <w:rPr>
          <w:rFonts w:asciiTheme="minorEastAsia" w:hAnsiTheme="minorEastAsia" w:eastAsiaTheme="minorEastAsia"/>
          <w:color w:val="auto"/>
          <w:sz w:val="24"/>
          <w:szCs w:val="24"/>
          <w:highlight w:val="none"/>
        </w:rPr>
      </w:pPr>
      <w:r>
        <w:rPr>
          <w:rFonts w:hint="default" w:ascii="Times New Roman" w:hAnsi="Times New Roman" w:eastAsia="方正仿宋_GBK" w:cs="Times New Roman"/>
          <w:color w:val="auto"/>
          <w:sz w:val="32"/>
          <w:szCs w:val="24"/>
          <w:highlight w:val="none"/>
        </w:rPr>
        <w:t>评分说明的制定遵循ＰＤＣＡ循环原理，Ｐ即plan,Ｄ即do，Ｃ即checkＡ即action，通过质量管理计划的制订及组织</w:t>
      </w:r>
      <w:r>
        <w:rPr>
          <w:rFonts w:hint="eastAsia" w:cs="Times New Roman"/>
          <w:color w:val="auto"/>
          <w:sz w:val="32"/>
          <w:szCs w:val="24"/>
          <w:highlight w:val="none"/>
          <w:lang w:val="en-US" w:eastAsia="zh-CN"/>
        </w:rPr>
        <w:t>实施</w:t>
      </w:r>
      <w:r>
        <w:rPr>
          <w:rFonts w:hint="default" w:ascii="Times New Roman" w:hAnsi="Times New Roman" w:eastAsia="方正仿宋_GBK" w:cs="Times New Roman"/>
          <w:color w:val="auto"/>
          <w:sz w:val="32"/>
          <w:szCs w:val="24"/>
          <w:highlight w:val="none"/>
        </w:rPr>
        <w:t>，实现医疗质量和安全的持续改进。</w:t>
      </w:r>
    </w:p>
    <w:p>
      <w:pPr>
        <w:spacing w:line="50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1、评审结果采用A、B、C、D、E五档表达方式。</w:t>
      </w:r>
    </w:p>
    <w:p>
      <w:pPr>
        <w:spacing w:line="50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Ａ-优秀</w:t>
      </w:r>
    </w:p>
    <w:p>
      <w:pPr>
        <w:spacing w:line="50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Ｂ-良好</w:t>
      </w:r>
    </w:p>
    <w:p>
      <w:pPr>
        <w:spacing w:line="50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Ｃ-合格</w:t>
      </w:r>
    </w:p>
    <w:p>
      <w:pPr>
        <w:spacing w:line="50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Ｄ-不合格</w:t>
      </w:r>
    </w:p>
    <w:p>
      <w:pPr>
        <w:spacing w:line="50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Ｅ-不适用，是指卫生健康行政部门根据医院功能任务未批准的项目，或同意不设置的项目。</w:t>
      </w:r>
    </w:p>
    <w:tbl>
      <w:tblPr>
        <w:tblStyle w:val="12"/>
        <w:tblpPr w:leftFromText="180" w:rightFromText="180" w:vertAnchor="text" w:horzAnchor="page" w:tblpX="1610" w:tblpY="267"/>
        <w:tblOverlap w:val="never"/>
        <w:tblW w:w="4997"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53"/>
        <w:gridCol w:w="2782"/>
        <w:gridCol w:w="2319"/>
        <w:gridCol w:w="2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tblCellSpacing w:w="0" w:type="dxa"/>
          <w:jc w:val="center"/>
        </w:trPr>
        <w:tc>
          <w:tcPr>
            <w:tcW w:w="1033"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00" w:lineRule="exact"/>
              <w:ind w:left="0" w:leftChars="0" w:right="0" w:rightChars="0" w:firstLine="0" w:firstLineChars="0"/>
              <w:jc w:val="center"/>
              <w:rPr>
                <w:rFonts w:hint="default" w:ascii="Times New Roman" w:hAnsi="Times New Roman" w:eastAsia="方正黑体_GBK" w:cs="Times New Roman"/>
                <w:color w:val="auto"/>
                <w:sz w:val="24"/>
                <w:szCs w:val="24"/>
                <w:highlight w:val="none"/>
              </w:rPr>
            </w:pPr>
            <w:bookmarkStart w:id="8" w:name="_Hlk75190375"/>
            <w:r>
              <w:rPr>
                <w:rFonts w:hint="default" w:ascii="Times New Roman" w:hAnsi="Times New Roman" w:eastAsia="方正黑体_GBK" w:cs="Times New Roman"/>
                <w:color w:val="auto"/>
                <w:sz w:val="24"/>
                <w:szCs w:val="24"/>
                <w:highlight w:val="none"/>
              </w:rPr>
              <w:t>Ａ</w:t>
            </w:r>
          </w:p>
        </w:tc>
        <w:tc>
          <w:tcPr>
            <w:tcW w:w="1551"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00" w:lineRule="exact"/>
              <w:ind w:left="0" w:leftChars="0" w:right="0" w:rightChars="0" w:firstLine="0" w:firstLineChars="0"/>
              <w:jc w:val="center"/>
              <w:rPr>
                <w:rFonts w:hint="default" w:ascii="Times New Roman" w:hAnsi="Times New Roman" w:eastAsia="方正黑体_GBK" w:cs="Times New Roman"/>
                <w:color w:val="auto"/>
                <w:sz w:val="24"/>
                <w:szCs w:val="24"/>
                <w:highlight w:val="none"/>
              </w:rPr>
            </w:pPr>
            <w:r>
              <w:rPr>
                <w:rFonts w:hint="default" w:ascii="Times New Roman" w:hAnsi="Times New Roman" w:eastAsia="方正黑体_GBK" w:cs="Times New Roman"/>
                <w:color w:val="auto"/>
                <w:sz w:val="24"/>
                <w:szCs w:val="24"/>
                <w:highlight w:val="none"/>
              </w:rPr>
              <w:t>Ｂ</w:t>
            </w:r>
          </w:p>
        </w:tc>
        <w:tc>
          <w:tcPr>
            <w:tcW w:w="1293"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00" w:lineRule="exact"/>
              <w:ind w:left="0" w:leftChars="0" w:right="0" w:rightChars="0" w:firstLine="0" w:firstLineChars="0"/>
              <w:jc w:val="center"/>
              <w:rPr>
                <w:rFonts w:hint="default" w:ascii="Times New Roman" w:hAnsi="Times New Roman" w:eastAsia="方正黑体_GBK" w:cs="Times New Roman"/>
                <w:color w:val="auto"/>
                <w:sz w:val="24"/>
                <w:szCs w:val="24"/>
                <w:highlight w:val="none"/>
              </w:rPr>
            </w:pPr>
            <w:r>
              <w:rPr>
                <w:rFonts w:hint="default" w:ascii="Times New Roman" w:hAnsi="Times New Roman" w:eastAsia="方正黑体_GBK" w:cs="Times New Roman"/>
                <w:color w:val="auto"/>
                <w:sz w:val="24"/>
                <w:szCs w:val="24"/>
                <w:highlight w:val="none"/>
              </w:rPr>
              <w:t>Ｃ</w:t>
            </w:r>
          </w:p>
        </w:tc>
        <w:tc>
          <w:tcPr>
            <w:tcW w:w="1120"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00" w:lineRule="exact"/>
              <w:ind w:left="0" w:leftChars="0" w:right="0" w:rightChars="0" w:firstLine="0" w:firstLineChars="0"/>
              <w:jc w:val="center"/>
              <w:rPr>
                <w:rFonts w:hint="default" w:ascii="Times New Roman" w:hAnsi="Times New Roman" w:eastAsia="方正黑体_GBK" w:cs="Times New Roman"/>
                <w:color w:val="auto"/>
                <w:sz w:val="24"/>
                <w:szCs w:val="24"/>
                <w:highlight w:val="none"/>
              </w:rPr>
            </w:pPr>
            <w:r>
              <w:rPr>
                <w:rFonts w:hint="default" w:ascii="Times New Roman" w:hAnsi="Times New Roman" w:eastAsia="方正黑体_GBK" w:cs="Times New Roman"/>
                <w:color w:val="auto"/>
                <w:sz w:val="24"/>
                <w:szCs w:val="24"/>
                <w:highlight w:val="none"/>
              </w:rPr>
              <w:t>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CellSpacing w:w="0" w:type="dxa"/>
          <w:jc w:val="center"/>
        </w:trPr>
        <w:tc>
          <w:tcPr>
            <w:tcW w:w="1033"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00" w:lineRule="exact"/>
              <w:jc w:val="center"/>
              <w:rPr>
                <w:rFonts w:hint="default" w:ascii="Times New Roman" w:hAnsi="Times New Roman" w:eastAsia="方正黑体_GBK" w:cs="Times New Roman"/>
                <w:color w:val="auto"/>
                <w:sz w:val="24"/>
                <w:szCs w:val="24"/>
                <w:highlight w:val="none"/>
              </w:rPr>
            </w:pPr>
            <w:r>
              <w:rPr>
                <w:rFonts w:hint="default" w:ascii="Times New Roman" w:hAnsi="Times New Roman" w:eastAsia="方正黑体_GBK" w:cs="Times New Roman"/>
                <w:color w:val="auto"/>
                <w:sz w:val="24"/>
                <w:szCs w:val="24"/>
                <w:highlight w:val="none"/>
              </w:rPr>
              <w:t>优秀</w:t>
            </w:r>
          </w:p>
        </w:tc>
        <w:tc>
          <w:tcPr>
            <w:tcW w:w="1551"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00" w:lineRule="exact"/>
              <w:jc w:val="center"/>
              <w:rPr>
                <w:rFonts w:hint="default" w:ascii="Times New Roman" w:hAnsi="Times New Roman" w:eastAsia="方正黑体_GBK" w:cs="Times New Roman"/>
                <w:color w:val="auto"/>
                <w:sz w:val="24"/>
                <w:szCs w:val="24"/>
                <w:highlight w:val="none"/>
              </w:rPr>
            </w:pPr>
            <w:r>
              <w:rPr>
                <w:rFonts w:hint="default" w:ascii="Times New Roman" w:hAnsi="Times New Roman" w:eastAsia="方正黑体_GBK" w:cs="Times New Roman"/>
                <w:color w:val="auto"/>
                <w:sz w:val="24"/>
                <w:szCs w:val="24"/>
                <w:highlight w:val="none"/>
              </w:rPr>
              <w:t>良好</w:t>
            </w:r>
          </w:p>
        </w:tc>
        <w:tc>
          <w:tcPr>
            <w:tcW w:w="1293"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00" w:lineRule="exact"/>
              <w:jc w:val="center"/>
              <w:rPr>
                <w:rFonts w:hint="default" w:ascii="Times New Roman" w:hAnsi="Times New Roman" w:eastAsia="方正黑体_GBK" w:cs="Times New Roman"/>
                <w:color w:val="auto"/>
                <w:sz w:val="24"/>
                <w:szCs w:val="24"/>
                <w:highlight w:val="none"/>
              </w:rPr>
            </w:pPr>
            <w:r>
              <w:rPr>
                <w:rFonts w:hint="default" w:ascii="Times New Roman" w:hAnsi="Times New Roman" w:eastAsia="方正黑体_GBK" w:cs="Times New Roman"/>
                <w:color w:val="auto"/>
                <w:sz w:val="24"/>
                <w:szCs w:val="24"/>
                <w:highlight w:val="none"/>
              </w:rPr>
              <w:t>合格</w:t>
            </w:r>
          </w:p>
        </w:tc>
        <w:tc>
          <w:tcPr>
            <w:tcW w:w="1120"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00" w:lineRule="exact"/>
              <w:jc w:val="center"/>
              <w:rPr>
                <w:rFonts w:hint="default" w:ascii="Times New Roman" w:hAnsi="Times New Roman" w:eastAsia="方正黑体_GBK" w:cs="Times New Roman"/>
                <w:color w:val="auto"/>
                <w:sz w:val="24"/>
                <w:szCs w:val="24"/>
                <w:highlight w:val="none"/>
              </w:rPr>
            </w:pPr>
            <w:r>
              <w:rPr>
                <w:rFonts w:hint="default" w:ascii="Times New Roman" w:hAnsi="Times New Roman" w:eastAsia="方正黑体_GBK" w:cs="Times New Roman"/>
                <w:color w:val="auto"/>
                <w:sz w:val="24"/>
                <w:szCs w:val="24"/>
                <w:highlight w:val="none"/>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7" w:hRule="atLeast"/>
          <w:tblCellSpacing w:w="0" w:type="dxa"/>
          <w:jc w:val="center"/>
        </w:trPr>
        <w:tc>
          <w:tcPr>
            <w:tcW w:w="1033"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完全达到</w:t>
            </w:r>
          </w:p>
        </w:tc>
        <w:tc>
          <w:tcPr>
            <w:tcW w:w="1551"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一般水平以上</w:t>
            </w:r>
          </w:p>
        </w:tc>
        <w:tc>
          <w:tcPr>
            <w:tcW w:w="1293"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一般水平</w:t>
            </w:r>
          </w:p>
        </w:tc>
        <w:tc>
          <w:tcPr>
            <w:tcW w:w="1120"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一般水平以下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2" w:hRule="atLeast"/>
          <w:tblCellSpacing w:w="0" w:type="dxa"/>
          <w:jc w:val="center"/>
        </w:trPr>
        <w:tc>
          <w:tcPr>
            <w:tcW w:w="1033"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有持续改进，成效良好</w:t>
            </w:r>
          </w:p>
        </w:tc>
        <w:tc>
          <w:tcPr>
            <w:tcW w:w="1551"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有监管有结果</w:t>
            </w:r>
          </w:p>
        </w:tc>
        <w:tc>
          <w:tcPr>
            <w:tcW w:w="1293"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有机制且能有效执行</w:t>
            </w:r>
          </w:p>
        </w:tc>
        <w:tc>
          <w:tcPr>
            <w:tcW w:w="1120"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仅有制度或规章或流程，未执行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tblCellSpacing w:w="0" w:type="dxa"/>
          <w:jc w:val="center"/>
        </w:trPr>
        <w:tc>
          <w:tcPr>
            <w:tcW w:w="1033"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ＰＤＣＡ</w:t>
            </w:r>
          </w:p>
        </w:tc>
        <w:tc>
          <w:tcPr>
            <w:tcW w:w="1551"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ＰＤＣ</w:t>
            </w:r>
          </w:p>
        </w:tc>
        <w:tc>
          <w:tcPr>
            <w:tcW w:w="1293"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ＰＤ</w:t>
            </w:r>
          </w:p>
        </w:tc>
        <w:tc>
          <w:tcPr>
            <w:tcW w:w="1120"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仅Ｐ或全无</w:t>
            </w:r>
          </w:p>
        </w:tc>
      </w:tr>
      <w:bookmarkEnd w:id="8"/>
    </w:tbl>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判定原则是要达到</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Ｂ-良好</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档者，必须先符合</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Ｃ-合格</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档的要求，要到</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Ａ-优秀</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，必须先符合</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Ｂ-良好</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档的要求。</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2、标准条款达标要求</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1789"/>
        <w:gridCol w:w="1789"/>
        <w:gridCol w:w="1473"/>
        <w:gridCol w:w="2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vAlign w:val="center"/>
          </w:tcPr>
          <w:p>
            <w:pPr>
              <w:spacing w:line="300" w:lineRule="exact"/>
              <w:ind w:left="0" w:leftChars="0" w:right="0" w:rightChars="0" w:firstLine="0" w:firstLineChars="0"/>
              <w:jc w:val="center"/>
              <w:rPr>
                <w:rFonts w:hint="default" w:ascii="Times New Roman" w:hAnsi="Times New Roman" w:eastAsia="方正黑体_GBK" w:cs="Times New Roman"/>
                <w:color w:val="auto"/>
                <w:sz w:val="24"/>
                <w:szCs w:val="24"/>
                <w:highlight w:val="none"/>
              </w:rPr>
            </w:pPr>
            <w:r>
              <w:rPr>
                <w:rFonts w:hint="default" w:ascii="Times New Roman" w:hAnsi="Times New Roman" w:eastAsia="方正黑体_GBK" w:cs="Times New Roman"/>
                <w:color w:val="auto"/>
                <w:sz w:val="24"/>
                <w:szCs w:val="24"/>
                <w:highlight w:val="none"/>
              </w:rPr>
              <w:t>项目类别</w:t>
            </w:r>
          </w:p>
        </w:tc>
        <w:tc>
          <w:tcPr>
            <w:tcW w:w="1000" w:type="pct"/>
            <w:vAlign w:val="center"/>
          </w:tcPr>
          <w:p>
            <w:pPr>
              <w:spacing w:line="300" w:lineRule="exact"/>
              <w:ind w:left="0" w:leftChars="0" w:right="0" w:rightChars="0" w:firstLine="0" w:firstLineChars="0"/>
              <w:jc w:val="center"/>
              <w:rPr>
                <w:rFonts w:hint="default" w:ascii="Times New Roman" w:hAnsi="Times New Roman" w:eastAsia="方正黑体_GBK" w:cs="Times New Roman"/>
                <w:color w:val="auto"/>
                <w:sz w:val="24"/>
                <w:szCs w:val="24"/>
                <w:highlight w:val="none"/>
              </w:rPr>
            </w:pPr>
            <w:r>
              <w:rPr>
                <w:rFonts w:hint="default" w:ascii="Times New Roman" w:hAnsi="Times New Roman" w:eastAsia="方正黑体_GBK" w:cs="Times New Roman"/>
                <w:color w:val="auto"/>
                <w:sz w:val="24"/>
                <w:szCs w:val="24"/>
                <w:highlight w:val="none"/>
              </w:rPr>
              <w:t>评为C或C以上条款数占总指标数比例</w:t>
            </w:r>
          </w:p>
        </w:tc>
        <w:tc>
          <w:tcPr>
            <w:tcW w:w="1000" w:type="pct"/>
            <w:vAlign w:val="center"/>
          </w:tcPr>
          <w:p>
            <w:pPr>
              <w:spacing w:line="300" w:lineRule="exact"/>
              <w:ind w:left="0" w:leftChars="0" w:right="0" w:rightChars="0" w:firstLine="0" w:firstLineChars="0"/>
              <w:jc w:val="center"/>
              <w:rPr>
                <w:rFonts w:hint="default" w:ascii="Times New Roman" w:hAnsi="Times New Roman" w:eastAsia="方正黑体_GBK" w:cs="Times New Roman"/>
                <w:color w:val="auto"/>
                <w:sz w:val="24"/>
                <w:szCs w:val="24"/>
                <w:highlight w:val="none"/>
              </w:rPr>
            </w:pPr>
            <w:r>
              <w:rPr>
                <w:rFonts w:hint="default" w:ascii="Times New Roman" w:hAnsi="Times New Roman" w:eastAsia="方正黑体_GBK" w:cs="Times New Roman"/>
                <w:color w:val="auto"/>
                <w:sz w:val="24"/>
                <w:szCs w:val="24"/>
                <w:highlight w:val="none"/>
              </w:rPr>
              <w:t>评为B或B以上条款数占总指标数比例</w:t>
            </w:r>
          </w:p>
        </w:tc>
        <w:tc>
          <w:tcPr>
            <w:tcW w:w="823" w:type="pct"/>
            <w:vAlign w:val="center"/>
          </w:tcPr>
          <w:p>
            <w:pPr>
              <w:spacing w:line="300" w:lineRule="exact"/>
              <w:ind w:left="0" w:leftChars="0" w:right="0" w:rightChars="0" w:firstLine="0" w:firstLineChars="0"/>
              <w:jc w:val="center"/>
              <w:rPr>
                <w:rFonts w:hint="default" w:ascii="Times New Roman" w:hAnsi="Times New Roman" w:eastAsia="方正黑体_GBK" w:cs="Times New Roman"/>
                <w:color w:val="auto"/>
                <w:sz w:val="24"/>
                <w:szCs w:val="24"/>
                <w:highlight w:val="none"/>
              </w:rPr>
            </w:pPr>
            <w:r>
              <w:rPr>
                <w:rFonts w:hint="default" w:ascii="Times New Roman" w:hAnsi="Times New Roman" w:eastAsia="方正黑体_GBK" w:cs="Times New Roman"/>
                <w:color w:val="auto"/>
                <w:sz w:val="24"/>
                <w:szCs w:val="24"/>
                <w:highlight w:val="none"/>
              </w:rPr>
              <w:t>评为A的条款数占总指标数比例</w:t>
            </w:r>
          </w:p>
        </w:tc>
        <w:tc>
          <w:tcPr>
            <w:tcW w:w="1647" w:type="pct"/>
            <w:vAlign w:val="center"/>
          </w:tcPr>
          <w:p>
            <w:pPr>
              <w:spacing w:line="300" w:lineRule="exact"/>
              <w:ind w:left="0" w:leftChars="0" w:right="0" w:rightChars="0" w:firstLine="0" w:firstLineChars="0"/>
              <w:jc w:val="center"/>
              <w:rPr>
                <w:rFonts w:hint="default" w:ascii="Times New Roman" w:hAnsi="Times New Roman" w:eastAsia="方正黑体_GBK" w:cs="Times New Roman"/>
                <w:color w:val="auto"/>
                <w:sz w:val="24"/>
                <w:szCs w:val="24"/>
                <w:highlight w:val="none"/>
                <w:lang w:val="en-US" w:eastAsia="zh-CN"/>
              </w:rPr>
            </w:pPr>
            <w:r>
              <w:rPr>
                <w:rFonts w:hint="default" w:ascii="Times New Roman" w:hAnsi="Times New Roman" w:eastAsia="方正黑体_GBK" w:cs="Times New Roman"/>
                <w:color w:val="auto"/>
                <w:sz w:val="24"/>
                <w:szCs w:val="24"/>
                <w:highlight w:val="none"/>
                <w:lang w:val="en-US" w:eastAsia="zh-CN"/>
              </w:rPr>
              <w:t>关键技术开展占目录总数比例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vAlign w:val="center"/>
          </w:tcPr>
          <w:p>
            <w:pPr>
              <w:spacing w:line="320" w:lineRule="exact"/>
              <w:ind w:left="0" w:leftChars="0" w:right="0" w:rightChars="0" w:firstLine="0" w:firstLineChars="0"/>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甲等</w:t>
            </w:r>
          </w:p>
        </w:tc>
        <w:tc>
          <w:tcPr>
            <w:tcW w:w="1000" w:type="pct"/>
            <w:vAlign w:val="center"/>
          </w:tcPr>
          <w:p>
            <w:pPr>
              <w:spacing w:line="320" w:lineRule="exact"/>
              <w:ind w:left="0" w:leftChars="0" w:right="0" w:rightChars="0" w:firstLine="0" w:firstLineChars="0"/>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≥90%</w:t>
            </w:r>
          </w:p>
        </w:tc>
        <w:tc>
          <w:tcPr>
            <w:tcW w:w="1000" w:type="pct"/>
            <w:vAlign w:val="center"/>
          </w:tcPr>
          <w:p>
            <w:pPr>
              <w:spacing w:line="320" w:lineRule="exact"/>
              <w:ind w:left="0" w:leftChars="0" w:right="0" w:righ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rPr>
              <w:t>≥60%</w:t>
            </w:r>
          </w:p>
        </w:tc>
        <w:tc>
          <w:tcPr>
            <w:tcW w:w="823" w:type="pct"/>
            <w:vAlign w:val="center"/>
          </w:tcPr>
          <w:p>
            <w:pPr>
              <w:spacing w:line="320" w:lineRule="exact"/>
              <w:ind w:left="0" w:leftChars="0" w:right="0" w:rightChars="0" w:firstLine="0" w:firstLineChars="0"/>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≥20%</w:t>
            </w:r>
          </w:p>
        </w:tc>
        <w:tc>
          <w:tcPr>
            <w:tcW w:w="1647" w:type="pct"/>
            <w:vAlign w:val="center"/>
          </w:tcPr>
          <w:p>
            <w:pPr>
              <w:spacing w:line="320" w:lineRule="exact"/>
              <w:ind w:left="0" w:leftChars="0" w:right="0" w:righ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rPr>
              <w:t>≥</w:t>
            </w:r>
            <w:r>
              <w:rPr>
                <w:rFonts w:hint="default" w:ascii="Times New Roman" w:hAnsi="Times New Roman" w:eastAsia="方正仿宋_GBK" w:cs="Times New Roman"/>
                <w:color w:val="auto"/>
                <w:sz w:val="24"/>
                <w:szCs w:val="24"/>
                <w:highlight w:val="none"/>
                <w:lang w:val="en-US" w:eastAsia="zh-CN"/>
              </w:rPr>
              <w:t>85%，其中甲等必备技术全部开展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vAlign w:val="center"/>
          </w:tcPr>
          <w:p>
            <w:pPr>
              <w:spacing w:line="320" w:lineRule="exact"/>
              <w:ind w:left="0" w:leftChars="0" w:right="0" w:rightChars="0" w:firstLine="0" w:firstLineChars="0"/>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乙等</w:t>
            </w:r>
          </w:p>
        </w:tc>
        <w:tc>
          <w:tcPr>
            <w:tcW w:w="1000" w:type="pct"/>
            <w:vAlign w:val="center"/>
          </w:tcPr>
          <w:p>
            <w:pPr>
              <w:spacing w:line="320" w:lineRule="exact"/>
              <w:ind w:left="0" w:leftChars="0" w:right="0" w:rightChars="0" w:firstLine="0" w:firstLineChars="0"/>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≥80%</w:t>
            </w:r>
          </w:p>
        </w:tc>
        <w:tc>
          <w:tcPr>
            <w:tcW w:w="1000" w:type="pct"/>
            <w:vAlign w:val="center"/>
          </w:tcPr>
          <w:p>
            <w:pPr>
              <w:spacing w:line="320" w:lineRule="exact"/>
              <w:ind w:left="0" w:leftChars="0" w:right="0" w:righ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rPr>
              <w:t>≥50%</w:t>
            </w:r>
          </w:p>
        </w:tc>
        <w:tc>
          <w:tcPr>
            <w:tcW w:w="823" w:type="pct"/>
            <w:vAlign w:val="center"/>
          </w:tcPr>
          <w:p>
            <w:pPr>
              <w:spacing w:line="320" w:lineRule="exact"/>
              <w:ind w:left="0" w:leftChars="0" w:right="0" w:rightChars="0" w:firstLine="0" w:firstLineChars="0"/>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≥10%</w:t>
            </w:r>
          </w:p>
        </w:tc>
        <w:tc>
          <w:tcPr>
            <w:tcW w:w="1647" w:type="pct"/>
            <w:vAlign w:val="center"/>
          </w:tcPr>
          <w:p>
            <w:pPr>
              <w:spacing w:line="320" w:lineRule="exact"/>
              <w:ind w:left="0" w:leftChars="0" w:right="0" w:righ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rPr>
              <w:t>≥</w:t>
            </w:r>
            <w:r>
              <w:rPr>
                <w:rFonts w:hint="default" w:ascii="Times New Roman" w:hAnsi="Times New Roman" w:eastAsia="方正仿宋_GBK" w:cs="Times New Roman"/>
                <w:color w:val="auto"/>
                <w:sz w:val="24"/>
                <w:szCs w:val="24"/>
                <w:highlight w:val="none"/>
                <w:lang w:val="en-US" w:eastAsia="zh-CN"/>
              </w:rPr>
              <w:t>75%，其中乙等必备技术全部开展</w:t>
            </w:r>
          </w:p>
        </w:tc>
      </w:tr>
    </w:tbl>
    <w:p>
      <w:pPr>
        <w:spacing w:line="560" w:lineRule="exact"/>
        <w:ind w:firstLine="624" w:firstLineChars="200"/>
        <w:jc w:val="both"/>
        <w:rPr>
          <w:rFonts w:hint="default" w:ascii="Times New Roman" w:hAnsi="Times New Roman" w:eastAsia="方正仿宋_GBK" w:cs="Times New Roman"/>
          <w:color w:val="auto"/>
          <w:sz w:val="32"/>
          <w:szCs w:val="24"/>
          <w:highlight w:val="none"/>
          <w:lang w:eastAsia="zh-CN"/>
        </w:rPr>
      </w:pPr>
      <w:r>
        <w:rPr>
          <w:rFonts w:hint="default" w:ascii="Times New Roman" w:hAnsi="Times New Roman" w:eastAsia="方正仿宋_GBK" w:cs="Times New Roman"/>
          <w:color w:val="auto"/>
          <w:sz w:val="32"/>
          <w:szCs w:val="24"/>
          <w:highlight w:val="none"/>
        </w:rPr>
        <w:t>第三部分理论赋值满分=总条款数量×10，第三部分实际得分=（N</w:t>
      </w:r>
      <w:r>
        <w:rPr>
          <w:rFonts w:hint="default" w:ascii="Times New Roman" w:hAnsi="Times New Roman" w:eastAsia="方正仿宋_GBK" w:cs="Times New Roman"/>
          <w:color w:val="auto"/>
          <w:sz w:val="32"/>
          <w:szCs w:val="24"/>
          <w:highlight w:val="none"/>
          <w:vertAlign w:val="subscript"/>
        </w:rPr>
        <w:t>A</w:t>
      </w:r>
      <w:r>
        <w:rPr>
          <w:rFonts w:hint="default" w:ascii="Times New Roman" w:hAnsi="Times New Roman" w:eastAsia="方正仿宋_GBK" w:cs="Times New Roman"/>
          <w:color w:val="auto"/>
          <w:sz w:val="32"/>
          <w:szCs w:val="24"/>
          <w:highlight w:val="none"/>
        </w:rPr>
        <w:t>×10+N</w:t>
      </w:r>
      <w:r>
        <w:rPr>
          <w:rFonts w:hint="default" w:ascii="Times New Roman" w:hAnsi="Times New Roman" w:eastAsia="方正仿宋_GBK" w:cs="Times New Roman"/>
          <w:color w:val="auto"/>
          <w:sz w:val="32"/>
          <w:szCs w:val="24"/>
          <w:highlight w:val="none"/>
          <w:vertAlign w:val="subscript"/>
        </w:rPr>
        <w:t>B</w:t>
      </w:r>
      <w:r>
        <w:rPr>
          <w:rFonts w:hint="default" w:ascii="Times New Roman" w:hAnsi="Times New Roman" w:eastAsia="方正仿宋_GBK" w:cs="Times New Roman"/>
          <w:color w:val="auto"/>
          <w:sz w:val="32"/>
          <w:szCs w:val="24"/>
          <w:highlight w:val="none"/>
        </w:rPr>
        <w:t>×8+N</w:t>
      </w:r>
      <w:r>
        <w:rPr>
          <w:rFonts w:hint="default" w:ascii="Times New Roman" w:hAnsi="Times New Roman" w:eastAsia="方正仿宋_GBK" w:cs="Times New Roman"/>
          <w:color w:val="auto"/>
          <w:sz w:val="32"/>
          <w:szCs w:val="24"/>
          <w:highlight w:val="none"/>
          <w:vertAlign w:val="subscript"/>
        </w:rPr>
        <w:t>C</w:t>
      </w:r>
      <w:r>
        <w:rPr>
          <w:rFonts w:hint="default" w:ascii="Times New Roman" w:hAnsi="Times New Roman" w:eastAsia="方正仿宋_GBK" w:cs="Times New Roman"/>
          <w:color w:val="auto"/>
          <w:sz w:val="32"/>
          <w:szCs w:val="24"/>
          <w:highlight w:val="none"/>
        </w:rPr>
        <w:t>×6+ N</w:t>
      </w:r>
      <w:r>
        <w:rPr>
          <w:rFonts w:hint="default" w:ascii="Times New Roman" w:hAnsi="Times New Roman" w:eastAsia="方正仿宋_GBK" w:cs="Times New Roman"/>
          <w:color w:val="auto"/>
          <w:sz w:val="32"/>
          <w:szCs w:val="24"/>
          <w:highlight w:val="none"/>
          <w:vertAlign w:val="subscript"/>
        </w:rPr>
        <w:t>D</w:t>
      </w:r>
      <w:r>
        <w:rPr>
          <w:rFonts w:hint="default" w:ascii="Times New Roman" w:hAnsi="Times New Roman" w:eastAsia="方正仿宋_GBK" w:cs="Times New Roman"/>
          <w:color w:val="auto"/>
          <w:sz w:val="32"/>
          <w:szCs w:val="24"/>
          <w:highlight w:val="none"/>
        </w:rPr>
        <w:t>×4）×400/（N×10），其中，N</w:t>
      </w:r>
      <w:r>
        <w:rPr>
          <w:rFonts w:hint="default" w:ascii="Times New Roman" w:hAnsi="Times New Roman" w:eastAsia="方正仿宋_GBK" w:cs="Times New Roman"/>
          <w:color w:val="auto"/>
          <w:sz w:val="32"/>
          <w:szCs w:val="24"/>
          <w:highlight w:val="none"/>
          <w:vertAlign w:val="subscript"/>
        </w:rPr>
        <w:t>A</w:t>
      </w:r>
      <w:r>
        <w:rPr>
          <w:rFonts w:hint="default" w:ascii="Times New Roman" w:hAnsi="Times New Roman" w:eastAsia="方正仿宋_GBK" w:cs="Times New Roman"/>
          <w:color w:val="auto"/>
          <w:sz w:val="32"/>
          <w:szCs w:val="24"/>
          <w:highlight w:val="none"/>
        </w:rPr>
        <w:t>代表评为A的条款数量，N</w:t>
      </w:r>
      <w:r>
        <w:rPr>
          <w:rFonts w:hint="default" w:ascii="Times New Roman" w:hAnsi="Times New Roman" w:eastAsia="方正仿宋_GBK" w:cs="Times New Roman"/>
          <w:color w:val="auto"/>
          <w:sz w:val="32"/>
          <w:szCs w:val="24"/>
          <w:highlight w:val="none"/>
          <w:vertAlign w:val="subscript"/>
        </w:rPr>
        <w:t>B</w:t>
      </w:r>
      <w:r>
        <w:rPr>
          <w:rFonts w:hint="default" w:ascii="Times New Roman" w:hAnsi="Times New Roman" w:eastAsia="方正仿宋_GBK" w:cs="Times New Roman"/>
          <w:color w:val="auto"/>
          <w:sz w:val="32"/>
          <w:szCs w:val="24"/>
          <w:highlight w:val="none"/>
        </w:rPr>
        <w:t>代表评为B的条款数量，N</w:t>
      </w:r>
      <w:r>
        <w:rPr>
          <w:rFonts w:hint="default" w:ascii="Times New Roman" w:hAnsi="Times New Roman" w:eastAsia="方正仿宋_GBK" w:cs="Times New Roman"/>
          <w:color w:val="auto"/>
          <w:sz w:val="32"/>
          <w:szCs w:val="24"/>
          <w:highlight w:val="none"/>
          <w:vertAlign w:val="subscript"/>
        </w:rPr>
        <w:t>C</w:t>
      </w:r>
      <w:r>
        <w:rPr>
          <w:rFonts w:hint="default" w:ascii="Times New Roman" w:hAnsi="Times New Roman" w:eastAsia="方正仿宋_GBK" w:cs="Times New Roman"/>
          <w:color w:val="auto"/>
          <w:sz w:val="32"/>
          <w:szCs w:val="24"/>
          <w:highlight w:val="none"/>
        </w:rPr>
        <w:t>代表评为C的条款数量，N</w:t>
      </w:r>
      <w:r>
        <w:rPr>
          <w:rFonts w:hint="default" w:ascii="Times New Roman" w:hAnsi="Times New Roman" w:eastAsia="方正仿宋_GBK" w:cs="Times New Roman"/>
          <w:color w:val="auto"/>
          <w:sz w:val="32"/>
          <w:szCs w:val="24"/>
          <w:highlight w:val="none"/>
          <w:vertAlign w:val="subscript"/>
        </w:rPr>
        <w:t>D</w:t>
      </w:r>
      <w:r>
        <w:rPr>
          <w:rFonts w:hint="default" w:ascii="Times New Roman" w:hAnsi="Times New Roman" w:eastAsia="方正仿宋_GBK" w:cs="Times New Roman"/>
          <w:color w:val="auto"/>
          <w:sz w:val="32"/>
          <w:szCs w:val="24"/>
          <w:highlight w:val="none"/>
        </w:rPr>
        <w:t>代表评为D的条款数量，N代表第三部分总条款数（不包括不适用条款）</w:t>
      </w:r>
      <w:r>
        <w:rPr>
          <w:rFonts w:hint="default" w:ascii="Times New Roman" w:hAnsi="Times New Roman" w:eastAsia="方正仿宋_GBK" w:cs="Times New Roman"/>
          <w:color w:val="auto"/>
          <w:sz w:val="32"/>
          <w:szCs w:val="24"/>
          <w:highlight w:val="none"/>
          <w:lang w:eastAsia="zh-CN"/>
        </w:rPr>
        <w:t>。</w:t>
      </w:r>
    </w:p>
    <w:p>
      <w:pPr>
        <w:spacing w:line="560" w:lineRule="exact"/>
        <w:ind w:firstLine="624" w:firstLineChars="200"/>
        <w:jc w:val="both"/>
        <w:rPr>
          <w:rFonts w:hint="default" w:ascii="Times New Roman" w:hAnsi="Times New Roman" w:eastAsia="方正仿宋_GBK" w:cs="Times New Roman"/>
          <w:color w:val="auto"/>
          <w:sz w:val="32"/>
          <w:szCs w:val="24"/>
          <w:highlight w:val="none"/>
          <w:lang w:val="en-US" w:eastAsia="zh-CN"/>
        </w:rPr>
      </w:pPr>
      <w:r>
        <w:rPr>
          <w:rFonts w:hint="default" w:ascii="Times New Roman" w:hAnsi="Times New Roman" w:eastAsia="方正仿宋_GBK" w:cs="Times New Roman"/>
          <w:color w:val="auto"/>
          <w:sz w:val="32"/>
          <w:szCs w:val="24"/>
          <w:highlight w:val="none"/>
          <w:lang w:val="en-US" w:eastAsia="zh-CN"/>
        </w:rPr>
        <w:t>关键技术及必备技术需医疗机构对照关键技术目录</w:t>
      </w:r>
      <w:r>
        <w:rPr>
          <w:rFonts w:hint="eastAsia" w:cs="Times New Roman"/>
          <w:color w:val="auto"/>
          <w:sz w:val="32"/>
          <w:szCs w:val="24"/>
          <w:highlight w:val="none"/>
          <w:lang w:val="en-US" w:eastAsia="zh-CN"/>
        </w:rPr>
        <w:t>（</w:t>
      </w:r>
      <w:r>
        <w:rPr>
          <w:rFonts w:hint="default" w:ascii="Times New Roman" w:hAnsi="Times New Roman" w:eastAsia="方正仿宋_GBK" w:cs="Times New Roman"/>
          <w:color w:val="auto"/>
          <w:sz w:val="32"/>
          <w:szCs w:val="24"/>
          <w:highlight w:val="none"/>
          <w:lang w:val="en-US" w:eastAsia="zh-CN"/>
        </w:rPr>
        <w:t>附件2）提供本机构可开展的项目清单</w:t>
      </w:r>
      <w:r>
        <w:rPr>
          <w:rFonts w:hint="default" w:ascii="Times New Roman" w:hAnsi="Times New Roman" w:eastAsia="方正仿宋_GBK" w:cs="Times New Roman"/>
          <w:color w:val="auto"/>
          <w:sz w:val="32"/>
          <w:szCs w:val="24"/>
          <w:highlight w:val="none"/>
        </w:rPr>
        <w:t>。</w:t>
      </w:r>
      <w:r>
        <w:rPr>
          <w:rFonts w:hint="default" w:ascii="Times New Roman" w:hAnsi="Times New Roman" w:eastAsia="方正仿宋_GBK" w:cs="Times New Roman"/>
          <w:color w:val="auto"/>
          <w:sz w:val="32"/>
          <w:szCs w:val="24"/>
          <w:highlight w:val="none"/>
          <w:lang w:val="en-US" w:eastAsia="zh-CN"/>
        </w:rPr>
        <w:t>现场检查对照清单抽取项目核查，若任一项目不符合要求则本次评审不予通过。</w:t>
      </w:r>
    </w:p>
    <w:p>
      <w:pPr>
        <w:spacing w:line="560" w:lineRule="exact"/>
        <w:ind w:firstLine="624" w:firstLineChars="200"/>
        <w:rPr>
          <w:rFonts w:asciiTheme="minorEastAsia" w:hAnsiTheme="minorEastAsia" w:eastAsiaTheme="minorEastAsia"/>
          <w:b/>
          <w:bCs/>
          <w:color w:val="auto"/>
          <w:sz w:val="24"/>
          <w:szCs w:val="24"/>
          <w:highlight w:val="none"/>
        </w:rPr>
      </w:pPr>
      <w:r>
        <w:rPr>
          <w:rFonts w:hint="default" w:ascii="Times New Roman" w:hAnsi="Times New Roman" w:eastAsia="方正黑体_GBK" w:cs="Times New Roman"/>
          <w:b w:val="0"/>
          <w:bCs/>
          <w:color w:val="auto"/>
          <w:sz w:val="32"/>
          <w:szCs w:val="24"/>
          <w:highlight w:val="none"/>
        </w:rPr>
        <w:t>六、三级专科医院评审</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（一）三级专科医院评审按此《实施细则》执行，不另行制定实施细则。</w:t>
      </w:r>
    </w:p>
    <w:p>
      <w:pPr>
        <w:spacing w:line="560" w:lineRule="exact"/>
        <w:ind w:firstLine="624" w:firstLineChars="200"/>
        <w:jc w:val="both"/>
        <w:rPr>
          <w:rFonts w:hint="default"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（二）</w:t>
      </w:r>
      <w:r>
        <w:rPr>
          <w:rFonts w:hint="default" w:ascii="Times New Roman" w:hAnsi="Times New Roman" w:eastAsia="方正仿宋_GBK" w:cs="Times New Roman"/>
          <w:color w:val="auto"/>
          <w:sz w:val="32"/>
          <w:szCs w:val="24"/>
          <w:highlight w:val="none"/>
          <w:lang w:val="en-US" w:eastAsia="zh-CN"/>
        </w:rPr>
        <w:t>专科医院重点医疗技术开展情况：第二部分重点医疗技术在专科医院执业范围内，达到三级甲等专科医院标准</w:t>
      </w:r>
      <w:r>
        <w:rPr>
          <w:rFonts w:hint="eastAsia" w:cs="Times New Roman"/>
          <w:color w:val="auto"/>
          <w:sz w:val="32"/>
          <w:szCs w:val="24"/>
          <w:highlight w:val="none"/>
          <w:lang w:val="en-US" w:eastAsia="zh-CN"/>
        </w:rPr>
        <w:t>，</w:t>
      </w:r>
      <w:r>
        <w:rPr>
          <w:rFonts w:hint="default" w:ascii="Times New Roman" w:hAnsi="Times New Roman" w:eastAsia="方正仿宋_GBK" w:cs="Times New Roman"/>
          <w:color w:val="auto"/>
          <w:sz w:val="32"/>
          <w:szCs w:val="24"/>
          <w:highlight w:val="none"/>
          <w:lang w:val="en-US" w:eastAsia="zh-CN"/>
        </w:rPr>
        <w:t>要求重点技术开展数量不少于1项；若所列重点医疗技术均超出专科医院执业范围，则对重点医疗技术数量不做要求。第二、第</w:t>
      </w:r>
      <w:r>
        <w:rPr>
          <w:rFonts w:hint="default" w:ascii="Times New Roman" w:hAnsi="Times New Roman" w:eastAsia="方正仿宋_GBK" w:cs="Times New Roman"/>
          <w:color w:val="auto"/>
          <w:sz w:val="32"/>
          <w:szCs w:val="24"/>
          <w:highlight w:val="none"/>
        </w:rPr>
        <w:t>三部分</w:t>
      </w:r>
      <w:r>
        <w:rPr>
          <w:rFonts w:hint="default" w:ascii="Times New Roman" w:hAnsi="Times New Roman" w:eastAsia="方正仿宋_GBK" w:cs="Times New Roman"/>
          <w:color w:val="auto"/>
          <w:sz w:val="32"/>
          <w:szCs w:val="24"/>
          <w:highlight w:val="none"/>
          <w:lang w:val="en-US" w:eastAsia="zh-CN"/>
        </w:rPr>
        <w:t>其他</w:t>
      </w:r>
      <w:r>
        <w:rPr>
          <w:rFonts w:hint="default" w:ascii="Times New Roman" w:hAnsi="Times New Roman" w:eastAsia="方正仿宋_GBK" w:cs="Times New Roman"/>
          <w:color w:val="auto"/>
          <w:sz w:val="32"/>
          <w:szCs w:val="24"/>
          <w:highlight w:val="none"/>
        </w:rPr>
        <w:t>相关条款不在专科医院执业范围或不符合专科医院设置要求，作为</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不适用条款</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w:t>
      </w:r>
    </w:p>
    <w:p>
      <w:pPr>
        <w:spacing w:line="560" w:lineRule="exact"/>
        <w:ind w:firstLine="624" w:firstLineChars="200"/>
        <w:jc w:val="both"/>
        <w:rPr>
          <w:rFonts w:hint="default"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三）本《实施细则》第二部分第三章《重点专业质量控制指标》中增设了专科医院（含胸科医院、儿童医院、妇产医院、肿瘤医院、口腔医院、传染病医院、精神病医院、眼科医院、康复医院等）重点质量控制指标（精神病医院指标名称为患者安全和权益保障），作为专科医院增加指</w:t>
      </w:r>
      <w:r>
        <w:rPr>
          <w:rFonts w:hint="default" w:ascii="Times New Roman" w:hAnsi="Times New Roman" w:eastAsia="方正仿宋_GBK" w:cs="Times New Roman"/>
          <w:color w:val="auto"/>
          <w:sz w:val="32"/>
          <w:szCs w:val="24"/>
          <w:highlight w:val="none"/>
          <w:lang w:val="en-US" w:eastAsia="zh-CN"/>
        </w:rPr>
        <w:t>标</w:t>
      </w:r>
      <w:r>
        <w:rPr>
          <w:rFonts w:hint="default" w:ascii="Times New Roman" w:hAnsi="Times New Roman" w:eastAsia="方正仿宋_GBK"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lang w:val="en-US" w:eastAsia="zh-CN"/>
        </w:rPr>
        <w:t>列出了相适应的专科医院重点病种（术种）</w:t>
      </w:r>
      <w:r>
        <w:rPr>
          <w:rFonts w:hint="default" w:ascii="Times New Roman" w:hAnsi="Times New Roman" w:eastAsia="方正仿宋_GBK" w:cs="Times New Roman"/>
          <w:color w:val="auto"/>
          <w:sz w:val="32"/>
          <w:szCs w:val="24"/>
          <w:highlight w:val="none"/>
        </w:rPr>
        <w:t>目录（见附件2）</w:t>
      </w:r>
      <w:r>
        <w:rPr>
          <w:rFonts w:hint="default" w:ascii="Times New Roman" w:hAnsi="Times New Roman" w:eastAsia="方正仿宋_GBK" w:cs="Times New Roman"/>
          <w:color w:val="auto"/>
          <w:sz w:val="32"/>
          <w:szCs w:val="24"/>
          <w:highlight w:val="none"/>
          <w:lang w:val="en-US" w:eastAsia="zh-CN"/>
        </w:rPr>
        <w:t>替代第二部分第四章——单病种（术种）考核模块中国家所列病种（术种）</w:t>
      </w:r>
      <w:r>
        <w:rPr>
          <w:rFonts w:hint="default" w:ascii="Times New Roman" w:hAnsi="Times New Roman" w:eastAsia="方正仿宋_GBK" w:cs="Times New Roman"/>
          <w:color w:val="auto"/>
          <w:sz w:val="32"/>
          <w:szCs w:val="24"/>
          <w:highlight w:val="none"/>
        </w:rPr>
        <w:t>，供相关专科医院评审使用。</w:t>
      </w:r>
    </w:p>
    <w:p>
      <w:pPr>
        <w:spacing w:line="560" w:lineRule="exact"/>
        <w:ind w:firstLine="624" w:firstLineChars="200"/>
        <w:jc w:val="both"/>
        <w:rPr>
          <w:rFonts w:hint="eastAsia" w:asciiTheme="minorEastAsia" w:hAnsiTheme="minorEastAsia" w:eastAsiaTheme="minorEastAsia"/>
          <w:color w:val="auto"/>
          <w:sz w:val="24"/>
          <w:szCs w:val="24"/>
          <w:highlight w:val="none"/>
          <w:lang w:eastAsia="zh-CN"/>
        </w:rPr>
      </w:pPr>
      <w:r>
        <w:rPr>
          <w:rFonts w:hint="default" w:ascii="Times New Roman" w:hAnsi="Times New Roman" w:eastAsia="方正仿宋_GBK" w:cs="Times New Roman"/>
          <w:color w:val="auto"/>
          <w:sz w:val="32"/>
          <w:szCs w:val="24"/>
          <w:highlight w:val="none"/>
          <w:lang w:eastAsia="zh-CN"/>
        </w:rPr>
        <w:t>（四）第三部分现场检查中</w:t>
      </w:r>
      <w:r>
        <w:rPr>
          <w:rFonts w:hint="default" w:ascii="Times New Roman" w:hAnsi="Times New Roman" w:eastAsia="方正仿宋_GBK" w:cs="Times New Roman"/>
          <w:color w:val="auto"/>
          <w:sz w:val="32"/>
          <w:szCs w:val="24"/>
          <w:highlight w:val="none"/>
          <w:lang w:val="en-US" w:eastAsia="zh-CN"/>
        </w:rPr>
        <w:t>关键技术及必备技术条款作为</w:t>
      </w:r>
      <w:r>
        <w:rPr>
          <w:rFonts w:hint="eastAsia" w:cs="Times New Roman"/>
          <w:color w:val="auto"/>
          <w:sz w:val="32"/>
          <w:szCs w:val="24"/>
          <w:highlight w:val="none"/>
          <w:lang w:val="en-US" w:eastAsia="zh-CN"/>
        </w:rPr>
        <w:t>“</w:t>
      </w:r>
      <w:r>
        <w:rPr>
          <w:rFonts w:hint="default" w:ascii="Times New Roman" w:hAnsi="Times New Roman" w:eastAsia="方正仿宋_GBK" w:cs="Times New Roman"/>
          <w:color w:val="auto"/>
          <w:sz w:val="32"/>
          <w:szCs w:val="24"/>
          <w:highlight w:val="none"/>
          <w:lang w:val="en-US" w:eastAsia="zh-CN"/>
        </w:rPr>
        <w:t>不适用条款</w:t>
      </w:r>
      <w:r>
        <w:rPr>
          <w:rFonts w:hint="eastAsia" w:cs="Times New Roman"/>
          <w:color w:val="auto"/>
          <w:sz w:val="32"/>
          <w:szCs w:val="24"/>
          <w:highlight w:val="none"/>
          <w:lang w:val="en-US" w:eastAsia="zh-CN"/>
        </w:rPr>
        <w:t>”</w:t>
      </w:r>
      <w:r>
        <w:rPr>
          <w:rFonts w:hint="default" w:ascii="Times New Roman" w:hAnsi="Times New Roman" w:eastAsia="方正仿宋_GBK" w:cs="Times New Roman"/>
          <w:color w:val="auto"/>
          <w:sz w:val="32"/>
          <w:szCs w:val="24"/>
          <w:highlight w:val="none"/>
          <w:lang w:val="en-US" w:eastAsia="zh-CN"/>
        </w:rPr>
        <w:t>。</w:t>
      </w:r>
    </w:p>
    <w:p>
      <w:pPr>
        <w:spacing w:line="560" w:lineRule="exact"/>
        <w:ind w:firstLine="624" w:firstLineChars="200"/>
        <w:rPr>
          <w:rFonts w:asciiTheme="minorEastAsia" w:hAnsiTheme="minorEastAsia" w:eastAsiaTheme="minorEastAsia"/>
          <w:b/>
          <w:bCs/>
          <w:color w:val="auto"/>
          <w:sz w:val="24"/>
          <w:szCs w:val="24"/>
          <w:highlight w:val="none"/>
        </w:rPr>
      </w:pPr>
      <w:r>
        <w:rPr>
          <w:rFonts w:hint="default" w:ascii="Times New Roman" w:hAnsi="Times New Roman" w:eastAsia="方正黑体_GBK" w:cs="Times New Roman"/>
          <w:b w:val="0"/>
          <w:bCs/>
          <w:color w:val="auto"/>
          <w:sz w:val="32"/>
          <w:szCs w:val="24"/>
          <w:highlight w:val="none"/>
        </w:rPr>
        <w:t>七、三级社会办医院评审</w:t>
      </w:r>
    </w:p>
    <w:p>
      <w:pPr>
        <w:spacing w:line="560" w:lineRule="exact"/>
        <w:ind w:firstLine="624" w:firstLineChars="200"/>
        <w:jc w:val="both"/>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24"/>
          <w:highlight w:val="none"/>
        </w:rPr>
        <w:t>按此《实施细则》执行，不另行制定实施细则。因所有制形式差异等与公立医院不同部分的条款，作为</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不适用条款</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w:t>
      </w:r>
      <w:bookmarkStart w:id="9" w:name="_Toc13548"/>
      <w:bookmarkStart w:id="10" w:name="_Toc32011"/>
      <w:bookmarkStart w:id="11" w:name="_Toc9871"/>
      <w:bookmarkStart w:id="12" w:name="_Toc11787"/>
      <w:bookmarkStart w:id="13" w:name="_Toc2795"/>
      <w:bookmarkStart w:id="14" w:name="_Toc31058"/>
      <w:bookmarkStart w:id="15" w:name="_Toc6900"/>
      <w:bookmarkStart w:id="16" w:name="_Toc665"/>
      <w:bookmarkStart w:id="17" w:name="_Toc29198"/>
    </w:p>
    <w:p>
      <w:pPr>
        <w:rPr>
          <w:rFonts w:hint="eastAsia"/>
          <w:color w:val="auto"/>
          <w:highlight w:val="none"/>
        </w:rPr>
      </w:pPr>
    </w:p>
    <w:p>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pPr>
        <w:pStyle w:val="2"/>
        <w:spacing w:before="0" w:after="0" w:line="240" w:lineRule="auto"/>
        <w:jc w:val="center"/>
        <w:rPr>
          <w:rFonts w:ascii="宋体" w:hAnsi="宋体" w:eastAsia="宋体" w:cs="宋体"/>
          <w:color w:val="auto"/>
          <w:szCs w:val="32"/>
          <w:highlight w:val="none"/>
        </w:rPr>
      </w:pPr>
      <w:bookmarkStart w:id="18" w:name="_Toc29827"/>
      <w:r>
        <w:rPr>
          <w:rFonts w:hint="eastAsia"/>
        </w:rPr>
        <w:t>第一部分 前置要求</w:t>
      </w:r>
      <w:bookmarkEnd w:id="9"/>
      <w:bookmarkEnd w:id="10"/>
      <w:bookmarkEnd w:id="11"/>
      <w:bookmarkEnd w:id="12"/>
      <w:bookmarkEnd w:id="13"/>
      <w:bookmarkEnd w:id="14"/>
      <w:bookmarkEnd w:id="15"/>
      <w:bookmarkEnd w:id="16"/>
      <w:bookmarkEnd w:id="17"/>
      <w:bookmarkEnd w:id="18"/>
    </w:p>
    <w:p>
      <w:pPr>
        <w:pStyle w:val="3"/>
        <w:spacing w:line="560" w:lineRule="exact"/>
        <w:ind w:firstLine="624" w:firstLineChars="200"/>
        <w:jc w:val="left"/>
        <w:rPr>
          <w:rFonts w:asciiTheme="minorEastAsia" w:hAnsiTheme="minorEastAsia" w:eastAsiaTheme="minorEastAsia"/>
          <w:color w:val="auto"/>
          <w:szCs w:val="24"/>
          <w:highlight w:val="none"/>
        </w:rPr>
      </w:pPr>
      <w:bookmarkStart w:id="19" w:name="_Toc11263"/>
      <w:bookmarkStart w:id="20" w:name="_Toc30749"/>
      <w:bookmarkStart w:id="21" w:name="_Toc23326"/>
      <w:bookmarkStart w:id="22" w:name="_Toc19598"/>
      <w:bookmarkStart w:id="23" w:name="_Toc31902"/>
      <w:bookmarkStart w:id="24" w:name="_Toc28827"/>
      <w:bookmarkStart w:id="25" w:name="_Toc29847"/>
      <w:bookmarkStart w:id="26" w:name="_Toc31824"/>
      <w:bookmarkStart w:id="27" w:name="_Toc4746"/>
      <w:bookmarkStart w:id="28" w:name="_Toc19922"/>
      <w:r>
        <w:rPr>
          <w:rFonts w:ascii="Times New Roman" w:hAnsi="Times New Roman" w:eastAsia="方正黑体_GBK" w:cs="Times New Roman"/>
          <w:color w:val="auto"/>
          <w:sz w:val="32"/>
          <w:szCs w:val="32"/>
          <w:highlight w:val="none"/>
        </w:rPr>
        <w:t>一、依法设置与执业</w:t>
      </w:r>
      <w:bookmarkEnd w:id="19"/>
      <w:bookmarkEnd w:id="20"/>
      <w:bookmarkEnd w:id="21"/>
      <w:bookmarkEnd w:id="22"/>
      <w:bookmarkEnd w:id="23"/>
      <w:bookmarkEnd w:id="24"/>
      <w:bookmarkEnd w:id="25"/>
      <w:bookmarkEnd w:id="26"/>
      <w:bookmarkEnd w:id="27"/>
      <w:bookmarkEnd w:id="28"/>
    </w:p>
    <w:p>
      <w:pPr>
        <w:spacing w:line="560" w:lineRule="exact"/>
        <w:ind w:firstLine="624" w:firstLineChars="200"/>
        <w:jc w:val="both"/>
        <w:rPr>
          <w:rFonts w:hint="default"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（一）医院规模和基本设置未达到《医疗机构管理条例》《医疗机构基本标准（试行）》所要求的医院标准。</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lang w:val="en-US" w:eastAsia="zh-CN"/>
        </w:rPr>
        <w:t>二）</w:t>
      </w:r>
      <w:r>
        <w:rPr>
          <w:rFonts w:hint="default" w:ascii="Times New Roman" w:hAnsi="Times New Roman" w:eastAsia="方正仿宋_GBK" w:cs="Times New Roman"/>
          <w:color w:val="auto"/>
          <w:sz w:val="32"/>
          <w:szCs w:val="24"/>
          <w:highlight w:val="none"/>
        </w:rPr>
        <w:t>违反《中华人民共和国基本医疗卫生与健康促进法》《医疗机构管理条例》，伪造、变造、买卖、出租、出借《医疗机构执业许可证》；医院命名不符合《医疗机构管理条例实施细则》等有关规定，未按时校验、拒不校验或有暂缓校验记录，擅自变更诊疗科目或有诊疗活动超出诊疗科目登记范围；政府举办的医疗卫生机构与其他组织投资设立非独立法人资格的医疗卫生机构，与社会资本合作举办营利性医疗卫生机构；医疗卫生机构对外出租、承包医疗科室；公立医院承包、出租药房，向营利性企业托管药房，以任何形式开设营利性药店；非营利性医疗卫生机构向出资人、举办者分配或变相分配收益。</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 xml:space="preserve">（三）违反《中华人民共和国医师法》《医疗机构管理条例》《护士条例》，使用非卫生技术人员从事医疗卫生技术工作。 </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 xml:space="preserve">（四）违反《中华人民共和国药品管理法》《医疗器械监督管理条例》，违法违规采购或使用药品、设备、器械、耗材开展诊疗活动，造成严重后果；未经许可配置使用需要准入审批的大型医用设备。 </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 xml:space="preserve">（五）违反《中华人民共和国母婴保健法》，未取得母婴保健技术服务执业许可证开展相关母婴保健技术。 </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（六）违反《人体器官移植条例》，买卖人体器官或者从事与买卖人体器官有关的活动，未经许可开展人体器官获取与移植技术。</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 xml:space="preserve">（七）违反《中华人民共和国献血法》，非法采集血液，非法组织他人出卖血液，出售无偿献血的血液。 </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（八）违反《中华人民共和国传染病防治法》</w:t>
      </w:r>
      <w:r>
        <w:rPr>
          <w:rFonts w:hint="default" w:ascii="Times New Roman" w:hAnsi="Times New Roman" w:eastAsia="方正仿宋_GBK" w:cs="Times New Roman"/>
          <w:b w:val="0"/>
          <w:bCs w:val="0"/>
          <w:color w:val="auto"/>
          <w:sz w:val="32"/>
          <w:szCs w:val="24"/>
          <w:highlight w:val="none"/>
          <w:lang w:val="en-US" w:eastAsia="zh-CN"/>
        </w:rPr>
        <w:t>《中华人民共和国生物安全法》</w:t>
      </w:r>
      <w:r>
        <w:rPr>
          <w:rFonts w:hint="default" w:ascii="Times New Roman" w:hAnsi="Times New Roman" w:eastAsia="方正仿宋_GBK" w:cs="Times New Roman"/>
          <w:color w:val="auto"/>
          <w:sz w:val="32"/>
          <w:szCs w:val="24"/>
          <w:highlight w:val="none"/>
        </w:rPr>
        <w:t>，造成传染病传播、流行或其他严重后果；或其他重大医疗违规事件，造成严重后果或情节严重；卫生健康行政部门或监督执法机构近两年来对其进行传染病防治分类监督综合评价为重点监督单位（以两年来最近一次评价结果为准）。</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（九）违反《医疗纠纷预防和处理条例》《医疗事故处理条例》，篡改、伪造、隐匿、毁灭病历资料，造成严重后果。</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（十）违反《医疗技术临床应用管理办法》，将未通过技术评估与伦理审查的医疗新技术、禁止类医疗技术应用于临床，造成严重后果。</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十一）违反《麻醉药品和精神药品管理条例》《易制毒化学品管理条例》《处方管理办法》，违规购买、储存、调剂、开具、登记、销毁麻醉药品和第一类精神药品，使用未取得处方权的人员或被取消处方权的医师开具处方，造成严重后果。</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 xml:space="preserve">（十二）违反《放射诊疗管理规定》，未取得放射诊疗许可从事放射诊疗工作或未履行其他法定职责，造成严重后果。 </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 xml:space="preserve">（十三）违反《中华人民共和国职业病防治法》，未依法开展职业健康检查或职业病诊断、未依法履行职业病与疑似职业病报告等法定职责，造成严重后果。 </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 xml:space="preserve">（十四）违反《中华人民共和国广告法》《医疗广告管理办法》，违规发布医疗广告，情节严重。 </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（十五）其他重大违法、违规事件，造成严重后果或情节严重。</w:t>
      </w:r>
    </w:p>
    <w:p>
      <w:pPr>
        <w:pStyle w:val="3"/>
        <w:spacing w:line="560" w:lineRule="exact"/>
        <w:ind w:firstLine="624" w:firstLineChars="200"/>
        <w:jc w:val="left"/>
        <w:rPr>
          <w:rFonts w:asciiTheme="minorEastAsia" w:hAnsiTheme="minorEastAsia" w:eastAsiaTheme="minorEastAsia"/>
          <w:color w:val="auto"/>
          <w:sz w:val="24"/>
          <w:szCs w:val="24"/>
          <w:highlight w:val="none"/>
        </w:rPr>
      </w:pPr>
      <w:bookmarkStart w:id="29" w:name="_Toc23124"/>
      <w:bookmarkStart w:id="30" w:name="_Toc30712"/>
      <w:bookmarkStart w:id="31" w:name="_Toc561"/>
      <w:bookmarkStart w:id="32" w:name="_Toc15946"/>
      <w:bookmarkStart w:id="33" w:name="_Toc23694"/>
      <w:bookmarkStart w:id="34" w:name="_Toc10951"/>
      <w:bookmarkStart w:id="35" w:name="_Toc5039"/>
      <w:bookmarkStart w:id="36" w:name="_Toc16532"/>
      <w:bookmarkStart w:id="37" w:name="_Toc26979"/>
      <w:bookmarkStart w:id="38" w:name="_Toc1374"/>
      <w:r>
        <w:rPr>
          <w:rFonts w:hint="default" w:ascii="Times New Roman" w:hAnsi="Times New Roman" w:eastAsia="方正黑体_GBK" w:cs="Times New Roman"/>
          <w:b w:val="0"/>
          <w:color w:val="auto"/>
          <w:sz w:val="32"/>
          <w:szCs w:val="24"/>
          <w:highlight w:val="none"/>
        </w:rPr>
        <w:t>二、公益性责任和行风诚信</w:t>
      </w:r>
      <w:bookmarkEnd w:id="29"/>
      <w:bookmarkEnd w:id="30"/>
      <w:bookmarkEnd w:id="31"/>
      <w:bookmarkEnd w:id="32"/>
      <w:bookmarkEnd w:id="33"/>
      <w:bookmarkEnd w:id="34"/>
      <w:bookmarkEnd w:id="35"/>
      <w:bookmarkEnd w:id="36"/>
      <w:bookmarkEnd w:id="37"/>
      <w:bookmarkEnd w:id="38"/>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 xml:space="preserve">（一）应当完成而未完成对口支援、中国援外医疗队、突发公共事件医疗救援、公共卫生任务等政府指令性工作。 </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（二）</w:t>
      </w:r>
      <w:r>
        <w:rPr>
          <w:rFonts w:hint="default" w:ascii="Times New Roman" w:hAnsi="Times New Roman" w:eastAsia="方正仿宋_GBK" w:cs="Times New Roman"/>
          <w:color w:val="auto"/>
          <w:spacing w:val="-6"/>
          <w:sz w:val="32"/>
          <w:szCs w:val="24"/>
          <w:highlight w:val="none"/>
        </w:rPr>
        <w:t>应当执行而未执行国家基本药物制度和分级诊疗政策。</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 xml:space="preserve">（三）医院领导班子发生 3 起以上严重职务犯罪或严重违纪事件，或医务人员发生 3 起以上违反《医疗机构工作人员廉洁从业九项准则》的群体性事件（≥3 人/起），造成重大社会影响。 </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（四）</w:t>
      </w:r>
      <w:r>
        <w:rPr>
          <w:rFonts w:hint="default" w:ascii="Times New Roman" w:hAnsi="Times New Roman" w:eastAsia="方正仿宋_GBK" w:cs="Times New Roman"/>
          <w:color w:val="auto"/>
          <w:spacing w:val="-6"/>
          <w:sz w:val="32"/>
          <w:szCs w:val="24"/>
          <w:highlight w:val="none"/>
        </w:rPr>
        <w:t>发生重大价格或收费违法事件，以及恶意骗取医保基金。</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 xml:space="preserve">（五）违反《中华人民共和国统计法》《医疗质量管理办法》《医学科研诚信和相关行为规范》相关要求，提供、报告虚假住院病案首页等医疗服务信息、统计数据、申报材料和科研成果，情节严重。 </w:t>
      </w:r>
    </w:p>
    <w:p>
      <w:pPr>
        <w:pStyle w:val="3"/>
        <w:spacing w:before="0" w:after="0" w:line="560" w:lineRule="exact"/>
        <w:ind w:firstLine="624" w:firstLineChars="200"/>
        <w:jc w:val="left"/>
        <w:rPr>
          <w:rFonts w:asciiTheme="minorEastAsia" w:hAnsiTheme="minorEastAsia" w:eastAsiaTheme="minorEastAsia"/>
          <w:color w:val="auto"/>
          <w:sz w:val="24"/>
          <w:szCs w:val="24"/>
          <w:highlight w:val="none"/>
        </w:rPr>
      </w:pPr>
      <w:bookmarkStart w:id="39" w:name="_Toc17240"/>
      <w:bookmarkStart w:id="40" w:name="_Toc26191"/>
      <w:bookmarkStart w:id="41" w:name="_Toc30131"/>
      <w:bookmarkStart w:id="42" w:name="_Toc9829"/>
      <w:bookmarkStart w:id="43" w:name="_Toc11508"/>
      <w:bookmarkStart w:id="44" w:name="_Toc19063"/>
      <w:bookmarkStart w:id="45" w:name="_Toc2897"/>
      <w:bookmarkStart w:id="46" w:name="_Toc26114"/>
      <w:bookmarkStart w:id="47" w:name="_Toc30008"/>
      <w:bookmarkStart w:id="48" w:name="_Toc27922"/>
      <w:r>
        <w:rPr>
          <w:rFonts w:hint="default" w:ascii="Times New Roman" w:hAnsi="Times New Roman" w:eastAsia="方正黑体_GBK" w:cs="Times New Roman"/>
          <w:b w:val="0"/>
          <w:color w:val="auto"/>
          <w:sz w:val="32"/>
          <w:szCs w:val="24"/>
          <w:highlight w:val="none"/>
        </w:rPr>
        <w:t>三、安全管理与重大事件</w:t>
      </w:r>
      <w:bookmarkEnd w:id="39"/>
      <w:bookmarkEnd w:id="40"/>
      <w:bookmarkEnd w:id="41"/>
      <w:bookmarkEnd w:id="42"/>
      <w:bookmarkEnd w:id="43"/>
      <w:bookmarkEnd w:id="44"/>
      <w:bookmarkEnd w:id="45"/>
      <w:bookmarkEnd w:id="46"/>
      <w:bookmarkEnd w:id="47"/>
      <w:bookmarkEnd w:id="48"/>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（一）发生定性为完全责任的一级医疗事故或直接被卫生健康行政部门判定的重大医疗事故。</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 xml:space="preserve">（二）发生重大医院感染事件，造成严重后果。 </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（三）发生因重大火灾、放射源泄漏、有害气体泄漏等被通报或处罚的重大安全事故。</w:t>
      </w:r>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 xml:space="preserve">（四）发生瞒报、漏报重大医疗过失事件的行为。 </w:t>
      </w:r>
    </w:p>
    <w:p>
      <w:pPr>
        <w:spacing w:line="560" w:lineRule="exact"/>
        <w:ind w:firstLine="624" w:firstLineChars="200"/>
        <w:jc w:val="both"/>
        <w:rPr>
          <w:rFonts w:asciiTheme="minorEastAsia" w:hAnsiTheme="minorEastAsia" w:eastAsiaTheme="minorEastAsia"/>
          <w:color w:val="auto"/>
          <w:sz w:val="24"/>
          <w:szCs w:val="24"/>
          <w:highlight w:val="none"/>
        </w:rPr>
      </w:pPr>
      <w:r>
        <w:rPr>
          <w:rFonts w:hint="default" w:ascii="Times New Roman" w:hAnsi="Times New Roman" w:eastAsia="方正仿宋_GBK" w:cs="Times New Roman"/>
          <w:color w:val="auto"/>
          <w:sz w:val="32"/>
          <w:szCs w:val="24"/>
          <w:highlight w:val="none"/>
        </w:rPr>
        <w:t>（五）发生大规模医疗数据泄露或其他重大网络安全事件，造成严重后果。</w:t>
      </w:r>
      <w:r>
        <w:rPr>
          <w:rFonts w:hint="eastAsia" w:asciiTheme="minorEastAsia" w:hAnsiTheme="minorEastAsia" w:eastAsiaTheme="minorEastAsia"/>
          <w:color w:val="auto"/>
          <w:sz w:val="24"/>
          <w:szCs w:val="24"/>
          <w:highlight w:val="none"/>
        </w:rPr>
        <w:t xml:space="preserve"> </w:t>
      </w:r>
    </w:p>
    <w:p>
      <w:pPr>
        <w:pStyle w:val="3"/>
        <w:spacing w:before="0" w:after="0" w:line="560" w:lineRule="exact"/>
        <w:ind w:firstLine="624" w:firstLineChars="200"/>
        <w:jc w:val="left"/>
        <w:rPr>
          <w:rFonts w:ascii="Times New Roman" w:hAnsi="Times New Roman" w:eastAsia="方正黑体_GBK" w:cs="Times New Roman"/>
          <w:b w:val="0"/>
          <w:color w:val="auto"/>
          <w:sz w:val="32"/>
          <w:szCs w:val="24"/>
          <w:highlight w:val="none"/>
        </w:rPr>
      </w:pPr>
      <w:bookmarkStart w:id="49" w:name="_Toc27892"/>
      <w:bookmarkStart w:id="50" w:name="_Toc9664"/>
      <w:bookmarkStart w:id="51" w:name="_Toc23576"/>
      <w:bookmarkStart w:id="52" w:name="_Toc18638"/>
      <w:bookmarkStart w:id="53" w:name="_Toc17056"/>
      <w:bookmarkStart w:id="54" w:name="_Toc2535"/>
      <w:bookmarkStart w:id="55" w:name="_Toc21853"/>
      <w:bookmarkStart w:id="56" w:name="_Toc3574"/>
      <w:bookmarkStart w:id="57" w:name="_Toc27499"/>
      <w:bookmarkStart w:id="58" w:name="_Toc11685"/>
      <w:r>
        <w:rPr>
          <w:rFonts w:hint="default" w:ascii="Times New Roman" w:hAnsi="Times New Roman" w:eastAsia="方正黑体_GBK" w:cs="Times New Roman"/>
          <w:b w:val="0"/>
          <w:color w:val="auto"/>
          <w:sz w:val="32"/>
          <w:szCs w:val="24"/>
          <w:highlight w:val="none"/>
        </w:rPr>
        <w:t>四、国家公立医院绩效考核</w:t>
      </w:r>
      <w:bookmarkEnd w:id="49"/>
      <w:bookmarkEnd w:id="50"/>
      <w:bookmarkEnd w:id="51"/>
      <w:bookmarkEnd w:id="52"/>
      <w:bookmarkEnd w:id="53"/>
      <w:bookmarkEnd w:id="54"/>
      <w:bookmarkEnd w:id="55"/>
      <w:bookmarkEnd w:id="56"/>
      <w:bookmarkEnd w:id="57"/>
      <w:bookmarkEnd w:id="58"/>
    </w:p>
    <w:p>
      <w:pPr>
        <w:spacing w:line="560" w:lineRule="exact"/>
        <w:ind w:firstLine="624" w:firstLineChars="200"/>
        <w:jc w:val="both"/>
        <w:rPr>
          <w:rFonts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被国家列入</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取消参评资格考核</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名单。</w:t>
      </w:r>
    </w:p>
    <w:p>
      <w:pPr>
        <w:pStyle w:val="3"/>
        <w:spacing w:before="0" w:after="0" w:line="560" w:lineRule="exact"/>
        <w:ind w:firstLine="624" w:firstLineChars="200"/>
        <w:jc w:val="left"/>
        <w:rPr>
          <w:rFonts w:asciiTheme="minorEastAsia" w:hAnsiTheme="minorEastAsia" w:eastAsiaTheme="minorEastAsia"/>
          <w:color w:val="auto"/>
          <w:sz w:val="24"/>
          <w:szCs w:val="24"/>
          <w:highlight w:val="none"/>
        </w:rPr>
      </w:pPr>
      <w:bookmarkStart w:id="59" w:name="_Toc6327"/>
      <w:bookmarkStart w:id="60" w:name="_Toc16281"/>
      <w:bookmarkStart w:id="61" w:name="_Toc1348"/>
      <w:bookmarkStart w:id="62" w:name="_Toc14655"/>
      <w:bookmarkStart w:id="63" w:name="_Toc18928"/>
      <w:bookmarkStart w:id="64" w:name="_Toc15518"/>
      <w:bookmarkStart w:id="65" w:name="_Toc26289"/>
      <w:bookmarkStart w:id="66" w:name="_Toc9977"/>
      <w:bookmarkStart w:id="67" w:name="_Toc29793"/>
      <w:r>
        <w:rPr>
          <w:rFonts w:hint="default" w:ascii="Times New Roman" w:hAnsi="Times New Roman" w:eastAsia="方正黑体_GBK" w:cs="Times New Roman"/>
          <w:b w:val="0"/>
          <w:color w:val="auto"/>
          <w:sz w:val="32"/>
          <w:szCs w:val="24"/>
          <w:highlight w:val="none"/>
        </w:rPr>
        <w:t>五、信息化建设</w:t>
      </w:r>
      <w:bookmarkEnd w:id="59"/>
      <w:bookmarkEnd w:id="60"/>
      <w:bookmarkEnd w:id="61"/>
      <w:bookmarkEnd w:id="62"/>
      <w:bookmarkEnd w:id="63"/>
      <w:bookmarkEnd w:id="64"/>
      <w:bookmarkEnd w:id="65"/>
      <w:bookmarkEnd w:id="66"/>
      <w:bookmarkEnd w:id="67"/>
    </w:p>
    <w:p>
      <w:pPr>
        <w:widowControl/>
        <w:spacing w:line="560" w:lineRule="exact"/>
        <w:ind w:firstLine="624" w:firstLineChars="200"/>
        <w:jc w:val="both"/>
        <w:rPr>
          <w:rFonts w:hint="default"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（一）未达到电子病历评级4级以上。</w:t>
      </w:r>
    </w:p>
    <w:p>
      <w:pPr>
        <w:widowControl/>
        <w:spacing w:line="560" w:lineRule="exact"/>
        <w:ind w:firstLine="624" w:firstLineChars="200"/>
        <w:jc w:val="both"/>
        <w:rPr>
          <w:rFonts w:hint="default"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（二）</w:t>
      </w:r>
      <w:r>
        <w:rPr>
          <w:rFonts w:hint="default" w:ascii="Times New Roman" w:hAnsi="Times New Roman" w:eastAsia="方正仿宋_GBK" w:cs="Times New Roman"/>
          <w:color w:val="auto"/>
          <w:spacing w:val="-11"/>
          <w:sz w:val="32"/>
          <w:szCs w:val="24"/>
          <w:highlight w:val="none"/>
        </w:rPr>
        <w:t>医院信息互联互通标准化建设未达到以下标准之一的：</w:t>
      </w:r>
    </w:p>
    <w:p>
      <w:pPr>
        <w:widowControl/>
        <w:spacing w:line="560" w:lineRule="exact"/>
        <w:ind w:firstLine="624" w:firstLineChars="200"/>
        <w:jc w:val="both"/>
        <w:rPr>
          <w:rFonts w:hint="default"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1.医院信息互联互通标准化成熟度测评达到4级以上；</w:t>
      </w:r>
    </w:p>
    <w:p>
      <w:pPr>
        <w:widowControl/>
        <w:spacing w:line="560" w:lineRule="exact"/>
        <w:ind w:firstLine="624" w:firstLineChars="200"/>
        <w:jc w:val="both"/>
        <w:rPr>
          <w:rFonts w:hint="default"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2.按照国</w:t>
      </w:r>
      <w:r>
        <w:rPr>
          <w:rFonts w:hint="default" w:ascii="Times New Roman" w:hAnsi="Times New Roman" w:eastAsia="方正仿宋_GBK" w:cs="Times New Roman"/>
          <w:color w:val="auto"/>
          <w:spacing w:val="-11"/>
          <w:sz w:val="32"/>
          <w:szCs w:val="24"/>
          <w:highlight w:val="none"/>
        </w:rPr>
        <w:t>家标准自评达到4级以上且通过省级标准符合性测试。</w:t>
      </w:r>
    </w:p>
    <w:p>
      <w:pPr>
        <w:widowControl/>
        <w:spacing w:line="560" w:lineRule="exact"/>
        <w:ind w:firstLine="624" w:firstLineChars="200"/>
        <w:jc w:val="both"/>
        <w:rPr>
          <w:rFonts w:hint="default" w:ascii="Times New Roman" w:hAnsi="Times New Roman" w:eastAsia="方正仿宋_GBK" w:cs="Times New Roman"/>
          <w:color w:val="auto"/>
          <w:sz w:val="32"/>
          <w:szCs w:val="24"/>
          <w:highlight w:val="none"/>
        </w:rPr>
      </w:pPr>
      <w:r>
        <w:rPr>
          <w:rFonts w:hint="default" w:ascii="Times New Roman" w:hAnsi="Times New Roman" w:eastAsia="方正仿宋_GBK" w:cs="Times New Roman"/>
          <w:color w:val="auto"/>
          <w:sz w:val="32"/>
          <w:szCs w:val="24"/>
          <w:highlight w:val="none"/>
        </w:rPr>
        <w:t>（三）医院未通过省级全民健康信息平台联通率年度考核。</w:t>
      </w:r>
    </w:p>
    <w:p>
      <w:pPr>
        <w:pStyle w:val="3"/>
        <w:spacing w:line="560" w:lineRule="exact"/>
        <w:ind w:firstLine="624" w:firstLineChars="200"/>
        <w:jc w:val="left"/>
        <w:rPr>
          <w:rFonts w:hint="eastAsia" w:asciiTheme="minorEastAsia" w:hAnsiTheme="minorEastAsia" w:eastAsiaTheme="minorEastAsia"/>
          <w:color w:val="auto"/>
          <w:sz w:val="24"/>
          <w:szCs w:val="24"/>
          <w:highlight w:val="none"/>
          <w:lang w:eastAsia="zh-CN"/>
        </w:rPr>
      </w:pPr>
      <w:bookmarkStart w:id="68" w:name="_Toc15854"/>
      <w:bookmarkStart w:id="69" w:name="_Toc15565"/>
      <w:bookmarkStart w:id="70" w:name="_Toc21904"/>
      <w:bookmarkStart w:id="71" w:name="_Toc8288"/>
      <w:r>
        <w:rPr>
          <w:rFonts w:hint="default" w:ascii="Times New Roman" w:hAnsi="Times New Roman" w:eastAsia="方正黑体_GBK" w:cs="Times New Roman"/>
          <w:b w:val="0"/>
          <w:color w:val="auto"/>
          <w:sz w:val="32"/>
          <w:szCs w:val="24"/>
          <w:highlight w:val="none"/>
          <w:lang w:eastAsia="zh-CN"/>
        </w:rPr>
        <w:t>六、总会计师制度落实</w:t>
      </w:r>
      <w:bookmarkEnd w:id="68"/>
      <w:bookmarkEnd w:id="69"/>
      <w:bookmarkEnd w:id="70"/>
      <w:bookmarkEnd w:id="71"/>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Theme="minorEastAsia" w:hAnsiTheme="minorEastAsia" w:cstheme="minorEastAsia"/>
          <w:b w:val="0"/>
          <w:bCs w:val="0"/>
          <w:color w:val="auto"/>
          <w:sz w:val="24"/>
          <w:szCs w:val="24"/>
          <w:highlight w:val="none"/>
          <w:lang w:eastAsia="zh-CN"/>
        </w:rPr>
      </w:pPr>
      <w:bookmarkStart w:id="250" w:name="_GoBack"/>
      <w:bookmarkEnd w:id="250"/>
      <w:r>
        <w:rPr>
          <w:rFonts w:hint="default" w:ascii="Times New Roman" w:hAnsi="Times New Roman" w:eastAsia="方正仿宋_GBK" w:cs="Times New Roman"/>
          <w:b w:val="0"/>
          <w:bCs w:val="0"/>
          <w:color w:val="auto"/>
          <w:sz w:val="32"/>
          <w:szCs w:val="24"/>
          <w:highlight w:val="none"/>
          <w:lang w:val="en-US" w:eastAsia="zh-CN"/>
        </w:rPr>
        <w:t>2023年底</w:t>
      </w:r>
      <w:r>
        <w:rPr>
          <w:rFonts w:hint="default" w:ascii="Times New Roman" w:hAnsi="Times New Roman" w:eastAsia="方正仿宋_GBK" w:cs="Times New Roman"/>
          <w:b w:val="0"/>
          <w:bCs w:val="0"/>
          <w:color w:val="auto"/>
          <w:sz w:val="32"/>
          <w:szCs w:val="24"/>
          <w:highlight w:val="none"/>
          <w:lang w:eastAsia="zh-CN"/>
        </w:rPr>
        <w:t>未按照要求设立总会计师，总会计师未进入领导班子。</w:t>
      </w:r>
    </w:p>
    <w:p>
      <w:pPr>
        <w:widowControl/>
        <w:spacing w:line="480" w:lineRule="exact"/>
        <w:ind w:firstLine="232" w:firstLineChars="100"/>
        <w:rPr>
          <w:rFonts w:hint="eastAsia" w:asciiTheme="minorEastAsia" w:hAnsiTheme="minorEastAsia" w:eastAsiaTheme="minorEastAsia"/>
          <w:color w:val="auto"/>
          <w:sz w:val="24"/>
          <w:szCs w:val="24"/>
          <w:highlight w:val="none"/>
        </w:rPr>
      </w:pPr>
    </w:p>
    <w:p>
      <w:pPr>
        <w:widowControl/>
        <w:spacing w:line="480" w:lineRule="exact"/>
        <w:ind w:firstLine="348" w:firstLineChars="150"/>
        <w:rPr>
          <w:rFonts w:asciiTheme="minorEastAsia" w:hAnsiTheme="minorEastAsia" w:eastAsiaTheme="minorEastAsia"/>
          <w:color w:val="auto"/>
          <w:sz w:val="24"/>
          <w:szCs w:val="24"/>
          <w:highlight w:val="none"/>
          <w:lang w:bidi="ar"/>
        </w:rPr>
      </w:pPr>
    </w:p>
    <w:p>
      <w:pPr>
        <w:numPr>
          <w:ilvl w:val="255"/>
          <w:numId w:val="0"/>
        </w:numPr>
        <w:spacing w:line="480" w:lineRule="exact"/>
        <w:rPr>
          <w:rFonts w:asciiTheme="minorEastAsia" w:hAnsiTheme="minorEastAsia" w:eastAsiaTheme="minorEastAsia"/>
          <w:color w:val="auto"/>
          <w:sz w:val="24"/>
          <w:szCs w:val="24"/>
          <w:highlight w:val="none"/>
        </w:rPr>
      </w:pPr>
    </w:p>
    <w:p>
      <w:pPr>
        <w:widowControl/>
        <w:rPr>
          <w:rFonts w:ascii="仿宋_GB2312" w:hAnsi="仿宋_GB2312" w:cs="仿宋_GB2312"/>
          <w:color w:val="auto"/>
          <w:kern w:val="0"/>
          <w:sz w:val="31"/>
          <w:szCs w:val="31"/>
          <w:highlight w:val="none"/>
        </w:rPr>
      </w:pPr>
      <w:r>
        <w:rPr>
          <w:rFonts w:ascii="仿宋_GB2312" w:hAnsi="仿宋_GB2312" w:cs="仿宋_GB2312"/>
          <w:color w:val="auto"/>
          <w:kern w:val="0"/>
          <w:sz w:val="31"/>
          <w:szCs w:val="31"/>
          <w:highlight w:val="none"/>
        </w:rPr>
        <w:br w:type="page"/>
      </w:r>
    </w:p>
    <w:p>
      <w:pPr>
        <w:pStyle w:val="2"/>
        <w:jc w:val="left"/>
        <w:rPr>
          <w:rFonts w:ascii="宋体" w:hAnsi="宋体" w:eastAsia="宋体" w:cs="宋体"/>
          <w:color w:val="auto"/>
          <w:szCs w:val="32"/>
          <w:highlight w:val="none"/>
        </w:rPr>
      </w:pPr>
      <w:bookmarkStart w:id="72" w:name="_Toc12654"/>
      <w:bookmarkStart w:id="73" w:name="_Toc25689"/>
      <w:bookmarkStart w:id="74" w:name="_Toc20293"/>
      <w:bookmarkStart w:id="75" w:name="_Toc13340"/>
      <w:bookmarkStart w:id="76" w:name="_Toc32650"/>
      <w:bookmarkStart w:id="77" w:name="_Toc10352"/>
      <w:bookmarkStart w:id="78" w:name="_Toc17339"/>
      <w:bookmarkStart w:id="79" w:name="_Toc626"/>
      <w:bookmarkStart w:id="80" w:name="_Toc12158"/>
      <w:bookmarkStart w:id="81" w:name="_Toc26384"/>
      <w:r>
        <w:rPr>
          <w:rFonts w:hint="eastAsia"/>
        </w:rPr>
        <w:t>第二部分 医疗服务能力与质量安全监测数据</w:t>
      </w:r>
      <w:bookmarkEnd w:id="72"/>
      <w:bookmarkEnd w:id="73"/>
      <w:bookmarkEnd w:id="74"/>
      <w:bookmarkEnd w:id="75"/>
      <w:bookmarkEnd w:id="76"/>
      <w:bookmarkEnd w:id="77"/>
      <w:bookmarkEnd w:id="78"/>
      <w:bookmarkEnd w:id="79"/>
      <w:bookmarkEnd w:id="80"/>
      <w:bookmarkEnd w:id="81"/>
    </w:p>
    <w:p>
      <w:pPr>
        <w:widowControl/>
        <w:spacing w:line="560" w:lineRule="exact"/>
        <w:ind w:firstLine="624" w:firstLineChars="200"/>
        <w:jc w:val="both"/>
        <w:rPr>
          <w:rFonts w:asciiTheme="minorEastAsia" w:hAnsiTheme="minorEastAsia" w:eastAsiaTheme="minorEastAsia"/>
          <w:color w:val="auto"/>
          <w:sz w:val="24"/>
          <w:szCs w:val="24"/>
          <w:highlight w:val="none"/>
        </w:rPr>
      </w:pPr>
      <w:r>
        <w:rPr>
          <w:rFonts w:hint="default" w:ascii="Times New Roman" w:hAnsi="Times New Roman" w:eastAsia="方正仿宋_GBK" w:cs="Times New Roman"/>
          <w:color w:val="auto"/>
          <w:sz w:val="32"/>
          <w:szCs w:val="24"/>
          <w:highlight w:val="none"/>
        </w:rPr>
        <w:t>根据指标性质不同分为准入指标</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标注*</w:t>
      </w:r>
      <w:r>
        <w:rPr>
          <w:rFonts w:hint="eastAsia"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、横向对比指标（标注△）</w:t>
      </w:r>
      <w:r>
        <w:rPr>
          <w:rFonts w:hint="default" w:ascii="Times New Roman" w:hAnsi="Times New Roman" w:eastAsia="方正仿宋_GBK" w:cs="Times New Roman"/>
          <w:color w:val="auto"/>
          <w:sz w:val="32"/>
          <w:szCs w:val="24"/>
          <w:highlight w:val="none"/>
          <w:lang w:eastAsia="zh-CN"/>
        </w:rPr>
        <w:t>、</w:t>
      </w:r>
      <w:r>
        <w:rPr>
          <w:rFonts w:hint="default" w:ascii="Times New Roman" w:hAnsi="Times New Roman" w:eastAsia="方正仿宋_GBK" w:cs="Times New Roman"/>
          <w:color w:val="auto"/>
          <w:sz w:val="32"/>
          <w:szCs w:val="24"/>
          <w:highlight w:val="none"/>
        </w:rPr>
        <w:t>纵向对比指标（标注#）</w:t>
      </w:r>
      <w:r>
        <w:rPr>
          <w:rFonts w:hint="default" w:ascii="Times New Roman" w:hAnsi="Times New Roman" w:eastAsia="方正仿宋_GBK" w:cs="Times New Roman"/>
          <w:color w:val="auto"/>
          <w:sz w:val="32"/>
          <w:szCs w:val="24"/>
          <w:highlight w:val="none"/>
          <w:lang w:eastAsia="zh-CN"/>
        </w:rPr>
        <w:t>及观察指标（标注</w:t>
      </w:r>
      <w:r>
        <w:rPr>
          <w:rFonts w:hint="default" w:ascii="Times New Roman" w:hAnsi="Times New Roman" w:eastAsia="方正仿宋_GBK" w:cs="Times New Roman"/>
          <w:bCs/>
          <w:color w:val="auto"/>
          <w:kern w:val="0"/>
          <w:szCs w:val="21"/>
          <w:highlight w:val="none"/>
        </w:rPr>
        <w:t>⊙</w:t>
      </w:r>
      <w:r>
        <w:rPr>
          <w:rFonts w:hint="default" w:ascii="Times New Roman" w:hAnsi="Times New Roman" w:eastAsia="方正仿宋_GBK" w:cs="Times New Roman"/>
          <w:color w:val="auto"/>
          <w:sz w:val="32"/>
          <w:szCs w:val="24"/>
          <w:highlight w:val="none"/>
          <w:lang w:eastAsia="zh-CN"/>
        </w:rPr>
        <w:t>）四</w:t>
      </w:r>
      <w:r>
        <w:rPr>
          <w:rFonts w:hint="default" w:ascii="Times New Roman" w:hAnsi="Times New Roman" w:eastAsia="方正仿宋_GBK" w:cs="Times New Roman"/>
          <w:color w:val="auto"/>
          <w:sz w:val="32"/>
          <w:szCs w:val="24"/>
          <w:highlight w:val="none"/>
        </w:rPr>
        <w:t>类。</w:t>
      </w:r>
    </w:p>
    <w:p>
      <w:pPr>
        <w:pStyle w:val="3"/>
        <w:numPr>
          <w:ilvl w:val="-1"/>
          <w:numId w:val="0"/>
        </w:numPr>
        <w:ind w:left="0" w:leftChars="0" w:firstLine="0" w:firstLineChars="0"/>
        <w:jc w:val="center"/>
        <w:rPr>
          <w:rFonts w:hint="default" w:ascii="Times New Roman" w:hAnsi="Times New Roman" w:eastAsia="方正黑体_GBK" w:cs="Times New Roman"/>
          <w:b w:val="0"/>
          <w:color w:val="auto"/>
          <w:sz w:val="32"/>
          <w:szCs w:val="24"/>
          <w:highlight w:val="none"/>
        </w:rPr>
      </w:pPr>
      <w:bookmarkStart w:id="82" w:name="_Toc16868"/>
      <w:bookmarkStart w:id="83" w:name="_Toc15387"/>
      <w:bookmarkStart w:id="84" w:name="_Toc19738"/>
      <w:bookmarkStart w:id="85" w:name="_Toc25752"/>
      <w:bookmarkStart w:id="86" w:name="_Toc28003"/>
      <w:bookmarkStart w:id="87" w:name="_Toc1602"/>
      <w:bookmarkStart w:id="88" w:name="_Toc17395"/>
      <w:bookmarkStart w:id="89" w:name="_Toc26660"/>
      <w:bookmarkStart w:id="90" w:name="_Toc29561"/>
      <w:bookmarkStart w:id="91" w:name="_Toc2566"/>
      <w:r>
        <w:rPr>
          <w:rFonts w:hint="eastAsia" w:ascii="Times New Roman" w:hAnsi="Times New Roman" w:eastAsia="方正黑体_GBK" w:cs="Times New Roman"/>
          <w:b w:val="0"/>
          <w:color w:val="auto"/>
          <w:sz w:val="32"/>
          <w:szCs w:val="24"/>
          <w:highlight w:val="none"/>
          <w:lang w:val="en-US" w:eastAsia="zh-CN"/>
        </w:rPr>
        <w:t xml:space="preserve">第一章 </w:t>
      </w:r>
      <w:r>
        <w:rPr>
          <w:rFonts w:hint="default" w:ascii="Times New Roman" w:hAnsi="Times New Roman" w:eastAsia="方正黑体_GBK" w:cs="Times New Roman"/>
          <w:b w:val="0"/>
          <w:color w:val="auto"/>
          <w:sz w:val="32"/>
          <w:szCs w:val="24"/>
          <w:highlight w:val="none"/>
        </w:rPr>
        <w:t>资源配置与运行数据指标</w:t>
      </w:r>
      <w:bookmarkEnd w:id="82"/>
      <w:bookmarkEnd w:id="83"/>
      <w:bookmarkEnd w:id="84"/>
      <w:bookmarkEnd w:id="85"/>
      <w:bookmarkEnd w:id="86"/>
      <w:bookmarkEnd w:id="87"/>
      <w:bookmarkEnd w:id="88"/>
      <w:bookmarkEnd w:id="89"/>
      <w:bookmarkEnd w:id="90"/>
      <w:bookmarkEnd w:id="91"/>
    </w:p>
    <w:p>
      <w:pPr>
        <w:pStyle w:val="3"/>
        <w:numPr>
          <w:ilvl w:val="-1"/>
          <w:numId w:val="0"/>
        </w:numPr>
        <w:ind w:left="0" w:leftChars="0" w:firstLine="0" w:firstLineChars="0"/>
        <w:jc w:val="center"/>
        <w:rPr>
          <w:rFonts w:hint="default" w:ascii="Times New Roman" w:hAnsi="Times New Roman" w:eastAsia="方正黑体_GBK" w:cs="Times New Roman"/>
          <w:b w:val="0"/>
          <w:color w:val="auto"/>
          <w:sz w:val="32"/>
          <w:szCs w:val="24"/>
          <w:highlight w:val="none"/>
        </w:rPr>
      </w:pPr>
    </w:p>
    <w:tbl>
      <w:tblPr>
        <w:tblStyle w:val="12"/>
        <w:tblW w:w="9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4082"/>
        <w:gridCol w:w="1238"/>
        <w:gridCol w:w="2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64" w:type="dxa"/>
            <w:vMerge w:val="restart"/>
            <w:vAlign w:val="center"/>
          </w:tcPr>
          <w:p>
            <w:pPr>
              <w:widowControl/>
              <w:spacing w:line="300" w:lineRule="exact"/>
              <w:jc w:val="center"/>
              <w:rPr>
                <w:rFonts w:hint="default" w:ascii="方正黑体_GBK" w:hAnsi="方正黑体_GBK" w:eastAsia="方正黑体_GBK" w:cs="方正黑体_GBK"/>
                <w:bCs w:val="0"/>
                <w:color w:val="auto"/>
                <w:sz w:val="24"/>
                <w:szCs w:val="24"/>
                <w:highlight w:val="none"/>
              </w:rPr>
            </w:pPr>
            <w:r>
              <w:rPr>
                <w:rFonts w:hint="default" w:ascii="方正黑体_GBK" w:hAnsi="方正黑体_GBK" w:eastAsia="方正黑体_GBK" w:cs="方正黑体_GBK"/>
                <w:bCs w:val="0"/>
                <w:color w:val="auto"/>
                <w:sz w:val="24"/>
                <w:szCs w:val="24"/>
                <w:highlight w:val="none"/>
              </w:rPr>
              <w:t>指标大类</w:t>
            </w:r>
          </w:p>
        </w:tc>
        <w:tc>
          <w:tcPr>
            <w:tcW w:w="4082" w:type="dxa"/>
            <w:vMerge w:val="restart"/>
            <w:vAlign w:val="center"/>
          </w:tcPr>
          <w:p>
            <w:pPr>
              <w:widowControl/>
              <w:spacing w:line="300" w:lineRule="exact"/>
              <w:jc w:val="center"/>
              <w:rPr>
                <w:rFonts w:hint="default" w:ascii="方正黑体_GBK" w:hAnsi="方正黑体_GBK" w:eastAsia="方正黑体_GBK" w:cs="方正黑体_GBK"/>
                <w:bCs w:val="0"/>
                <w:color w:val="auto"/>
                <w:sz w:val="24"/>
                <w:szCs w:val="24"/>
                <w:highlight w:val="none"/>
              </w:rPr>
            </w:pPr>
            <w:r>
              <w:rPr>
                <w:rFonts w:hint="default" w:ascii="方正黑体_GBK" w:hAnsi="方正黑体_GBK" w:eastAsia="方正黑体_GBK" w:cs="方正黑体_GBK"/>
                <w:bCs w:val="0"/>
                <w:color w:val="auto"/>
                <w:sz w:val="24"/>
                <w:szCs w:val="24"/>
                <w:highlight w:val="none"/>
              </w:rPr>
              <w:t>指标明细</w:t>
            </w:r>
          </w:p>
        </w:tc>
        <w:tc>
          <w:tcPr>
            <w:tcW w:w="1238" w:type="dxa"/>
            <w:noWrap/>
            <w:vAlign w:val="center"/>
          </w:tcPr>
          <w:p>
            <w:pPr>
              <w:widowControl/>
              <w:spacing w:line="300" w:lineRule="exact"/>
              <w:jc w:val="center"/>
              <w:rPr>
                <w:rFonts w:hint="default" w:ascii="方正黑体_GBK" w:hAnsi="方正黑体_GBK" w:eastAsia="方正黑体_GBK" w:cs="方正黑体_GBK"/>
                <w:bCs w:val="0"/>
                <w:color w:val="auto"/>
                <w:sz w:val="24"/>
                <w:szCs w:val="24"/>
                <w:highlight w:val="none"/>
              </w:rPr>
            </w:pPr>
            <w:r>
              <w:rPr>
                <w:rFonts w:hint="default" w:ascii="方正黑体_GBK" w:hAnsi="方正黑体_GBK" w:eastAsia="方正黑体_GBK" w:cs="方正黑体_GBK"/>
                <w:bCs w:val="0"/>
                <w:color w:val="auto"/>
                <w:sz w:val="24"/>
                <w:szCs w:val="24"/>
                <w:highlight w:val="none"/>
              </w:rPr>
              <w:t>指标类型</w:t>
            </w:r>
          </w:p>
        </w:tc>
        <w:tc>
          <w:tcPr>
            <w:tcW w:w="2709" w:type="dxa"/>
            <w:vMerge w:val="restart"/>
            <w:vAlign w:val="center"/>
          </w:tcPr>
          <w:p>
            <w:pPr>
              <w:widowControl/>
              <w:spacing w:line="300" w:lineRule="exact"/>
              <w:jc w:val="center"/>
              <w:rPr>
                <w:rFonts w:hint="default" w:ascii="方正黑体_GBK" w:hAnsi="方正黑体_GBK" w:eastAsia="方正黑体_GBK" w:cs="方正黑体_GBK"/>
                <w:bCs w:val="0"/>
                <w:color w:val="auto"/>
                <w:sz w:val="24"/>
                <w:szCs w:val="24"/>
                <w:highlight w:val="none"/>
              </w:rPr>
            </w:pPr>
            <w:r>
              <w:rPr>
                <w:rFonts w:hint="default" w:ascii="方正黑体_GBK" w:hAnsi="方正黑体_GBK" w:eastAsia="方正黑体_GBK" w:cs="方正黑体_GBK"/>
                <w:bCs w:val="0"/>
                <w:color w:val="auto"/>
                <w:sz w:val="24"/>
                <w:szCs w:val="24"/>
                <w:highlight w:val="none"/>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Merge w:val="continue"/>
          </w:tcPr>
          <w:p>
            <w:pPr>
              <w:spacing w:line="300" w:lineRule="exact"/>
              <w:rPr>
                <w:rFonts w:hint="default" w:ascii="Times New Roman" w:hAnsi="Times New Roman" w:eastAsia="方正仿宋_GBK" w:cs="Times New Roman"/>
                <w:bCs/>
                <w:color w:val="auto"/>
                <w:sz w:val="24"/>
                <w:szCs w:val="24"/>
                <w:highlight w:val="none"/>
              </w:rPr>
            </w:pPr>
          </w:p>
        </w:tc>
        <w:tc>
          <w:tcPr>
            <w:tcW w:w="1238" w:type="dxa"/>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方正黑体_GBK" w:hAnsi="方正黑体_GBK" w:eastAsia="方正黑体_GBK" w:cs="方正黑体_GBK"/>
                <w:bCs w:val="0"/>
                <w:color w:val="auto"/>
                <w:sz w:val="24"/>
                <w:szCs w:val="24"/>
                <w:highlight w:val="none"/>
              </w:rPr>
              <w:t>*代表准入指标</w:t>
            </w:r>
          </w:p>
        </w:tc>
        <w:tc>
          <w:tcPr>
            <w:tcW w:w="2709" w:type="dxa"/>
            <w:vMerge w:val="continue"/>
          </w:tcPr>
          <w:p>
            <w:pPr>
              <w:spacing w:line="300" w:lineRule="exact"/>
              <w:rPr>
                <w:rFonts w:hint="default" w:ascii="Times New Roman" w:hAnsi="Times New Roman" w:eastAsia="方正仿宋_GBK" w:cs="Times New Roman"/>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64" w:type="dxa"/>
            <w:vMerge w:val="restart"/>
            <w:vAlign w:val="center"/>
          </w:tcPr>
          <w:p>
            <w:pPr>
              <w:pStyle w:val="4"/>
              <w:spacing w:line="300" w:lineRule="exact"/>
              <w:rPr>
                <w:rFonts w:hint="default" w:ascii="Times New Roman" w:hAnsi="Times New Roman" w:eastAsia="方正仿宋_GBK" w:cs="Times New Roman"/>
                <w:b w:val="0"/>
                <w:bCs w:val="0"/>
                <w:color w:val="auto"/>
                <w:sz w:val="24"/>
                <w:szCs w:val="24"/>
                <w:highlight w:val="none"/>
              </w:rPr>
            </w:pPr>
            <w:bookmarkStart w:id="92" w:name="RANGE!A3"/>
            <w:r>
              <w:rPr>
                <w:rFonts w:hint="default" w:ascii="Times New Roman" w:hAnsi="Times New Roman" w:eastAsia="方正仿宋_GBK" w:cs="Times New Roman"/>
                <w:b w:val="0"/>
                <w:color w:val="auto"/>
                <w:sz w:val="24"/>
                <w:szCs w:val="24"/>
                <w:highlight w:val="none"/>
              </w:rPr>
              <w:t>一、床位配置</w:t>
            </w:r>
            <w:bookmarkEnd w:id="92"/>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（一）核定床位数</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≥500张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（二）实际开放床位数</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≥500张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（三）床位使用率</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93%--100%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164" w:type="dxa"/>
            <w:vMerge w:val="restart"/>
            <w:vAlign w:val="center"/>
          </w:tcPr>
          <w:p>
            <w:pPr>
              <w:pStyle w:val="4"/>
              <w:spacing w:line="300" w:lineRule="exact"/>
              <w:rPr>
                <w:rFonts w:hint="default" w:ascii="Times New Roman" w:hAnsi="Times New Roman" w:eastAsia="方正仿宋_GBK" w:cs="Times New Roman"/>
                <w:b w:val="0"/>
                <w:color w:val="auto"/>
                <w:sz w:val="24"/>
                <w:szCs w:val="24"/>
                <w:highlight w:val="none"/>
              </w:rPr>
            </w:pPr>
            <w:bookmarkStart w:id="93" w:name="RANGE!A6"/>
            <w:r>
              <w:rPr>
                <w:rFonts w:hint="default" w:ascii="Times New Roman" w:hAnsi="Times New Roman" w:eastAsia="方正仿宋_GBK" w:cs="Times New Roman"/>
                <w:b w:val="0"/>
                <w:color w:val="auto"/>
                <w:sz w:val="24"/>
                <w:szCs w:val="24"/>
                <w:highlight w:val="none"/>
              </w:rPr>
              <w:t>二、卫生技术人员配备</w:t>
            </w:r>
            <w:bookmarkEnd w:id="93"/>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（一）卫生技术人员数与开放床位数比</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（二）全院护士人数与开放床位数比</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≥0.</w:t>
            </w:r>
            <w:r>
              <w:rPr>
                <w:rFonts w:hint="default" w:ascii="Times New Roman" w:hAnsi="Times New Roman" w:eastAsia="方正仿宋_GBK" w:cs="Times New Roman"/>
                <w:color w:val="auto"/>
                <w:sz w:val="24"/>
                <w:szCs w:val="24"/>
                <w:highlight w:val="none"/>
                <w:lang w:val="en-US" w:eastAsia="zh-CN"/>
              </w:rPr>
              <w:t>6</w:t>
            </w:r>
            <w:r>
              <w:rPr>
                <w:rFonts w:hint="default" w:ascii="Times New Roman" w:hAnsi="Times New Roman" w:eastAsia="方正仿宋_GBK" w:cs="Times New Roman"/>
                <w:color w:val="auto"/>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（三）病区护士人数与开放床位数比</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（四）医院感染管理专职人员数与开放床位数比</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≤500 张床位的医院不得少于4人；每增加150-200张开放床位增加1人。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bookmarkStart w:id="94" w:name="RANGE!A10"/>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lang w:eastAsia="zh-CN"/>
              </w:rPr>
              <w:t>（五）药学专业技术人员数与卫生专业技术人员数比</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≥0.</w:t>
            </w:r>
            <w:r>
              <w:rPr>
                <w:rFonts w:hint="default" w:ascii="Times New Roman" w:hAnsi="Times New Roman" w:eastAsia="方正仿宋_GBK" w:cs="Times New Roman"/>
                <w:color w:val="auto"/>
                <w:sz w:val="24"/>
                <w:szCs w:val="24"/>
                <w:highlight w:val="none"/>
                <w:lang w:val="en-US" w:eastAsia="zh-CN"/>
              </w:rPr>
              <w:t>0</w:t>
            </w:r>
            <w:r>
              <w:rPr>
                <w:rFonts w:hint="default" w:ascii="Times New Roman" w:hAnsi="Times New Roman" w:eastAsia="方正仿宋_GBK" w:cs="Times New Roman"/>
                <w:color w:val="auto"/>
                <w:sz w:val="24"/>
                <w:szCs w:val="24"/>
                <w:highlight w:val="none"/>
              </w:rPr>
              <w:t>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64" w:type="dxa"/>
            <w:vMerge w:val="restart"/>
            <w:vAlign w:val="center"/>
          </w:tcPr>
          <w:p>
            <w:pPr>
              <w:pStyle w:val="4"/>
              <w:spacing w:line="300" w:lineRule="exact"/>
              <w:jc w:val="center"/>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rPr>
              <w:t>三、相关科室资源配置</w:t>
            </w:r>
            <w:bookmarkEnd w:id="94"/>
          </w:p>
        </w:tc>
        <w:tc>
          <w:tcPr>
            <w:tcW w:w="8029" w:type="dxa"/>
            <w:gridSpan w:val="3"/>
            <w:vAlign w:val="center"/>
          </w:tcPr>
          <w:p>
            <w:pPr>
              <w:spacing w:line="300" w:lineRule="exact"/>
              <w:jc w:val="center"/>
              <w:rPr>
                <w:rFonts w:hint="default" w:ascii="Times New Roman" w:hAnsi="Times New Roman" w:eastAsia="方正仿宋_GBK" w:cs="Times New Roman"/>
                <w:color w:val="auto"/>
                <w:sz w:val="24"/>
                <w:szCs w:val="24"/>
                <w:highlight w:val="none"/>
              </w:rPr>
            </w:pPr>
            <w:bookmarkStart w:id="95" w:name="RANGE!B10"/>
            <w:r>
              <w:rPr>
                <w:rFonts w:hint="default" w:ascii="Times New Roman" w:hAnsi="Times New Roman" w:eastAsia="方正仿宋_GBK" w:cs="Times New Roman"/>
                <w:bCs/>
                <w:color w:val="auto"/>
                <w:sz w:val="24"/>
                <w:szCs w:val="24"/>
                <w:highlight w:val="none"/>
              </w:rPr>
              <w:t>（一）急诊医学科</w:t>
            </w:r>
            <w:bookmarkEnd w:id="9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1.固定急诊医师人数占急诊在岗医师人数的比例</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2.固定急诊护士人数占急诊在岗护士人数的比例</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8029" w:type="dxa"/>
            <w:gridSpan w:val="3"/>
            <w:vAlign w:val="center"/>
          </w:tcPr>
          <w:p>
            <w:pPr>
              <w:spacing w:line="300" w:lineRule="exact"/>
              <w:jc w:val="center"/>
              <w:rPr>
                <w:rFonts w:hint="default" w:ascii="Times New Roman" w:hAnsi="Times New Roman" w:eastAsia="方正仿宋_GBK" w:cs="Times New Roman"/>
                <w:color w:val="auto"/>
                <w:sz w:val="24"/>
                <w:szCs w:val="24"/>
                <w:highlight w:val="none"/>
              </w:rPr>
            </w:pPr>
            <w:bookmarkStart w:id="96" w:name="RANGE!B13"/>
            <w:r>
              <w:rPr>
                <w:rFonts w:hint="default" w:ascii="Times New Roman" w:hAnsi="Times New Roman" w:eastAsia="方正仿宋_GBK" w:cs="Times New Roman"/>
                <w:bCs/>
                <w:color w:val="auto"/>
                <w:sz w:val="24"/>
                <w:szCs w:val="24"/>
                <w:highlight w:val="none"/>
              </w:rPr>
              <w:t>（二）重症医学科</w:t>
            </w:r>
            <w:bookmarkEnd w:id="9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1.重症医学科开放床位数占医院开放床位数的比例</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2.重症医学科医师人数与重症医学科开放床位数比</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3.重症医学科护士人数与重症医学科开放床位数比</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8029" w:type="dxa"/>
            <w:gridSpan w:val="3"/>
            <w:vAlign w:val="center"/>
          </w:tcPr>
          <w:p>
            <w:pPr>
              <w:spacing w:line="300" w:lineRule="exact"/>
              <w:jc w:val="center"/>
              <w:rPr>
                <w:rFonts w:hint="default" w:ascii="Times New Roman" w:hAnsi="Times New Roman" w:eastAsia="方正仿宋_GBK" w:cs="Times New Roman"/>
                <w:color w:val="auto"/>
                <w:sz w:val="24"/>
                <w:szCs w:val="24"/>
                <w:highlight w:val="none"/>
              </w:rPr>
            </w:pPr>
            <w:bookmarkStart w:id="97" w:name="RANGE!B17"/>
            <w:r>
              <w:rPr>
                <w:rFonts w:hint="default" w:ascii="Times New Roman" w:hAnsi="Times New Roman" w:eastAsia="方正仿宋_GBK" w:cs="Times New Roman"/>
                <w:bCs/>
                <w:color w:val="auto"/>
                <w:sz w:val="24"/>
                <w:szCs w:val="24"/>
                <w:highlight w:val="none"/>
              </w:rPr>
              <w:t>（三）麻醉科</w:t>
            </w:r>
            <w:bookmarkEnd w:id="9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eastAsia" w:ascii="Times New Roman" w:hAnsi="Times New Roman" w:eastAsia="方正仿宋_GBK" w:cs="Times New Roman"/>
                <w:bCs/>
                <w:color w:val="auto"/>
                <w:sz w:val="24"/>
                <w:szCs w:val="24"/>
                <w:highlight w:val="none"/>
                <w:lang w:eastAsia="zh-CN"/>
              </w:rPr>
            </w:pPr>
            <w:r>
              <w:rPr>
                <w:rFonts w:hint="default" w:ascii="Times New Roman" w:hAnsi="Times New Roman" w:eastAsia="方正仿宋_GBK" w:cs="Times New Roman"/>
                <w:bCs/>
                <w:color w:val="auto"/>
                <w:sz w:val="24"/>
                <w:szCs w:val="24"/>
                <w:highlight w:val="none"/>
              </w:rPr>
              <w:t>1.麻醉科医师数与手术间数</w:t>
            </w:r>
            <w:r>
              <w:rPr>
                <w:rFonts w:hint="eastAsia" w:cs="Times New Roman"/>
                <w:bCs/>
                <w:color w:val="auto"/>
                <w:sz w:val="24"/>
                <w:szCs w:val="24"/>
                <w:highlight w:val="none"/>
                <w:lang w:eastAsia="zh-CN"/>
              </w:rPr>
              <w:t>（</w:t>
            </w:r>
            <w:r>
              <w:rPr>
                <w:rFonts w:hint="default" w:ascii="Times New Roman" w:hAnsi="Times New Roman" w:eastAsia="方正仿宋_GBK" w:cs="Times New Roman"/>
                <w:bCs/>
                <w:color w:val="auto"/>
                <w:sz w:val="24"/>
                <w:szCs w:val="24"/>
                <w:highlight w:val="none"/>
              </w:rPr>
              <w:t>含无痛诊疗手术间数</w:t>
            </w:r>
            <w:r>
              <w:rPr>
                <w:rFonts w:hint="eastAsia" w:cs="Times New Roman"/>
                <w:bCs/>
                <w:color w:val="auto"/>
                <w:sz w:val="24"/>
                <w:szCs w:val="24"/>
                <w:highlight w:val="none"/>
                <w:lang w:eastAsia="zh-CN"/>
              </w:rPr>
              <w:t>）</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≥2:1（大学附属医院满足教学需要人员增加10%）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sz w:val="24"/>
              </w:rPr>
              <mc:AlternateContent>
                <mc:Choice Requires="wps">
                  <w:drawing>
                    <wp:anchor distT="0" distB="0" distL="114300" distR="114300" simplePos="0" relativeHeight="251659264" behindDoc="0" locked="0" layoutInCell="1" allowOverlap="1">
                      <wp:simplePos x="0" y="0"/>
                      <wp:positionH relativeFrom="column">
                        <wp:posOffset>-801370</wp:posOffset>
                      </wp:positionH>
                      <wp:positionV relativeFrom="paragraph">
                        <wp:posOffset>250825</wp:posOffset>
                      </wp:positionV>
                      <wp:extent cx="704850" cy="809625"/>
                      <wp:effectExtent l="0" t="0" r="0" b="0"/>
                      <wp:wrapNone/>
                      <wp:docPr id="2" name="文本框 2"/>
                      <wp:cNvGraphicFramePr/>
                      <a:graphic xmlns:a="http://schemas.openxmlformats.org/drawingml/2006/main">
                        <a:graphicData uri="http://schemas.microsoft.com/office/word/2010/wordprocessingShape">
                          <wps:wsp>
                            <wps:cNvSpPr txBox="1"/>
                            <wps:spPr>
                              <a:xfrm>
                                <a:off x="962660" y="3631565"/>
                                <a:ext cx="704850" cy="809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b w:val="0"/>
                                      <w:color w:val="auto"/>
                                      <w:sz w:val="24"/>
                                      <w:szCs w:val="24"/>
                                      <w:highlight w:val="none"/>
                                    </w:rPr>
                                    <w:t>三、相关科室资源配置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3.1pt;margin-top:19.75pt;height:63.75pt;width:55.5pt;z-index:251659264;mso-width-relative:page;mso-height-relative:page;" filled="f" stroked="f" coordsize="21600,21600" o:gfxdata="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MubwJ2wAAAAsBAAAPAAAAAAAAAAEA&#10;IAAAACIAAABkcnMvZG93bnJldi54bWxQSwECFAAUAAAACACHTuJA1b2NIEUCAABwBAAADgAAAAAA&#10;AAABACAAAAAqAQAAZHJzL2Uyb0RvYy54bWxQSwUGAAAAAAYABgBZAQAA4QU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b w:val="0"/>
                                <w:color w:val="auto"/>
                                <w:sz w:val="24"/>
                                <w:szCs w:val="24"/>
                                <w:highlight w:val="none"/>
                              </w:rPr>
                              <w:t>三、相关科室资源配置</w:t>
                            </w:r>
                          </w:p>
                        </w:txbxContent>
                      </v:textbox>
                    </v:shape>
                  </w:pict>
                </mc:Fallback>
              </mc:AlternateContent>
            </w:r>
            <w:r>
              <w:rPr>
                <w:rFonts w:hint="default" w:ascii="Times New Roman" w:hAnsi="Times New Roman" w:eastAsia="方正仿宋_GBK" w:cs="Times New Roman"/>
                <w:bCs/>
                <w:color w:val="auto"/>
                <w:sz w:val="24"/>
                <w:szCs w:val="24"/>
                <w:highlight w:val="none"/>
              </w:rPr>
              <w:t>2.麻</w:t>
            </w:r>
            <w:r>
              <w:rPr>
                <w:rFonts w:hint="default" w:ascii="Times New Roman" w:hAnsi="Times New Roman" w:eastAsia="方正仿宋_GBK" w:cs="Times New Roman"/>
                <w:bCs/>
                <w:color w:val="auto"/>
                <w:spacing w:val="-6"/>
                <w:kern w:val="0"/>
                <w:sz w:val="24"/>
                <w:szCs w:val="24"/>
                <w:highlight w:val="none"/>
              </w:rPr>
              <w:t>醉科医师数与年均全麻手术台次比</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numPr>
                <w:ilvl w:val="0"/>
                <w:numId w:val="0"/>
              </w:numPr>
              <w:spacing w:line="300" w:lineRule="exact"/>
              <w:ind w:leftChars="0"/>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color w:val="auto"/>
                <w:sz w:val="24"/>
                <w:szCs w:val="24"/>
                <w:highlight w:val="none"/>
                <w:lang w:eastAsia="zh-CN"/>
              </w:rPr>
              <w:t>3.麻醉科医师和手术科室医师比</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rPr>
              <w:t>:</w:t>
            </w:r>
            <w:r>
              <w:rPr>
                <w:rFonts w:hint="default" w:ascii="Times New Roman" w:hAnsi="Times New Roman" w:eastAsia="方正仿宋_GBK" w:cs="Times New Roman"/>
                <w:color w:val="auto"/>
                <w:sz w:val="24"/>
                <w:szCs w:val="24"/>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numPr>
                <w:ilvl w:val="0"/>
                <w:numId w:val="0"/>
              </w:numPr>
              <w:spacing w:line="300" w:lineRule="exact"/>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lang w:eastAsia="zh-CN"/>
              </w:rPr>
              <w:t>手术间麻醉护士与实际开放手术台的数量比</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rPr>
              <w:t>0.</w:t>
            </w:r>
            <w:r>
              <w:rPr>
                <w:rFonts w:hint="default" w:ascii="Times New Roman" w:hAnsi="Times New Roman" w:eastAsia="方正仿宋_GBK" w:cs="Times New Roman"/>
                <w:color w:val="auto"/>
                <w:sz w:val="24"/>
                <w:szCs w:val="24"/>
                <w:highlight w:val="none"/>
                <w:lang w:val="en-US" w:eastAsia="zh-CN"/>
              </w:rPr>
              <w:t>5</w:t>
            </w:r>
            <w:r>
              <w:rPr>
                <w:rFonts w:hint="default" w:ascii="Times New Roman" w:hAnsi="Times New Roman" w:eastAsia="方正仿宋_GBK" w:cs="Times New Roman"/>
                <w:color w:val="auto"/>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8029" w:type="dxa"/>
            <w:gridSpan w:val="3"/>
            <w:vAlign w:val="center"/>
          </w:tcPr>
          <w:p>
            <w:pPr>
              <w:spacing w:line="300" w:lineRule="exact"/>
              <w:jc w:val="center"/>
              <w:rPr>
                <w:rFonts w:hint="default" w:ascii="Times New Roman" w:hAnsi="Times New Roman" w:eastAsia="方正仿宋_GBK" w:cs="Times New Roman"/>
                <w:color w:val="auto"/>
                <w:sz w:val="24"/>
                <w:szCs w:val="24"/>
                <w:highlight w:val="none"/>
              </w:rPr>
            </w:pPr>
            <w:bookmarkStart w:id="98" w:name="RANGE!B20"/>
            <w:r>
              <w:rPr>
                <w:rFonts w:hint="default" w:ascii="Times New Roman" w:hAnsi="Times New Roman" w:eastAsia="方正仿宋_GBK" w:cs="Times New Roman"/>
                <w:bCs/>
                <w:color w:val="auto"/>
                <w:sz w:val="24"/>
                <w:szCs w:val="24"/>
                <w:highlight w:val="none"/>
              </w:rPr>
              <w:t>（四）中医科</w:t>
            </w:r>
            <w:bookmarkEnd w:id="9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1.中医科开放床位数占医院开放床位数的比例</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w:t>
            </w:r>
            <w:r>
              <w:rPr>
                <w:rFonts w:hint="default" w:ascii="Times New Roman" w:hAnsi="Times New Roman" w:eastAsia="方正仿宋_GBK" w:cs="Times New Roman"/>
                <w:color w:val="auto"/>
                <w:sz w:val="24"/>
                <w:szCs w:val="24"/>
                <w:highlight w:val="none"/>
                <w:lang w:val="en-US" w:eastAsia="zh-CN"/>
              </w:rPr>
              <w:t>5</w:t>
            </w:r>
            <w:r>
              <w:rPr>
                <w:rFonts w:hint="default" w:ascii="Times New Roman" w:hAnsi="Times New Roman" w:eastAsia="方正仿宋_GBK" w:cs="Times New Roman"/>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2.中医科中医类别医师人数与中医科开放床位数比</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≥0.4</w:t>
            </w:r>
            <w:r>
              <w:rPr>
                <w:rFonts w:hint="eastAsia"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3.</w:t>
            </w:r>
            <w:r>
              <w:rPr>
                <w:rFonts w:hint="default" w:ascii="Times New Roman" w:hAnsi="Times New Roman" w:eastAsia="方正仿宋_GBK" w:cs="Times New Roman"/>
                <w:bCs/>
                <w:color w:val="auto"/>
                <w:spacing w:val="-6"/>
                <w:kern w:val="0"/>
                <w:sz w:val="24"/>
                <w:szCs w:val="24"/>
                <w:highlight w:val="none"/>
              </w:rPr>
              <w:t>中</w:t>
            </w:r>
            <w:r>
              <w:rPr>
                <w:rFonts w:hint="default" w:ascii="Times New Roman" w:hAnsi="Times New Roman" w:eastAsia="方正仿宋_GBK" w:cs="Times New Roman"/>
                <w:bCs/>
                <w:color w:val="auto"/>
                <w:spacing w:val="-11"/>
                <w:kern w:val="0"/>
                <w:sz w:val="24"/>
                <w:szCs w:val="24"/>
                <w:highlight w:val="none"/>
              </w:rPr>
              <w:t>医科护士人数与中医科开放床位数比</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≥0.4</w:t>
            </w:r>
            <w:r>
              <w:rPr>
                <w:rFonts w:hint="eastAsia"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8029" w:type="dxa"/>
            <w:gridSpan w:val="3"/>
            <w:vAlign w:val="center"/>
          </w:tcPr>
          <w:p>
            <w:pPr>
              <w:spacing w:line="300" w:lineRule="exact"/>
              <w:jc w:val="center"/>
              <w:rPr>
                <w:rFonts w:hint="default" w:ascii="Times New Roman" w:hAnsi="Times New Roman" w:eastAsia="方正仿宋_GBK" w:cs="Times New Roman"/>
                <w:color w:val="auto"/>
                <w:sz w:val="24"/>
                <w:szCs w:val="24"/>
                <w:highlight w:val="none"/>
              </w:rPr>
            </w:pPr>
            <w:bookmarkStart w:id="99" w:name="RANGE!B24"/>
            <w:r>
              <w:rPr>
                <w:rFonts w:hint="default" w:ascii="Times New Roman" w:hAnsi="Times New Roman" w:eastAsia="方正仿宋_GBK" w:cs="Times New Roman"/>
                <w:bCs/>
                <w:color w:val="auto"/>
                <w:sz w:val="24"/>
                <w:szCs w:val="24"/>
                <w:highlight w:val="none"/>
              </w:rPr>
              <w:t>（五）康复医学科</w:t>
            </w:r>
            <w:bookmarkEnd w:id="9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1.康复科开放床位数占医院开放床位数的比例</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2.</w:t>
            </w:r>
            <w:r>
              <w:rPr>
                <w:rFonts w:hint="default" w:ascii="Times New Roman" w:hAnsi="Times New Roman" w:eastAsia="方正仿宋_GBK" w:cs="Times New Roman"/>
                <w:bCs/>
                <w:color w:val="auto"/>
                <w:spacing w:val="-11"/>
                <w:kern w:val="0"/>
                <w:sz w:val="24"/>
                <w:szCs w:val="24"/>
                <w:highlight w:val="none"/>
              </w:rPr>
              <w:t>康复科医师人数与康复科开放床位数比</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3.</w:t>
            </w:r>
            <w:r>
              <w:rPr>
                <w:rFonts w:hint="default" w:ascii="Times New Roman" w:hAnsi="Times New Roman" w:eastAsia="方正仿宋_GBK" w:cs="Times New Roman"/>
                <w:bCs/>
                <w:color w:val="auto"/>
                <w:spacing w:val="-6"/>
                <w:kern w:val="0"/>
                <w:sz w:val="24"/>
                <w:szCs w:val="24"/>
                <w:highlight w:val="none"/>
              </w:rPr>
              <w:t>康复科康复师人数与康复科开放床位数比</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4.</w:t>
            </w:r>
            <w:r>
              <w:rPr>
                <w:rFonts w:hint="default" w:ascii="Times New Roman" w:hAnsi="Times New Roman" w:eastAsia="方正仿宋_GBK" w:cs="Times New Roman"/>
                <w:bCs/>
                <w:color w:val="auto"/>
                <w:spacing w:val="-6"/>
                <w:kern w:val="0"/>
                <w:sz w:val="24"/>
                <w:szCs w:val="24"/>
                <w:highlight w:val="none"/>
              </w:rPr>
              <w:t>康</w:t>
            </w:r>
            <w:r>
              <w:rPr>
                <w:rFonts w:hint="default" w:ascii="Times New Roman" w:hAnsi="Times New Roman" w:eastAsia="方正仿宋_GBK" w:cs="Times New Roman"/>
                <w:bCs/>
                <w:color w:val="auto"/>
                <w:spacing w:val="-11"/>
                <w:kern w:val="0"/>
                <w:sz w:val="24"/>
                <w:szCs w:val="24"/>
                <w:highlight w:val="none"/>
              </w:rPr>
              <w:t>复科护士人数与康复科开放床位数比</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8029" w:type="dxa"/>
            <w:gridSpan w:val="3"/>
            <w:vAlign w:val="center"/>
          </w:tcPr>
          <w:p>
            <w:pPr>
              <w:spacing w:line="300" w:lineRule="exact"/>
              <w:jc w:val="center"/>
              <w:rPr>
                <w:rFonts w:hint="default" w:ascii="Times New Roman" w:hAnsi="Times New Roman" w:eastAsia="方正仿宋_GBK" w:cs="Times New Roman"/>
                <w:color w:val="auto"/>
                <w:sz w:val="24"/>
                <w:szCs w:val="24"/>
                <w:highlight w:val="none"/>
              </w:rPr>
            </w:pPr>
            <w:bookmarkStart w:id="100" w:name="RANGE!B29"/>
            <w:r>
              <w:rPr>
                <w:rFonts w:hint="default" w:ascii="Times New Roman" w:hAnsi="Times New Roman" w:eastAsia="方正仿宋_GBK" w:cs="Times New Roman"/>
                <w:bCs/>
                <w:color w:val="auto"/>
                <w:sz w:val="24"/>
                <w:szCs w:val="24"/>
                <w:highlight w:val="none"/>
              </w:rPr>
              <w:t>（六）感染性疾病科</w:t>
            </w:r>
            <w:bookmarkEnd w:id="10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1.固定医师人数占感染性疾病科在岗医师人数的比例</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2.固定护士人数占感染性疾病科在岗护士人数的比例</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3.感染性疾病科开放床位数占医院开放床位数的比例</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164" w:type="dxa"/>
            <w:vMerge w:val="continue"/>
            <w:tcBorders>
              <w:bottom w:val="single" w:color="auto" w:sz="4" w:space="0"/>
            </w:tcBorders>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4.可转换感染性疾病床位数占医院开放床位数的比例</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164" w:type="dxa"/>
            <w:vMerge w:val="restart"/>
            <w:tcBorders>
              <w:top w:val="single" w:color="auto" w:sz="4" w:space="0"/>
            </w:tcBorders>
            <w:vAlign w:val="center"/>
          </w:tcPr>
          <w:p>
            <w:pPr>
              <w:spacing w:line="300" w:lineRule="exact"/>
              <w:jc w:val="center"/>
              <w:rPr>
                <w:rFonts w:hint="default" w:ascii="Times New Roman" w:hAnsi="Times New Roman" w:eastAsia="方正仿宋_GBK" w:cs="Times New Roman"/>
                <w:color w:val="auto"/>
                <w:sz w:val="24"/>
                <w:szCs w:val="24"/>
                <w:highlight w:val="none"/>
              </w:rPr>
            </w:pPr>
            <w:r>
              <w:rPr>
                <w:sz w:val="24"/>
              </w:rPr>
              <mc:AlternateContent>
                <mc:Choice Requires="wps">
                  <w:drawing>
                    <wp:anchor distT="0" distB="0" distL="114300" distR="114300" simplePos="0" relativeHeight="251660288" behindDoc="0" locked="0" layoutInCell="1" allowOverlap="1">
                      <wp:simplePos x="0" y="0"/>
                      <wp:positionH relativeFrom="column">
                        <wp:posOffset>-33655</wp:posOffset>
                      </wp:positionH>
                      <wp:positionV relativeFrom="paragraph">
                        <wp:posOffset>465455</wp:posOffset>
                      </wp:positionV>
                      <wp:extent cx="704850" cy="809625"/>
                      <wp:effectExtent l="0" t="0" r="0" b="0"/>
                      <wp:wrapNone/>
                      <wp:docPr id="3" name="文本框 3"/>
                      <wp:cNvGraphicFramePr/>
                      <a:graphic xmlns:a="http://schemas.openxmlformats.org/drawingml/2006/main">
                        <a:graphicData uri="http://schemas.microsoft.com/office/word/2010/wordprocessingShape">
                          <wps:wsp>
                            <wps:cNvSpPr txBox="1"/>
                            <wps:spPr>
                              <a:xfrm>
                                <a:off x="0" y="0"/>
                                <a:ext cx="704850" cy="809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b w:val="0"/>
                                      <w:color w:val="auto"/>
                                      <w:sz w:val="24"/>
                                      <w:szCs w:val="24"/>
                                      <w:highlight w:val="none"/>
                                    </w:rPr>
                                    <w:t>三、相关科室资源配置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5pt;margin-top:36.65pt;height:63.75pt;width:55.5pt;z-index:251660288;mso-width-relative:page;mso-height-relative:page;" filled="f" stroked="f" coordsize="21600,21600" o:gfxdata="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IrusLbaAAAACQEAAA8AAAAAAAAAAQAgAAAAIgAAAGRycy9k&#10;b3ducmV2LnhtbFBLAQIUABQAAAAIAIdO4kB8Alq9OQIAAGUEAAAOAAAAAAAAAAEAIAAAACkBAABk&#10;cnMvZTJvRG9jLnhtbFBLBQYAAAAABgAGAFkBAADUBQ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b w:val="0"/>
                                <w:color w:val="auto"/>
                                <w:sz w:val="24"/>
                                <w:szCs w:val="24"/>
                                <w:highlight w:val="none"/>
                              </w:rPr>
                              <w:t>三、相关科室资源配置</w:t>
                            </w:r>
                          </w:p>
                        </w:txbxContent>
                      </v:textbox>
                    </v:shape>
                  </w:pict>
                </mc:Fallback>
              </mc:AlternateContent>
            </w:r>
          </w:p>
        </w:tc>
        <w:tc>
          <w:tcPr>
            <w:tcW w:w="8029" w:type="dxa"/>
            <w:gridSpan w:val="3"/>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（七）老年医学科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1.老年医学科开放床位数</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≥20张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2.老年医学科医师人数与老年医学开放床位数比</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3.老年医学科护士人数与老年医学科开放床位数比</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64" w:type="dxa"/>
            <w:vMerge w:val="restart"/>
            <w:vAlign w:val="center"/>
          </w:tcPr>
          <w:p>
            <w:pPr>
              <w:pStyle w:val="4"/>
              <w:spacing w:line="300" w:lineRule="exact"/>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rPr>
              <w:t>四、运行指标</w:t>
            </w: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（一）相关手术科室年手术人次占其出院人次比例</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exac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（二）开放床位使用率</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93%--100%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exact"/>
          <w:jc w:val="center"/>
        </w:trPr>
        <w:tc>
          <w:tcPr>
            <w:tcW w:w="1164" w:type="dxa"/>
            <w:vMerge w:val="continue"/>
            <w:vAlign w:val="center"/>
          </w:tcPr>
          <w:p>
            <w:pPr>
              <w:spacing w:line="300" w:lineRule="exact"/>
              <w:jc w:val="center"/>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（三）人员支出占业务支出的比重</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64" w:type="dxa"/>
            <w:vMerge w:val="restart"/>
            <w:vAlign w:val="center"/>
          </w:tcPr>
          <w:p>
            <w:pPr>
              <w:pStyle w:val="4"/>
              <w:spacing w:line="300" w:lineRule="exact"/>
              <w:rPr>
                <w:rFonts w:hint="default" w:ascii="Times New Roman" w:hAnsi="Times New Roman" w:eastAsia="方正仿宋_GBK" w:cs="Times New Roman"/>
                <w:b w:val="0"/>
                <w:color w:val="auto"/>
                <w:sz w:val="24"/>
                <w:szCs w:val="24"/>
                <w:highlight w:val="none"/>
              </w:rPr>
            </w:pPr>
            <w:bookmarkStart w:id="101" w:name="RANGE!A37"/>
            <w:r>
              <w:rPr>
                <w:rFonts w:hint="default" w:ascii="Times New Roman" w:hAnsi="Times New Roman" w:eastAsia="方正仿宋_GBK" w:cs="Times New Roman"/>
                <w:b w:val="0"/>
                <w:color w:val="auto"/>
                <w:sz w:val="24"/>
                <w:szCs w:val="24"/>
                <w:highlight w:val="none"/>
              </w:rPr>
              <w:t>五、科研指标</w:t>
            </w:r>
            <w:bookmarkEnd w:id="101"/>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（一）新技术临床转化数量</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评审周期内逐年提高（每百名卫生技术人员科技成果转化金额）。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64" w:type="dxa"/>
            <w:vMerge w:val="continue"/>
          </w:tcPr>
          <w:p>
            <w:pPr>
              <w:spacing w:line="300" w:lineRule="exact"/>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（二）取得临床相关国家专利数量</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widowControl/>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评审周期内逐年提高（每百名卫生技术人员发明国家发明专利数量）。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64" w:type="dxa"/>
            <w:vMerge w:val="continue"/>
          </w:tcPr>
          <w:p>
            <w:pPr>
              <w:spacing w:line="300" w:lineRule="exact"/>
              <w:rPr>
                <w:rFonts w:hint="default" w:ascii="Times New Roman" w:hAnsi="Times New Roman" w:eastAsia="方正仿宋_GBK" w:cs="Times New Roman"/>
                <w:bCs/>
                <w:color w:val="auto"/>
                <w:sz w:val="24"/>
                <w:szCs w:val="24"/>
                <w:highlight w:val="none"/>
              </w:rPr>
            </w:pP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r>
              <w:rPr>
                <w:rFonts w:hint="default" w:ascii="Times New Roman" w:hAnsi="Times New Roman" w:eastAsia="方正仿宋_GBK" w:cs="Times New Roman"/>
                <w:bCs/>
                <w:color w:val="auto"/>
                <w:sz w:val="24"/>
                <w:szCs w:val="24"/>
                <w:highlight w:val="none"/>
                <w:lang w:eastAsia="zh-CN"/>
              </w:rPr>
              <w:t>三</w:t>
            </w:r>
            <w:r>
              <w:rPr>
                <w:rFonts w:hint="default" w:ascii="Times New Roman" w:hAnsi="Times New Roman" w:eastAsia="方正仿宋_GBK" w:cs="Times New Roman"/>
                <w:bCs/>
                <w:color w:val="auto"/>
                <w:sz w:val="24"/>
                <w:szCs w:val="24"/>
                <w:highlight w:val="none"/>
              </w:rPr>
              <w:t>）</w:t>
            </w:r>
            <w:r>
              <w:rPr>
                <w:rFonts w:hint="default" w:ascii="Times New Roman" w:hAnsi="Times New Roman" w:eastAsia="方正仿宋_GBK" w:cs="Times New Roman"/>
                <w:b w:val="0"/>
                <w:bCs/>
                <w:color w:val="auto"/>
                <w:sz w:val="24"/>
                <w:szCs w:val="24"/>
                <w:highlight w:val="none"/>
                <w:lang w:eastAsia="zh-CN"/>
              </w:rPr>
              <w:t>科研项目数量</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widowControl/>
              <w:spacing w:line="300" w:lineRule="exact"/>
              <w:jc w:val="both"/>
              <w:rPr>
                <w:rFonts w:hint="default"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color w:val="auto"/>
                <w:sz w:val="24"/>
                <w:szCs w:val="24"/>
                <w:highlight w:val="none"/>
              </w:rPr>
              <w:t>评审周期内三级专科医院及县级三级综合医院市级及以上科研项目不少于10项，其中省级及以上科研项目不少于2项；市级三级综合医院市级及以上科研项目不少于15项，其中省级及以上科研项目不少于3项；省级三级综合医院省级及以上科研项目不少于15项。</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本指标为一票否决项</w:t>
            </w:r>
            <w:r>
              <w:rPr>
                <w:rFonts w:hint="default" w:ascii="Times New Roman" w:hAnsi="Times New Roman" w:eastAsia="方正仿宋_GBK" w:cs="Times New Roman"/>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64" w:type="dxa"/>
            <w:vAlign w:val="center"/>
          </w:tcPr>
          <w:p>
            <w:pPr>
              <w:spacing w:line="300" w:lineRule="exact"/>
              <w:jc w:val="both"/>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 w:val="0"/>
                <w:color w:val="auto"/>
                <w:sz w:val="24"/>
                <w:szCs w:val="24"/>
                <w:highlight w:val="none"/>
                <w:lang w:eastAsia="zh-CN"/>
              </w:rPr>
              <w:t>六</w:t>
            </w:r>
            <w:r>
              <w:rPr>
                <w:rFonts w:hint="default" w:ascii="Times New Roman" w:hAnsi="Times New Roman" w:eastAsia="方正仿宋_GBK" w:cs="Times New Roman"/>
                <w:b w:val="0"/>
                <w:color w:val="auto"/>
                <w:sz w:val="24"/>
                <w:szCs w:val="24"/>
                <w:highlight w:val="none"/>
              </w:rPr>
              <w:t>、</w:t>
            </w:r>
            <w:r>
              <w:rPr>
                <w:rFonts w:hint="default" w:ascii="Times New Roman" w:hAnsi="Times New Roman" w:eastAsia="方正仿宋_GBK" w:cs="Times New Roman"/>
                <w:b w:val="0"/>
                <w:color w:val="auto"/>
                <w:sz w:val="24"/>
                <w:szCs w:val="24"/>
                <w:highlight w:val="none"/>
                <w:lang w:eastAsia="zh-CN"/>
              </w:rPr>
              <w:t>能力</w:t>
            </w:r>
            <w:r>
              <w:rPr>
                <w:rFonts w:hint="default" w:ascii="Times New Roman" w:hAnsi="Times New Roman" w:eastAsia="方正仿宋_GBK" w:cs="Times New Roman"/>
                <w:b w:val="0"/>
                <w:color w:val="auto"/>
                <w:sz w:val="24"/>
                <w:szCs w:val="24"/>
                <w:highlight w:val="none"/>
              </w:rPr>
              <w:t>指标</w:t>
            </w:r>
          </w:p>
        </w:tc>
        <w:tc>
          <w:tcPr>
            <w:tcW w:w="4082" w:type="dxa"/>
            <w:vAlign w:val="center"/>
          </w:tcPr>
          <w:p>
            <w:pPr>
              <w:spacing w:line="300" w:lineRule="exact"/>
              <w:jc w:val="both"/>
              <w:rPr>
                <w:rFonts w:hint="default" w:ascii="Times New Roman" w:hAnsi="Times New Roman" w:eastAsia="方正仿宋_GBK" w:cs="Times New Roman"/>
                <w:bCs/>
                <w:color w:val="auto"/>
                <w:sz w:val="24"/>
                <w:szCs w:val="24"/>
                <w:highlight w:val="none"/>
                <w:lang w:eastAsia="zh-CN"/>
              </w:rPr>
            </w:pPr>
            <w:r>
              <w:rPr>
                <w:rFonts w:hint="default" w:ascii="Times New Roman" w:hAnsi="Times New Roman" w:eastAsia="方正仿宋_GBK" w:cs="Times New Roman"/>
                <w:bCs/>
                <w:color w:val="auto"/>
                <w:sz w:val="24"/>
                <w:szCs w:val="24"/>
                <w:highlight w:val="none"/>
              </w:rPr>
              <w:t>（一）</w:t>
            </w:r>
            <w:r>
              <w:rPr>
                <w:rFonts w:hint="default" w:ascii="Times New Roman" w:hAnsi="Times New Roman" w:eastAsia="方正仿宋_GBK" w:cs="Times New Roman"/>
                <w:bCs/>
                <w:color w:val="auto"/>
                <w:sz w:val="24"/>
                <w:szCs w:val="24"/>
                <w:highlight w:val="none"/>
                <w:lang w:eastAsia="zh-CN"/>
              </w:rPr>
              <w:t>重点专科数量</w:t>
            </w:r>
          </w:p>
        </w:tc>
        <w:tc>
          <w:tcPr>
            <w:tcW w:w="1238" w:type="dxa"/>
            <w:noWrap/>
            <w:vAlign w:val="center"/>
          </w:tcPr>
          <w:p>
            <w:pPr>
              <w:spacing w:line="300" w:lineRule="exact"/>
              <w:jc w:val="center"/>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p>
        </w:tc>
        <w:tc>
          <w:tcPr>
            <w:tcW w:w="2709" w:type="dxa"/>
            <w:noWrap/>
            <w:vAlign w:val="center"/>
          </w:tcPr>
          <w:p>
            <w:pPr>
              <w:keepNext w:val="0"/>
              <w:keepLines w:val="0"/>
              <w:pageBreakBefore w:val="0"/>
              <w:widowControl/>
              <w:numPr>
                <w:ilvl w:val="-1"/>
                <w:numId w:val="0"/>
              </w:numPr>
              <w:kinsoku/>
              <w:wordWrap/>
              <w:overflowPunct/>
              <w:topLinePunct w:val="0"/>
              <w:autoSpaceDE/>
              <w:autoSpaceDN/>
              <w:bidi w:val="0"/>
              <w:adjustRightInd/>
              <w:snapToGrid/>
              <w:spacing w:line="300" w:lineRule="exact"/>
              <w:ind w:firstLine="0" w:firstLineChars="0"/>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评审周期内三级专科医院及县级三级综合医院省级及以上重点专科不少于1个或市级及以上重点专科不少于3个；省市级三级综合医院省级及以上重点专科不少于2个或市级及以上重点专科不少于6个。</w:t>
            </w:r>
          </w:p>
          <w:p>
            <w:pPr>
              <w:widowControl/>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本指标为一票否决项</w:t>
            </w:r>
            <w:r>
              <w:rPr>
                <w:rFonts w:hint="default" w:ascii="Times New Roman" w:hAnsi="Times New Roman" w:eastAsia="方正仿宋_GBK" w:cs="Times New Roman"/>
                <w:color w:val="auto"/>
                <w:sz w:val="24"/>
                <w:szCs w:val="24"/>
                <w:highlight w:val="none"/>
                <w:lang w:eastAsia="zh-CN"/>
              </w:rPr>
              <w:t>）</w:t>
            </w:r>
          </w:p>
        </w:tc>
      </w:tr>
    </w:tbl>
    <w:p>
      <w:pPr>
        <w:rPr>
          <w:color w:val="auto"/>
          <w:highlight w:val="none"/>
        </w:rPr>
      </w:pPr>
    </w:p>
    <w:p>
      <w:pPr>
        <w:numPr>
          <w:ilvl w:val="0"/>
          <w:numId w:val="1"/>
        </w:numPr>
        <w:rPr>
          <w:rFonts w:hint="eastAsia" w:ascii="Times New Roman" w:hAnsi="Times New Roman" w:eastAsia="方正黑体_GBK" w:cs="Times New Roman"/>
          <w:b w:val="0"/>
          <w:color w:val="auto"/>
          <w:sz w:val="32"/>
          <w:szCs w:val="24"/>
          <w:highlight w:val="none"/>
          <w:lang w:val="en-US" w:eastAsia="zh-CN"/>
        </w:rPr>
      </w:pPr>
      <w:bookmarkStart w:id="102" w:name="_Toc25115"/>
      <w:bookmarkStart w:id="103" w:name="_Toc24509"/>
      <w:bookmarkStart w:id="104" w:name="_Toc19947"/>
      <w:bookmarkStart w:id="105" w:name="_Toc3322"/>
      <w:bookmarkStart w:id="106" w:name="_Toc11799"/>
      <w:bookmarkStart w:id="107" w:name="_Toc24103"/>
      <w:bookmarkStart w:id="108" w:name="_Toc25067"/>
      <w:bookmarkStart w:id="109" w:name="_Toc18616"/>
      <w:bookmarkStart w:id="110" w:name="_Toc13521"/>
      <w:bookmarkStart w:id="111" w:name="_Toc21145"/>
      <w:r>
        <w:rPr>
          <w:rFonts w:hint="eastAsia" w:ascii="Times New Roman" w:hAnsi="Times New Roman" w:eastAsia="方正黑体_GBK" w:cs="Times New Roman"/>
          <w:b w:val="0"/>
          <w:color w:val="auto"/>
          <w:sz w:val="32"/>
          <w:szCs w:val="24"/>
          <w:highlight w:val="none"/>
          <w:lang w:val="en-US" w:eastAsia="zh-CN"/>
        </w:rPr>
        <w:br w:type="page"/>
      </w:r>
    </w:p>
    <w:p>
      <w:pPr>
        <w:pStyle w:val="3"/>
        <w:numPr>
          <w:ilvl w:val="-1"/>
          <w:numId w:val="0"/>
        </w:numPr>
        <w:ind w:left="0" w:leftChars="0" w:firstLine="0" w:firstLineChars="0"/>
        <w:jc w:val="center"/>
        <w:rPr>
          <w:rFonts w:hint="default" w:ascii="Times New Roman" w:hAnsi="Times New Roman" w:eastAsia="方正黑体_GBK" w:cs="Times New Roman"/>
          <w:b w:val="0"/>
          <w:color w:val="auto"/>
          <w:sz w:val="32"/>
          <w:szCs w:val="24"/>
          <w:highlight w:val="none"/>
        </w:rPr>
      </w:pPr>
      <w:r>
        <w:rPr>
          <w:rFonts w:hint="eastAsia" w:ascii="Times New Roman" w:hAnsi="Times New Roman" w:eastAsia="方正黑体_GBK" w:cs="Times New Roman"/>
          <w:b w:val="0"/>
          <w:color w:val="auto"/>
          <w:sz w:val="32"/>
          <w:szCs w:val="24"/>
          <w:highlight w:val="none"/>
          <w:lang w:val="en-US" w:eastAsia="zh-CN"/>
        </w:rPr>
        <w:t xml:space="preserve">第二章 </w:t>
      </w:r>
      <w:r>
        <w:rPr>
          <w:rFonts w:hint="default" w:ascii="Times New Roman" w:hAnsi="Times New Roman" w:eastAsia="方正黑体_GBK" w:cs="Times New Roman"/>
          <w:b w:val="0"/>
          <w:color w:val="auto"/>
          <w:sz w:val="32"/>
          <w:szCs w:val="24"/>
          <w:highlight w:val="none"/>
        </w:rPr>
        <w:t>医疗服务能力与医院质量安全指标</w:t>
      </w:r>
      <w:bookmarkEnd w:id="102"/>
      <w:bookmarkEnd w:id="103"/>
      <w:bookmarkEnd w:id="104"/>
      <w:bookmarkEnd w:id="105"/>
      <w:bookmarkEnd w:id="106"/>
      <w:bookmarkEnd w:id="107"/>
      <w:bookmarkEnd w:id="108"/>
      <w:bookmarkEnd w:id="109"/>
      <w:bookmarkEnd w:id="110"/>
      <w:bookmarkEnd w:id="111"/>
    </w:p>
    <w:p>
      <w:pPr>
        <w:pStyle w:val="3"/>
        <w:numPr>
          <w:ilvl w:val="-1"/>
          <w:numId w:val="0"/>
        </w:numPr>
        <w:ind w:left="0" w:leftChars="0" w:firstLine="0" w:firstLineChars="0"/>
        <w:jc w:val="center"/>
        <w:rPr>
          <w:rFonts w:hint="default" w:ascii="Times New Roman" w:hAnsi="Times New Roman" w:eastAsia="方正黑体_GBK" w:cs="Times New Roman"/>
          <w:b w:val="0"/>
          <w:color w:val="auto"/>
          <w:sz w:val="32"/>
          <w:szCs w:val="24"/>
          <w:highlight w:val="none"/>
        </w:rPr>
      </w:pPr>
    </w:p>
    <w:tbl>
      <w:tblPr>
        <w:tblStyle w:val="12"/>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5235"/>
        <w:gridCol w:w="2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67" w:type="dxa"/>
            <w:vMerge w:val="restart"/>
            <w:shd w:val="clear" w:color="auto" w:fill="auto"/>
            <w:vAlign w:val="center"/>
          </w:tcPr>
          <w:p>
            <w:pPr>
              <w:widowControl/>
              <w:spacing w:line="300" w:lineRule="exact"/>
              <w:jc w:val="center"/>
              <w:rPr>
                <w:rFonts w:hint="default" w:ascii="方正黑体_GBK" w:hAnsi="方正黑体_GBK" w:eastAsia="方正黑体_GBK" w:cs="方正黑体_GBK"/>
                <w:bCs w:val="0"/>
                <w:color w:val="auto"/>
                <w:kern w:val="2"/>
                <w:sz w:val="24"/>
                <w:szCs w:val="24"/>
                <w:highlight w:val="none"/>
              </w:rPr>
            </w:pPr>
            <w:r>
              <w:rPr>
                <w:rFonts w:hint="default" w:ascii="方正黑体_GBK" w:hAnsi="方正黑体_GBK" w:eastAsia="方正黑体_GBK" w:cs="方正黑体_GBK"/>
                <w:bCs w:val="0"/>
                <w:color w:val="auto"/>
                <w:kern w:val="2"/>
                <w:sz w:val="24"/>
                <w:szCs w:val="24"/>
                <w:highlight w:val="none"/>
              </w:rPr>
              <w:t>指标大类</w:t>
            </w:r>
          </w:p>
        </w:tc>
        <w:tc>
          <w:tcPr>
            <w:tcW w:w="5235" w:type="dxa"/>
            <w:vMerge w:val="restart"/>
            <w:shd w:val="clear" w:color="auto" w:fill="auto"/>
            <w:vAlign w:val="center"/>
          </w:tcPr>
          <w:p>
            <w:pPr>
              <w:widowControl/>
              <w:spacing w:line="300" w:lineRule="exact"/>
              <w:jc w:val="center"/>
              <w:rPr>
                <w:rFonts w:hint="default" w:ascii="方正黑体_GBK" w:hAnsi="方正黑体_GBK" w:eastAsia="方正黑体_GBK" w:cs="方正黑体_GBK"/>
                <w:bCs w:val="0"/>
                <w:color w:val="auto"/>
                <w:kern w:val="2"/>
                <w:sz w:val="24"/>
                <w:szCs w:val="24"/>
                <w:highlight w:val="none"/>
              </w:rPr>
            </w:pPr>
            <w:r>
              <w:rPr>
                <w:rFonts w:hint="default" w:ascii="方正黑体_GBK" w:hAnsi="方正黑体_GBK" w:eastAsia="方正黑体_GBK" w:cs="方正黑体_GBK"/>
                <w:bCs w:val="0"/>
                <w:color w:val="auto"/>
                <w:kern w:val="2"/>
                <w:sz w:val="24"/>
                <w:szCs w:val="24"/>
                <w:highlight w:val="none"/>
              </w:rPr>
              <w:t>指标明细</w:t>
            </w:r>
          </w:p>
        </w:tc>
        <w:tc>
          <w:tcPr>
            <w:tcW w:w="2796" w:type="dxa"/>
            <w:shd w:val="clear" w:color="auto" w:fill="auto"/>
            <w:noWrap/>
            <w:vAlign w:val="center"/>
          </w:tcPr>
          <w:p>
            <w:pPr>
              <w:widowControl/>
              <w:spacing w:line="300" w:lineRule="exact"/>
              <w:jc w:val="center"/>
              <w:rPr>
                <w:rFonts w:hint="default" w:ascii="方正黑体_GBK" w:hAnsi="方正黑体_GBK" w:eastAsia="方正黑体_GBK" w:cs="方正黑体_GBK"/>
                <w:bCs w:val="0"/>
                <w:color w:val="auto"/>
                <w:kern w:val="2"/>
                <w:sz w:val="24"/>
                <w:szCs w:val="24"/>
                <w:highlight w:val="none"/>
              </w:rPr>
            </w:pPr>
            <w:r>
              <w:rPr>
                <w:rFonts w:hint="default" w:ascii="方正黑体_GBK" w:hAnsi="方正黑体_GBK" w:eastAsia="方正黑体_GBK" w:cs="方正黑体_GBK"/>
                <w:bCs w:val="0"/>
                <w:color w:val="auto"/>
                <w:kern w:val="2"/>
                <w:sz w:val="24"/>
                <w:szCs w:val="24"/>
                <w:highlight w:val="none"/>
              </w:rPr>
              <w:t>指标类型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2796" w:type="dxa"/>
            <w:shd w:val="clear" w:color="auto" w:fill="auto"/>
            <w:vAlign w:val="center"/>
          </w:tcPr>
          <w:p>
            <w:pPr>
              <w:widowControl/>
              <w:spacing w:line="300" w:lineRule="exact"/>
              <w:jc w:val="center"/>
              <w:rPr>
                <w:rFonts w:hint="default" w:ascii="方正黑体_GBK" w:hAnsi="方正黑体_GBK" w:eastAsia="方正黑体_GBK" w:cs="方正黑体_GBK"/>
                <w:bCs w:val="0"/>
                <w:color w:val="auto"/>
                <w:kern w:val="2"/>
                <w:sz w:val="24"/>
                <w:szCs w:val="24"/>
                <w:highlight w:val="none"/>
              </w:rPr>
            </w:pPr>
            <w:r>
              <w:rPr>
                <w:rFonts w:hint="default" w:ascii="方正黑体_GBK" w:hAnsi="方正黑体_GBK" w:eastAsia="方正黑体_GBK" w:cs="方正黑体_GBK"/>
                <w:bCs w:val="0"/>
                <w:color w:val="auto"/>
                <w:kern w:val="2"/>
                <w:sz w:val="24"/>
                <w:szCs w:val="24"/>
                <w:highlight w:val="none"/>
              </w:rPr>
              <w:t>*代表准入指标</w:t>
            </w:r>
          </w:p>
          <w:p>
            <w:pPr>
              <w:widowControl/>
              <w:spacing w:line="300" w:lineRule="exact"/>
              <w:jc w:val="center"/>
              <w:rPr>
                <w:rFonts w:hint="default" w:ascii="方正黑体_GBK" w:hAnsi="方正黑体_GBK" w:eastAsia="方正黑体_GBK" w:cs="方正黑体_GBK"/>
                <w:bCs w:val="0"/>
                <w:color w:val="auto"/>
                <w:kern w:val="2"/>
                <w:sz w:val="24"/>
                <w:szCs w:val="24"/>
                <w:highlight w:val="none"/>
              </w:rPr>
            </w:pPr>
            <w:r>
              <w:rPr>
                <w:rFonts w:hint="default" w:ascii="方正黑体_GBK" w:hAnsi="方正黑体_GBK" w:eastAsia="方正黑体_GBK" w:cs="方正黑体_GBK"/>
                <w:bCs w:val="0"/>
                <w:color w:val="auto"/>
                <w:kern w:val="2"/>
                <w:sz w:val="24"/>
                <w:szCs w:val="24"/>
                <w:highlight w:val="none"/>
              </w:rPr>
              <w:t>△代表横向对比指标</w:t>
            </w:r>
          </w:p>
          <w:p>
            <w:pPr>
              <w:widowControl/>
              <w:spacing w:line="300" w:lineRule="exact"/>
              <w:jc w:val="center"/>
              <w:rPr>
                <w:rFonts w:hint="default" w:ascii="方正黑体_GBK" w:hAnsi="方正黑体_GBK" w:eastAsia="方正黑体_GBK" w:cs="方正黑体_GBK"/>
                <w:bCs w:val="0"/>
                <w:color w:val="auto"/>
                <w:kern w:val="2"/>
                <w:sz w:val="24"/>
                <w:szCs w:val="24"/>
                <w:highlight w:val="none"/>
              </w:rPr>
            </w:pPr>
            <w:r>
              <w:rPr>
                <w:rFonts w:hint="eastAsia" w:ascii="方正黑体_GBK" w:hAnsi="方正黑体_GBK" w:eastAsia="方正黑体_GBK" w:cs="方正黑体_GBK"/>
                <w:bCs w:val="0"/>
                <w:color w:val="auto"/>
                <w:kern w:val="2"/>
                <w:sz w:val="24"/>
                <w:szCs w:val="24"/>
                <w:highlight w:val="none"/>
                <w:lang w:eastAsia="zh-CN"/>
              </w:rPr>
              <w:t>#</w:t>
            </w:r>
            <w:r>
              <w:rPr>
                <w:rFonts w:hint="default" w:ascii="方正黑体_GBK" w:hAnsi="方正黑体_GBK" w:eastAsia="方正黑体_GBK" w:cs="方正黑体_GBK"/>
                <w:bCs w:val="0"/>
                <w:color w:val="auto"/>
                <w:kern w:val="2"/>
                <w:sz w:val="24"/>
                <w:szCs w:val="24"/>
                <w:highlight w:val="none"/>
              </w:rPr>
              <w:t>代表纵向对比指标</w:t>
            </w:r>
          </w:p>
          <w:p>
            <w:pPr>
              <w:widowControl/>
              <w:spacing w:line="300" w:lineRule="exact"/>
              <w:ind w:firstLine="0" w:firstLineChars="0"/>
              <w:jc w:val="center"/>
              <w:rPr>
                <w:rFonts w:hint="default" w:ascii="方正黑体_GBK" w:hAnsi="方正黑体_GBK" w:eastAsia="方正黑体_GBK" w:cs="方正黑体_GBK"/>
                <w:bCs w:val="0"/>
                <w:color w:val="auto"/>
                <w:kern w:val="2"/>
                <w:sz w:val="24"/>
                <w:szCs w:val="24"/>
                <w:highlight w:val="none"/>
              </w:rPr>
            </w:pPr>
            <w:r>
              <w:rPr>
                <w:rFonts w:hint="default" w:ascii="方正黑体_GBK" w:hAnsi="方正黑体_GBK" w:eastAsia="方正黑体_GBK" w:cs="方正黑体_GBK"/>
                <w:bCs w:val="0"/>
                <w:color w:val="auto"/>
                <w:kern w:val="2"/>
                <w:sz w:val="24"/>
                <w:szCs w:val="24"/>
                <w:highlight w:val="none"/>
              </w:rPr>
              <w:t>⊙代表</w:t>
            </w:r>
            <w:r>
              <w:rPr>
                <w:rFonts w:hint="default" w:ascii="方正黑体_GBK" w:hAnsi="方正黑体_GBK" w:eastAsia="方正黑体_GBK" w:cs="方正黑体_GBK"/>
                <w:bCs w:val="0"/>
                <w:color w:val="auto"/>
                <w:kern w:val="2"/>
                <w:sz w:val="24"/>
                <w:szCs w:val="24"/>
                <w:highlight w:val="none"/>
                <w:lang w:val="en-US" w:eastAsia="zh-CN"/>
              </w:rPr>
              <w:t>观察</w:t>
            </w:r>
            <w:r>
              <w:rPr>
                <w:rFonts w:hint="default" w:ascii="方正黑体_GBK" w:hAnsi="方正黑体_GBK" w:eastAsia="方正黑体_GBK" w:cs="方正黑体_GBK"/>
                <w:bCs w:val="0"/>
                <w:color w:val="auto"/>
                <w:kern w:val="2"/>
                <w:sz w:val="24"/>
                <w:szCs w:val="24"/>
                <w:highlight w:val="none"/>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7" w:type="dxa"/>
            <w:vMerge w:val="restart"/>
            <w:shd w:val="clear" w:color="auto" w:fill="auto"/>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rPr>
              <w:t>一、医疗服务能力</w:t>
            </w: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（一）收治病种数量（ICD-10 四位亚目数量）</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（二）住院术种数量（ICD-9-CM-3 四位亚目数量）</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exac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（三）DRG-DRGs组数</w:t>
            </w:r>
          </w:p>
        </w:tc>
        <w:tc>
          <w:tcPr>
            <w:tcW w:w="2796" w:type="dxa"/>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exac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（四）DRG-CMI</w:t>
            </w:r>
          </w:p>
        </w:tc>
        <w:tc>
          <w:tcPr>
            <w:tcW w:w="2796" w:type="dxa"/>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exac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（五）DRG 时间指数</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exac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（六）DRG 费用指数</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67" w:type="dxa"/>
            <w:vMerge w:val="restart"/>
            <w:shd w:val="clear" w:color="auto" w:fill="auto"/>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rPr>
              <w:t>二、医院质量指标</w:t>
            </w: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（一）年度国家医疗质量安全目标改进情况</w:t>
            </w:r>
          </w:p>
        </w:tc>
        <w:tc>
          <w:tcPr>
            <w:tcW w:w="2796" w:type="dxa"/>
            <w:shd w:val="clear" w:color="auto" w:fill="auto"/>
            <w:noWrap/>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考核达标个数（改进</w:t>
            </w:r>
            <w:r>
              <w:rPr>
                <w:rFonts w:hint="default" w:ascii="Times New Roman" w:hAnsi="Times New Roman" w:eastAsia="方正仿宋_GBK" w:cs="Times New Roman"/>
                <w:bCs/>
                <w:color w:val="auto"/>
                <w:kern w:val="0"/>
                <w:sz w:val="24"/>
                <w:szCs w:val="24"/>
                <w:highlight w:val="none"/>
                <w:lang w:val="en-US" w:eastAsia="zh-CN"/>
              </w:rPr>
              <w:t>目标数</w: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总目标数80%</w:t>
            </w:r>
            <w:r>
              <w:rPr>
                <w:rFonts w:hint="default" w:ascii="Times New Roman" w:hAnsi="Times New Roman" w:eastAsia="方正仿宋_GBK" w:cs="Times New Roman"/>
                <w:bCs/>
                <w:color w:val="auto"/>
                <w:kern w:val="0"/>
                <w:sz w:val="24"/>
                <w:szCs w:val="24"/>
                <w:highlight w:val="none"/>
              </w:rPr>
              <w:t>为A、</w:t>
            </w:r>
            <w:r>
              <w:rPr>
                <w:rFonts w:hint="default" w:ascii="Times New Roman" w:hAnsi="Times New Roman" w:eastAsia="方正仿宋_GBK" w:cs="Times New Roman"/>
                <w:bCs/>
                <w:color w:val="auto"/>
                <w:kern w:val="0"/>
                <w:sz w:val="24"/>
                <w:szCs w:val="24"/>
                <w:highlight w:val="none"/>
                <w:lang w:val="en-US" w:eastAsia="zh-CN"/>
              </w:rPr>
              <w:t>60%</w:t>
            </w:r>
            <w:r>
              <w:rPr>
                <w:rFonts w:hint="default" w:ascii="Times New Roman" w:hAnsi="Times New Roman" w:eastAsia="方正仿宋_GBK" w:cs="Times New Roman"/>
                <w:bCs/>
                <w:color w:val="auto"/>
                <w:kern w:val="0"/>
                <w:sz w:val="24"/>
                <w:szCs w:val="24"/>
                <w:highlight w:val="none"/>
              </w:rPr>
              <w:t>为B、</w:t>
            </w:r>
            <w:r>
              <w:rPr>
                <w:rFonts w:hint="default" w:ascii="Times New Roman" w:hAnsi="Times New Roman" w:eastAsia="方正仿宋_GBK" w:cs="Times New Roman"/>
                <w:bCs/>
                <w:color w:val="auto"/>
                <w:kern w:val="0"/>
                <w:sz w:val="24"/>
                <w:szCs w:val="24"/>
                <w:highlight w:val="none"/>
                <w:lang w:val="en-US" w:eastAsia="zh-CN"/>
              </w:rPr>
              <w:t>40%</w:t>
            </w:r>
            <w:r>
              <w:rPr>
                <w:rFonts w:hint="default" w:ascii="Times New Roman" w:hAnsi="Times New Roman" w:eastAsia="方正仿宋_GBK" w:cs="Times New Roman"/>
                <w:bCs/>
                <w:color w:val="auto"/>
                <w:kern w:val="0"/>
                <w:sz w:val="24"/>
                <w:szCs w:val="24"/>
                <w:highlight w:val="none"/>
              </w:rPr>
              <w:t>为C，</w:t>
            </w:r>
            <w:r>
              <w:rPr>
                <w:rFonts w:hint="default" w:ascii="Times New Roman" w:hAnsi="Times New Roman" w:eastAsia="方正仿宋_GBK" w:cs="Times New Roman"/>
                <w:bCs/>
                <w:color w:val="auto"/>
                <w:kern w:val="0"/>
                <w:sz w:val="24"/>
                <w:szCs w:val="24"/>
                <w:highlight w:val="none"/>
                <w:lang w:val="en-US" w:eastAsia="zh-CN"/>
              </w:rPr>
              <w:t>＜40%</w:t>
            </w:r>
            <w:r>
              <w:rPr>
                <w:rFonts w:hint="default" w:ascii="Times New Roman" w:hAnsi="Times New Roman" w:eastAsia="方正仿宋_GBK" w:cs="Times New Roman"/>
                <w:bCs/>
                <w:color w:val="auto"/>
                <w:kern w:val="0"/>
                <w:sz w:val="24"/>
                <w:szCs w:val="24"/>
                <w:highlight w:val="none"/>
              </w:rPr>
              <w:t>为D）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67" w:type="dxa"/>
            <w:vMerge w:val="continue"/>
            <w:shd w:val="clear" w:color="auto" w:fill="auto"/>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（二）患者住院总死亡率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（三）新生儿患者住院死亡率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（四）手术患者住院死亡率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exac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（五）住院患者出院后 0-31 天非预期再住院率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exac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（六）手术患者术后 48 小时/31 天内非预期重返手术室再次手术率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（七）ICD 低风险病种患者住院死亡率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（八）DRGs 低风险组患者住院死亡率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167" w:type="dxa"/>
            <w:vMerge w:val="restart"/>
            <w:shd w:val="clear" w:color="auto" w:fill="auto"/>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rPr>
              <w:t>三、医疗安全指标</w:t>
            </w: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rPr>
              <w:t>一</w:t>
            </w:r>
            <w:r>
              <w:rPr>
                <w:rFonts w:hint="eastAsia"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rPr>
              <w:t>手术患者手术后肺栓塞发生例数和发生率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w:t>
            </w:r>
            <w:r>
              <w:rPr>
                <w:rFonts w:hint="default" w:ascii="Times New Roman" w:hAnsi="Times New Roman" w:eastAsia="方正仿宋_GBK" w:cs="Times New Roman"/>
                <w:bCs/>
                <w:color w:val="auto"/>
                <w:spacing w:val="-6"/>
                <w:kern w:val="0"/>
                <w:sz w:val="24"/>
                <w:szCs w:val="24"/>
                <w:highlight w:val="none"/>
              </w:rPr>
              <w:t>手术患者手术后深静脉血栓发生例数和发生率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（三）手术患者</w:t>
            </w:r>
            <w:r>
              <w:rPr>
                <w:rFonts w:hint="default" w:ascii="Times New Roman" w:hAnsi="Times New Roman" w:eastAsia="方正仿宋_GBK" w:cs="Times New Roman"/>
                <w:color w:val="auto"/>
                <w:sz w:val="24"/>
                <w:szCs w:val="24"/>
                <w:highlight w:val="none"/>
                <w:lang w:eastAsia="zh-CN"/>
              </w:rPr>
              <w:t>手术后脓毒症</w:t>
            </w:r>
            <w:r>
              <w:rPr>
                <w:rFonts w:hint="default" w:ascii="Times New Roman" w:hAnsi="Times New Roman" w:eastAsia="方正仿宋_GBK" w:cs="Times New Roman"/>
                <w:bCs/>
                <w:color w:val="auto"/>
                <w:kern w:val="0"/>
                <w:sz w:val="24"/>
                <w:szCs w:val="24"/>
                <w:highlight w:val="none"/>
              </w:rPr>
              <w:t>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w:t>
            </w:r>
            <w:r>
              <w:rPr>
                <w:rFonts w:hint="default" w:ascii="Times New Roman" w:hAnsi="Times New Roman" w:eastAsia="方正仿宋_GBK" w:cs="Times New Roman"/>
                <w:bCs/>
                <w:color w:val="auto"/>
                <w:spacing w:val="-6"/>
                <w:kern w:val="0"/>
                <w:sz w:val="24"/>
                <w:szCs w:val="24"/>
                <w:highlight w:val="none"/>
              </w:rPr>
              <w:t>手术患者手术后出血或血肿发生例数和发生率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（五）手术患者手术伤口裂开发生例数和发生率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（六）手术患者手术后猝死发生例数和发生率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（七）手术患者手术后呼吸衰竭发生例数和发生率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（八）手术患者手术后生理/代谢紊乱发生例数和发生率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（九）与手术/操作相关感染发生例数和发生率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000000"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（十）手术过程中异物遗留发生例数和发生率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000000"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（十一）手术患者麻醉并发症发生例数和发生率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000000" w:fill="auto"/>
            <w:vAlign w:val="center"/>
          </w:tcPr>
          <w:p>
            <w:pPr>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（十二）手术患者肺部感染与肺机能不全发生例数和发生率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（十三）</w:t>
            </w:r>
            <w:r>
              <w:rPr>
                <w:rFonts w:hint="default" w:ascii="Times New Roman" w:hAnsi="Times New Roman" w:eastAsia="方正仿宋_GBK" w:cs="Times New Roman"/>
                <w:bCs/>
                <w:color w:val="auto"/>
                <w:spacing w:val="-6"/>
                <w:kern w:val="0"/>
                <w:sz w:val="24"/>
                <w:szCs w:val="24"/>
                <w:highlight w:val="none"/>
              </w:rPr>
              <w:t>手术意外穿刺伤或撕裂伤发生例数和发生率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（十四）手术后急性肾衰竭发生例数和发生率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（十五）各</w:t>
            </w:r>
            <w:r>
              <w:rPr>
                <w:rFonts w:hint="default" w:ascii="Times New Roman" w:hAnsi="Times New Roman" w:eastAsia="方正仿宋_GBK" w:cs="Times New Roman"/>
                <w:bCs/>
                <w:color w:val="auto"/>
                <w:spacing w:val="-6"/>
                <w:kern w:val="0"/>
                <w:sz w:val="24"/>
                <w:szCs w:val="24"/>
                <w:highlight w:val="none"/>
              </w:rPr>
              <w:t>系统/器官术后并发症发生例数和发生率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（十六）植入物的并发症（不包括脓毒症）发生例数和发生率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sz w:val="24"/>
              </w:rPr>
              <mc:AlternateContent>
                <mc:Choice Requires="wps">
                  <w:drawing>
                    <wp:anchor distT="0" distB="0" distL="114300" distR="114300" simplePos="0" relativeHeight="251661312" behindDoc="0" locked="0" layoutInCell="1" allowOverlap="1">
                      <wp:simplePos x="0" y="0"/>
                      <wp:positionH relativeFrom="column">
                        <wp:posOffset>-792480</wp:posOffset>
                      </wp:positionH>
                      <wp:positionV relativeFrom="paragraph">
                        <wp:posOffset>164465</wp:posOffset>
                      </wp:positionV>
                      <wp:extent cx="704850" cy="809625"/>
                      <wp:effectExtent l="0" t="0" r="0" b="0"/>
                      <wp:wrapNone/>
                      <wp:docPr id="4" name="文本框 4"/>
                      <wp:cNvGraphicFramePr/>
                      <a:graphic xmlns:a="http://schemas.openxmlformats.org/drawingml/2006/main">
                        <a:graphicData uri="http://schemas.microsoft.com/office/word/2010/wordprocessingShape">
                          <wps:wsp>
                            <wps:cNvSpPr txBox="1"/>
                            <wps:spPr>
                              <a:xfrm>
                                <a:off x="0" y="0"/>
                                <a:ext cx="704850" cy="809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b w:val="0"/>
                                      <w:color w:val="auto"/>
                                      <w:sz w:val="24"/>
                                      <w:szCs w:val="24"/>
                                      <w:highlight w:val="none"/>
                                    </w:rPr>
                                    <w:t>三、医疗安全指标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2.4pt;margin-top:12.95pt;height:63.75pt;width:55.5pt;z-index:251661312;mso-width-relative:page;mso-height-relative:page;" filled="f" stroked="f" coordsize="21600,21600" o:gfxdata="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stgHJdwAAAALAQAADwAAAAAAAAABACAAAAAiAAAAZHJz&#10;L2Rvd25yZXYueG1sUEsBAhQAFAAAAAgAh07iQPsOerM5AgAAZQQAAA4AAAAAAAAAAQAgAAAAKwEA&#10;AGRycy9lMm9Eb2MueG1sUEsFBgAAAAAGAAYAWQEAANYFA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b w:val="0"/>
                                <w:color w:val="auto"/>
                                <w:sz w:val="24"/>
                                <w:szCs w:val="24"/>
                                <w:highlight w:val="none"/>
                              </w:rPr>
                              <w:t>三、医疗安全指标</w:t>
                            </w:r>
                          </w:p>
                        </w:txbxContent>
                      </v:textbox>
                    </v:shape>
                  </w:pict>
                </mc:Fallback>
              </mc:AlternateContent>
            </w:r>
            <w:r>
              <w:rPr>
                <w:rFonts w:hint="default" w:ascii="Times New Roman" w:hAnsi="Times New Roman" w:eastAsia="方正仿宋_GBK" w:cs="Times New Roman"/>
                <w:bCs/>
                <w:color w:val="auto"/>
                <w:kern w:val="0"/>
                <w:sz w:val="24"/>
                <w:szCs w:val="24"/>
                <w:highlight w:val="none"/>
              </w:rPr>
              <w:t>（十七）移植的并发症发生例数和发生率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（十八）再植和截肢的并发症发生例数和发生率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（十九）介入操作与手术后患者其他并发症发生例数和发生率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（二十）新生儿产伤发生例数和发生率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（二十一）阴道分娩产妇分娩或产褥期并发症发生例数和发生率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（二十二）剖宫产分娩产妇分娩或产褥期并发症发生例数和发生率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（二十三）2 期及以上院内压力性损伤发生例数和发生率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（二十四）输注反应发生例数和发生率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（二十五）输血反应发生例数和发生率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（二十六）医源性气胸发生例数和发生率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（二十七）住院患者医院内跌倒/坠床所致髋部骨折发生例数和发生率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（二十八）住院 ICU 患者呼吸机相关性肺炎发生例数和发生率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（二十九）住院 ICU 患者血管导管相关性感染发生例数和发生率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（三十）住院 ICU患者导尿管相关性尿路感染发生例数和发生率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spacing w:line="300" w:lineRule="exact"/>
              <w:jc w:val="both"/>
              <w:rPr>
                <w:rFonts w:hint="default" w:cs="Times New Roman"/>
                <w:color w:val="auto"/>
                <w:sz w:val="24"/>
                <w:szCs w:val="24"/>
                <w:highlight w:val="none"/>
              </w:rPr>
            </w:pPr>
            <w:r>
              <w:rPr>
                <w:rFonts w:hint="default" w:ascii="Times New Roman" w:hAnsi="Times New Roman" w:eastAsia="方正仿宋_GBK" w:cs="Times New Roman"/>
                <w:bCs/>
                <w:color w:val="auto"/>
                <w:kern w:val="0"/>
                <w:sz w:val="24"/>
                <w:szCs w:val="24"/>
                <w:highlight w:val="none"/>
              </w:rPr>
              <w:t>（三十一）临床用药所致的有害效应（不良事件）发生例数和发生率</w:t>
            </w:r>
          </w:p>
          <w:p>
            <w:pPr>
              <w:spacing w:line="300" w:lineRule="exact"/>
              <w:jc w:val="both"/>
              <w:rPr>
                <w:rFonts w:hint="default" w:cs="Times New Roman"/>
                <w:color w:val="auto"/>
                <w:sz w:val="24"/>
                <w:szCs w:val="24"/>
                <w:highlight w:val="none"/>
              </w:rPr>
            </w:pPr>
          </w:p>
          <w:p>
            <w:pPr>
              <w:spacing w:line="300" w:lineRule="exact"/>
              <w:jc w:val="both"/>
              <w:rPr>
                <w:rFonts w:hint="default" w:cs="Times New Roman"/>
                <w:color w:val="auto"/>
                <w:sz w:val="24"/>
                <w:szCs w:val="24"/>
                <w:highlight w:val="none"/>
              </w:rPr>
            </w:pPr>
          </w:p>
          <w:p>
            <w:pPr>
              <w:spacing w:line="300" w:lineRule="exact"/>
              <w:jc w:val="both"/>
              <w:rPr>
                <w:rFonts w:hint="default" w:cs="Times New Roman"/>
                <w:color w:val="auto"/>
                <w:sz w:val="24"/>
                <w:szCs w:val="24"/>
                <w:highlight w:val="none"/>
              </w:rPr>
            </w:pPr>
          </w:p>
          <w:p>
            <w:pPr>
              <w:spacing w:line="300" w:lineRule="exact"/>
              <w:jc w:val="both"/>
              <w:rPr>
                <w:rFonts w:hint="default" w:cs="Times New Roman"/>
                <w:color w:val="auto"/>
                <w:sz w:val="24"/>
                <w:szCs w:val="24"/>
                <w:highlight w:val="none"/>
              </w:rPr>
            </w:pPr>
          </w:p>
          <w:p>
            <w:pPr>
              <w:spacing w:line="300" w:lineRule="exact"/>
              <w:jc w:val="both"/>
              <w:rPr>
                <w:rFonts w:hint="default" w:cs="Times New Roman"/>
                <w:color w:val="auto"/>
                <w:sz w:val="24"/>
                <w:szCs w:val="24"/>
                <w:highlight w:val="none"/>
              </w:rPr>
            </w:pPr>
          </w:p>
          <w:p>
            <w:pPr>
              <w:spacing w:line="300" w:lineRule="exact"/>
              <w:jc w:val="both"/>
              <w:rPr>
                <w:rFonts w:hint="default" w:cs="Times New Roman"/>
                <w:color w:val="auto"/>
                <w:sz w:val="24"/>
                <w:szCs w:val="24"/>
                <w:highlight w:val="none"/>
              </w:rPr>
            </w:pPr>
          </w:p>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167" w:type="dxa"/>
            <w:vMerge w:val="continue"/>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235" w:type="dxa"/>
            <w:shd w:val="clear" w:color="auto" w:fill="auto"/>
            <w:vAlign w:val="center"/>
          </w:tcPr>
          <w:p>
            <w:pPr>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（三十二）血液透析所致并发症发生例数和发生率</w:t>
            </w:r>
          </w:p>
        </w:tc>
        <w:tc>
          <w:tcPr>
            <w:tcW w:w="2796" w:type="dxa"/>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bl>
    <w:p>
      <w:pPr>
        <w:pStyle w:val="3"/>
        <w:numPr>
          <w:ilvl w:val="-1"/>
          <w:numId w:val="0"/>
        </w:numPr>
        <w:ind w:left="0" w:firstLine="0" w:firstLineChars="0"/>
        <w:jc w:val="center"/>
        <w:rPr>
          <w:rFonts w:hint="default" w:ascii="Times New Roman" w:hAnsi="Times New Roman" w:eastAsia="方正黑体_GBK" w:cs="Times New Roman"/>
          <w:b w:val="0"/>
          <w:color w:val="auto"/>
          <w:sz w:val="32"/>
          <w:szCs w:val="24"/>
          <w:highlight w:val="none"/>
        </w:rPr>
      </w:pPr>
      <w:bookmarkStart w:id="112" w:name="_Toc1157"/>
      <w:bookmarkStart w:id="113" w:name="_Toc8115"/>
      <w:bookmarkStart w:id="114" w:name="_Toc8345"/>
      <w:bookmarkStart w:id="115" w:name="_Toc25216"/>
      <w:bookmarkStart w:id="116" w:name="_Toc7605"/>
      <w:bookmarkStart w:id="117" w:name="_Toc27382"/>
      <w:bookmarkStart w:id="118" w:name="_Toc7052"/>
      <w:bookmarkStart w:id="119" w:name="_Toc13144"/>
      <w:bookmarkStart w:id="120" w:name="_Toc12718"/>
      <w:bookmarkStart w:id="121" w:name="_Toc6108"/>
      <w:r>
        <w:rPr>
          <w:rFonts w:hint="default" w:ascii="Times New Roman" w:hAnsi="Times New Roman" w:eastAsia="方正黑体_GBK" w:cs="Times New Roman"/>
          <w:b w:val="0"/>
          <w:color w:val="auto"/>
          <w:sz w:val="32"/>
          <w:szCs w:val="24"/>
          <w:highlight w:val="none"/>
          <w:lang w:val="en-US" w:eastAsia="zh-CN"/>
        </w:rPr>
        <w:t xml:space="preserve">第三章 </w:t>
      </w:r>
      <w:r>
        <w:rPr>
          <w:rFonts w:hint="default" w:ascii="Times New Roman" w:hAnsi="Times New Roman" w:eastAsia="方正黑体_GBK" w:cs="Times New Roman"/>
          <w:b w:val="0"/>
          <w:color w:val="auto"/>
          <w:sz w:val="32"/>
          <w:szCs w:val="24"/>
          <w:highlight w:val="none"/>
        </w:rPr>
        <w:t>重点专业质量控制指标</w:t>
      </w:r>
      <w:bookmarkEnd w:id="112"/>
      <w:bookmarkEnd w:id="113"/>
      <w:bookmarkEnd w:id="114"/>
      <w:bookmarkEnd w:id="115"/>
      <w:bookmarkEnd w:id="116"/>
      <w:bookmarkEnd w:id="117"/>
      <w:bookmarkEnd w:id="118"/>
      <w:bookmarkEnd w:id="119"/>
      <w:bookmarkEnd w:id="120"/>
      <w:bookmarkEnd w:id="121"/>
    </w:p>
    <w:p>
      <w:pPr>
        <w:pStyle w:val="3"/>
        <w:numPr>
          <w:ilvl w:val="-1"/>
          <w:numId w:val="0"/>
        </w:numPr>
        <w:ind w:left="0" w:firstLine="0" w:firstLineChars="0"/>
        <w:jc w:val="center"/>
        <w:rPr>
          <w:rFonts w:hint="default" w:ascii="Times New Roman" w:hAnsi="Times New Roman" w:eastAsia="方正黑体_GBK" w:cs="Times New Roman"/>
          <w:b w:val="0"/>
          <w:color w:val="auto"/>
          <w:sz w:val="32"/>
          <w:szCs w:val="24"/>
          <w:highlight w:val="none"/>
        </w:rPr>
      </w:pPr>
    </w:p>
    <w:tbl>
      <w:tblPr>
        <w:tblStyle w:val="12"/>
        <w:tblW w:w="9356" w:type="dxa"/>
        <w:tblInd w:w="-289"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1673"/>
        <w:gridCol w:w="5823"/>
        <w:gridCol w:w="1860"/>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74" w:hRule="atLeast"/>
        </w:trPr>
        <w:tc>
          <w:tcPr>
            <w:tcW w:w="1673" w:type="dxa"/>
            <w:vMerge w:val="restart"/>
            <w:tcBorders>
              <w:right w:val="single" w:color="auto" w:sz="4" w:space="0"/>
            </w:tcBorders>
            <w:shd w:val="clear" w:color="auto" w:fill="auto"/>
            <w:vAlign w:val="center"/>
          </w:tcPr>
          <w:p>
            <w:pPr>
              <w:widowControl/>
              <w:spacing w:line="300" w:lineRule="exact"/>
              <w:jc w:val="center"/>
              <w:rPr>
                <w:rFonts w:hint="default" w:ascii="方正黑体_GBK" w:hAnsi="方正黑体_GBK" w:eastAsia="方正黑体_GBK" w:cs="方正黑体_GBK"/>
                <w:bCs w:val="0"/>
                <w:color w:val="auto"/>
                <w:kern w:val="2"/>
                <w:sz w:val="24"/>
                <w:szCs w:val="24"/>
                <w:highlight w:val="none"/>
              </w:rPr>
            </w:pPr>
            <w:r>
              <w:rPr>
                <w:rFonts w:hint="default" w:ascii="方正黑体_GBK" w:hAnsi="方正黑体_GBK" w:eastAsia="方正黑体_GBK" w:cs="方正黑体_GBK"/>
                <w:bCs w:val="0"/>
                <w:color w:val="auto"/>
                <w:kern w:val="2"/>
                <w:sz w:val="24"/>
                <w:szCs w:val="24"/>
                <w:highlight w:val="none"/>
              </w:rPr>
              <w:t>指标大类</w:t>
            </w:r>
          </w:p>
        </w:tc>
        <w:tc>
          <w:tcPr>
            <w:tcW w:w="5823" w:type="dxa"/>
            <w:vMerge w:val="restart"/>
            <w:tcBorders>
              <w:left w:val="single" w:color="auto" w:sz="4" w:space="0"/>
              <w:bottom w:val="single" w:color="000000" w:sz="4" w:space="0"/>
              <w:right w:val="single" w:color="auto" w:sz="4" w:space="0"/>
            </w:tcBorders>
            <w:shd w:val="clear" w:color="auto" w:fill="auto"/>
            <w:vAlign w:val="center"/>
          </w:tcPr>
          <w:p>
            <w:pPr>
              <w:widowControl/>
              <w:spacing w:line="300" w:lineRule="exact"/>
              <w:jc w:val="center"/>
              <w:rPr>
                <w:rFonts w:hint="default" w:ascii="方正黑体_GBK" w:hAnsi="方正黑体_GBK" w:eastAsia="方正黑体_GBK" w:cs="方正黑体_GBK"/>
                <w:bCs w:val="0"/>
                <w:color w:val="auto"/>
                <w:kern w:val="2"/>
                <w:sz w:val="24"/>
                <w:szCs w:val="24"/>
                <w:highlight w:val="none"/>
              </w:rPr>
            </w:pPr>
            <w:r>
              <w:rPr>
                <w:rFonts w:hint="default" w:ascii="方正黑体_GBK" w:hAnsi="方正黑体_GBK" w:eastAsia="方正黑体_GBK" w:cs="方正黑体_GBK"/>
                <w:bCs w:val="0"/>
                <w:color w:val="auto"/>
                <w:kern w:val="2"/>
                <w:sz w:val="24"/>
                <w:szCs w:val="24"/>
                <w:highlight w:val="none"/>
              </w:rPr>
              <w:t>指标明细</w:t>
            </w:r>
          </w:p>
        </w:tc>
        <w:tc>
          <w:tcPr>
            <w:tcW w:w="1860" w:type="dxa"/>
            <w:tcBorders>
              <w:left w:val="nil"/>
              <w:bottom w:val="single" w:color="auto" w:sz="4" w:space="0"/>
            </w:tcBorders>
            <w:shd w:val="clear" w:color="auto" w:fill="auto"/>
            <w:noWrap/>
            <w:vAlign w:val="center"/>
          </w:tcPr>
          <w:p>
            <w:pPr>
              <w:widowControl/>
              <w:spacing w:line="300" w:lineRule="exact"/>
              <w:jc w:val="center"/>
              <w:rPr>
                <w:rFonts w:hint="default" w:ascii="方正黑体_GBK" w:hAnsi="方正黑体_GBK" w:eastAsia="方正黑体_GBK" w:cs="方正黑体_GBK"/>
                <w:bCs w:val="0"/>
                <w:color w:val="auto"/>
                <w:kern w:val="2"/>
                <w:sz w:val="18"/>
                <w:szCs w:val="18"/>
                <w:highlight w:val="none"/>
              </w:rPr>
            </w:pPr>
            <w:r>
              <w:rPr>
                <w:rFonts w:hint="default" w:ascii="方正黑体_GBK" w:hAnsi="方正黑体_GBK" w:eastAsia="方正黑体_GBK" w:cs="方正黑体_GBK"/>
                <w:bCs w:val="0"/>
                <w:color w:val="auto"/>
                <w:kern w:val="2"/>
                <w:sz w:val="24"/>
                <w:szCs w:val="24"/>
                <w:highlight w:val="none"/>
              </w:rPr>
              <w:t>指标类型</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803" w:hRule="atLeast"/>
        </w:trPr>
        <w:tc>
          <w:tcPr>
            <w:tcW w:w="1673" w:type="dxa"/>
            <w:vMerge w:val="continue"/>
            <w:tcBorders>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1860" w:type="dxa"/>
            <w:tcBorders>
              <w:top w:val="nil"/>
              <w:left w:val="nil"/>
              <w:bottom w:val="single" w:color="auto" w:sz="4" w:space="0"/>
            </w:tcBorders>
            <w:shd w:val="clear" w:color="auto" w:fill="auto"/>
            <w:vAlign w:val="center"/>
          </w:tcPr>
          <w:p>
            <w:pPr>
              <w:widowControl/>
              <w:spacing w:line="300" w:lineRule="exact"/>
              <w:jc w:val="center"/>
              <w:rPr>
                <w:rFonts w:hint="default" w:ascii="方正黑体_GBK" w:hAnsi="方正黑体_GBK" w:eastAsia="方正黑体_GBK" w:cs="方正黑体_GBK"/>
                <w:bCs w:val="0"/>
                <w:color w:val="auto"/>
                <w:kern w:val="2"/>
                <w:sz w:val="18"/>
                <w:szCs w:val="18"/>
                <w:highlight w:val="none"/>
              </w:rPr>
            </w:pPr>
            <w:r>
              <w:rPr>
                <w:rFonts w:hint="default" w:ascii="方正黑体_GBK" w:hAnsi="方正黑体_GBK" w:eastAsia="方正黑体_GBK" w:cs="方正黑体_GBK"/>
                <w:bCs w:val="0"/>
                <w:color w:val="auto"/>
                <w:kern w:val="2"/>
                <w:sz w:val="18"/>
                <w:szCs w:val="18"/>
                <w:highlight w:val="none"/>
              </w:rPr>
              <w:t>*代表准入指标</w:t>
            </w:r>
          </w:p>
          <w:p>
            <w:pPr>
              <w:widowControl/>
              <w:spacing w:line="300" w:lineRule="exact"/>
              <w:jc w:val="center"/>
              <w:rPr>
                <w:rFonts w:hint="default" w:ascii="方正黑体_GBK" w:hAnsi="方正黑体_GBK" w:eastAsia="方正黑体_GBK" w:cs="方正黑体_GBK"/>
                <w:bCs w:val="0"/>
                <w:color w:val="auto"/>
                <w:kern w:val="2"/>
                <w:sz w:val="18"/>
                <w:szCs w:val="18"/>
                <w:highlight w:val="none"/>
              </w:rPr>
            </w:pPr>
            <w:r>
              <w:rPr>
                <w:rFonts w:hint="default" w:ascii="方正黑体_GBK" w:hAnsi="方正黑体_GBK" w:eastAsia="方正黑体_GBK" w:cs="方正黑体_GBK"/>
                <w:bCs w:val="0"/>
                <w:color w:val="auto"/>
                <w:kern w:val="2"/>
                <w:sz w:val="18"/>
                <w:szCs w:val="18"/>
                <w:highlight w:val="none"/>
              </w:rPr>
              <w:t>△代表横向对比指标</w:t>
            </w:r>
          </w:p>
          <w:p>
            <w:pPr>
              <w:widowControl/>
              <w:spacing w:line="300" w:lineRule="exact"/>
              <w:jc w:val="center"/>
              <w:rPr>
                <w:rFonts w:hint="default" w:ascii="方正黑体_GBK" w:hAnsi="方正黑体_GBK" w:eastAsia="方正黑体_GBK" w:cs="方正黑体_GBK"/>
                <w:bCs w:val="0"/>
                <w:color w:val="auto"/>
                <w:kern w:val="2"/>
                <w:sz w:val="18"/>
                <w:szCs w:val="18"/>
                <w:highlight w:val="none"/>
              </w:rPr>
            </w:pPr>
            <w:r>
              <w:rPr>
                <w:rFonts w:hint="eastAsia" w:ascii="方正黑体_GBK" w:hAnsi="方正黑体_GBK" w:eastAsia="方正黑体_GBK" w:cs="方正黑体_GBK"/>
                <w:bCs w:val="0"/>
                <w:color w:val="auto"/>
                <w:kern w:val="2"/>
                <w:sz w:val="18"/>
                <w:szCs w:val="18"/>
                <w:highlight w:val="none"/>
                <w:lang w:eastAsia="zh-CN"/>
              </w:rPr>
              <w:t>#</w:t>
            </w:r>
            <w:r>
              <w:rPr>
                <w:rFonts w:hint="default" w:ascii="方正黑体_GBK" w:hAnsi="方正黑体_GBK" w:eastAsia="方正黑体_GBK" w:cs="方正黑体_GBK"/>
                <w:bCs w:val="0"/>
                <w:color w:val="auto"/>
                <w:kern w:val="2"/>
                <w:sz w:val="18"/>
                <w:szCs w:val="18"/>
                <w:highlight w:val="none"/>
              </w:rPr>
              <w:t>代表纵向对比指标</w:t>
            </w:r>
          </w:p>
          <w:p>
            <w:pPr>
              <w:widowControl/>
              <w:spacing w:line="300" w:lineRule="exact"/>
              <w:jc w:val="center"/>
              <w:rPr>
                <w:rFonts w:hint="default" w:ascii="方正黑体_GBK" w:hAnsi="方正黑体_GBK" w:eastAsia="方正黑体_GBK" w:cs="方正黑体_GBK"/>
                <w:bCs w:val="0"/>
                <w:color w:val="auto"/>
                <w:kern w:val="2"/>
                <w:sz w:val="18"/>
                <w:szCs w:val="18"/>
                <w:highlight w:val="none"/>
              </w:rPr>
            </w:pPr>
            <w:r>
              <w:rPr>
                <w:rFonts w:hint="default" w:ascii="方正黑体_GBK" w:hAnsi="方正黑体_GBK" w:eastAsia="方正黑体_GBK" w:cs="方正黑体_GBK"/>
                <w:bCs w:val="0"/>
                <w:color w:val="auto"/>
                <w:kern w:val="2"/>
                <w:sz w:val="18"/>
                <w:szCs w:val="18"/>
                <w:highlight w:val="none"/>
              </w:rPr>
              <w:t>⊙代表</w:t>
            </w:r>
            <w:r>
              <w:rPr>
                <w:rFonts w:hint="default" w:ascii="方正黑体_GBK" w:hAnsi="方正黑体_GBK" w:eastAsia="方正黑体_GBK" w:cs="方正黑体_GBK"/>
                <w:bCs w:val="0"/>
                <w:color w:val="auto"/>
                <w:kern w:val="2"/>
                <w:sz w:val="18"/>
                <w:szCs w:val="18"/>
                <w:highlight w:val="none"/>
                <w:lang w:val="en-US" w:eastAsia="zh-CN"/>
              </w:rPr>
              <w:t>观察</w:t>
            </w:r>
            <w:r>
              <w:rPr>
                <w:rFonts w:hint="default" w:ascii="方正黑体_GBK" w:hAnsi="方正黑体_GBK" w:eastAsia="方正黑体_GBK" w:cs="方正黑体_GBK"/>
                <w:bCs w:val="0"/>
                <w:color w:val="auto"/>
                <w:kern w:val="2"/>
                <w:sz w:val="18"/>
                <w:szCs w:val="18"/>
                <w:highlight w:val="none"/>
              </w:rPr>
              <w:t>指标</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restart"/>
            <w:tcBorders>
              <w:top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一、麻醉专业医疗质量控制指标（20</w:t>
            </w:r>
            <w:r>
              <w:rPr>
                <w:rFonts w:hint="default" w:ascii="Times New Roman" w:hAnsi="Times New Roman" w:eastAsia="方正仿宋_GBK" w:cs="Times New Roman"/>
                <w:bCs/>
                <w:color w:val="auto"/>
                <w:kern w:val="0"/>
                <w:sz w:val="24"/>
                <w:szCs w:val="24"/>
                <w:highlight w:val="none"/>
                <w:lang w:val="en-US" w:eastAsia="zh-CN"/>
              </w:rPr>
              <w:t>22</w:t>
            </w:r>
            <w:r>
              <w:rPr>
                <w:rFonts w:hint="default" w:ascii="Times New Roman" w:hAnsi="Times New Roman" w:eastAsia="方正仿宋_GBK" w:cs="Times New Roman"/>
                <w:bCs/>
                <w:color w:val="auto"/>
                <w:kern w:val="0"/>
                <w:sz w:val="24"/>
                <w:szCs w:val="24"/>
                <w:highlight w:val="none"/>
              </w:rPr>
              <w:t>版）</w:t>
            </w: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（一）麻醉科医护比</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w:t>
            </w:r>
            <w:r>
              <w:rPr>
                <w:rFonts w:hint="default" w:ascii="Times New Roman" w:hAnsi="Times New Roman" w:eastAsia="方正仿宋_GBK" w:cs="Times New Roman"/>
                <w:i w:val="0"/>
                <w:color w:val="auto"/>
                <w:kern w:val="0"/>
                <w:sz w:val="24"/>
                <w:szCs w:val="24"/>
                <w:highlight w:val="none"/>
                <w:u w:val="none"/>
                <w:lang w:val="en-US" w:eastAsia="zh-CN" w:bidi="ar"/>
              </w:rPr>
              <w:t>麻醉医师人均年麻醉例次数</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w:t>
            </w:r>
            <w:r>
              <w:rPr>
                <w:rFonts w:hint="default" w:ascii="Times New Roman" w:hAnsi="Times New Roman" w:eastAsia="方正仿宋_GBK" w:cs="Times New Roman"/>
                <w:i w:val="0"/>
                <w:color w:val="auto"/>
                <w:kern w:val="0"/>
                <w:sz w:val="24"/>
                <w:szCs w:val="24"/>
                <w:highlight w:val="none"/>
                <w:u w:val="none"/>
                <w:lang w:val="en-US" w:eastAsia="zh-CN" w:bidi="ar"/>
              </w:rPr>
              <w:t>手术室外麻醉占比</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w:t>
            </w:r>
            <w:r>
              <w:rPr>
                <w:rFonts w:hint="default" w:ascii="Times New Roman" w:hAnsi="Times New Roman" w:eastAsia="方正仿宋_GBK" w:cs="Times New Roman"/>
                <w:i w:val="0"/>
                <w:color w:val="auto"/>
                <w:kern w:val="0"/>
                <w:sz w:val="24"/>
                <w:szCs w:val="24"/>
                <w:highlight w:val="none"/>
                <w:u w:val="none"/>
                <w:lang w:val="en-US" w:eastAsia="zh-CN" w:bidi="ar"/>
              </w:rPr>
              <w:t>择期手术麻醉前访视率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w:t>
            </w:r>
            <w:r>
              <w:rPr>
                <w:rFonts w:hint="default" w:ascii="Times New Roman" w:hAnsi="Times New Roman" w:eastAsia="方正仿宋_GBK" w:cs="Times New Roman"/>
                <w:i w:val="0"/>
                <w:color w:val="auto"/>
                <w:kern w:val="0"/>
                <w:sz w:val="24"/>
                <w:szCs w:val="24"/>
                <w:highlight w:val="none"/>
                <w:u w:val="none"/>
                <w:lang w:val="en-US" w:eastAsia="zh-CN" w:bidi="ar"/>
              </w:rPr>
              <w:t>入室后手术麻醉取消率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六</w: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i w:val="0"/>
                <w:color w:val="auto"/>
                <w:kern w:val="0"/>
                <w:sz w:val="24"/>
                <w:szCs w:val="24"/>
                <w:highlight w:val="none"/>
                <w:u w:val="none"/>
                <w:lang w:val="en-US" w:eastAsia="zh-CN" w:bidi="ar"/>
              </w:rPr>
              <w:t>麻醉开始后手术取消率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七</w: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i w:val="0"/>
                <w:color w:val="auto"/>
                <w:kern w:val="0"/>
                <w:sz w:val="24"/>
                <w:szCs w:val="24"/>
                <w:highlight w:val="none"/>
                <w:u w:val="none"/>
                <w:lang w:val="en-US" w:eastAsia="zh-CN" w:bidi="ar"/>
              </w:rPr>
              <w:t>全身麻醉术中体温监测率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八</w: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i w:val="0"/>
                <w:color w:val="auto"/>
                <w:kern w:val="0"/>
                <w:sz w:val="24"/>
                <w:szCs w:val="24"/>
                <w:highlight w:val="none"/>
                <w:u w:val="none"/>
                <w:lang w:val="en-US" w:eastAsia="zh-CN" w:bidi="ar"/>
              </w:rPr>
              <w:t>术中主动保温率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九</w: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i w:val="0"/>
                <w:color w:val="auto"/>
                <w:kern w:val="0"/>
                <w:sz w:val="24"/>
                <w:szCs w:val="24"/>
                <w:highlight w:val="none"/>
                <w:u w:val="none"/>
                <w:lang w:val="en-US" w:eastAsia="zh-CN" w:bidi="ar"/>
              </w:rPr>
              <w:t>术中自体血输注率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十</w: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i w:val="0"/>
                <w:color w:val="auto"/>
                <w:kern w:val="0"/>
                <w:sz w:val="24"/>
                <w:szCs w:val="24"/>
                <w:highlight w:val="none"/>
                <w:u w:val="none"/>
                <w:lang w:val="en-US" w:eastAsia="zh-CN" w:bidi="ar"/>
              </w:rPr>
              <w:t>手术麻醉期间低体温发生率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w:t>
            </w:r>
            <w:r>
              <w:rPr>
                <w:rFonts w:hint="default" w:ascii="Times New Roman" w:hAnsi="Times New Roman" w:eastAsia="方正仿宋_GBK" w:cs="Times New Roman"/>
                <w:bCs/>
                <w:color w:val="auto"/>
                <w:kern w:val="0"/>
                <w:sz w:val="24"/>
                <w:szCs w:val="24"/>
                <w:highlight w:val="none"/>
                <w:lang w:val="en-US" w:eastAsia="zh-CN"/>
              </w:rPr>
              <w:t>一</w:t>
            </w:r>
            <w:r>
              <w:rPr>
                <w:rFonts w:hint="default" w:ascii="Times New Roman" w:hAnsi="Times New Roman" w:eastAsia="方正仿宋_GBK" w:cs="Times New Roman"/>
                <w:bCs/>
                <w:color w:val="auto"/>
                <w:kern w:val="0"/>
                <w:sz w:val="24"/>
                <w:szCs w:val="24"/>
                <w:highlight w:val="none"/>
              </w:rPr>
              <w:t>）</w:t>
            </w:r>
            <w:r>
              <w:rPr>
                <w:rStyle w:val="20"/>
                <w:rFonts w:hint="default" w:ascii="Times New Roman" w:hAnsi="Times New Roman" w:eastAsia="方正仿宋_GBK" w:cs="Times New Roman"/>
                <w:color w:val="auto"/>
                <w:sz w:val="24"/>
                <w:szCs w:val="24"/>
                <w:highlight w:val="none"/>
                <w:lang w:val="en-US" w:eastAsia="zh-CN" w:bidi="ar"/>
              </w:rPr>
              <w:t>术中牙齿损伤发生率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w:t>
            </w:r>
            <w:r>
              <w:rPr>
                <w:rFonts w:hint="default" w:ascii="Times New Roman" w:hAnsi="Times New Roman" w:eastAsia="方正仿宋_GBK" w:cs="Times New Roman"/>
                <w:bCs/>
                <w:color w:val="auto"/>
                <w:kern w:val="0"/>
                <w:sz w:val="24"/>
                <w:szCs w:val="24"/>
                <w:highlight w:val="none"/>
                <w:lang w:val="en-US" w:eastAsia="zh-CN"/>
              </w:rPr>
              <w:t>二</w:t>
            </w:r>
            <w:r>
              <w:rPr>
                <w:rFonts w:hint="default" w:ascii="Times New Roman" w:hAnsi="Times New Roman" w:eastAsia="方正仿宋_GBK" w:cs="Times New Roman"/>
                <w:bCs/>
                <w:color w:val="auto"/>
                <w:kern w:val="0"/>
                <w:sz w:val="24"/>
                <w:szCs w:val="24"/>
                <w:highlight w:val="none"/>
              </w:rPr>
              <w:t>）</w:t>
            </w:r>
            <w:r>
              <w:rPr>
                <w:rStyle w:val="20"/>
                <w:rFonts w:hint="default" w:ascii="Times New Roman" w:hAnsi="Times New Roman" w:eastAsia="方正仿宋_GBK" w:cs="Times New Roman"/>
                <w:color w:val="auto"/>
                <w:sz w:val="24"/>
                <w:szCs w:val="24"/>
                <w:highlight w:val="none"/>
                <w:lang w:val="en-US" w:eastAsia="zh-CN" w:bidi="ar"/>
              </w:rPr>
              <w:t>麻醉期间严重反流误吸发生率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w:t>
            </w:r>
            <w:r>
              <w:rPr>
                <w:rFonts w:hint="default" w:ascii="Times New Roman" w:hAnsi="Times New Roman" w:eastAsia="方正仿宋_GBK" w:cs="Times New Roman"/>
                <w:bCs/>
                <w:color w:val="auto"/>
                <w:kern w:val="0"/>
                <w:sz w:val="24"/>
                <w:szCs w:val="24"/>
                <w:highlight w:val="none"/>
                <w:lang w:val="en-US" w:eastAsia="zh-CN"/>
              </w:rPr>
              <w:t>三</w: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i w:val="0"/>
                <w:color w:val="auto"/>
                <w:kern w:val="0"/>
                <w:sz w:val="24"/>
                <w:szCs w:val="24"/>
                <w:highlight w:val="none"/>
                <w:u w:val="none"/>
                <w:lang w:val="en-US" w:eastAsia="zh-CN" w:bidi="ar"/>
              </w:rPr>
              <w:t>计划外建立人工气道发生率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w:t>
            </w:r>
            <w:r>
              <w:rPr>
                <w:rFonts w:hint="default" w:ascii="Times New Roman" w:hAnsi="Times New Roman" w:eastAsia="方正仿宋_GBK" w:cs="Times New Roman"/>
                <w:bCs/>
                <w:color w:val="auto"/>
                <w:kern w:val="0"/>
                <w:sz w:val="24"/>
                <w:szCs w:val="24"/>
                <w:highlight w:val="none"/>
                <w:lang w:val="en-US" w:eastAsia="zh-CN"/>
              </w:rPr>
              <w:t>四</w: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i w:val="0"/>
                <w:color w:val="auto"/>
                <w:kern w:val="0"/>
                <w:sz w:val="24"/>
                <w:szCs w:val="24"/>
                <w:highlight w:val="none"/>
                <w:u w:val="none"/>
                <w:lang w:val="en-US" w:eastAsia="zh-CN" w:bidi="ar"/>
              </w:rPr>
              <w:t>术中心脏骤停率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十五</w: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i w:val="0"/>
                <w:color w:val="auto"/>
                <w:kern w:val="0"/>
                <w:sz w:val="24"/>
                <w:szCs w:val="24"/>
                <w:highlight w:val="none"/>
                <w:u w:val="none"/>
                <w:lang w:val="en-US" w:eastAsia="zh-CN" w:bidi="ar"/>
              </w:rPr>
              <w:t>麻醉期间严重过敏反应发生率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（十</w:t>
            </w:r>
            <w:r>
              <w:rPr>
                <w:rFonts w:hint="default" w:ascii="Times New Roman" w:hAnsi="Times New Roman" w:eastAsia="方正仿宋_GBK" w:cs="Times New Roman"/>
                <w:bCs/>
                <w:color w:val="auto"/>
                <w:kern w:val="0"/>
                <w:sz w:val="24"/>
                <w:szCs w:val="24"/>
                <w:highlight w:val="none"/>
                <w:lang w:val="en-US" w:eastAsia="zh-CN"/>
              </w:rPr>
              <w:t>六</w: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i w:val="0"/>
                <w:color w:val="auto"/>
                <w:kern w:val="0"/>
                <w:sz w:val="24"/>
                <w:szCs w:val="24"/>
                <w:highlight w:val="none"/>
                <w:u w:val="none"/>
                <w:lang w:val="en-US" w:eastAsia="zh-CN" w:bidi="ar"/>
              </w:rPr>
              <w:t>全身麻醉术中知晓发生率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（十</w:t>
            </w:r>
            <w:r>
              <w:rPr>
                <w:rFonts w:hint="default" w:ascii="Times New Roman" w:hAnsi="Times New Roman" w:eastAsia="方正仿宋_GBK" w:cs="Times New Roman"/>
                <w:bCs/>
                <w:color w:val="auto"/>
                <w:kern w:val="0"/>
                <w:sz w:val="24"/>
                <w:szCs w:val="24"/>
                <w:highlight w:val="none"/>
                <w:lang w:val="en-US" w:eastAsia="zh-CN"/>
              </w:rPr>
              <w:t>七</w: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i w:val="0"/>
                <w:color w:val="auto"/>
                <w:kern w:val="0"/>
                <w:sz w:val="24"/>
                <w:szCs w:val="24"/>
                <w:highlight w:val="none"/>
                <w:u w:val="none"/>
                <w:lang w:val="en-US" w:eastAsia="zh-CN" w:bidi="ar"/>
              </w:rPr>
              <w:t>PACU 入室低体温发生率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（十</w:t>
            </w:r>
            <w:r>
              <w:rPr>
                <w:rFonts w:hint="default" w:ascii="Times New Roman" w:hAnsi="Times New Roman" w:eastAsia="方正仿宋_GBK" w:cs="Times New Roman"/>
                <w:bCs/>
                <w:color w:val="auto"/>
                <w:kern w:val="0"/>
                <w:sz w:val="24"/>
                <w:szCs w:val="24"/>
                <w:highlight w:val="none"/>
                <w:lang w:val="en-US" w:eastAsia="zh-CN"/>
              </w:rPr>
              <w:t>八</w: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i w:val="0"/>
                <w:color w:val="auto"/>
                <w:kern w:val="0"/>
                <w:sz w:val="24"/>
                <w:szCs w:val="24"/>
                <w:highlight w:val="none"/>
                <w:u w:val="none"/>
                <w:lang w:val="en-US" w:eastAsia="zh-CN" w:bidi="ar"/>
              </w:rPr>
              <w:t xml:space="preserve">麻醉后 </w:t>
            </w:r>
            <w:r>
              <w:rPr>
                <w:rStyle w:val="21"/>
                <w:rFonts w:hint="default" w:ascii="Times New Roman" w:hAnsi="Times New Roman" w:eastAsia="方正仿宋_GBK" w:cs="Times New Roman"/>
                <w:color w:val="auto"/>
                <w:sz w:val="24"/>
                <w:szCs w:val="24"/>
                <w:highlight w:val="none"/>
                <w:lang w:val="en-US" w:eastAsia="zh-CN" w:bidi="ar"/>
              </w:rPr>
              <w:t xml:space="preserve">PACU </w:t>
            </w:r>
            <w:r>
              <w:rPr>
                <w:rStyle w:val="22"/>
                <w:rFonts w:hint="default" w:ascii="Times New Roman" w:hAnsi="Times New Roman" w:eastAsia="方正仿宋_GBK" w:cs="Times New Roman"/>
                <w:color w:val="auto"/>
                <w:sz w:val="24"/>
                <w:szCs w:val="24"/>
                <w:highlight w:val="none"/>
                <w:lang w:val="en-US" w:eastAsia="zh-CN" w:bidi="ar"/>
              </w:rPr>
              <w:t>转出延迟率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（十</w:t>
            </w:r>
            <w:r>
              <w:rPr>
                <w:rFonts w:hint="default" w:ascii="Times New Roman" w:hAnsi="Times New Roman" w:eastAsia="方正仿宋_GBK" w:cs="Times New Roman"/>
                <w:bCs/>
                <w:color w:val="auto"/>
                <w:kern w:val="0"/>
                <w:sz w:val="24"/>
                <w:szCs w:val="24"/>
                <w:highlight w:val="none"/>
                <w:lang w:val="en-US" w:eastAsia="zh-CN"/>
              </w:rPr>
              <w:t>九</w: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i w:val="0"/>
                <w:color w:val="auto"/>
                <w:kern w:val="0"/>
                <w:sz w:val="24"/>
                <w:szCs w:val="24"/>
                <w:highlight w:val="none"/>
                <w:u w:val="none"/>
                <w:lang w:val="en-US" w:eastAsia="zh-CN" w:bidi="ar"/>
              </w:rPr>
              <w:t>非计划二次气管插管率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二十</w: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i w:val="0"/>
                <w:color w:val="auto"/>
                <w:kern w:val="0"/>
                <w:sz w:val="24"/>
                <w:szCs w:val="24"/>
                <w:highlight w:val="none"/>
                <w:u w:val="none"/>
                <w:lang w:val="en-US" w:eastAsia="zh-CN" w:bidi="ar"/>
              </w:rPr>
              <w:t xml:space="preserve">非计划转入 </w:t>
            </w:r>
            <w:r>
              <w:rPr>
                <w:rStyle w:val="21"/>
                <w:rFonts w:hint="default" w:ascii="Times New Roman" w:hAnsi="Times New Roman" w:eastAsia="方正仿宋_GBK" w:cs="Times New Roman"/>
                <w:color w:val="auto"/>
                <w:sz w:val="24"/>
                <w:szCs w:val="24"/>
                <w:highlight w:val="none"/>
                <w:lang w:val="en-US" w:eastAsia="zh-CN" w:bidi="ar"/>
              </w:rPr>
              <w:t xml:space="preserve">ICU </w:t>
            </w:r>
            <w:r>
              <w:rPr>
                <w:rStyle w:val="22"/>
                <w:rFonts w:hint="default" w:ascii="Times New Roman" w:hAnsi="Times New Roman" w:eastAsia="方正仿宋_GBK" w:cs="Times New Roman"/>
                <w:color w:val="auto"/>
                <w:sz w:val="24"/>
                <w:szCs w:val="24"/>
                <w:highlight w:val="none"/>
                <w:lang w:val="en-US" w:eastAsia="zh-CN" w:bidi="ar"/>
              </w:rPr>
              <w:t>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二十一</w: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术</w:t>
            </w:r>
            <w:r>
              <w:rPr>
                <w:rStyle w:val="20"/>
                <w:rFonts w:hint="default" w:ascii="Times New Roman" w:hAnsi="Times New Roman" w:eastAsia="方正仿宋_GBK" w:cs="Times New Roman"/>
                <w:color w:val="auto"/>
                <w:sz w:val="24"/>
                <w:szCs w:val="24"/>
                <w:highlight w:val="none"/>
                <w:lang w:val="en-US" w:eastAsia="zh-CN" w:bidi="ar"/>
              </w:rPr>
              <w:t>后镇痛满意率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二十二</w: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i w:val="0"/>
                <w:color w:val="auto"/>
                <w:kern w:val="0"/>
                <w:sz w:val="24"/>
                <w:szCs w:val="24"/>
                <w:highlight w:val="none"/>
                <w:u w:val="none"/>
                <w:lang w:val="en-US" w:eastAsia="zh-CN" w:bidi="ar"/>
              </w:rPr>
              <w:t>区域阻滞麻醉后严重神经并发症发生率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二十三</w: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i w:val="0"/>
                <w:color w:val="auto"/>
                <w:spacing w:val="-6"/>
                <w:kern w:val="0"/>
                <w:sz w:val="24"/>
                <w:szCs w:val="24"/>
                <w:highlight w:val="none"/>
                <w:u w:val="none"/>
                <w:lang w:val="en-US" w:eastAsia="zh-CN" w:bidi="ar"/>
              </w:rPr>
              <w:t>全身麻醉气管插管拔管后声音嘶哑发生率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二十四</w: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i w:val="0"/>
                <w:color w:val="auto"/>
                <w:kern w:val="0"/>
                <w:sz w:val="24"/>
                <w:szCs w:val="24"/>
                <w:highlight w:val="none"/>
                <w:u w:val="none"/>
                <w:lang w:val="en-US" w:eastAsia="zh-CN" w:bidi="ar"/>
              </w:rPr>
              <w:t>麻醉后新发昏迷发生率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二十五</w: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i w:val="0"/>
                <w:color w:val="auto"/>
                <w:kern w:val="0"/>
                <w:sz w:val="24"/>
                <w:szCs w:val="24"/>
                <w:highlight w:val="none"/>
                <w:u w:val="none"/>
                <w:lang w:val="en-US" w:eastAsia="zh-CN" w:bidi="ar"/>
              </w:rPr>
              <w:t xml:space="preserve">麻醉后 </w:t>
            </w:r>
            <w:r>
              <w:rPr>
                <w:rStyle w:val="21"/>
                <w:rFonts w:hint="default" w:ascii="Times New Roman" w:hAnsi="Times New Roman" w:eastAsia="方正仿宋_GBK" w:cs="Times New Roman"/>
                <w:color w:val="auto"/>
                <w:sz w:val="24"/>
                <w:szCs w:val="24"/>
                <w:highlight w:val="none"/>
                <w:lang w:val="en-US" w:eastAsia="zh-CN" w:bidi="ar"/>
              </w:rPr>
              <w:t xml:space="preserve">24 </w:t>
            </w:r>
            <w:r>
              <w:rPr>
                <w:rStyle w:val="22"/>
                <w:rFonts w:hint="default" w:ascii="Times New Roman" w:hAnsi="Times New Roman" w:eastAsia="方正仿宋_GBK" w:cs="Times New Roman"/>
                <w:color w:val="auto"/>
                <w:sz w:val="24"/>
                <w:szCs w:val="24"/>
                <w:highlight w:val="none"/>
                <w:lang w:val="en-US" w:eastAsia="zh-CN" w:bidi="ar"/>
              </w:rPr>
              <w:t>小时内患者死亡率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二十六</w: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i w:val="0"/>
                <w:color w:val="auto"/>
                <w:kern w:val="0"/>
                <w:sz w:val="24"/>
                <w:szCs w:val="24"/>
                <w:highlight w:val="none"/>
                <w:u w:val="none"/>
                <w:lang w:val="en-US" w:eastAsia="zh-CN" w:bidi="ar"/>
              </w:rPr>
              <w:t>阴道分娩椎管内麻醉使用率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rPr>
              <w:t>二、重症医学专业医疗质量控制指标（2015年版）</w:t>
            </w:r>
          </w:p>
        </w:tc>
        <w:tc>
          <w:tcPr>
            <w:tcW w:w="582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（一）ICU 患者收治率和ICU 患者收治床日率</w:t>
            </w:r>
          </w:p>
        </w:tc>
        <w:tc>
          <w:tcPr>
            <w:tcW w:w="1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（二）急性生理与慢性健康评分（APACHEⅡ评分）≥15分患者收治率（入 ICU24 小时内）</w:t>
            </w:r>
          </w:p>
        </w:tc>
        <w:tc>
          <w:tcPr>
            <w:tcW w:w="1860"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*（≥65%）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（三）感染性休克 3h集束化治疗（bundle）完成率</w:t>
            </w:r>
          </w:p>
        </w:tc>
        <w:tc>
          <w:tcPr>
            <w:tcW w:w="1860"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（四）感染性休克 6h集束化治疗（bundle）完成率</w:t>
            </w:r>
          </w:p>
        </w:tc>
        <w:tc>
          <w:tcPr>
            <w:tcW w:w="1860"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（五）ICU 抗菌药物治疗前病原学送检率</w:t>
            </w:r>
          </w:p>
        </w:tc>
        <w:tc>
          <w:tcPr>
            <w:tcW w:w="1860"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（六）ICU 深静脉血栓（DVT）预防率</w:t>
            </w:r>
          </w:p>
        </w:tc>
        <w:tc>
          <w:tcPr>
            <w:tcW w:w="1860"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（七）ICU 患者预计病死率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（八）ICU 患者标化病死指数</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sz w:val="24"/>
              </w:rPr>
              <mc:AlternateContent>
                <mc:Choice Requires="wps">
                  <w:drawing>
                    <wp:anchor distT="0" distB="0" distL="114300" distR="114300" simplePos="0" relativeHeight="251662336" behindDoc="0" locked="0" layoutInCell="1" allowOverlap="1">
                      <wp:simplePos x="0" y="0"/>
                      <wp:positionH relativeFrom="column">
                        <wp:posOffset>-1142365</wp:posOffset>
                      </wp:positionH>
                      <wp:positionV relativeFrom="paragraph">
                        <wp:posOffset>33020</wp:posOffset>
                      </wp:positionV>
                      <wp:extent cx="951865" cy="1019175"/>
                      <wp:effectExtent l="0" t="0" r="0" b="0"/>
                      <wp:wrapNone/>
                      <wp:docPr id="5" name="文本框 5"/>
                      <wp:cNvGraphicFramePr/>
                      <a:graphic xmlns:a="http://schemas.openxmlformats.org/drawingml/2006/main">
                        <a:graphicData uri="http://schemas.microsoft.com/office/word/2010/wordprocessingShape">
                          <wps:wsp>
                            <wps:cNvSpPr txBox="1"/>
                            <wps:spPr>
                              <a:xfrm>
                                <a:off x="0" y="0"/>
                                <a:ext cx="951865" cy="1019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b w:val="0"/>
                                      <w:color w:val="auto"/>
                                      <w:sz w:val="24"/>
                                      <w:szCs w:val="24"/>
                                      <w:highlight w:val="none"/>
                                    </w:rPr>
                                    <w:t>二、重症医学专业医疗质量控制指标（2015年版）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9.95pt;margin-top:2.6pt;height:80.25pt;width:74.95pt;z-index:251662336;mso-width-relative:page;mso-height-relative:page;" filled="f" stroked="f" coordsize="21600,21600" o:gfxdata="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L7DO6dsAAAAKAQAADwAAAAAAAAABACAAAAAiAAAA&#10;ZHJzL2Rvd25yZXYueG1sUEsBAhQAFAAAAAgAh07iQAGY/9g9AgAAZgQAAA4AAAAAAAAAAQAgAAAA&#10;KgEAAGRycy9lMm9Eb2MueG1sUEsFBgAAAAAGAAYAWQEAANkFA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b w:val="0"/>
                                <w:color w:val="auto"/>
                                <w:sz w:val="24"/>
                                <w:szCs w:val="24"/>
                                <w:highlight w:val="none"/>
                              </w:rPr>
                              <w:t>二、重症医学专业医疗质量控制指标（2015年版）</w:t>
                            </w:r>
                          </w:p>
                        </w:txbxContent>
                      </v:textbox>
                    </v:shape>
                  </w:pict>
                </mc:Fallback>
              </mc:AlternateContent>
            </w:r>
            <w:r>
              <w:rPr>
                <w:rFonts w:hint="default" w:ascii="Times New Roman" w:hAnsi="Times New Roman" w:eastAsia="方正仿宋_GBK" w:cs="Times New Roman"/>
                <w:bCs/>
                <w:color w:val="auto"/>
                <w:kern w:val="0"/>
                <w:sz w:val="24"/>
                <w:szCs w:val="24"/>
                <w:highlight w:val="none"/>
              </w:rPr>
              <w:t>（九）ICU 非计划气管插管拔管率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（十）ICU 气管插管拔管后 48h 内再插管率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（十一）非计划转入ICU率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（十二）转出 ICU 后 48h 内重返率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（十三）ICU 呼吸机相关性肺炎（VAP）发病率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（十四）ICU 血管内导管相关血流感染（CRBSI）发病率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（十五）ICU 导尿管相关泌尿系统感染（CAUTI）发病率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2" w:hRule="atLeast"/>
        </w:trPr>
        <w:tc>
          <w:tcPr>
            <w:tcW w:w="1673" w:type="dxa"/>
            <w:vMerge w:val="restart"/>
            <w:tcBorders>
              <w:top w:val="nil"/>
              <w:bottom w:val="single" w:color="auto" w:sz="4" w:space="0"/>
              <w:right w:val="single" w:color="auto" w:sz="4" w:space="0"/>
            </w:tcBorders>
            <w:shd w:val="clear" w:color="auto" w:fill="auto"/>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rPr>
              <w:t>三、急诊专业医疗质量控制指标（2015年版）</w:t>
            </w: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（一）急诊科医患比</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90"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（二）急诊科护患比</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（三）急诊各级患者比例</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（四）抢救室滞留时间中位数</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（五）急性心肌梗死（STEMI）患者平均门药时间及门药时间达标率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（六）急性心肌梗死（STEMI）患者平均门球时间及门球时间达标率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（七）急诊抢救室患者死亡率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（八）急诊手术患者死亡率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（九）ROSC 成功率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（十）非计划重返抢救室率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restart"/>
            <w:tcBorders>
              <w:top w:val="nil"/>
              <w:bottom w:val="single" w:color="auto" w:sz="4" w:space="0"/>
              <w:right w:val="single" w:color="auto" w:sz="4" w:space="0"/>
            </w:tcBorders>
            <w:shd w:val="clear" w:color="auto" w:fill="auto"/>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rPr>
              <w:t>四、临床检验专业医疗质量控制指标（2015年版）</w:t>
            </w: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（一）标本类型错误率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（二）标本容器错误率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（三）标本采集量错误率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（四）血培养污染率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（五）抗凝标本凝集率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（六）检验前周转时间中位数</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（七）室内质控项目开展率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（八）室内质控项目变异系数不合格率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（九）室间质评项目参加率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（十）室间质评项目不合格率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（十一）</w:t>
            </w:r>
            <w:r>
              <w:rPr>
                <w:rFonts w:hint="default" w:ascii="Times New Roman" w:hAnsi="Times New Roman" w:eastAsia="方正仿宋_GBK" w:cs="Times New Roman"/>
                <w:bCs/>
                <w:color w:val="auto"/>
                <w:spacing w:val="-11"/>
                <w:kern w:val="0"/>
                <w:sz w:val="24"/>
                <w:szCs w:val="24"/>
                <w:highlight w:val="none"/>
              </w:rPr>
              <w:t>实验室间比对率（用于无室间质评计划检验项目）</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（十二）实验室内周转时间中位数</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（十三）检验报告不正确率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（十四）危急值通报率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（十五）危急值通报及时率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restart"/>
            <w:tcBorders>
              <w:top w:val="single" w:color="auto" w:sz="4" w:space="0"/>
              <w:bottom w:val="single" w:color="auto" w:sz="4" w:space="0"/>
              <w:right w:val="single" w:color="auto" w:sz="4" w:space="0"/>
            </w:tcBorders>
            <w:shd w:val="clear" w:color="auto" w:fill="auto"/>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rPr>
              <w:t>五、病理专业医疗质量控制指标（2015年版）</w:t>
            </w:r>
          </w:p>
        </w:tc>
        <w:tc>
          <w:tcPr>
            <w:tcW w:w="582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（一）每百张病床病理医师数</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*（≥1人）</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（二）每百张病床病理技术人员数</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*（≥1人）</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（三）标本规范化固定率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（四）HE染色切片优良率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（五）免疫组化染色切片优良率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（六）术中快速病理诊断及时率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（七）组织病理诊断及时率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sz w:val="24"/>
              </w:rPr>
              <mc:AlternateContent>
                <mc:Choice Requires="wps">
                  <w:drawing>
                    <wp:anchor distT="0" distB="0" distL="114300" distR="114300" simplePos="0" relativeHeight="251663360" behindDoc="0" locked="0" layoutInCell="1" allowOverlap="1">
                      <wp:simplePos x="0" y="0"/>
                      <wp:positionH relativeFrom="column">
                        <wp:posOffset>-1047750</wp:posOffset>
                      </wp:positionH>
                      <wp:positionV relativeFrom="paragraph">
                        <wp:posOffset>39370</wp:posOffset>
                      </wp:positionV>
                      <wp:extent cx="904875" cy="1019175"/>
                      <wp:effectExtent l="0" t="0" r="0" b="0"/>
                      <wp:wrapNone/>
                      <wp:docPr id="6" name="文本框 6"/>
                      <wp:cNvGraphicFramePr/>
                      <a:graphic xmlns:a="http://schemas.openxmlformats.org/drawingml/2006/main">
                        <a:graphicData uri="http://schemas.microsoft.com/office/word/2010/wordprocessingShape">
                          <wps:wsp>
                            <wps:cNvSpPr txBox="1"/>
                            <wps:spPr>
                              <a:xfrm>
                                <a:off x="0" y="0"/>
                                <a:ext cx="904875" cy="1019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b w:val="0"/>
                                      <w:color w:val="auto"/>
                                      <w:sz w:val="24"/>
                                      <w:szCs w:val="24"/>
                                      <w:highlight w:val="none"/>
                                    </w:rPr>
                                    <w:t>五、病理专业医疗质量控制指标（2015年版）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2.5pt;margin-top:3.1pt;height:80.25pt;width:71.25pt;z-index:251663360;mso-width-relative:page;mso-height-relative:page;" filled="f" stroked="f" coordsize="21600,21600" o:gfxdata="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&#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85ftbbAAAACgEAAA8AAAAAAAAAAQAgAAAAIgAAAGRy&#10;cy9kb3ducmV2LnhtbFBLAQIUABQAAAAIAIdO4kA/tKwlOwIAAGYEAAAOAAAAAAAAAAEAIAAAACoB&#10;AABkcnMvZTJvRG9jLnhtbFBLBQYAAAAABgAGAFkBAADXBQ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b w:val="0"/>
                                <w:color w:val="auto"/>
                                <w:sz w:val="24"/>
                                <w:szCs w:val="24"/>
                                <w:highlight w:val="none"/>
                              </w:rPr>
                              <w:t>五、病理专业医疗质量控制指标（2015年版）</w:t>
                            </w:r>
                          </w:p>
                        </w:txbxContent>
                      </v:textbox>
                    </v:shape>
                  </w:pict>
                </mc:Fallback>
              </mc:AlternateContent>
            </w:r>
            <w:r>
              <w:rPr>
                <w:rFonts w:hint="default" w:ascii="Times New Roman" w:hAnsi="Times New Roman" w:eastAsia="方正仿宋_GBK" w:cs="Times New Roman"/>
                <w:bCs/>
                <w:color w:val="auto"/>
                <w:kern w:val="0"/>
                <w:sz w:val="24"/>
                <w:szCs w:val="24"/>
                <w:highlight w:val="none"/>
              </w:rPr>
              <w:t>（八）细胞病理诊断及时率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（九）各项分子病理检测室内质控合格率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（十）免疫组化染色室间质评合格率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（十一）各项分子病理室间质评合格率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37"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（十二）细胞学病理诊断质控符合率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（十三）术中快速诊断与石蜡诊断符合率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restart"/>
            <w:tcBorders>
              <w:top w:val="nil"/>
              <w:bottom w:val="single" w:color="auto" w:sz="4" w:space="0"/>
              <w:right w:val="single" w:color="auto" w:sz="4" w:space="0"/>
            </w:tcBorders>
            <w:shd w:val="clear" w:color="auto" w:fill="auto"/>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rPr>
              <w:t>六、医院感染管理医疗质量控制指标（2015年版）</w:t>
            </w: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（一）医院感染发病（例次）率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（二）医院感染现患（例次）率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（三）医院感染病例漏报率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（四）多重耐药菌感染发现率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（五）多重耐药菌感染检出率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（六）医务人员手卫生依从率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（七）住院患者抗菌药物使用率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*（≤60%）</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（八）抗菌药物治疗前病原学送检率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（九）I 类切口手术部位感染率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（十）I 类切口手术抗菌药物预防使用率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*（≤30%）</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（十一）血管内导管相关血流感染发病率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（十二）呼吸机相关肺炎发病率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（十三）导尿管相关泌尿系感染发病率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restart"/>
            <w:tcBorders>
              <w:top w:val="nil"/>
              <w:bottom w:val="single" w:color="auto" w:sz="4" w:space="0"/>
              <w:right w:val="single" w:color="auto" w:sz="4" w:space="0"/>
            </w:tcBorders>
            <w:shd w:val="clear" w:color="auto" w:fill="auto"/>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rPr>
              <w:t>七、临床用血质量控制指标（2019年版）</w:t>
            </w: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（一）每千单位用血输血专业技术人员数</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（二）《临床输血申请单》合格率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（三）受血者标本血型复查率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（四）输血相容性检测项目室内质控率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（五）输血相容性检测室间质评项目参加率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（六）千输血人次输血不良反应上报例数</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9" w:hRule="exac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（七）一二级手术台均用血量</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9" w:hRule="exac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（八）三四级手术台均用血量</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9" w:hRule="exac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（九）手术患者自体输血率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9" w:hRule="exac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（十）出院患者人均用血量</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restart"/>
            <w:tcBorders>
              <w:top w:val="single" w:color="auto" w:sz="4" w:space="0"/>
              <w:bottom w:val="single" w:color="auto" w:sz="4" w:space="0"/>
              <w:right w:val="single" w:color="auto" w:sz="4" w:space="0"/>
            </w:tcBorders>
            <w:shd w:val="clear" w:color="auto" w:fill="auto"/>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rPr>
              <w:t>八、呼吸内科专业医疗质量控制指标（2019年版）</w:t>
            </w:r>
          </w:p>
        </w:tc>
        <w:tc>
          <w:tcPr>
            <w:tcW w:w="582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（一）急性肺血栓栓塞症（PTE）患者确诊检查比例</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auto" w:sz="4" w:space="0"/>
            </w:tcBorders>
            <w:shd w:val="clear" w:color="auto" w:fill="auto"/>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（二）急性 PTE 患者行深静脉血栓相关检查比例</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（三）急性 PTE 患者行危险分层相关检查比例</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（四）住院期间行溶栓治疗的高危急性 PTE 患者比例</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（五）急性 PTE 患者住院期间抗凝治疗比例</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（六）急性 PTE 患者住院死亡率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（七）急性 PTE 患者住院期间发生大出血比例</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（八）慢阻肺急性加重患者住院期间行动脉血气分析比例</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（九）慢阻肺急性加重患者住院期间胸部影像学检查比例</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（十）慢阻肺急性加重患者住院期间心电图检查比例</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（十一）慢阻肺急性加重患者住院期间超声心动图检查比例</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（十二）慢阻肺急性加重患者住院期间抗感染治疗前病原学送检比例</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（十三）慢阻肺急性加重患者住院期间雾化吸入支气管扩张剂应用比例</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sz w:val="24"/>
              </w:rPr>
              <mc:AlternateContent>
                <mc:Choice Requires="wps">
                  <w:drawing>
                    <wp:anchor distT="0" distB="0" distL="114300" distR="114300" simplePos="0" relativeHeight="251664384" behindDoc="0" locked="0" layoutInCell="1" allowOverlap="1">
                      <wp:simplePos x="0" y="0"/>
                      <wp:positionH relativeFrom="column">
                        <wp:posOffset>-1123950</wp:posOffset>
                      </wp:positionH>
                      <wp:positionV relativeFrom="paragraph">
                        <wp:posOffset>118745</wp:posOffset>
                      </wp:positionV>
                      <wp:extent cx="1047115" cy="127571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047115" cy="12757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b w:val="0"/>
                                      <w:color w:val="auto"/>
                                      <w:sz w:val="24"/>
                                      <w:szCs w:val="24"/>
                                      <w:highlight w:val="none"/>
                                    </w:rPr>
                                    <w:t>八、呼吸内科专业医疗质量控制指标（2019年版）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8.5pt;margin-top:9.35pt;height:100.45pt;width:82.45pt;z-index:251664384;mso-width-relative:page;mso-height-relative:page;" filled="f" stroked="f" coordsize="21600,21600" o:gfxdata="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&#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P88wT2wAAAAsBAAAPAAAAAAAAAAEAIAAAACIAAABk&#10;cnMvZG93bnJldi54bWxQSwECFAAUAAAACACHTuJA9Fx71DwCAABnBAAADgAAAAAAAAABACAAAAAq&#10;AQAAZHJzL2Uyb0RvYy54bWxQSwUGAAAAAAYABgBZAQAA2AU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b w:val="0"/>
                                <w:color w:val="auto"/>
                                <w:sz w:val="24"/>
                                <w:szCs w:val="24"/>
                                <w:highlight w:val="none"/>
                              </w:rPr>
                              <w:t>八、呼吸内科专业医疗质量控制指标（2019年版）</w:t>
                            </w:r>
                          </w:p>
                        </w:txbxContent>
                      </v:textbox>
                    </v:shape>
                  </w:pict>
                </mc:Fallback>
              </mc:AlternateContent>
            </w:r>
            <w:r>
              <w:rPr>
                <w:rFonts w:hint="default" w:ascii="Times New Roman" w:hAnsi="Times New Roman" w:eastAsia="方正仿宋_GBK" w:cs="Times New Roman"/>
                <w:bCs/>
                <w:color w:val="auto"/>
                <w:kern w:val="0"/>
                <w:sz w:val="24"/>
                <w:szCs w:val="24"/>
                <w:highlight w:val="none"/>
              </w:rPr>
              <w:t>（十四）慢阻肺急性加重患者住院死亡率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（十五）使用有创机械通气的慢阻肺急性加重患者死亡率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（十六）住院成人社区获得性肺炎（CAP）患者进行CAP</w:t>
            </w:r>
          </w:p>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严重程度评估的比例</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（十七）低危CAP患者住院比例</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（十八）CAP 患者住院期间抗感染治疗前病原学送检比例</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（十九）CAP 患者住院死亡率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（二十）住院CAP患者接受机械通气的比例</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atLeast"/>
        </w:trPr>
        <w:tc>
          <w:tcPr>
            <w:tcW w:w="1673" w:type="dxa"/>
            <w:vMerge w:val="restart"/>
            <w:tcBorders>
              <w:top w:val="nil"/>
              <w:bottom w:val="single" w:color="auto" w:sz="4" w:space="0"/>
              <w:right w:val="single" w:color="auto" w:sz="4" w:space="0"/>
            </w:tcBorders>
            <w:shd w:val="clear" w:color="auto" w:fill="auto"/>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rPr>
              <w:t>九、产科专业医疗质量控制指标（2019年版）</w:t>
            </w: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（一）剖宫产/初产妇剖宫产率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（二）阴道分娩椎管内麻醉使用率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（三）早产/早期早产率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（四）巨大儿发生率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（五）严重产后出血发生率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（六）严重产后出血患者输血率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（七）孕产妇死亡活产比</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（八）妊娠相关子宫切除率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05" w:hRule="exac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（九）产后或术后非计划再次手术率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05" w:hRule="exac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（十）足月新生儿 5 分钟 Apgar评分＜7 分发生率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rPr>
              <w:t>十、神经系统疾病医疗质量控制指标（2020年版）</w:t>
            </w:r>
          </w:p>
        </w:tc>
        <w:tc>
          <w:tcPr>
            <w:tcW w:w="7683" w:type="dxa"/>
            <w:gridSpan w:val="2"/>
            <w:tcBorders>
              <w:top w:val="single" w:color="auto" w:sz="4" w:space="0"/>
              <w:left w:val="nil"/>
              <w:bottom w:val="single" w:color="auto" w:sz="4" w:space="0"/>
              <w:right w:val="single" w:color="auto" w:sz="4" w:space="0"/>
            </w:tcBorders>
            <w:shd w:val="clear" w:color="auto" w:fill="auto"/>
            <w:vAlign w:val="center"/>
          </w:tcPr>
          <w:p>
            <w:pPr>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（一）癫痫与惊厥癫痫持续状态</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1.癫痫发作频率记录率</w:t>
            </w:r>
          </w:p>
        </w:tc>
        <w:tc>
          <w:tcPr>
            <w:tcW w:w="1860" w:type="dxa"/>
            <w:tcBorders>
              <w:top w:val="nil"/>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2.抗癫痫药物规范服用率</w:t>
            </w:r>
          </w:p>
        </w:tc>
        <w:tc>
          <w:tcPr>
            <w:tcW w:w="1860" w:type="dxa"/>
            <w:tcBorders>
              <w:top w:val="nil"/>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3.抗癫痫药物严重不良反应发生率</w:t>
            </w:r>
          </w:p>
        </w:tc>
        <w:tc>
          <w:tcPr>
            <w:tcW w:w="1860" w:type="dxa"/>
            <w:tcBorders>
              <w:top w:val="nil"/>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4.癫痫患者病因学检查完成率</w:t>
            </w:r>
          </w:p>
        </w:tc>
        <w:tc>
          <w:tcPr>
            <w:tcW w:w="1860" w:type="dxa"/>
            <w:tcBorders>
              <w:top w:val="nil"/>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5.癫痫患者精神行为共患病筛查率</w:t>
            </w:r>
          </w:p>
        </w:tc>
        <w:tc>
          <w:tcPr>
            <w:tcW w:w="1860" w:type="dxa"/>
            <w:tcBorders>
              <w:top w:val="nil"/>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6.育龄期女性癫痫患者妊娠宣教执行率</w:t>
            </w:r>
          </w:p>
        </w:tc>
        <w:tc>
          <w:tcPr>
            <w:tcW w:w="1860" w:type="dxa"/>
            <w:tcBorders>
              <w:top w:val="nil"/>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7.癫痫患者择期手术在院死亡率</w:t>
            </w:r>
          </w:p>
        </w:tc>
        <w:tc>
          <w:tcPr>
            <w:tcW w:w="1860" w:type="dxa"/>
            <w:tcBorders>
              <w:top w:val="nil"/>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8.癫痫患者术后并发症发生率</w:t>
            </w:r>
          </w:p>
        </w:tc>
        <w:tc>
          <w:tcPr>
            <w:tcW w:w="1860" w:type="dxa"/>
            <w:tcBorders>
              <w:top w:val="nil"/>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9.癫痫患者术后病理明确率</w:t>
            </w:r>
          </w:p>
        </w:tc>
        <w:tc>
          <w:tcPr>
            <w:tcW w:w="1860" w:type="dxa"/>
            <w:tcBorders>
              <w:top w:val="nil"/>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10.癫痫手术患者出院时继续抗癫痫药物治疗率</w:t>
            </w:r>
          </w:p>
        </w:tc>
        <w:tc>
          <w:tcPr>
            <w:tcW w:w="1860" w:type="dxa"/>
            <w:tcBorders>
              <w:top w:val="nil"/>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11.惊厥性癫痫持续状态发作控制率</w:t>
            </w:r>
          </w:p>
        </w:tc>
        <w:tc>
          <w:tcPr>
            <w:tcW w:w="1860" w:type="dxa"/>
            <w:tcBorders>
              <w:top w:val="nil"/>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12.惊厥性癫痫持续状态初始治疗标准方案应用率</w:t>
            </w:r>
          </w:p>
        </w:tc>
        <w:tc>
          <w:tcPr>
            <w:tcW w:w="1860" w:type="dxa"/>
            <w:tcBorders>
              <w:top w:val="nil"/>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13.难治性惊厥性癫痫持续状态患者麻醉药物应用率</w:t>
            </w:r>
          </w:p>
        </w:tc>
        <w:tc>
          <w:tcPr>
            <w:tcW w:w="1860" w:type="dxa"/>
            <w:tcBorders>
              <w:top w:val="nil"/>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14.难治性惊厥性癫痫持续状态患者气管插管或机械通气应用率</w:t>
            </w:r>
          </w:p>
        </w:tc>
        <w:tc>
          <w:tcPr>
            <w:tcW w:w="1860" w:type="dxa"/>
            <w:tcBorders>
              <w:top w:val="nil"/>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15.在院惊厥性癫痫持续状态患者脑电监测率</w:t>
            </w:r>
          </w:p>
        </w:tc>
        <w:tc>
          <w:tcPr>
            <w:tcW w:w="1860" w:type="dxa"/>
            <w:tcBorders>
              <w:top w:val="nil"/>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16.在院惊厥性癫痫持续状态患者影像检查率</w:t>
            </w:r>
          </w:p>
        </w:tc>
        <w:tc>
          <w:tcPr>
            <w:tcW w:w="1860" w:type="dxa"/>
            <w:tcBorders>
              <w:top w:val="nil"/>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17.在院惊厥性癫痫持续状态患者脑脊液检查率</w:t>
            </w:r>
          </w:p>
        </w:tc>
        <w:tc>
          <w:tcPr>
            <w:tcW w:w="1860" w:type="dxa"/>
            <w:tcBorders>
              <w:top w:val="nil"/>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18.在院期间惊厥性癫痫持续状态患者病因明确率</w:t>
            </w:r>
          </w:p>
        </w:tc>
        <w:tc>
          <w:tcPr>
            <w:tcW w:w="1860" w:type="dxa"/>
            <w:tcBorders>
              <w:top w:val="nil"/>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19.惊厥性癫痫持续状态患者在院死亡率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20.惊厥性癫痫持续状态患者随访（出院 30 天内）死亡率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nil"/>
              <w:left w:val="nil"/>
              <w:bottom w:val="single" w:color="auto" w:sz="4" w:space="0"/>
            </w:tcBorders>
            <w:shd w:val="clear" w:color="auto" w:fill="auto"/>
            <w:vAlign w:val="center"/>
          </w:tcPr>
          <w:p>
            <w:pPr>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（二）脑梗死</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1.脑梗死患者神经功能缺损评估率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2.发病 24 小时内脑梗死患者急诊就诊 30 分钟内完成头颅 CT 影像学检查率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3.发病 24 小时内脑梗死患者急诊就诊 45 分钟内临床实 验室检查完成率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4.发病 4.5 小时内脑梗死患者静脉溶栓率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5.静脉溶栓的脑梗死患者到院到给药时间小于 60 分钟 的比例</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6.发病6小时内前循环大血管闭塞性脑梗死患者血管内治疗率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7.脑梗死患者入院 48 小时内抗血小板药物治疗率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sz w:val="24"/>
              </w:rPr>
              <mc:AlternateContent>
                <mc:Choice Requires="wps">
                  <w:drawing>
                    <wp:anchor distT="0" distB="0" distL="114300" distR="114300" simplePos="0" relativeHeight="251665408" behindDoc="0" locked="0" layoutInCell="1" allowOverlap="1">
                      <wp:simplePos x="0" y="0"/>
                      <wp:positionH relativeFrom="column">
                        <wp:posOffset>-1104900</wp:posOffset>
                      </wp:positionH>
                      <wp:positionV relativeFrom="paragraph">
                        <wp:posOffset>172720</wp:posOffset>
                      </wp:positionV>
                      <wp:extent cx="952500" cy="15049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952500" cy="150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b w:val="0"/>
                                      <w:color w:val="auto"/>
                                      <w:sz w:val="24"/>
                                      <w:szCs w:val="24"/>
                                      <w:highlight w:val="none"/>
                                    </w:rPr>
                                    <w:t>十、神经系统疾病医疗质量控制指标（2020年版）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7pt;margin-top:13.6pt;height:118.5pt;width:75pt;z-index:251665408;mso-width-relative:page;mso-height-relative:page;" filled="f" stroked="f" coordsize="21600,21600" o:gfxdata="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CAPO3bAAAACwEAAA8AAAAAAAAAAQAgAAAAIgAAAGRy&#10;cy9kb3ducmV2LnhtbFBLAQIUABQAAAAIAIdO4kDIcCEDOwIAAGYEAAAOAAAAAAAAAAEAIAAAACoB&#10;AABkcnMvZTJvRG9jLnhtbFBLBQYAAAAABgAGAFkBAADXBQ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b w:val="0"/>
                                <w:color w:val="auto"/>
                                <w:sz w:val="24"/>
                                <w:szCs w:val="24"/>
                                <w:highlight w:val="none"/>
                              </w:rPr>
                              <w:t>十、神经系统疾病医疗质量控制指标（2020年版）</w:t>
                            </w:r>
                          </w:p>
                        </w:txbxContent>
                      </v:textbox>
                    </v:shape>
                  </w:pict>
                </mc:Fallback>
              </mc:AlternateContent>
            </w:r>
            <w:r>
              <w:rPr>
                <w:rFonts w:hint="default" w:ascii="Times New Roman" w:hAnsi="Times New Roman" w:eastAsia="方正仿宋_GBK" w:cs="Times New Roman"/>
                <w:bCs/>
                <w:color w:val="auto"/>
                <w:kern w:val="0"/>
                <w:sz w:val="24"/>
                <w:szCs w:val="24"/>
                <w:highlight w:val="none"/>
              </w:rPr>
              <w:t>8.非致残性脑梗死患者发病 24 小时内双重强化抗血小板药物治疗率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9.不能自行行走的脑梗死患者入院 48 小时内深静脉血栓预防率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10.脑梗死患者住院 7 天内血管评价率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11.住院期间脑梗死患者他汀类药物治疗率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12.住院期间合并房颤的脑梗死患者抗凝治疗率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13.脑梗死患者吞咽功能筛查率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14.脑梗死患者康复评估率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15.出院时脑梗死患者抗栓/他汀类药物治疗率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16.出院时合并高血压/糖尿病/房颤的脑梗死患者降压/降糖药物/抗凝治疗率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17.脑梗死患者住院死亡率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18.发病 24 小时内脑梗死患者血管内治疗率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19.发病 24 小时内脑梗死患者血管内治疗术前影像学评估率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20.发病 24 小时内脑梗死患者行血管内治疗 90 分钟内完成动脉穿刺率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21.发病 24 小时内脑梗死患者行血管内治疗 60 分钟内 成功再灌注率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22.发病 24 小时内脑梗死患者行血管内治疗术后即刻再通率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23.发病 24 小时内脑梗死患者行血管内治疗术中新发部位栓塞发生率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24.发病 24 小时内脑梗死患者行血管内治疗术后症状性颅内出血发生率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25.发病 24 小时内脑梗死患者行血管内治疗术后 90 天mRS评估率</w:t>
            </w:r>
          </w:p>
        </w:tc>
        <w:tc>
          <w:tcPr>
            <w:tcW w:w="1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26.发病 24 小时内脑梗死患者行血管内治疗术后 90 天良好神经功能预后率</w:t>
            </w:r>
          </w:p>
        </w:tc>
        <w:tc>
          <w:tcPr>
            <w:tcW w:w="1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27.发病 24 小时内脑梗死患者行血管内治疗术后死亡率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nil"/>
              <w:left w:val="nil"/>
              <w:bottom w:val="single" w:color="auto" w:sz="4" w:space="0"/>
            </w:tcBorders>
            <w:shd w:val="clear" w:color="auto" w:fill="auto"/>
            <w:vAlign w:val="center"/>
          </w:tcPr>
          <w:p>
            <w:pPr>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（三）帕金森病</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1.住院帕金森病患者规范诊断率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2.住院帕金森病患者完成头颅 MRI 或 CT 检查率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3.住院帕金森病患者进行急性左旋多巴试验评测率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4.住院帕金森病患者进行临床分期的比例</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5.住院帕金森病患者全面神经功能缺损评估率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6.住院帕金森病患者运动并发症筛查率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7.住院帕金森病患者认知功能障碍筛查率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8.住院帕金森病体位性低血压筛查率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9.合并运动并发症的住院帕金森病患者 DBS 适应症筛选 评估率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10.住院帕金森病患者康复评估率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sz w:val="24"/>
              </w:rPr>
              <mc:AlternateContent>
                <mc:Choice Requires="wps">
                  <w:drawing>
                    <wp:anchor distT="0" distB="0" distL="114300" distR="114300" simplePos="0" relativeHeight="251666432" behindDoc="0" locked="0" layoutInCell="1" allowOverlap="1">
                      <wp:simplePos x="0" y="0"/>
                      <wp:positionH relativeFrom="column">
                        <wp:posOffset>-1104900</wp:posOffset>
                      </wp:positionH>
                      <wp:positionV relativeFrom="paragraph">
                        <wp:posOffset>-36830</wp:posOffset>
                      </wp:positionV>
                      <wp:extent cx="952500" cy="1504950"/>
                      <wp:effectExtent l="0" t="0" r="0" b="0"/>
                      <wp:wrapNone/>
                      <wp:docPr id="9" name="文本框 9"/>
                      <wp:cNvGraphicFramePr/>
                      <a:graphic xmlns:a="http://schemas.openxmlformats.org/drawingml/2006/main">
                        <a:graphicData uri="http://schemas.microsoft.com/office/word/2010/wordprocessingShape">
                          <wps:wsp>
                            <wps:cNvSpPr txBox="1"/>
                            <wps:spPr>
                              <a:xfrm>
                                <a:off x="0" y="0"/>
                                <a:ext cx="952500" cy="150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b w:val="0"/>
                                      <w:color w:val="auto"/>
                                      <w:sz w:val="24"/>
                                      <w:szCs w:val="24"/>
                                      <w:highlight w:val="none"/>
                                    </w:rPr>
                                    <w:t>十、神经系统疾病医疗质量控制指标（2020年版）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7pt;margin-top:-2.9pt;height:118.5pt;width:75pt;z-index:251666432;mso-width-relative:page;mso-height-relative:page;" filled="f" stroked="f" coordsize="21600,21600" o:gfxdata="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&#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1jYZXbAAAACwEAAA8AAAAAAAAAAQAgAAAAIgAAAGRy&#10;cy9kb3ducmV2LnhtbFBLAQIUABQAAAAIAIdO4kCKe6xWOwIAAGYEAAAOAAAAAAAAAAEAIAAAACoB&#10;AABkcnMvZTJvRG9jLnhtbFBLBQYAAAAABgAGAFkBAADXBQ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b w:val="0"/>
                                <w:color w:val="auto"/>
                                <w:sz w:val="24"/>
                                <w:szCs w:val="24"/>
                                <w:highlight w:val="none"/>
                              </w:rPr>
                              <w:t>十、神经系统疾病医疗质量控制指标（2020年版）</w:t>
                            </w:r>
                          </w:p>
                        </w:txbxContent>
                      </v:textbox>
                    </v:shape>
                  </w:pict>
                </mc:Fallback>
              </mc:AlternateContent>
            </w:r>
            <w:r>
              <w:rPr>
                <w:rFonts w:hint="default" w:ascii="Times New Roman" w:hAnsi="Times New Roman" w:eastAsia="方正仿宋_GBK" w:cs="Times New Roman"/>
                <w:bCs/>
                <w:color w:val="auto"/>
                <w:kern w:val="0"/>
                <w:sz w:val="24"/>
                <w:szCs w:val="24"/>
                <w:highlight w:val="none"/>
              </w:rPr>
              <w:t>11.住院帕金森病患者焦虑症状和抑郁症状筛查率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nil"/>
              <w:left w:val="nil"/>
              <w:bottom w:val="single" w:color="auto" w:sz="4" w:space="0"/>
            </w:tcBorders>
            <w:shd w:val="clear" w:color="auto" w:fill="auto"/>
            <w:vAlign w:val="center"/>
          </w:tcPr>
          <w:p>
            <w:pPr>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（四）颈动脉支架置入术</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1.颈动脉支架置入术患者术前 mRS 评估率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2.颈动脉支架置入术患者术前颈动脉无创影像评估率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3.颈动脉支架置入术手术指征符合率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4.颈动脉支架置入术患者术前规范化药物治疗率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5.颈动脉支架置入术保护装置使用率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6.颈动脉支架置入术技术成功率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7.颈动脉支架置入术并发症发生率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8.颈动脉支架置入术患者出院规范化药物治疗率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9.颈动脉支架置入术患者卒中和死亡发生率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27"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10.颈动脉支架置入术患者术后同侧缺血性卒中发生率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nil"/>
              <w:left w:val="nil"/>
              <w:bottom w:val="single" w:color="auto" w:sz="4" w:space="0"/>
            </w:tcBorders>
            <w:shd w:val="clear" w:color="auto" w:fill="auto"/>
            <w:vAlign w:val="center"/>
          </w:tcPr>
          <w:p>
            <w:pPr>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（五）脑血管造影术</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1.脑血管造影术（DSA）前无创影像评估率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2.脑血管造影术中非离子型对比剂应用率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3.脑血管造影术造影时相完整率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4.脑血管造影术造影阳性率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5.脑血管造影术严重并发症发生率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6.脑血管造影术穿刺点并发症发生率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7.脑血管造影术死亡率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restart"/>
            <w:tcBorders>
              <w:top w:val="single" w:color="auto" w:sz="4" w:space="0"/>
              <w:bottom w:val="single" w:color="auto" w:sz="4" w:space="0"/>
              <w:right w:val="single" w:color="auto" w:sz="4" w:space="0"/>
            </w:tcBorders>
            <w:shd w:val="clear" w:color="auto" w:fill="auto"/>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rPr>
              <w:t>十一、肾病专业医疗质量控制指标（2020年版）</w:t>
            </w:r>
          </w:p>
        </w:tc>
        <w:tc>
          <w:tcPr>
            <w:tcW w:w="7683" w:type="dxa"/>
            <w:gridSpan w:val="2"/>
            <w:tcBorders>
              <w:top w:val="single" w:color="auto" w:sz="4" w:space="0"/>
              <w:left w:val="nil"/>
              <w:bottom w:val="single" w:color="auto" w:sz="4" w:space="0"/>
            </w:tcBorders>
            <w:shd w:val="clear" w:color="auto" w:fill="auto"/>
            <w:vAlign w:val="center"/>
          </w:tcPr>
          <w:p>
            <w:pPr>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（一）IgA 肾病</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1.肾活检患者术前检查完成率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2.肾脏病理切片染色规范率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3.IgA 肾病患者病理分型诊断率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4.IgA肾病患者 RAS阻断剂的使用率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5.IgA肾病患者随访完成率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6.IgA 肾病患者血压控制达标率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7.肾功能恶化率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8.治疗 6 个月后24 小时尿蛋白&lt;1g 的患者比例</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9.肾活检严重并发症发生率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10.激素、免疫抑制剂治疗的严重并发症发生率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nil"/>
              <w:left w:val="nil"/>
              <w:bottom w:val="single" w:color="auto" w:sz="4" w:space="0"/>
            </w:tcBorders>
            <w:shd w:val="clear" w:color="auto" w:fill="auto"/>
            <w:vAlign w:val="center"/>
          </w:tcPr>
          <w:p>
            <w:pPr>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（二）血液净化技术</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1.治疗室消毒合格率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2.透析用水生物污染检验合格率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3.新入血液透析患者血源性传染病标志物检验完成率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4.维持性血液透析患者血源性传染病标志物定时检验完成率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5.维持性血液透析患者的乙型肝炎和丙型肝炎发病率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6.血液透析患者尿素清除指数（Kt/V）和尿素下降率（URR）控制率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7.腹膜透析患者尿素清除指数（Kt/V）及总内生肌酐清除率（Ccr）控制率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8.透析患者β2 微球蛋白定时检验完成率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sz w:val="24"/>
              </w:rPr>
              <mc:AlternateContent>
                <mc:Choice Requires="wps">
                  <w:drawing>
                    <wp:anchor distT="0" distB="0" distL="114300" distR="114300" simplePos="0" relativeHeight="251667456" behindDoc="0" locked="0" layoutInCell="1" allowOverlap="1">
                      <wp:simplePos x="0" y="0"/>
                      <wp:positionH relativeFrom="column">
                        <wp:posOffset>-1161415</wp:posOffset>
                      </wp:positionH>
                      <wp:positionV relativeFrom="paragraph">
                        <wp:posOffset>160020</wp:posOffset>
                      </wp:positionV>
                      <wp:extent cx="1132840" cy="150495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132840" cy="150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b w:val="0"/>
                                      <w:color w:val="auto"/>
                                      <w:sz w:val="24"/>
                                      <w:szCs w:val="24"/>
                                      <w:highlight w:val="none"/>
                                    </w:rPr>
                                    <w:t>十一、肾病专业医疗质量控制指标（2020年版）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45pt;margin-top:12.6pt;height:118.5pt;width:89.2pt;z-index:251667456;mso-width-relative:page;mso-height-relative:page;" filled="f" stroked="f" coordsize="21600,21600" o:gfxdata="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96YgI2gAAAAoBAAAPAAAAAAAAAAEAIAAAACIAAABkcnMv&#10;ZG93bnJldi54bWxQSwECFAAUAAAACACHTuJAuztvzToCAABpBAAADgAAAAAAAAABACAAAAApAQAA&#10;ZHJzL2Uyb0RvYy54bWxQSwUGAAAAAAYABgBZAQAA1QU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b w:val="0"/>
                                <w:color w:val="auto"/>
                                <w:sz w:val="24"/>
                                <w:szCs w:val="24"/>
                                <w:highlight w:val="none"/>
                              </w:rPr>
                              <w:t>十一、肾病专业医疗质量控制指标（2020年版）</w:t>
                            </w:r>
                          </w:p>
                        </w:txbxContent>
                      </v:textbox>
                    </v:shape>
                  </w:pict>
                </mc:Fallback>
              </mc:AlternateContent>
            </w:r>
            <w:r>
              <w:rPr>
                <w:rFonts w:hint="default" w:ascii="Times New Roman" w:hAnsi="Times New Roman" w:eastAsia="方正仿宋_GBK" w:cs="Times New Roman"/>
                <w:bCs/>
                <w:color w:val="auto"/>
                <w:kern w:val="0"/>
                <w:sz w:val="24"/>
                <w:szCs w:val="24"/>
                <w:highlight w:val="none"/>
              </w:rPr>
              <w:t>9.血液透析患者透析间期体重增长控制率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10.维持性血液透析患者的动静脉内瘘长期使用率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11.腹膜透析患者腹膜平衡试验记录定时完成率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12.腹膜透析退出患者治疗时间</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13.透析患者血常规定时检验率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14.透析患者血液生化定时检验</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15.透析患者全段甲状旁腺素</w:t>
            </w:r>
            <w:r>
              <w:rPr>
                <w:rFonts w:hint="eastAsia"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rPr>
              <w:t>iPTH</w:t>
            </w:r>
            <w:r>
              <w:rPr>
                <w:rFonts w:hint="eastAsia"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rPr>
              <w:t>定时检验完成率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16.透析患者的血清铁蛋白和转铁蛋白饱和度定时检验完成率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17.透析患者的血清前白蛋白定时检验完成率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18.透析患者的 C 反应蛋白（CRP）定时检验完成率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19.透析患者高血压控制率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20.透析患者肾性贫血控制率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21.透析患者慢性肾脏病-矿物质与骨异常</w:t>
            </w:r>
            <w:r>
              <w:rPr>
                <w:rFonts w:hint="eastAsia"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rPr>
              <w:t>CKD-MBD</w:t>
            </w:r>
            <w:r>
              <w:rPr>
                <w:rFonts w:hint="eastAsia"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rPr>
              <w:t>指标控制率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22.透析患者血清白蛋白控制率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restart"/>
            <w:tcBorders>
              <w:top w:val="nil"/>
              <w:bottom w:val="single" w:color="000000" w:sz="4" w:space="0"/>
              <w:right w:val="single" w:color="auto" w:sz="4" w:space="0"/>
            </w:tcBorders>
            <w:shd w:val="clear" w:color="auto" w:fill="auto"/>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bookmarkStart w:id="122" w:name="_Hlk78733913"/>
            <w:r>
              <w:rPr>
                <w:rFonts w:hint="default" w:ascii="Times New Roman" w:hAnsi="Times New Roman" w:eastAsia="方正仿宋_GBK" w:cs="Times New Roman"/>
                <w:b w:val="0"/>
                <w:color w:val="auto"/>
                <w:sz w:val="24"/>
                <w:szCs w:val="24"/>
                <w:highlight w:val="none"/>
              </w:rPr>
              <w:t>十二、护理专业质量控制指标（2020版）</w:t>
            </w: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（一）床护比</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（二）护患比</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（三）每住院患者 24小时平均护理时数</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（四）不同级别护士配置占比</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（五）护士离职率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（六）住院患者身体约束率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（七）住院患者跌倒发生率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nil"/>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（八）住院患者 2 期及以上院内压力性损伤发生率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top w:val="nil"/>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（九）置管患者非计划拔管率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top w:val="nil"/>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（十）导管相关感染发生率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top w:val="nil"/>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（十一）呼吸机相关性肺炎（VAP）发生率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trPr>
        <w:tc>
          <w:tcPr>
            <w:tcW w:w="1673" w:type="dxa"/>
            <w:vMerge w:val="continue"/>
            <w:tcBorders>
              <w:top w:val="nil"/>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（十二）护理级别占比</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bookmarkEnd w:id="122"/>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67" w:hRule="atLeast"/>
        </w:trPr>
        <w:tc>
          <w:tcPr>
            <w:tcW w:w="1673" w:type="dxa"/>
            <w:vMerge w:val="restart"/>
            <w:tcBorders>
              <w:top w:val="single" w:color="auto" w:sz="4" w:space="0"/>
              <w:right w:val="single" w:color="000000" w:sz="4" w:space="0"/>
            </w:tcBorders>
            <w:shd w:val="clear" w:color="auto" w:fill="auto"/>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p>
          <w:p>
            <w:pPr>
              <w:pStyle w:val="4"/>
              <w:spacing w:line="300" w:lineRule="exact"/>
              <w:jc w:val="both"/>
              <w:rPr>
                <w:rFonts w:hint="default" w:ascii="Times New Roman" w:hAnsi="Times New Roman" w:eastAsia="方正仿宋_GBK" w:cs="Times New Roman"/>
                <w:b w:val="0"/>
                <w:color w:val="auto"/>
                <w:sz w:val="24"/>
                <w:szCs w:val="24"/>
                <w:highlight w:val="none"/>
              </w:rPr>
            </w:pPr>
          </w:p>
          <w:p>
            <w:pPr>
              <w:pStyle w:val="4"/>
              <w:spacing w:line="300" w:lineRule="exact"/>
              <w:jc w:val="both"/>
              <w:rPr>
                <w:rFonts w:hint="default" w:ascii="Times New Roman" w:hAnsi="Times New Roman" w:eastAsia="方正仿宋_GBK" w:cs="Times New Roman"/>
                <w:b w:val="0"/>
                <w:color w:val="auto"/>
                <w:sz w:val="24"/>
                <w:szCs w:val="24"/>
                <w:highlight w:val="none"/>
              </w:rPr>
            </w:pPr>
          </w:p>
          <w:p>
            <w:pPr>
              <w:pStyle w:val="4"/>
              <w:spacing w:line="300" w:lineRule="exact"/>
              <w:jc w:val="both"/>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rPr>
              <w:t>十三、药事管理专业医疗质量控制指标（2020年版）</w:t>
            </w: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bCs/>
                <w:color w:val="auto"/>
                <w:kern w:val="0"/>
                <w:sz w:val="24"/>
                <w:szCs w:val="24"/>
                <w:highlight w:val="none"/>
              </w:rPr>
              <w:t>（一）药学专业技术人员占比</w:t>
            </w:r>
          </w:p>
        </w:tc>
        <w:tc>
          <w:tcPr>
            <w:tcW w:w="1860" w:type="dxa"/>
            <w:tcBorders>
              <w:top w:val="single" w:color="auto" w:sz="4" w:space="0"/>
              <w:left w:val="nil"/>
              <w:bottom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bCs/>
                <w:color w:val="auto"/>
                <w:kern w:val="0"/>
                <w:sz w:val="24"/>
                <w:szCs w:val="24"/>
                <w:highlight w:val="none"/>
              </w:rPr>
              <w:t>*（≥4%）</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（二）每百张床位临床药师人数</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bottom w:val="single" w:color="auto"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（三）处方审核率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single" w:color="auto"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（四）住院用药医嘱审核率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（五）静脉用药集中调配医嘱干预率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（六）门诊处方点评率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（七）门诊处方合格率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（八）住院患者药学监护率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（九）用药错误报告率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（十）严重或新的药品不良反应上报率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（十一）住院患者抗菌药物使用情况</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（十二）住院患者静脉输液使用率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（十三）住院患者中药注射剂静脉输液使用率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rPr>
          <w:trHeight w:val="285" w:hRule="atLeast"/>
        </w:trPr>
        <w:tc>
          <w:tcPr>
            <w:tcW w:w="1673" w:type="dxa"/>
            <w:vMerge w:val="continue"/>
            <w:tcBorders>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（十四）急诊患者糖皮质激素静脉输液使用率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bottom w:val="single" w:color="auto"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（十五）住院患者质子泵抑制药注射剂静脉使用率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restart"/>
            <w:tcBorders>
              <w:top w:val="single" w:color="auto"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 w:val="0"/>
                <w:color w:val="auto"/>
                <w:sz w:val="24"/>
                <w:szCs w:val="24"/>
                <w:highlight w:val="none"/>
              </w:rPr>
              <w:t>十</w:t>
            </w:r>
            <w:r>
              <w:rPr>
                <w:rFonts w:hint="default" w:ascii="Times New Roman" w:hAnsi="Times New Roman" w:eastAsia="方正仿宋_GBK" w:cs="Times New Roman"/>
                <w:b w:val="0"/>
                <w:color w:val="auto"/>
                <w:sz w:val="24"/>
                <w:szCs w:val="24"/>
                <w:highlight w:val="none"/>
                <w:lang w:val="en-US" w:eastAsia="zh-CN"/>
              </w:rPr>
              <w:t>四</w:t>
            </w:r>
            <w:r>
              <w:rPr>
                <w:rFonts w:hint="default" w:ascii="Times New Roman" w:hAnsi="Times New Roman" w:eastAsia="方正仿宋_GBK" w:cs="Times New Roman"/>
                <w:b w:val="0"/>
                <w:color w:val="auto"/>
                <w:sz w:val="24"/>
                <w:szCs w:val="24"/>
                <w:highlight w:val="none"/>
              </w:rPr>
              <w:t>、</w:t>
            </w:r>
            <w:r>
              <w:rPr>
                <w:rFonts w:hint="default" w:ascii="Times New Roman" w:hAnsi="Times New Roman" w:eastAsia="方正仿宋_GBK" w:cs="Times New Roman"/>
                <w:b w:val="0"/>
                <w:bCs/>
                <w:color w:val="auto"/>
                <w:kern w:val="2"/>
                <w:sz w:val="24"/>
                <w:szCs w:val="24"/>
                <w:highlight w:val="none"/>
                <w:lang w:val="en-US" w:eastAsia="zh-CN" w:bidi="ar-SA"/>
              </w:rPr>
              <w:t>病案管理质量控制指标</w:t>
            </w:r>
            <w:r>
              <w:rPr>
                <w:rFonts w:hint="default" w:ascii="Times New Roman" w:hAnsi="Times New Roman" w:eastAsia="方正仿宋_GBK" w:cs="Times New Roman"/>
                <w:b w:val="0"/>
                <w:color w:val="auto"/>
                <w:sz w:val="24"/>
                <w:szCs w:val="24"/>
                <w:highlight w:val="none"/>
                <w:lang w:val="en-US" w:eastAsia="zh-CN"/>
              </w:rPr>
              <w:t>（2021年版）</w:t>
            </w:r>
          </w:p>
        </w:tc>
        <w:tc>
          <w:tcPr>
            <w:tcW w:w="7683" w:type="dxa"/>
            <w:gridSpan w:val="2"/>
            <w:tcBorders>
              <w:top w:val="single" w:color="auto" w:sz="4" w:space="0"/>
              <w:left w:val="single" w:color="000000" w:sz="4" w:space="0"/>
              <w:bottom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lang w:val="en-US" w:eastAsia="zh-CN"/>
              </w:rPr>
              <w:t>一）</w:t>
            </w:r>
            <w:r>
              <w:rPr>
                <w:rFonts w:hint="default" w:ascii="Times New Roman" w:hAnsi="Times New Roman" w:eastAsia="方正仿宋_GBK" w:cs="Times New Roman"/>
                <w:bCs/>
                <w:color w:val="auto"/>
                <w:kern w:val="0"/>
                <w:sz w:val="24"/>
                <w:szCs w:val="24"/>
                <w:highlight w:val="none"/>
              </w:rPr>
              <w:t>人力资源配置指标</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rPr>
              <w:t>1.</w:t>
            </w:r>
            <w:r>
              <w:rPr>
                <w:rFonts w:hint="default" w:ascii="Times New Roman" w:hAnsi="Times New Roman" w:eastAsia="方正仿宋_GBK" w:cs="Times New Roman"/>
                <w:bCs/>
                <w:color w:val="auto"/>
                <w:kern w:val="0"/>
                <w:sz w:val="24"/>
                <w:szCs w:val="24"/>
                <w:highlight w:val="none"/>
              </w:rPr>
              <w:t>住院病案管理人员月均负担出院患者病历数</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rPr>
              <w:t>2.</w:t>
            </w:r>
            <w:r>
              <w:rPr>
                <w:rFonts w:hint="default" w:ascii="Times New Roman" w:hAnsi="Times New Roman" w:eastAsia="方正仿宋_GBK" w:cs="Times New Roman"/>
                <w:bCs/>
                <w:color w:val="auto"/>
                <w:kern w:val="0"/>
                <w:sz w:val="24"/>
                <w:szCs w:val="24"/>
                <w:highlight w:val="none"/>
              </w:rPr>
              <w:t>门诊病案管理人员月均负担门诊患者病历数</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rPr>
              <w:t>3.</w:t>
            </w:r>
            <w:r>
              <w:rPr>
                <w:rFonts w:hint="default" w:ascii="Times New Roman" w:hAnsi="Times New Roman" w:eastAsia="方正仿宋_GBK" w:cs="Times New Roman"/>
                <w:bCs/>
                <w:color w:val="auto"/>
                <w:kern w:val="0"/>
                <w:sz w:val="24"/>
                <w:szCs w:val="24"/>
                <w:highlight w:val="none"/>
              </w:rPr>
              <w:t>病案编码人员月均负担出院患者病历数</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nil"/>
              <w:left w:val="single" w:color="000000" w:sz="4" w:space="0"/>
              <w:bottom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lang w:val="en-US" w:eastAsia="zh-CN"/>
              </w:rPr>
              <w:t>二）</w:t>
            </w:r>
            <w:r>
              <w:rPr>
                <w:rFonts w:hint="default" w:ascii="Times New Roman" w:hAnsi="Times New Roman" w:eastAsia="方正仿宋_GBK" w:cs="Times New Roman"/>
                <w:bCs/>
                <w:color w:val="auto"/>
                <w:kern w:val="0"/>
                <w:sz w:val="24"/>
                <w:szCs w:val="24"/>
                <w:highlight w:val="none"/>
              </w:rPr>
              <w:t>病历书写时效性指标</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rPr>
              <w:t>1.</w:t>
            </w:r>
            <w:r>
              <w:rPr>
                <w:rFonts w:hint="default" w:ascii="Times New Roman" w:hAnsi="Times New Roman" w:eastAsia="方正仿宋_GBK" w:cs="Times New Roman"/>
                <w:bCs/>
                <w:color w:val="auto"/>
                <w:kern w:val="0"/>
                <w:sz w:val="24"/>
                <w:szCs w:val="24"/>
                <w:highlight w:val="none"/>
              </w:rPr>
              <w:t>入院记录 24 小时内完成率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rPr>
              <w:t>2.</w:t>
            </w:r>
            <w:r>
              <w:rPr>
                <w:rFonts w:hint="default" w:ascii="Times New Roman" w:hAnsi="Times New Roman" w:eastAsia="方正仿宋_GBK" w:cs="Times New Roman"/>
                <w:bCs/>
                <w:color w:val="auto"/>
                <w:kern w:val="0"/>
                <w:sz w:val="24"/>
                <w:szCs w:val="24"/>
                <w:highlight w:val="none"/>
              </w:rPr>
              <w:t>手术记录24小时内完成率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rPr>
              <w:t>3.</w:t>
            </w:r>
            <w:r>
              <w:rPr>
                <w:rFonts w:hint="default" w:ascii="Times New Roman" w:hAnsi="Times New Roman" w:eastAsia="方正仿宋_GBK" w:cs="Times New Roman"/>
                <w:bCs/>
                <w:color w:val="auto"/>
                <w:kern w:val="0"/>
                <w:sz w:val="24"/>
                <w:szCs w:val="24"/>
                <w:highlight w:val="none"/>
              </w:rPr>
              <w:t>出院记录24小时内完成率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rPr>
              <w:t>4.</w:t>
            </w:r>
            <w:r>
              <w:rPr>
                <w:rFonts w:hint="default" w:ascii="Times New Roman" w:hAnsi="Times New Roman" w:eastAsia="方正仿宋_GBK" w:cs="Times New Roman"/>
                <w:bCs/>
                <w:color w:val="auto"/>
                <w:kern w:val="0"/>
                <w:sz w:val="24"/>
                <w:szCs w:val="24"/>
                <w:highlight w:val="none"/>
              </w:rPr>
              <w:t>病案首页24小时内完成率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nil"/>
              <w:left w:val="single" w:color="000000" w:sz="4" w:space="0"/>
              <w:bottom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三</w:t>
            </w:r>
            <w:r>
              <w:rPr>
                <w:rFonts w:hint="default" w:ascii="Times New Roman" w:hAnsi="Times New Roman" w:eastAsia="方正仿宋_GBK" w:cs="Times New Roman"/>
                <w:bCs/>
                <w:color w:val="auto"/>
                <w:kern w:val="0"/>
                <w:sz w:val="24"/>
                <w:szCs w:val="24"/>
                <w:highlight w:val="none"/>
              </w:rPr>
              <w:t>）重大检查记录符合率</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1.CT/MRI检查记录符合率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90"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2.病理检查记录符合率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3.细菌培养检查记录符合率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nil"/>
              <w:left w:val="single" w:color="000000" w:sz="4" w:space="0"/>
              <w:bottom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四</w:t>
            </w:r>
            <w:r>
              <w:rPr>
                <w:rFonts w:hint="default" w:ascii="Times New Roman" w:hAnsi="Times New Roman" w:eastAsia="方正仿宋_GBK" w:cs="Times New Roman"/>
                <w:bCs/>
                <w:color w:val="auto"/>
                <w:kern w:val="0"/>
                <w:sz w:val="24"/>
                <w:szCs w:val="24"/>
                <w:highlight w:val="none"/>
              </w:rPr>
              <w:t>）诊疗行为记录符合率</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1.抗菌药物使用记录符合率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2.恶性肿瘤化学治疗记录符合率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3.恶性肿瘤放射治疗记录符合率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4.手术相关记录完整率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5.植入物相关记录符合率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6.临床用血相关记录符合率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7.医师查房记录完整率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68"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8.患者抢救记录及时完成率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nil"/>
              <w:left w:val="single" w:color="000000" w:sz="4" w:space="0"/>
              <w:bottom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五</w:t>
            </w:r>
            <w:r>
              <w:rPr>
                <w:rFonts w:hint="default" w:ascii="Times New Roman" w:hAnsi="Times New Roman" w:eastAsia="方正仿宋_GBK" w:cs="Times New Roman"/>
                <w:bCs/>
                <w:color w:val="auto"/>
                <w:kern w:val="0"/>
                <w:sz w:val="24"/>
                <w:szCs w:val="24"/>
                <w:highlight w:val="none"/>
              </w:rPr>
              <w:t>）病历归档质量指标</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1.出院患者病历2 日归档率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2.出院患者病历归档完整率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3.主要诊断填写正确率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4.主要诊断编码正确率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5.主要手术填写正确率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bottom w:val="single" w:color="auto"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6.主要手术编码正确率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top w:val="single" w:color="auto"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7.不合理复制病历发生率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8.知情同意书规范签署率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9.甲级病历率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restart"/>
            <w:tcBorders>
              <w:top w:val="single" w:color="000000" w:sz="4" w:space="0"/>
              <w:right w:val="single" w:color="auto" w:sz="4" w:space="0"/>
            </w:tcBorders>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lang w:val="en-US" w:eastAsia="zh-CN"/>
              </w:rPr>
              <w:t>十五</w:t>
            </w:r>
            <w:r>
              <w:rPr>
                <w:rFonts w:hint="default" w:ascii="Times New Roman" w:hAnsi="Times New Roman" w:eastAsia="方正仿宋_GBK" w:cs="Times New Roman"/>
                <w:b w:val="0"/>
                <w:color w:val="auto"/>
                <w:sz w:val="24"/>
                <w:szCs w:val="24"/>
                <w:highlight w:val="none"/>
              </w:rPr>
              <w:t>、</w:t>
            </w:r>
            <w:r>
              <w:rPr>
                <w:rFonts w:hint="default" w:ascii="Times New Roman" w:hAnsi="Times New Roman" w:eastAsia="方正仿宋_GBK" w:cs="Times New Roman"/>
                <w:b w:val="0"/>
                <w:bCs/>
                <w:color w:val="auto"/>
                <w:kern w:val="2"/>
                <w:sz w:val="24"/>
                <w:szCs w:val="24"/>
                <w:highlight w:val="none"/>
                <w:lang w:val="en-US" w:eastAsia="zh-CN" w:bidi="ar-SA"/>
              </w:rPr>
              <w:t>心血管系统疾病相关专业医疗质量控制指标（</w:t>
            </w:r>
            <w:r>
              <w:rPr>
                <w:rFonts w:hint="default" w:ascii="Times New Roman" w:hAnsi="Times New Roman" w:eastAsia="方正仿宋_GBK" w:cs="Times New Roman"/>
                <w:b w:val="0"/>
                <w:color w:val="auto"/>
                <w:sz w:val="24"/>
                <w:szCs w:val="24"/>
                <w:highlight w:val="none"/>
              </w:rPr>
              <w:t>2021年版）</w:t>
            </w:r>
          </w:p>
        </w:tc>
        <w:tc>
          <w:tcPr>
            <w:tcW w:w="7683" w:type="dxa"/>
            <w:gridSpan w:val="2"/>
            <w:tcBorders>
              <w:top w:val="single" w:color="auto" w:sz="4" w:space="0"/>
              <w:left w:val="single" w:color="auto" w:sz="4" w:space="0"/>
              <w:bottom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lang w:val="en-US" w:eastAsia="zh-CN"/>
              </w:rPr>
              <w:t>一）</w:t>
            </w:r>
            <w:r>
              <w:rPr>
                <w:rFonts w:hint="default" w:ascii="Times New Roman" w:hAnsi="Times New Roman" w:eastAsia="方正仿宋_GBK" w:cs="Times New Roman"/>
                <w:bCs/>
                <w:color w:val="auto"/>
                <w:kern w:val="0"/>
                <w:sz w:val="24"/>
                <w:szCs w:val="24"/>
                <w:highlight w:val="none"/>
              </w:rPr>
              <w:t>急性 ST 段抬高型心肌梗死</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cs="Times New Roman"/>
                <w:color w:val="auto"/>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1.急性 ST 段抬高型心肌梗死（STEMI）患者到院10 分钟内完成 12 导联（及以上）心电图检查率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2.急性 STEMI 患者到院 1 小时内阿司匹林治疗率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3.急性 STEMI 患者到院 1 小时内 P2Y12 受体拮抗剂治疗率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4.发病 24 小时内急性 STEMI 患者再灌注治疗率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5.发病 24 小时内急性 STEMI 患者到院 90 分钟内进行直接经皮冠状动脉介入治疗（PCI）的比例</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6.发病 24 小时内急性 STEMI 患者到院 30 分钟内给予静脉溶栓治疗的比例</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7.急性 STEMI 患者到院 24 小时内β受体阻滞剂治疗率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8.急性 STEMI 患者住院期间应用超声心动图（UCG）评价左心室射血分数（LVEF）的比例</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9.急性 STEMI 患者出院阿司匹林使用率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10.急性 STEMI 患者出院 P2Y12 受体拮抗剂使用率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14"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11.急性 STEMI 患者出院β受体阻滞剂使用率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12.急性 STEMI 患者出院血管紧张素转换酶抑制剂（ACEI）或血管紧张素Ⅱ受体拮抗剂（ARB）使用率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13.急性 STEMI 患者出院他汀类药物使用率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14.急性 STEMI 患者住院死亡率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15.急性 STEMI 患者出院后 30 天内非计划再入院率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16.急性 STEMI 患者 30 天死亡率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single" w:color="auto" w:sz="4" w:space="0"/>
              <w:left w:val="single" w:color="auto" w:sz="4" w:space="0"/>
              <w:bottom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lang w:val="en-US" w:eastAsia="zh-CN"/>
              </w:rPr>
              <w:t>二）</w:t>
            </w:r>
            <w:r>
              <w:rPr>
                <w:rFonts w:hint="default" w:ascii="Times New Roman" w:hAnsi="Times New Roman" w:eastAsia="方正仿宋_GBK" w:cs="Times New Roman"/>
                <w:bCs/>
                <w:color w:val="auto"/>
                <w:kern w:val="0"/>
                <w:sz w:val="24"/>
                <w:szCs w:val="24"/>
                <w:highlight w:val="none"/>
              </w:rPr>
              <w:t>心房颤动</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1.非瓣膜性心房颤动（房颤）患者血栓栓塞风险评估率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2.非瓣膜性房颤患者出院抗凝药物使用率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3.瓣膜性房颤患者出院华法林使用率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4.房颤患者出血风险评估率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5.房颤患者左心耳封堵术并发症发生率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single" w:color="auto" w:sz="4" w:space="0"/>
              <w:left w:val="single" w:color="auto" w:sz="4" w:space="0"/>
              <w:bottom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lang w:val="en-US" w:eastAsia="zh-CN"/>
              </w:rPr>
              <w:t>三）</w:t>
            </w:r>
            <w:r>
              <w:rPr>
                <w:rFonts w:hint="default" w:ascii="Times New Roman" w:hAnsi="Times New Roman" w:eastAsia="方正仿宋_GBK" w:cs="Times New Roman"/>
                <w:bCs/>
                <w:color w:val="auto"/>
                <w:kern w:val="0"/>
                <w:sz w:val="24"/>
                <w:szCs w:val="24"/>
                <w:highlight w:val="none"/>
              </w:rPr>
              <w:t>心力衰竭</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1.心力衰竭患者入院 24 小时内利钠肽检测率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2.心力衰竭患者入院 48 小时内心脏功能评估率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3.心力衰竭伴容量超负荷患者住院期间利尿剂治疗率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4.心力衰竭患者出院血管紧张素转化酶抑制剂（ACEI）或血管紧张素受体阻断剂（ARB）或血管紧张素受体脑啡肽酶抑制剂（ARNI）使用率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5.心力衰竭患者出院β受体阻滞剂使用率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6.心力衰竭患者出院醛固酮受体拮抗剂使用率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7.心力衰竭患者住院期间心脏再同步化治疗</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8.心力衰竭患者住院死亡率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9.心力衰竭患者出院 30 天随访率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10.心力衰竭患者出院后 30 天内心力衰竭再入院率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11.心力衰竭患者出院后 30 天死亡率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single" w:color="auto" w:sz="4" w:space="0"/>
              <w:left w:val="single" w:color="auto" w:sz="4" w:space="0"/>
              <w:bottom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sz w:val="24"/>
              </w:rPr>
              <mc:AlternateContent>
                <mc:Choice Requires="wps">
                  <w:drawing>
                    <wp:anchor distT="0" distB="0" distL="114300" distR="114300" simplePos="0" relativeHeight="251668480" behindDoc="0" locked="0" layoutInCell="1" allowOverlap="1">
                      <wp:simplePos x="0" y="0"/>
                      <wp:positionH relativeFrom="column">
                        <wp:posOffset>-1189990</wp:posOffset>
                      </wp:positionH>
                      <wp:positionV relativeFrom="paragraph">
                        <wp:posOffset>219075</wp:posOffset>
                      </wp:positionV>
                      <wp:extent cx="1132840" cy="150495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132840" cy="150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b w:val="0"/>
                                      <w:color w:val="auto"/>
                                      <w:sz w:val="24"/>
                                      <w:szCs w:val="24"/>
                                      <w:highlight w:val="none"/>
                                      <w:lang w:val="en-US" w:eastAsia="zh-CN"/>
                                    </w:rPr>
                                    <w:t>十五</w:t>
                                  </w:r>
                                  <w:r>
                                    <w:rPr>
                                      <w:rFonts w:hint="default" w:ascii="Times New Roman" w:hAnsi="Times New Roman" w:eastAsia="方正仿宋_GBK" w:cs="Times New Roman"/>
                                      <w:b w:val="0"/>
                                      <w:color w:val="auto"/>
                                      <w:sz w:val="24"/>
                                      <w:szCs w:val="24"/>
                                      <w:highlight w:val="none"/>
                                    </w:rPr>
                                    <w:t>、</w:t>
                                  </w:r>
                                  <w:r>
                                    <w:rPr>
                                      <w:rFonts w:hint="default" w:ascii="Times New Roman" w:hAnsi="Times New Roman" w:eastAsia="方正仿宋_GBK" w:cs="Times New Roman"/>
                                      <w:b w:val="0"/>
                                      <w:bCs/>
                                      <w:color w:val="auto"/>
                                      <w:kern w:val="2"/>
                                      <w:sz w:val="24"/>
                                      <w:szCs w:val="24"/>
                                      <w:highlight w:val="none"/>
                                      <w:lang w:val="en-US" w:eastAsia="zh-CN" w:bidi="ar-SA"/>
                                    </w:rPr>
                                    <w:t>心血管系统疾病相关专业医疗质量控制指标（</w:t>
                                  </w:r>
                                  <w:r>
                                    <w:rPr>
                                      <w:rFonts w:hint="default" w:ascii="Times New Roman" w:hAnsi="Times New Roman" w:eastAsia="方正仿宋_GBK" w:cs="Times New Roman"/>
                                      <w:b w:val="0"/>
                                      <w:color w:val="auto"/>
                                      <w:sz w:val="24"/>
                                      <w:szCs w:val="24"/>
                                      <w:highlight w:val="none"/>
                                    </w:rPr>
                                    <w:t>2021年版）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3.7pt;margin-top:17.25pt;height:118.5pt;width:89.2pt;z-index:251668480;mso-width-relative:page;mso-height-relative:page;" filled="f" stroked="f" coordsize="21600,21600" o:gfxdata="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DI0/9twAAAAKAQAADwAAAAAAAAABACAAAAAiAAAA&#10;ZHJzL2Rvd25yZXYueG1sUEsBAhQAFAAAAAgAh07iQJpewhc8AgAAaQQAAA4AAAAAAAAAAQAgAAAA&#10;KwEAAGRycy9lMm9Eb2MueG1sUEsFBgAAAAAGAAYAWQEAANkFA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b w:val="0"/>
                                <w:color w:val="auto"/>
                                <w:sz w:val="24"/>
                                <w:szCs w:val="24"/>
                                <w:highlight w:val="none"/>
                                <w:lang w:val="en-US" w:eastAsia="zh-CN"/>
                              </w:rPr>
                              <w:t>十五</w:t>
                            </w:r>
                            <w:r>
                              <w:rPr>
                                <w:rFonts w:hint="default" w:ascii="Times New Roman" w:hAnsi="Times New Roman" w:eastAsia="方正仿宋_GBK" w:cs="Times New Roman"/>
                                <w:b w:val="0"/>
                                <w:color w:val="auto"/>
                                <w:sz w:val="24"/>
                                <w:szCs w:val="24"/>
                                <w:highlight w:val="none"/>
                              </w:rPr>
                              <w:t>、</w:t>
                            </w:r>
                            <w:r>
                              <w:rPr>
                                <w:rFonts w:hint="default" w:ascii="Times New Roman" w:hAnsi="Times New Roman" w:eastAsia="方正仿宋_GBK" w:cs="Times New Roman"/>
                                <w:b w:val="0"/>
                                <w:bCs/>
                                <w:color w:val="auto"/>
                                <w:kern w:val="2"/>
                                <w:sz w:val="24"/>
                                <w:szCs w:val="24"/>
                                <w:highlight w:val="none"/>
                                <w:lang w:val="en-US" w:eastAsia="zh-CN" w:bidi="ar-SA"/>
                              </w:rPr>
                              <w:t>心血管系统疾病相关专业医疗质量控制指标（</w:t>
                            </w:r>
                            <w:r>
                              <w:rPr>
                                <w:rFonts w:hint="default" w:ascii="Times New Roman" w:hAnsi="Times New Roman" w:eastAsia="方正仿宋_GBK" w:cs="Times New Roman"/>
                                <w:b w:val="0"/>
                                <w:color w:val="auto"/>
                                <w:sz w:val="24"/>
                                <w:szCs w:val="24"/>
                                <w:highlight w:val="none"/>
                              </w:rPr>
                              <w:t>2021年版）</w:t>
                            </w:r>
                          </w:p>
                        </w:txbxContent>
                      </v:textbox>
                    </v:shape>
                  </w:pict>
                </mc:Fallback>
              </mc:AlternateContent>
            </w:r>
            <w:r>
              <w:rPr>
                <w:rFonts w:hint="default" w:ascii="Times New Roman" w:hAnsi="Times New Roman" w:eastAsia="方正仿宋_GBK"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lang w:val="en-US" w:eastAsia="zh-CN"/>
              </w:rPr>
              <w:t>四）高血压</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1.动态血压监测率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2.心血管风险评估率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3.原发性醛固酮增多症肾素醛固酮检测规范率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4.原发性醛固酮增多症确诊试验开展率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single" w:color="auto" w:sz="4" w:space="0"/>
              <w:left w:val="single" w:color="auto" w:sz="4" w:space="0"/>
              <w:bottom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lang w:val="en-US" w:eastAsia="zh-CN"/>
              </w:rPr>
              <w:t>五）冠状动脉旁路移植术</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1.单纯冠状动脉旁路移植术住院死亡率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2.单纯冠状动脉旁路移植术后机械通气时间大于等于 24 小时发生率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3.单纯冠状动脉旁路移植术后胸骨深部感染发生率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4.单纯冠状动脉旁路移植术后脑卒中发生率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5.单纯冠状动脉旁路移植术非计划二次手术率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6.单纯冠状动脉旁路移植术后急性肾衰竭发生率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7.单</w:t>
            </w:r>
            <w:r>
              <w:rPr>
                <w:rFonts w:hint="default" w:ascii="Times New Roman" w:hAnsi="Times New Roman" w:eastAsia="方正仿宋_GBK" w:cs="Times New Roman"/>
                <w:bCs/>
                <w:color w:val="auto"/>
                <w:spacing w:val="-6"/>
                <w:kern w:val="0"/>
                <w:sz w:val="24"/>
                <w:szCs w:val="24"/>
                <w:highlight w:val="none"/>
                <w:lang w:val="en-US" w:eastAsia="zh-CN"/>
              </w:rPr>
              <w:t>纯冠状动脉旁路移植术前24小时β受体阻滞剂使用率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8.单纯冠状动脉旁路移植术围术期输血率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9.单纯冠状动脉旁路移植术中乳内动脉血管桥使用率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10.单</w:t>
            </w:r>
            <w:r>
              <w:rPr>
                <w:rFonts w:hint="default" w:ascii="Times New Roman" w:hAnsi="Times New Roman" w:eastAsia="方正仿宋_GBK" w:cs="Times New Roman"/>
                <w:bCs/>
                <w:color w:val="auto"/>
                <w:spacing w:val="-6"/>
                <w:kern w:val="0"/>
                <w:sz w:val="24"/>
                <w:szCs w:val="24"/>
                <w:highlight w:val="none"/>
                <w:lang w:val="en-US" w:eastAsia="zh-CN"/>
              </w:rPr>
              <w:t>纯冠状动脉旁路移植术后24小时内阿司匹林使用率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11.单纯冠状动脉旁路移植术出院他汀类药物使用率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12.单纯冠状动脉旁路移植术出院阿司匹林使用率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13.单纯冠状动脉旁路移植术出院β受体阻滞剂使用率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single" w:color="auto" w:sz="4" w:space="0"/>
              <w:left w:val="single" w:color="auto" w:sz="4" w:space="0"/>
              <w:bottom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lang w:val="en-US" w:eastAsia="zh-CN"/>
              </w:rPr>
              <w:t>六）二尖瓣手术</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1.二尖瓣手术住院死亡率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2.二尖瓣手术后机械通气时间大于等于 24 小时发生率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3.二尖瓣手术后胸骨深部感染发生率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4.二尖瓣手术后脑卒中发生率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5.二尖瓣手术非计划二次手术率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6.二尖瓣手术后急性肾衰竭发生率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7.因退行性病变导致二尖瓣关闭不全的患者二尖瓣修复术治疗率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8.二尖瓣手术出院抗凝药物使用率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9.二尖瓣手术术中经食道超声使用率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single" w:color="auto" w:sz="4" w:space="0"/>
              <w:left w:val="single" w:color="auto" w:sz="4" w:space="0"/>
              <w:bottom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lang w:val="en-US" w:eastAsia="zh-CN"/>
              </w:rPr>
              <w:t>七）主动脉瓣手术</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1.主动脉瓣手术住院死亡率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2.主</w:t>
            </w:r>
            <w:r>
              <w:rPr>
                <w:rFonts w:hint="default" w:ascii="Times New Roman" w:hAnsi="Times New Roman" w:eastAsia="方正仿宋_GBK" w:cs="Times New Roman"/>
                <w:bCs/>
                <w:color w:val="auto"/>
                <w:spacing w:val="-6"/>
                <w:kern w:val="0"/>
                <w:sz w:val="24"/>
                <w:szCs w:val="24"/>
                <w:highlight w:val="none"/>
                <w:lang w:val="en-US" w:eastAsia="zh-CN"/>
              </w:rPr>
              <w:t>动脉瓣手术后机械通气时间大于等于24 小时发生率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3.主动脉瓣手术后胸骨深部感染发生率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4.主动脉瓣手术后脑卒中发生率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sz w:val="24"/>
              </w:rPr>
              <mc:AlternateContent>
                <mc:Choice Requires="wps">
                  <w:drawing>
                    <wp:anchor distT="0" distB="0" distL="114300" distR="114300" simplePos="0" relativeHeight="251669504" behindDoc="0" locked="0" layoutInCell="1" allowOverlap="1">
                      <wp:simplePos x="0" y="0"/>
                      <wp:positionH relativeFrom="column">
                        <wp:posOffset>-1189990</wp:posOffset>
                      </wp:positionH>
                      <wp:positionV relativeFrom="paragraph">
                        <wp:posOffset>36830</wp:posOffset>
                      </wp:positionV>
                      <wp:extent cx="1132840" cy="150495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132840" cy="150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b w:val="0"/>
                                      <w:color w:val="auto"/>
                                      <w:sz w:val="24"/>
                                      <w:szCs w:val="24"/>
                                      <w:highlight w:val="none"/>
                                      <w:lang w:val="en-US" w:eastAsia="zh-CN"/>
                                    </w:rPr>
                                    <w:t>十五</w:t>
                                  </w:r>
                                  <w:r>
                                    <w:rPr>
                                      <w:rFonts w:hint="default" w:ascii="Times New Roman" w:hAnsi="Times New Roman" w:eastAsia="方正仿宋_GBK" w:cs="Times New Roman"/>
                                      <w:b w:val="0"/>
                                      <w:color w:val="auto"/>
                                      <w:sz w:val="24"/>
                                      <w:szCs w:val="24"/>
                                      <w:highlight w:val="none"/>
                                    </w:rPr>
                                    <w:t>、</w:t>
                                  </w:r>
                                  <w:r>
                                    <w:rPr>
                                      <w:rFonts w:hint="default" w:ascii="Times New Roman" w:hAnsi="Times New Roman" w:eastAsia="方正仿宋_GBK" w:cs="Times New Roman"/>
                                      <w:b w:val="0"/>
                                      <w:bCs/>
                                      <w:color w:val="auto"/>
                                      <w:kern w:val="2"/>
                                      <w:sz w:val="24"/>
                                      <w:szCs w:val="24"/>
                                      <w:highlight w:val="none"/>
                                      <w:lang w:val="en-US" w:eastAsia="zh-CN" w:bidi="ar-SA"/>
                                    </w:rPr>
                                    <w:t>心血管系统疾病相关专业医疗质量控制指标（</w:t>
                                  </w:r>
                                  <w:r>
                                    <w:rPr>
                                      <w:rFonts w:hint="default" w:ascii="Times New Roman" w:hAnsi="Times New Roman" w:eastAsia="方正仿宋_GBK" w:cs="Times New Roman"/>
                                      <w:b w:val="0"/>
                                      <w:color w:val="auto"/>
                                      <w:sz w:val="24"/>
                                      <w:szCs w:val="24"/>
                                      <w:highlight w:val="none"/>
                                    </w:rPr>
                                    <w:t>2021年版）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3.7pt;margin-top:2.9pt;height:118.5pt;width:89.2pt;z-index:251669504;mso-width-relative:page;mso-height-relative:page;" filled="f" stroked="f" coordsize="21600,21600" o:gfxdata="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BDExQPbAAAACQEAAA8AAAAAAAAAAQAgAAAAIgAAAGRy&#10;cy9kb3ducmV2LnhtbFBLAQIUABQAAAAIAIdO4kAqbyyXOwIAAGkEAAAOAAAAAAAAAAEAIAAAACoB&#10;AABkcnMvZTJvRG9jLnhtbFBLBQYAAAAABgAGAFkBAADXBQ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b w:val="0"/>
                                <w:color w:val="auto"/>
                                <w:sz w:val="24"/>
                                <w:szCs w:val="24"/>
                                <w:highlight w:val="none"/>
                                <w:lang w:val="en-US" w:eastAsia="zh-CN"/>
                              </w:rPr>
                              <w:t>十五</w:t>
                            </w:r>
                            <w:r>
                              <w:rPr>
                                <w:rFonts w:hint="default" w:ascii="Times New Roman" w:hAnsi="Times New Roman" w:eastAsia="方正仿宋_GBK" w:cs="Times New Roman"/>
                                <w:b w:val="0"/>
                                <w:color w:val="auto"/>
                                <w:sz w:val="24"/>
                                <w:szCs w:val="24"/>
                                <w:highlight w:val="none"/>
                              </w:rPr>
                              <w:t>、</w:t>
                            </w:r>
                            <w:r>
                              <w:rPr>
                                <w:rFonts w:hint="default" w:ascii="Times New Roman" w:hAnsi="Times New Roman" w:eastAsia="方正仿宋_GBK" w:cs="Times New Roman"/>
                                <w:b w:val="0"/>
                                <w:bCs/>
                                <w:color w:val="auto"/>
                                <w:kern w:val="2"/>
                                <w:sz w:val="24"/>
                                <w:szCs w:val="24"/>
                                <w:highlight w:val="none"/>
                                <w:lang w:val="en-US" w:eastAsia="zh-CN" w:bidi="ar-SA"/>
                              </w:rPr>
                              <w:t>心血管系统疾病相关专业医疗质量控制指标（</w:t>
                            </w:r>
                            <w:r>
                              <w:rPr>
                                <w:rFonts w:hint="default" w:ascii="Times New Roman" w:hAnsi="Times New Roman" w:eastAsia="方正仿宋_GBK" w:cs="Times New Roman"/>
                                <w:b w:val="0"/>
                                <w:color w:val="auto"/>
                                <w:sz w:val="24"/>
                                <w:szCs w:val="24"/>
                                <w:highlight w:val="none"/>
                              </w:rPr>
                              <w:t>2021年版）</w:t>
                            </w:r>
                          </w:p>
                        </w:txbxContent>
                      </v:textbox>
                    </v:shape>
                  </w:pict>
                </mc:Fallback>
              </mc:AlternateContent>
            </w:r>
            <w:r>
              <w:rPr>
                <w:rFonts w:hint="default" w:ascii="Times New Roman" w:hAnsi="Times New Roman" w:eastAsia="方正仿宋_GBK" w:cs="Times New Roman"/>
                <w:bCs/>
                <w:color w:val="auto"/>
                <w:kern w:val="0"/>
                <w:sz w:val="24"/>
                <w:szCs w:val="24"/>
                <w:highlight w:val="none"/>
                <w:lang w:val="en-US" w:eastAsia="zh-CN"/>
              </w:rPr>
              <w:t>5.主动脉瓣手术非计划二次手术率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6.主动脉瓣手术后急性肾衰竭发生率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7.主动脉瓣手术出院抗凝药物使用率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8.主动脉瓣手术术中经食道超声使用率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9.主动脉瓣置换术人工瓣有效瓣膜面积指数大0.85cm</w:t>
            </w:r>
            <w:r>
              <w:rPr>
                <w:rFonts w:hint="default" w:ascii="Times New Roman" w:hAnsi="Times New Roman" w:eastAsia="方正仿宋_GBK" w:cs="Times New Roman"/>
                <w:bCs/>
                <w:color w:val="auto"/>
                <w:kern w:val="0"/>
                <w:sz w:val="24"/>
                <w:szCs w:val="24"/>
                <w:highlight w:val="none"/>
                <w:vertAlign w:val="superscript"/>
                <w:lang w:val="en-US" w:eastAsia="zh-CN"/>
              </w:rPr>
              <w:t>2</w:t>
            </w:r>
            <w:r>
              <w:rPr>
                <w:rFonts w:hint="default" w:ascii="Times New Roman" w:hAnsi="Times New Roman" w:eastAsia="方正仿宋_GBK" w:cs="Times New Roman"/>
                <w:bCs/>
                <w:color w:val="auto"/>
                <w:kern w:val="0"/>
                <w:sz w:val="24"/>
                <w:szCs w:val="24"/>
                <w:highlight w:val="none"/>
                <w:lang w:val="en-US" w:eastAsia="zh-CN"/>
              </w:rPr>
              <w:t>/m</w:t>
            </w:r>
            <w:r>
              <w:rPr>
                <w:rFonts w:hint="default" w:ascii="Times New Roman" w:hAnsi="Times New Roman" w:eastAsia="方正仿宋_GBK" w:cs="Times New Roman"/>
                <w:bCs/>
                <w:color w:val="auto"/>
                <w:kern w:val="0"/>
                <w:sz w:val="24"/>
                <w:szCs w:val="24"/>
                <w:highlight w:val="none"/>
                <w:vertAlign w:val="superscript"/>
                <w:lang w:val="en-US" w:eastAsia="zh-CN"/>
              </w:rPr>
              <w:t>2</w:t>
            </w:r>
            <w:r>
              <w:rPr>
                <w:rFonts w:hint="default" w:ascii="Times New Roman" w:hAnsi="Times New Roman" w:eastAsia="方正仿宋_GBK" w:cs="Times New Roman"/>
                <w:bCs/>
                <w:color w:val="auto"/>
                <w:kern w:val="0"/>
                <w:sz w:val="24"/>
                <w:szCs w:val="24"/>
                <w:highlight w:val="none"/>
                <w:lang w:val="en-US" w:eastAsia="zh-CN"/>
              </w:rPr>
              <w:t>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single" w:color="auto" w:sz="4" w:space="0"/>
              <w:left w:val="single" w:color="auto" w:sz="4" w:space="0"/>
              <w:bottom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lang w:val="en-US" w:eastAsia="zh-CN"/>
              </w:rPr>
              <w:t>八）主动脉腔内修复术</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1.主动脉腔内修复术住院死亡率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2.主动脉腔内修复术后机械通气时间≥ 24 小时发生率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3.主动脉腔内修复术非计划二次手术率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4.主动脉腔内修复术后内漏发生率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5.主动脉腔内修复术后脑卒中发生率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6.主动脉腔内修复术后急性肾衰竭发生率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7.主动脉腔内修复术后脊髓损伤发生率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8.主动脉腔内修复术后心肌梗死发生率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9.主动脉腔内修复术 30 天内 CTA 复查率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10.主动脉腔内修复术后 30 天随访率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11.主动脉腔内修复术前β受体阻滞剂使用率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12.主动脉腔内修复术前他汀类药物使用率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single" w:color="auto" w:sz="4" w:space="0"/>
              <w:left w:val="single" w:color="auto" w:sz="4" w:space="0"/>
              <w:bottom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lang w:val="en-US" w:eastAsia="zh-CN"/>
              </w:rPr>
              <w:t>九）先心病介入治疗技术</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1.先心病介入治疗成功率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2.先心病介入治疗后严重房室传导阻滞发生率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3.先心病介入治疗封堵器移位或脱落发生率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4.先心病介入治疗溶血发生率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5.先心病介入治疗心脏压塞发生率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6.先心病介入治疗输血率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7.先心病介入治疗非计划二次手术率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13"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8.先心病介入治疗住院死亡率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single" w:color="auto" w:sz="4" w:space="0"/>
              <w:left w:val="single" w:color="auto" w:sz="4" w:space="0"/>
              <w:bottom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lang w:val="en-US" w:eastAsia="zh-CN"/>
              </w:rPr>
              <w:t>十）冠心病介入治疗技术</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1.冠脉介入治疗术后即刻冠状动脉造影成功率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2.冠脉介入治疗临床成功率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3.冠脉介入治疗住院死亡率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sz w:val="24"/>
              </w:rPr>
              <mc:AlternateContent>
                <mc:Choice Requires="wps">
                  <w:drawing>
                    <wp:anchor distT="0" distB="0" distL="114300" distR="114300" simplePos="0" relativeHeight="251670528" behindDoc="0" locked="0" layoutInCell="1" allowOverlap="1">
                      <wp:simplePos x="0" y="0"/>
                      <wp:positionH relativeFrom="column">
                        <wp:posOffset>-1189990</wp:posOffset>
                      </wp:positionH>
                      <wp:positionV relativeFrom="paragraph">
                        <wp:posOffset>102235</wp:posOffset>
                      </wp:positionV>
                      <wp:extent cx="1132840" cy="150495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132840" cy="150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b w:val="0"/>
                                      <w:color w:val="auto"/>
                                      <w:sz w:val="24"/>
                                      <w:szCs w:val="24"/>
                                      <w:highlight w:val="none"/>
                                      <w:lang w:val="en-US" w:eastAsia="zh-CN"/>
                                    </w:rPr>
                                    <w:t>十五</w:t>
                                  </w:r>
                                  <w:r>
                                    <w:rPr>
                                      <w:rFonts w:hint="default" w:ascii="Times New Roman" w:hAnsi="Times New Roman" w:eastAsia="方正仿宋_GBK" w:cs="Times New Roman"/>
                                      <w:b w:val="0"/>
                                      <w:color w:val="auto"/>
                                      <w:sz w:val="24"/>
                                      <w:szCs w:val="24"/>
                                      <w:highlight w:val="none"/>
                                    </w:rPr>
                                    <w:t>、</w:t>
                                  </w:r>
                                  <w:r>
                                    <w:rPr>
                                      <w:rFonts w:hint="default" w:ascii="Times New Roman" w:hAnsi="Times New Roman" w:eastAsia="方正仿宋_GBK" w:cs="Times New Roman"/>
                                      <w:b w:val="0"/>
                                      <w:bCs/>
                                      <w:color w:val="auto"/>
                                      <w:kern w:val="2"/>
                                      <w:sz w:val="24"/>
                                      <w:szCs w:val="24"/>
                                      <w:highlight w:val="none"/>
                                      <w:lang w:val="en-US" w:eastAsia="zh-CN" w:bidi="ar-SA"/>
                                    </w:rPr>
                                    <w:t>心血管系统疾病相关专业医疗质量控制指标（</w:t>
                                  </w:r>
                                  <w:r>
                                    <w:rPr>
                                      <w:rFonts w:hint="default" w:ascii="Times New Roman" w:hAnsi="Times New Roman" w:eastAsia="方正仿宋_GBK" w:cs="Times New Roman"/>
                                      <w:b w:val="0"/>
                                      <w:color w:val="auto"/>
                                      <w:sz w:val="24"/>
                                      <w:szCs w:val="24"/>
                                      <w:highlight w:val="none"/>
                                    </w:rPr>
                                    <w:t>2021年版）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3.7pt;margin-top:8.05pt;height:118.5pt;width:89.2pt;z-index:251670528;mso-width-relative:page;mso-height-relative:page;" filled="f" stroked="f" coordsize="21600,21600" o:gfxdata="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&#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yevwT2wAAAAoBAAAPAAAAAAAAAAEAIAAAACIAAABk&#10;cnMvZG93bnJldi54bWxQSwECFAAUAAAACACHTuJAuPdEozwCAABpBAAADgAAAAAAAAABACAAAAAq&#10;AQAAZHJzL2Uyb0RvYy54bWxQSwUGAAAAAAYABgBZAQAA2AU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b w:val="0"/>
                                <w:color w:val="auto"/>
                                <w:sz w:val="24"/>
                                <w:szCs w:val="24"/>
                                <w:highlight w:val="none"/>
                                <w:lang w:val="en-US" w:eastAsia="zh-CN"/>
                              </w:rPr>
                              <w:t>十五</w:t>
                            </w:r>
                            <w:r>
                              <w:rPr>
                                <w:rFonts w:hint="default" w:ascii="Times New Roman" w:hAnsi="Times New Roman" w:eastAsia="方正仿宋_GBK" w:cs="Times New Roman"/>
                                <w:b w:val="0"/>
                                <w:color w:val="auto"/>
                                <w:sz w:val="24"/>
                                <w:szCs w:val="24"/>
                                <w:highlight w:val="none"/>
                              </w:rPr>
                              <w:t>、</w:t>
                            </w:r>
                            <w:r>
                              <w:rPr>
                                <w:rFonts w:hint="default" w:ascii="Times New Roman" w:hAnsi="Times New Roman" w:eastAsia="方正仿宋_GBK" w:cs="Times New Roman"/>
                                <w:b w:val="0"/>
                                <w:bCs/>
                                <w:color w:val="auto"/>
                                <w:kern w:val="2"/>
                                <w:sz w:val="24"/>
                                <w:szCs w:val="24"/>
                                <w:highlight w:val="none"/>
                                <w:lang w:val="en-US" w:eastAsia="zh-CN" w:bidi="ar-SA"/>
                              </w:rPr>
                              <w:t>心血管系统疾病相关专业医疗质量控制指标（</w:t>
                            </w:r>
                            <w:r>
                              <w:rPr>
                                <w:rFonts w:hint="default" w:ascii="Times New Roman" w:hAnsi="Times New Roman" w:eastAsia="方正仿宋_GBK" w:cs="Times New Roman"/>
                                <w:b w:val="0"/>
                                <w:color w:val="auto"/>
                                <w:sz w:val="24"/>
                                <w:szCs w:val="24"/>
                                <w:highlight w:val="none"/>
                              </w:rPr>
                              <w:t>2021年版）</w:t>
                            </w:r>
                          </w:p>
                        </w:txbxContent>
                      </v:textbox>
                    </v:shape>
                  </w:pict>
                </mc:Fallback>
              </mc:AlternateContent>
            </w:r>
            <w:r>
              <w:rPr>
                <w:rFonts w:hint="default" w:ascii="Times New Roman" w:hAnsi="Times New Roman" w:eastAsia="方正仿宋_GBK" w:cs="Times New Roman"/>
                <w:bCs/>
                <w:color w:val="auto"/>
                <w:kern w:val="0"/>
                <w:sz w:val="24"/>
                <w:szCs w:val="24"/>
                <w:highlight w:val="none"/>
                <w:lang w:val="en-US" w:eastAsia="zh-CN"/>
              </w:rPr>
              <w:t>4.择期冠脉介入治疗住院死亡率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5.冠脉介入治疗严重并发症发生率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6.STEMI 患者发病 12 小时内接受直接 PCI 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7.行直接 PCI 的 STEMI 患者到院至导丝通过靶血管（DTD）平均时间</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8.接受 PCI 治疗的非 ST 段抬高型急性冠脉综合征（NSTE ACS）患者进行危险分层的比率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9.例次平均支架数</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10.冠脉介入治疗术前双重抗血小板药物使用率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11.冠脉介入治疗住院期间他汀类药物使用率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single" w:color="auto" w:sz="4" w:space="0"/>
              <w:left w:val="single" w:color="auto" w:sz="4" w:space="0"/>
              <w:bottom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lang w:val="en-US" w:eastAsia="zh-CN"/>
              </w:rPr>
              <w:t>十一）心律失常介入治疗技术</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1.心脏植入型电子器械（CIED）植入术住院死亡率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2.CIED 植入术心脏压塞发生率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3.CIED 植入术导线脱位发生率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4.阵发性室上性心动过速（PSVT）导管消融治疗成功率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5.导管消融治疗后严重房室传导阻滞发生率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6.导管消融治疗心脏压塞发生率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1" w:hRule="atLeast"/>
        </w:trPr>
        <w:tc>
          <w:tcPr>
            <w:tcW w:w="1673" w:type="dxa"/>
            <w:vMerge w:val="continue"/>
            <w:tcBorders>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7.导管消融治疗住院死亡率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atLeast"/>
        </w:trPr>
        <w:tc>
          <w:tcPr>
            <w:tcW w:w="1673" w:type="dxa"/>
            <w:vMerge w:val="restart"/>
            <w:tcBorders>
              <w:top w:val="single" w:color="000000" w:sz="4" w:space="0"/>
              <w:right w:val="single" w:color="auto" w:sz="4" w:space="0"/>
            </w:tcBorders>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rPr>
              <w:t>十</w:t>
            </w:r>
            <w:r>
              <w:rPr>
                <w:rFonts w:hint="default" w:ascii="Times New Roman" w:hAnsi="Times New Roman" w:eastAsia="方正仿宋_GBK" w:cs="Times New Roman"/>
                <w:b w:val="0"/>
                <w:color w:val="auto"/>
                <w:sz w:val="24"/>
                <w:szCs w:val="24"/>
                <w:highlight w:val="none"/>
                <w:lang w:val="en-US" w:eastAsia="zh-CN"/>
              </w:rPr>
              <w:t>六</w:t>
            </w:r>
            <w:r>
              <w:rPr>
                <w:rFonts w:hint="default" w:ascii="Times New Roman" w:hAnsi="Times New Roman" w:eastAsia="方正仿宋_GBK" w:cs="Times New Roman"/>
                <w:b w:val="0"/>
                <w:color w:val="auto"/>
                <w:sz w:val="24"/>
                <w:szCs w:val="24"/>
                <w:highlight w:val="none"/>
              </w:rPr>
              <w:t>、超声诊断专业医疗质量控制指标（2022 年版）</w:t>
            </w: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（一）超声医师月均工作量</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atLeast"/>
        </w:trPr>
        <w:tc>
          <w:tcPr>
            <w:tcW w:w="1673" w:type="dxa"/>
            <w:vMerge w:val="continue"/>
            <w:tcBorders>
              <w:right w:val="single" w:color="auto" w:sz="4" w:space="0"/>
            </w:tcBorders>
            <w:vAlign w:val="center"/>
          </w:tcPr>
          <w:p>
            <w:pPr>
              <w:widowControl/>
              <w:spacing w:line="300" w:lineRule="exact"/>
              <w:jc w:val="both"/>
              <w:rPr>
                <w:rFonts w:hint="default" w:cs="Times New Roman"/>
                <w:color w:val="auto"/>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二</w:t>
            </w:r>
            <w:r>
              <w:rPr>
                <w:rFonts w:hint="default" w:ascii="Times New Roman" w:hAnsi="Times New Roman" w:eastAsia="方正仿宋_GBK" w:cs="Times New Roman"/>
                <w:bCs/>
                <w:color w:val="auto"/>
                <w:kern w:val="0"/>
                <w:sz w:val="24"/>
                <w:szCs w:val="24"/>
                <w:highlight w:val="none"/>
              </w:rPr>
              <w:t>）超声仪器质检率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三</w:t>
            </w:r>
            <w:r>
              <w:rPr>
                <w:rFonts w:hint="default" w:ascii="Times New Roman" w:hAnsi="Times New Roman" w:eastAsia="方正仿宋_GBK" w:cs="Times New Roman"/>
                <w:bCs/>
                <w:color w:val="auto"/>
                <w:kern w:val="0"/>
                <w:sz w:val="24"/>
                <w:szCs w:val="24"/>
                <w:highlight w:val="none"/>
              </w:rPr>
              <w:t>）住院超声检查 48 小时内完成率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四</w:t>
            </w:r>
            <w:r>
              <w:rPr>
                <w:rFonts w:hint="default" w:ascii="Times New Roman" w:hAnsi="Times New Roman" w:eastAsia="方正仿宋_GBK" w:cs="Times New Roman"/>
                <w:bCs/>
                <w:color w:val="auto"/>
                <w:kern w:val="0"/>
                <w:sz w:val="24"/>
                <w:szCs w:val="24"/>
                <w:highlight w:val="none"/>
              </w:rPr>
              <w:t>）超声危急值 10 分钟内通报完成率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五</w:t>
            </w:r>
            <w:r>
              <w:rPr>
                <w:rFonts w:hint="default" w:ascii="Times New Roman" w:hAnsi="Times New Roman" w:eastAsia="方正仿宋_GBK" w:cs="Times New Roman"/>
                <w:bCs/>
                <w:color w:val="auto"/>
                <w:kern w:val="0"/>
                <w:sz w:val="24"/>
                <w:szCs w:val="24"/>
                <w:highlight w:val="none"/>
              </w:rPr>
              <w:t>）超声报告书写合格率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六</w:t>
            </w:r>
            <w:r>
              <w:rPr>
                <w:rFonts w:hint="default" w:ascii="Times New Roman" w:hAnsi="Times New Roman" w:eastAsia="方正仿宋_GBK" w:cs="Times New Roman"/>
                <w:bCs/>
                <w:color w:val="auto"/>
                <w:kern w:val="0"/>
                <w:sz w:val="24"/>
                <w:szCs w:val="24"/>
                <w:highlight w:val="none"/>
              </w:rPr>
              <w:t>）乳腺病变超声报告进行乳腺影像报告和数据系统</w:t>
            </w:r>
          </w:p>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rPr>
              <w:t>BI-RADS</w:t>
            </w:r>
            <w:r>
              <w:rPr>
                <w:rFonts w:hint="eastAsia"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rPr>
              <w:t>分类率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七</w:t>
            </w:r>
            <w:r>
              <w:rPr>
                <w:rFonts w:hint="default" w:ascii="Times New Roman" w:hAnsi="Times New Roman" w:eastAsia="方正仿宋_GBK" w:cs="Times New Roman"/>
                <w:bCs/>
                <w:color w:val="auto"/>
                <w:kern w:val="0"/>
                <w:sz w:val="24"/>
                <w:szCs w:val="24"/>
                <w:highlight w:val="none"/>
              </w:rPr>
              <w:t>）门急诊超声报告阳性率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八</w:t>
            </w:r>
            <w:r>
              <w:rPr>
                <w:rFonts w:hint="default" w:ascii="Times New Roman" w:hAnsi="Times New Roman" w:eastAsia="方正仿宋_GBK" w:cs="Times New Roman"/>
                <w:bCs/>
                <w:color w:val="auto"/>
                <w:kern w:val="0"/>
                <w:sz w:val="24"/>
                <w:szCs w:val="24"/>
                <w:highlight w:val="none"/>
              </w:rPr>
              <w:t>）住院超声报告阳性率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九</w:t>
            </w:r>
            <w:r>
              <w:rPr>
                <w:rFonts w:hint="default" w:ascii="Times New Roman" w:hAnsi="Times New Roman" w:eastAsia="方正仿宋_GBK" w:cs="Times New Roman"/>
                <w:bCs/>
                <w:color w:val="auto"/>
                <w:kern w:val="0"/>
                <w:sz w:val="24"/>
                <w:szCs w:val="24"/>
                <w:highlight w:val="none"/>
              </w:rPr>
              <w:t>）超声筛查中胎儿重大致死性畸形的检出率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十</w:t>
            </w:r>
            <w:r>
              <w:rPr>
                <w:rFonts w:hint="default" w:ascii="Times New Roman" w:hAnsi="Times New Roman" w:eastAsia="方正仿宋_GBK" w:cs="Times New Roman"/>
                <w:bCs/>
                <w:color w:val="auto"/>
                <w:kern w:val="0"/>
                <w:sz w:val="24"/>
                <w:szCs w:val="24"/>
                <w:highlight w:val="none"/>
              </w:rPr>
              <w:t>）超声诊断符合率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sz w:val="24"/>
              </w:rPr>
              <mc:AlternateContent>
                <mc:Choice Requires="wps">
                  <w:drawing>
                    <wp:anchor distT="0" distB="0" distL="114300" distR="114300" simplePos="0" relativeHeight="251671552" behindDoc="0" locked="0" layoutInCell="1" allowOverlap="1">
                      <wp:simplePos x="0" y="0"/>
                      <wp:positionH relativeFrom="column">
                        <wp:posOffset>-1146175</wp:posOffset>
                      </wp:positionH>
                      <wp:positionV relativeFrom="paragraph">
                        <wp:posOffset>-35560</wp:posOffset>
                      </wp:positionV>
                      <wp:extent cx="1132840" cy="150495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132840" cy="150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b w:val="0"/>
                                      <w:color w:val="auto"/>
                                      <w:sz w:val="24"/>
                                      <w:szCs w:val="24"/>
                                      <w:highlight w:val="none"/>
                                      <w:lang w:val="en-US" w:eastAsia="zh-CN"/>
                                    </w:rPr>
                                    <w:t>十六</w:t>
                                  </w:r>
                                  <w:r>
                                    <w:rPr>
                                      <w:rFonts w:hint="default" w:ascii="Times New Roman" w:hAnsi="Times New Roman" w:eastAsia="方正仿宋_GBK" w:cs="Times New Roman"/>
                                      <w:b w:val="0"/>
                                      <w:color w:val="auto"/>
                                      <w:sz w:val="24"/>
                                      <w:szCs w:val="24"/>
                                      <w:highlight w:val="none"/>
                                    </w:rPr>
                                    <w:t>、超声诊断专业医疗质量控制指标（2022年版）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25pt;margin-top:-2.8pt;height:118.5pt;width:89.2pt;z-index:251671552;mso-width-relative:page;mso-height-relative:page;" filled="f" stroked="f" coordsize="21600,21600" o:gfxdata="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&#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s0n6y2wAAAAoBAAAPAAAAAAAAAAEAIAAAACIAAABk&#10;cnMvZG93bnJldi54bWxQSwECFAAUAAAACACHTuJACMaqIzwCAABpBAAADgAAAAAAAAABACAAAAAq&#10;AQAAZHJzL2Uyb0RvYy54bWxQSwUGAAAAAAYABgBZAQAA2AU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b w:val="0"/>
                                <w:color w:val="auto"/>
                                <w:sz w:val="24"/>
                                <w:szCs w:val="24"/>
                                <w:highlight w:val="none"/>
                                <w:lang w:val="en-US" w:eastAsia="zh-CN"/>
                              </w:rPr>
                              <w:t>十六</w:t>
                            </w:r>
                            <w:r>
                              <w:rPr>
                                <w:rFonts w:hint="default" w:ascii="Times New Roman" w:hAnsi="Times New Roman" w:eastAsia="方正仿宋_GBK" w:cs="Times New Roman"/>
                                <w:b w:val="0"/>
                                <w:color w:val="auto"/>
                                <w:sz w:val="24"/>
                                <w:szCs w:val="24"/>
                                <w:highlight w:val="none"/>
                              </w:rPr>
                              <w:t>、超声诊断专业医疗质量控制指标（2022年版）</w:t>
                            </w:r>
                          </w:p>
                        </w:txbxContent>
                      </v:textbox>
                    </v:shape>
                  </w:pict>
                </mc:Fallback>
              </mc:AlternateContent>
            </w: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十一</w:t>
            </w:r>
            <w:r>
              <w:rPr>
                <w:rFonts w:hint="default" w:ascii="Times New Roman" w:hAnsi="Times New Roman" w:eastAsia="方正仿宋_GBK" w:cs="Times New Roman"/>
                <w:bCs/>
                <w:color w:val="auto"/>
                <w:kern w:val="0"/>
                <w:sz w:val="24"/>
                <w:szCs w:val="24"/>
                <w:highlight w:val="none"/>
              </w:rPr>
              <w:t>）乳腺占位超声诊断准确率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十二</w:t>
            </w:r>
            <w:r>
              <w:rPr>
                <w:rFonts w:hint="default" w:ascii="Times New Roman" w:hAnsi="Times New Roman" w:eastAsia="方正仿宋_GBK" w:cs="Times New Roman"/>
                <w:bCs/>
                <w:color w:val="auto"/>
                <w:kern w:val="0"/>
                <w:sz w:val="24"/>
                <w:szCs w:val="24"/>
                <w:highlight w:val="none"/>
              </w:rPr>
              <w:t>）颈动脉狭窄（≥ 50%）超声诊断符合率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atLeast"/>
        </w:trPr>
        <w:tc>
          <w:tcPr>
            <w:tcW w:w="1673" w:type="dxa"/>
            <w:vMerge w:val="continue"/>
            <w:tcBorders>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十三</w:t>
            </w:r>
            <w:r>
              <w:rPr>
                <w:rFonts w:hint="default" w:ascii="Times New Roman" w:hAnsi="Times New Roman" w:eastAsia="方正仿宋_GBK" w:cs="Times New Roman"/>
                <w:bCs/>
                <w:color w:val="auto"/>
                <w:kern w:val="0"/>
                <w:sz w:val="24"/>
                <w:szCs w:val="24"/>
                <w:highlight w:val="none"/>
              </w:rPr>
              <w:t>）超声介入相关主要并发症发生率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restart"/>
            <w:tcBorders>
              <w:top w:val="single" w:color="000000" w:sz="4" w:space="0"/>
              <w:right w:val="single" w:color="auto" w:sz="4" w:space="0"/>
            </w:tcBorders>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rPr>
              <w:t>十七、康复医学专业医疗质量控制指标（2022年版）</w:t>
            </w: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（一）康复医学科床位占比</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i w:val="0"/>
                <w:color w:val="auto"/>
                <w:kern w:val="0"/>
                <w:sz w:val="24"/>
                <w:szCs w:val="24"/>
                <w:highlight w:val="none"/>
                <w:u w:val="none"/>
                <w:lang w:val="en-US" w:eastAsia="zh-CN" w:bidi="ar"/>
              </w:rPr>
              <w:t>*（≥2%）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cs="Times New Roman"/>
                <w:color w:val="auto"/>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（二）康复医学科医师床配比</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i w:val="0"/>
                <w:color w:val="auto"/>
                <w:kern w:val="0"/>
                <w:sz w:val="24"/>
                <w:szCs w:val="24"/>
                <w:highlight w:val="none"/>
                <w:u w:val="none"/>
                <w:lang w:val="en-US" w:eastAsia="zh-CN" w:bidi="ar"/>
              </w:rPr>
              <w:t>*（≥0.2:1）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（三）康复医学科护士床配比</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i w:val="0"/>
                <w:color w:val="auto"/>
                <w:kern w:val="0"/>
                <w:sz w:val="24"/>
                <w:szCs w:val="24"/>
                <w:highlight w:val="none"/>
                <w:u w:val="none"/>
                <w:lang w:val="en-US" w:eastAsia="zh-CN" w:bidi="ar"/>
              </w:rPr>
              <w:t>*（≥0.3:1）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（四）康复医学科治疗师床配比</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i w:val="0"/>
                <w:color w:val="auto"/>
                <w:kern w:val="0"/>
                <w:sz w:val="24"/>
                <w:szCs w:val="24"/>
                <w:highlight w:val="none"/>
                <w:u w:val="none"/>
                <w:lang w:val="en-US" w:eastAsia="zh-CN" w:bidi="ar"/>
              </w:rPr>
              <w:t>*（≥0.3:1）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（五）脑卒中患者早期康复介入率</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eastAsia" w:cs="Times New Roman"/>
                <w:i w:val="0"/>
                <w:color w:val="auto"/>
                <w:kern w:val="0"/>
                <w:sz w:val="24"/>
                <w:szCs w:val="24"/>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numPr>
                <w:ilvl w:val="0"/>
                <w:numId w:val="2"/>
              </w:numPr>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脊髓损伤患者早期康复介入率</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eastAsia" w:cs="Times New Roman"/>
                <w:i w:val="0"/>
                <w:color w:val="auto"/>
                <w:kern w:val="0"/>
                <w:sz w:val="24"/>
                <w:szCs w:val="24"/>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
              <w:spacing w:line="300" w:lineRule="exact"/>
              <w:ind w:firstLine="0" w:firstLineChars="0"/>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bidi="ar-SA"/>
              </w:rPr>
              <w:t>（七）髋、膝关节置换术后患者早期康复介入率</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eastAsia" w:cs="Times New Roman"/>
                <w:i w:val="0"/>
                <w:color w:val="auto"/>
                <w:kern w:val="0"/>
                <w:sz w:val="24"/>
                <w:szCs w:val="24"/>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八</w:t>
            </w:r>
            <w:r>
              <w:rPr>
                <w:rFonts w:hint="default" w:ascii="Times New Roman" w:hAnsi="Times New Roman" w:eastAsia="方正仿宋_GBK" w:cs="Times New Roman"/>
                <w:bCs/>
                <w:color w:val="auto"/>
                <w:kern w:val="0"/>
                <w:sz w:val="24"/>
                <w:szCs w:val="24"/>
                <w:highlight w:val="none"/>
              </w:rPr>
              <w:t>）日常生活活动能力（ADL）改善率</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eastAsia" w:cs="Times New Roman"/>
                <w:i w:val="0"/>
                <w:color w:val="auto"/>
                <w:kern w:val="0"/>
                <w:sz w:val="24"/>
                <w:szCs w:val="24"/>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九</w:t>
            </w:r>
            <w:r>
              <w:rPr>
                <w:rFonts w:hint="default" w:ascii="Times New Roman" w:hAnsi="Times New Roman" w:eastAsia="方正仿宋_GBK" w:cs="Times New Roman"/>
                <w:bCs/>
                <w:color w:val="auto"/>
                <w:kern w:val="0"/>
                <w:sz w:val="24"/>
                <w:szCs w:val="24"/>
                <w:highlight w:val="none"/>
              </w:rPr>
              <w:t>）脊髓损伤患者 ADL 改善率</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eastAsia" w:cs="Times New Roman"/>
                <w:i w:val="0"/>
                <w:color w:val="auto"/>
                <w:kern w:val="0"/>
                <w:sz w:val="24"/>
                <w:szCs w:val="24"/>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十</w:t>
            </w:r>
            <w:r>
              <w:rPr>
                <w:rFonts w:hint="default" w:ascii="Times New Roman" w:hAnsi="Times New Roman" w:eastAsia="方正仿宋_GBK" w:cs="Times New Roman"/>
                <w:bCs/>
                <w:color w:val="auto"/>
                <w:kern w:val="0"/>
                <w:sz w:val="24"/>
                <w:szCs w:val="24"/>
                <w:highlight w:val="none"/>
              </w:rPr>
              <w:t>）脑卒中患者 ADL 改善率</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eastAsia" w:cs="Times New Roman"/>
                <w:i w:val="0"/>
                <w:color w:val="auto"/>
                <w:kern w:val="0"/>
                <w:sz w:val="24"/>
                <w:szCs w:val="24"/>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single" w:color="auto" w:sz="4" w:space="0"/>
              <w:left w:val="single" w:color="auto" w:sz="4" w:space="0"/>
              <w:bottom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十一</w:t>
            </w:r>
            <w:r>
              <w:rPr>
                <w:rFonts w:hint="default" w:ascii="Times New Roman" w:hAnsi="Times New Roman" w:eastAsia="方正仿宋_GBK" w:cs="Times New Roman"/>
                <w:bCs/>
                <w:color w:val="auto"/>
                <w:kern w:val="0"/>
                <w:sz w:val="24"/>
                <w:szCs w:val="24"/>
                <w:highlight w:val="none"/>
              </w:rPr>
              <w:t>）康复评定率</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rPr>
              <w:t>1.</w:t>
            </w:r>
            <w:r>
              <w:rPr>
                <w:rFonts w:hint="default" w:ascii="Times New Roman" w:hAnsi="Times New Roman" w:eastAsia="方正仿宋_GBK" w:cs="Times New Roman"/>
                <w:bCs/>
                <w:color w:val="auto"/>
                <w:kern w:val="0"/>
                <w:sz w:val="24"/>
                <w:szCs w:val="24"/>
                <w:highlight w:val="none"/>
              </w:rPr>
              <w:t>脑卒中患者运动功能评定率</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eastAsia" w:cs="Times New Roman"/>
                <w:i w:val="0"/>
                <w:color w:val="auto"/>
                <w:kern w:val="0"/>
                <w:sz w:val="24"/>
                <w:szCs w:val="24"/>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rPr>
              <w:t>2.</w:t>
            </w:r>
            <w:r>
              <w:rPr>
                <w:rFonts w:hint="default" w:ascii="Times New Roman" w:hAnsi="Times New Roman" w:eastAsia="方正仿宋_GBK" w:cs="Times New Roman"/>
                <w:bCs/>
                <w:color w:val="auto"/>
                <w:kern w:val="0"/>
                <w:sz w:val="24"/>
                <w:szCs w:val="24"/>
                <w:highlight w:val="none"/>
              </w:rPr>
              <w:t>脑卒中患者言语功能评定率</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eastAsia" w:cs="Times New Roman"/>
                <w:i w:val="0"/>
                <w:color w:val="auto"/>
                <w:kern w:val="0"/>
                <w:sz w:val="24"/>
                <w:szCs w:val="24"/>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
              <w:spacing w:line="300" w:lineRule="exact"/>
              <w:ind w:firstLine="0" w:firstLineChars="0"/>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bidi="ar-SA"/>
              </w:rPr>
              <w:t>3.脑卒中患者吞咽功能评定率</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eastAsia" w:cs="Times New Roman"/>
                <w:i w:val="0"/>
                <w:color w:val="auto"/>
                <w:kern w:val="0"/>
                <w:sz w:val="24"/>
                <w:szCs w:val="24"/>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
              <w:spacing w:line="300" w:lineRule="exact"/>
              <w:ind w:firstLine="0" w:firstLineChars="0"/>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bidi="ar-SA"/>
              </w:rPr>
              <w:t>4.脊髓损伤患者神经功能评定率</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eastAsia" w:cs="Times New Roman"/>
                <w:i w:val="0"/>
                <w:color w:val="auto"/>
                <w:kern w:val="0"/>
                <w:sz w:val="24"/>
                <w:szCs w:val="24"/>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
              <w:spacing w:line="300" w:lineRule="exact"/>
              <w:ind w:firstLine="0" w:firstLineChars="0"/>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bidi="ar-SA"/>
              </w:rPr>
              <w:t>5.髋、膝关节置换术后患者功能评定率</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eastAsia" w:cs="Times New Roman"/>
                <w:i w:val="0"/>
                <w:color w:val="auto"/>
                <w:kern w:val="0"/>
                <w:sz w:val="24"/>
                <w:szCs w:val="24"/>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十二</w:t>
            </w:r>
            <w:r>
              <w:rPr>
                <w:rFonts w:hint="default" w:ascii="Times New Roman" w:hAnsi="Times New Roman" w:eastAsia="方正仿宋_GBK" w:cs="Times New Roman"/>
                <w:bCs/>
                <w:color w:val="auto"/>
                <w:kern w:val="0"/>
                <w:sz w:val="24"/>
                <w:szCs w:val="24"/>
                <w:highlight w:val="none"/>
              </w:rPr>
              <w:t>）住院患者静脉输液使用率</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i w:val="0"/>
                <w:color w:val="auto"/>
                <w:kern w:val="0"/>
                <w:sz w:val="24"/>
                <w:szCs w:val="24"/>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single" w:color="auto" w:sz="4" w:space="0"/>
              <w:left w:val="single" w:color="auto" w:sz="4" w:space="0"/>
              <w:bottom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十三</w:t>
            </w:r>
            <w:r>
              <w:rPr>
                <w:rFonts w:hint="default" w:ascii="Times New Roman" w:hAnsi="Times New Roman" w:eastAsia="方正仿宋_GBK" w:cs="Times New Roman"/>
                <w:bCs/>
                <w:color w:val="auto"/>
                <w:kern w:val="0"/>
                <w:sz w:val="24"/>
                <w:szCs w:val="24"/>
                <w:highlight w:val="none"/>
              </w:rPr>
              <w:t>）并发症和不良事件发生率及预防实施率</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
              <w:spacing w:line="300" w:lineRule="exact"/>
              <w:ind w:firstLine="0" w:firstLineChars="0"/>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bidi="ar-SA"/>
              </w:rPr>
              <w:t>1.脑卒中后肩痛发生率</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eastAsia" w:cs="Times New Roman"/>
                <w:i w:val="0"/>
                <w:color w:val="auto"/>
                <w:kern w:val="0"/>
                <w:sz w:val="24"/>
                <w:szCs w:val="24"/>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
              <w:spacing w:line="300" w:lineRule="exact"/>
              <w:ind w:firstLine="0" w:firstLineChars="0"/>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bidi="ar-SA"/>
              </w:rPr>
              <w:t>2.脑卒中后肩痛预防实施率</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eastAsia" w:cs="Times New Roman"/>
                <w:i w:val="0"/>
                <w:color w:val="auto"/>
                <w:kern w:val="0"/>
                <w:sz w:val="24"/>
                <w:szCs w:val="24"/>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
              <w:spacing w:line="300" w:lineRule="exact"/>
              <w:ind w:firstLine="0" w:firstLineChars="0"/>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bidi="ar-SA"/>
              </w:rPr>
              <w:t>3.脊髓损伤患者泌尿系感染发生率</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eastAsia" w:cs="Times New Roman"/>
                <w:i w:val="0"/>
                <w:color w:val="auto"/>
                <w:kern w:val="0"/>
                <w:sz w:val="24"/>
                <w:szCs w:val="24"/>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
              <w:spacing w:line="300" w:lineRule="exact"/>
              <w:ind w:firstLine="0" w:firstLineChars="0"/>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bidi="ar-SA"/>
              </w:rPr>
              <w:t>4.脊髓损伤神经源性膀胱患者间歇性导尿实施率</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eastAsia" w:cs="Times New Roman"/>
                <w:i w:val="0"/>
                <w:color w:val="auto"/>
                <w:kern w:val="0"/>
                <w:sz w:val="24"/>
                <w:szCs w:val="24"/>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
              <w:spacing w:line="300" w:lineRule="exact"/>
              <w:ind w:firstLine="0" w:firstLineChars="0"/>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bidi="ar-SA"/>
              </w:rPr>
              <w:t>5.住院患者静脉血栓栓塞症发生率</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eastAsia" w:cs="Times New Roman"/>
                <w:i w:val="0"/>
                <w:color w:val="auto"/>
                <w:kern w:val="0"/>
                <w:sz w:val="24"/>
                <w:szCs w:val="24"/>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
              <w:spacing w:line="300" w:lineRule="exact"/>
              <w:ind w:firstLine="0" w:firstLineChars="0"/>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bidi="ar-SA"/>
              </w:rPr>
              <w:t>6.住院患者静脉血栓栓塞症规范预防率</w:t>
            </w:r>
          </w:p>
        </w:tc>
        <w:tc>
          <w:tcPr>
            <w:tcW w:w="1860" w:type="dxa"/>
            <w:tcBorders>
              <w:top w:val="single" w:color="auto" w:sz="4" w:space="0"/>
              <w:left w:val="single" w:color="auto" w:sz="4" w:space="0"/>
              <w:bottom w:val="single" w:color="auto" w:sz="4" w:space="0"/>
            </w:tcBorders>
            <w:shd w:val="clear" w:color="auto" w:fill="auto"/>
            <w:noWrap/>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Cs/>
                <w:color w:val="auto"/>
                <w:kern w:val="0"/>
                <w:sz w:val="24"/>
                <w:szCs w:val="24"/>
                <w:highlight w:val="none"/>
              </w:rPr>
            </w:pPr>
            <w:r>
              <w:rPr>
                <w:rFonts w:hint="eastAsia" w:cs="Times New Roman"/>
                <w:i w:val="0"/>
                <w:color w:val="auto"/>
                <w:kern w:val="0"/>
                <w:sz w:val="24"/>
                <w:szCs w:val="24"/>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restart"/>
            <w:tcBorders>
              <w:top w:val="single" w:color="000000" w:sz="4" w:space="0"/>
              <w:right w:val="single" w:color="auto" w:sz="4" w:space="0"/>
            </w:tcBorders>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rPr>
              <w:t>十八、临床营养专业医疗质量控制指标（2022年版）</w:t>
            </w: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（一）营养科医床比</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lang w:val="en-US" w:eastAsia="zh-CN"/>
              </w:rPr>
            </w:pPr>
            <w:r>
              <w:rPr>
                <w:rFonts w:hint="default" w:ascii="Times New Roman" w:hAnsi="Times New Roman" w:eastAsia="方正仿宋_GBK" w:cs="Times New Roman"/>
                <w:bCs/>
                <w:color w:val="auto"/>
                <w:kern w:val="0"/>
                <w:sz w:val="24"/>
                <w:szCs w:val="24"/>
                <w:highlight w:val="none"/>
                <w:lang w:val="en-US" w:eastAsia="zh-CN"/>
              </w:rPr>
              <w:t>*（≥1:200）</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cs="Times New Roman"/>
                <w:color w:val="auto"/>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（二）营养科护床比</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（三）营养科技床比</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（四）住院患者营养风险筛查率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 w:hRule="atLeas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（五）存在营养风险住院患者营养治疗率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numPr>
                <w:ilvl w:val="0"/>
                <w:numId w:val="0"/>
              </w:numPr>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lang w:val="en-US" w:eastAsia="zh-CN"/>
              </w:rPr>
              <w:t>六）</w:t>
            </w:r>
            <w:r>
              <w:rPr>
                <w:rFonts w:hint="default" w:ascii="Times New Roman" w:hAnsi="Times New Roman" w:eastAsia="方正仿宋_GBK" w:cs="Times New Roman"/>
                <w:bCs/>
                <w:color w:val="auto"/>
                <w:kern w:val="0"/>
                <w:sz w:val="24"/>
                <w:szCs w:val="24"/>
                <w:highlight w:val="none"/>
              </w:rPr>
              <w:t>糖尿病住院患者营养评估率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
              <w:spacing w:line="300" w:lineRule="exact"/>
              <w:ind w:firstLine="0" w:firstLineChars="0"/>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bidi="ar-SA"/>
              </w:rPr>
              <w:t>（七）糖尿病住院患者营养治疗率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八</w:t>
            </w:r>
            <w:r>
              <w:rPr>
                <w:rFonts w:hint="default" w:ascii="Times New Roman" w:hAnsi="Times New Roman" w:eastAsia="方正仿宋_GBK" w:cs="Times New Roman"/>
                <w:bCs/>
                <w:color w:val="auto"/>
                <w:kern w:val="0"/>
                <w:sz w:val="24"/>
                <w:szCs w:val="24"/>
                <w:highlight w:val="none"/>
              </w:rPr>
              <w:t>）使用胰岛素治疗的糖尿病住院患者营养治疗后胰岛素使用剂量减少率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7683" w:type="dxa"/>
            <w:gridSpan w:val="2"/>
            <w:tcBorders>
              <w:top w:val="single" w:color="auto" w:sz="4" w:space="0"/>
              <w:left w:val="single" w:color="auto" w:sz="4" w:space="0"/>
              <w:bottom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九</w:t>
            </w:r>
            <w:r>
              <w:rPr>
                <w:rFonts w:hint="default" w:ascii="Times New Roman" w:hAnsi="Times New Roman" w:eastAsia="方正仿宋_GBK" w:cs="Times New Roman"/>
                <w:bCs/>
                <w:color w:val="auto"/>
                <w:kern w:val="0"/>
                <w:sz w:val="24"/>
                <w:szCs w:val="24"/>
                <w:highlight w:val="none"/>
              </w:rPr>
              <w:t>）营养治疗不良事件发生率</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sz w:val="24"/>
              </w:rPr>
              <mc:AlternateContent>
                <mc:Choice Requires="wps">
                  <w:drawing>
                    <wp:anchor distT="0" distB="0" distL="114300" distR="114300" simplePos="0" relativeHeight="251672576" behindDoc="0" locked="0" layoutInCell="1" allowOverlap="1">
                      <wp:simplePos x="0" y="0"/>
                      <wp:positionH relativeFrom="column">
                        <wp:posOffset>-1148080</wp:posOffset>
                      </wp:positionH>
                      <wp:positionV relativeFrom="paragraph">
                        <wp:posOffset>-8255</wp:posOffset>
                      </wp:positionV>
                      <wp:extent cx="1132840" cy="150495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132840" cy="150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b w:val="0"/>
                                      <w:color w:val="auto"/>
                                      <w:sz w:val="24"/>
                                      <w:szCs w:val="24"/>
                                      <w:highlight w:val="none"/>
                                      <w:lang w:val="en-US" w:eastAsia="zh-CN"/>
                                    </w:rPr>
                                    <w:t>十</w:t>
                                  </w:r>
                                  <w:r>
                                    <w:rPr>
                                      <w:rFonts w:hint="default" w:ascii="Times New Roman" w:hAnsi="Times New Roman" w:eastAsia="方正仿宋_GBK" w:cs="Times New Roman"/>
                                      <w:b w:val="0"/>
                                      <w:color w:val="auto"/>
                                      <w:sz w:val="24"/>
                                      <w:szCs w:val="24"/>
                                      <w:highlight w:val="none"/>
                                    </w:rPr>
                                    <w:t>八、临床营养专业医疗质量控制指标（2022年版）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4pt;margin-top:-0.65pt;height:118.5pt;width:89.2pt;z-index:251672576;mso-width-relative:page;mso-height-relative:page;" filled="f" stroked="f" coordsize="21600,21600" o:gfxdata="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&#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HNwbJPaAAAACgEAAA8AAAAAAAAAAQAgAAAAIgAAAGRy&#10;cy9kb3ducmV2LnhtbFBLAQIUABQAAAAIAIdO4kCZkul5PAIAAGkEAAAOAAAAAAAAAAEAIAAAACkB&#10;AABkcnMvZTJvRG9jLnhtbFBLBQYAAAAABgAGAFkBAADXBQ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b w:val="0"/>
                                <w:color w:val="auto"/>
                                <w:sz w:val="24"/>
                                <w:szCs w:val="24"/>
                                <w:highlight w:val="none"/>
                                <w:lang w:val="en-US" w:eastAsia="zh-CN"/>
                              </w:rPr>
                              <w:t>十</w:t>
                            </w:r>
                            <w:r>
                              <w:rPr>
                                <w:rFonts w:hint="default" w:ascii="Times New Roman" w:hAnsi="Times New Roman" w:eastAsia="方正仿宋_GBK" w:cs="Times New Roman"/>
                                <w:b w:val="0"/>
                                <w:color w:val="auto"/>
                                <w:sz w:val="24"/>
                                <w:szCs w:val="24"/>
                                <w:highlight w:val="none"/>
                              </w:rPr>
                              <w:t>八、临床营养专业医疗质量控制指标（2022年版）</w:t>
                            </w:r>
                          </w:p>
                        </w:txbxContent>
                      </v:textbox>
                    </v:shape>
                  </w:pict>
                </mc:Fallback>
              </mc:AlternateContent>
            </w:r>
            <w:r>
              <w:rPr>
                <w:rFonts w:hint="default" w:ascii="Times New Roman" w:hAnsi="Times New Roman" w:eastAsia="方正仿宋_GBK" w:cs="Times New Roman"/>
                <w:bCs/>
                <w:color w:val="auto"/>
                <w:kern w:val="0"/>
                <w:sz w:val="24"/>
                <w:szCs w:val="24"/>
                <w:highlight w:val="none"/>
                <w:lang w:val="en-US" w:eastAsia="zh-CN"/>
              </w:rPr>
              <w:t>1.</w:t>
            </w:r>
            <w:r>
              <w:rPr>
                <w:rFonts w:hint="default" w:ascii="Times New Roman" w:hAnsi="Times New Roman" w:eastAsia="方正仿宋_GBK" w:cs="Times New Roman"/>
                <w:bCs/>
                <w:color w:val="auto"/>
                <w:kern w:val="0"/>
                <w:sz w:val="24"/>
                <w:szCs w:val="24"/>
                <w:highlight w:val="none"/>
              </w:rPr>
              <w:t>肠外营养治疗不良事件发生率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lang w:val="en-US" w:eastAsia="zh-CN" w:bidi="ar-SA"/>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rPr>
              <w:t>2.</w:t>
            </w:r>
            <w:r>
              <w:rPr>
                <w:rFonts w:hint="default" w:ascii="Times New Roman" w:hAnsi="Times New Roman" w:eastAsia="方正仿宋_GBK" w:cs="Times New Roman"/>
                <w:bCs/>
                <w:color w:val="auto"/>
                <w:kern w:val="0"/>
                <w:sz w:val="24"/>
                <w:szCs w:val="24"/>
                <w:highlight w:val="none"/>
              </w:rPr>
              <w:t>肠内营养治疗不良事件发生率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
              <w:spacing w:line="300" w:lineRule="exact"/>
              <w:ind w:firstLine="0" w:firstLineChars="0"/>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lang w:val="en-US" w:eastAsia="zh-CN" w:bidi="ar-SA"/>
              </w:rPr>
              <w:t>3.膳食营养治疗不良事件发生率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lang w:val="en-US" w:eastAsia="zh-CN" w:bidi="ar-SA"/>
              </w:rPr>
            </w:pPr>
            <w:r>
              <w:rPr>
                <w:rFonts w:hint="default" w:ascii="Times New Roman" w:hAnsi="Times New Roman" w:eastAsia="方正仿宋_GBK" w:cs="Times New Roman"/>
                <w:bCs/>
                <w:color w:val="auto"/>
                <w:kern w:val="0"/>
                <w:sz w:val="24"/>
                <w:szCs w:val="24"/>
                <w:highlight w:val="none"/>
              </w:rPr>
              <w:t>（</w:t>
            </w:r>
            <w:r>
              <w:rPr>
                <w:rFonts w:hint="default" w:ascii="Times New Roman" w:hAnsi="Times New Roman" w:eastAsia="方正仿宋_GBK" w:cs="Times New Roman"/>
                <w:bCs/>
                <w:color w:val="auto"/>
                <w:kern w:val="0"/>
                <w:sz w:val="24"/>
                <w:szCs w:val="24"/>
                <w:highlight w:val="none"/>
                <w:lang w:val="en-US" w:eastAsia="zh-CN"/>
              </w:rPr>
              <w:t>十</w:t>
            </w:r>
            <w:r>
              <w:rPr>
                <w:rFonts w:hint="default" w:ascii="Times New Roman" w:hAnsi="Times New Roman" w:eastAsia="方正仿宋_GBK" w:cs="Times New Roman"/>
                <w:bCs/>
                <w:color w:val="auto"/>
                <w:kern w:val="0"/>
                <w:sz w:val="24"/>
                <w:szCs w:val="24"/>
                <w:highlight w:val="none"/>
              </w:rPr>
              <w:t>）营养门诊投诉发生率</w:t>
            </w:r>
          </w:p>
        </w:tc>
        <w:tc>
          <w:tcPr>
            <w:tcW w:w="1860" w:type="dxa"/>
            <w:tcBorders>
              <w:top w:val="single" w:color="auto" w:sz="4" w:space="0"/>
              <w:left w:val="single" w:color="auto" w:sz="4" w:space="0"/>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restart"/>
            <w:tcBorders>
              <w:top w:val="single" w:color="000000" w:sz="4" w:space="0"/>
              <w:bottom w:val="single" w:color="000000" w:sz="4" w:space="0"/>
              <w:right w:val="single" w:color="000000" w:sz="4" w:space="0"/>
            </w:tcBorders>
            <w:vAlign w:val="center"/>
          </w:tcPr>
          <w:p>
            <w:pPr>
              <w:pStyle w:val="4"/>
              <w:spacing w:line="300" w:lineRule="exact"/>
              <w:jc w:val="both"/>
              <w:rPr>
                <w:rFonts w:hint="default" w:ascii="Times New Roman" w:hAnsi="Times New Roman" w:eastAsia="方正仿宋_GBK" w:cs="Times New Roman"/>
                <w:b w:val="0"/>
                <w:bCs w:val="0"/>
                <w:color w:val="auto"/>
                <w:kern w:val="0"/>
                <w:sz w:val="24"/>
                <w:szCs w:val="24"/>
                <w:highlight w:val="none"/>
              </w:rPr>
            </w:pPr>
            <w:r>
              <w:rPr>
                <w:rFonts w:hint="default" w:ascii="Times New Roman" w:hAnsi="Times New Roman" w:eastAsia="方正仿宋_GBK" w:cs="Times New Roman"/>
                <w:b w:val="0"/>
                <w:color w:val="auto"/>
                <w:sz w:val="24"/>
                <w:szCs w:val="24"/>
                <w:highlight w:val="none"/>
              </w:rPr>
              <w:t>十</w:t>
            </w:r>
            <w:r>
              <w:rPr>
                <w:rFonts w:hint="default" w:ascii="Times New Roman" w:hAnsi="Times New Roman" w:eastAsia="方正仿宋_GBK" w:cs="Times New Roman"/>
                <w:b w:val="0"/>
                <w:color w:val="auto"/>
                <w:sz w:val="24"/>
                <w:szCs w:val="24"/>
                <w:highlight w:val="none"/>
                <w:lang w:val="en-US" w:eastAsia="zh-CN"/>
              </w:rPr>
              <w:t>九</w:t>
            </w:r>
            <w:r>
              <w:rPr>
                <w:rFonts w:hint="default" w:ascii="Times New Roman" w:hAnsi="Times New Roman" w:eastAsia="方正仿宋_GBK" w:cs="Times New Roman"/>
                <w:b w:val="0"/>
                <w:color w:val="auto"/>
                <w:sz w:val="24"/>
                <w:szCs w:val="24"/>
                <w:highlight w:val="none"/>
              </w:rPr>
              <w:t>、胸科医院重点医疗质量控制指标</w:t>
            </w: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（一）术前的风险评估执行率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（二）非计划再次手术率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（三）术后出院7天内（含7天）再入院率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（四）术后呼吸衰竭发生率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（五）术后住院时间≥21天患者占手术患者比例</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numPr>
                <w:ilvl w:val="0"/>
                <w:numId w:val="0"/>
              </w:numPr>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lang w:eastAsia="zh-CN"/>
              </w:rPr>
              <w:t>（</w:t>
            </w:r>
            <w:r>
              <w:rPr>
                <w:rFonts w:hint="default" w:ascii="Times New Roman" w:hAnsi="Times New Roman" w:eastAsia="方正仿宋_GBK" w:cs="Times New Roman"/>
                <w:bCs/>
                <w:color w:val="auto"/>
                <w:kern w:val="0"/>
                <w:sz w:val="24"/>
                <w:szCs w:val="24"/>
                <w:highlight w:val="none"/>
                <w:lang w:val="en-US" w:eastAsia="zh-CN"/>
              </w:rPr>
              <w:t>六）</w:t>
            </w:r>
            <w:r>
              <w:rPr>
                <w:rFonts w:hint="default" w:ascii="Times New Roman" w:hAnsi="Times New Roman" w:eastAsia="方正仿宋_GBK" w:cs="Times New Roman"/>
                <w:bCs/>
                <w:color w:val="auto"/>
                <w:kern w:val="0"/>
                <w:sz w:val="24"/>
                <w:szCs w:val="24"/>
                <w:highlight w:val="none"/>
              </w:rPr>
              <w:t>拟恶性肿瘤术后病理确诊符合率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pStyle w:val="18"/>
              <w:spacing w:line="300" w:lineRule="exact"/>
              <w:ind w:firstLine="0" w:firstLineChars="0"/>
              <w:jc w:val="both"/>
              <w:rPr>
                <w:rFonts w:hint="default" w:ascii="Times New Roman" w:hAnsi="Times New Roman" w:eastAsia="方正仿宋_GBK" w:cs="Times New Roman"/>
                <w:bCs/>
                <w:color w:val="auto"/>
                <w:kern w:val="0"/>
                <w:szCs w:val="24"/>
                <w:highlight w:val="none"/>
                <w:lang w:eastAsia="zh-CN"/>
              </w:rPr>
            </w:pPr>
            <w:r>
              <w:rPr>
                <w:rFonts w:hint="default" w:ascii="Times New Roman" w:hAnsi="Times New Roman" w:eastAsia="方正仿宋_GBK" w:cs="Times New Roman"/>
                <w:bCs/>
                <w:color w:val="auto"/>
                <w:kern w:val="0"/>
                <w:sz w:val="24"/>
                <w:szCs w:val="24"/>
                <w:highlight w:val="none"/>
                <w:lang w:val="en-US" w:eastAsia="zh-CN" w:bidi="ar-SA"/>
              </w:rPr>
              <w:t>（七）手术死亡率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restart"/>
            <w:tcBorders>
              <w:top w:val="single" w:color="000000" w:sz="4" w:space="0"/>
              <w:bottom w:val="single" w:color="000000" w:sz="4" w:space="0"/>
              <w:right w:val="single" w:color="000000" w:sz="4" w:space="0"/>
            </w:tcBorders>
            <w:vAlign w:val="center"/>
          </w:tcPr>
          <w:p>
            <w:pPr>
              <w:pStyle w:val="4"/>
              <w:spacing w:line="300" w:lineRule="exact"/>
              <w:jc w:val="both"/>
              <w:rPr>
                <w:rFonts w:hint="default" w:ascii="Times New Roman" w:hAnsi="Times New Roman" w:eastAsia="方正仿宋_GBK" w:cs="Times New Roman"/>
                <w:b w:val="0"/>
                <w:bCs w:val="0"/>
                <w:color w:val="auto"/>
                <w:kern w:val="0"/>
                <w:sz w:val="24"/>
                <w:szCs w:val="24"/>
                <w:highlight w:val="none"/>
              </w:rPr>
            </w:pPr>
            <w:r>
              <w:rPr>
                <w:rFonts w:hint="default" w:ascii="Times New Roman" w:hAnsi="Times New Roman" w:eastAsia="方正仿宋_GBK" w:cs="Times New Roman"/>
                <w:b w:val="0"/>
                <w:color w:val="auto"/>
                <w:sz w:val="24"/>
                <w:szCs w:val="24"/>
                <w:highlight w:val="none"/>
                <w:lang w:val="en-US" w:eastAsia="zh-CN"/>
              </w:rPr>
              <w:t>二十</w:t>
            </w:r>
            <w:r>
              <w:rPr>
                <w:rFonts w:hint="default" w:ascii="Times New Roman" w:hAnsi="Times New Roman" w:eastAsia="方正仿宋_GBK" w:cs="Times New Roman"/>
                <w:b w:val="0"/>
                <w:color w:val="auto"/>
                <w:sz w:val="24"/>
                <w:szCs w:val="24"/>
                <w:highlight w:val="none"/>
              </w:rPr>
              <w:t>、肿瘤医院重点医疗质量控制指标</w:t>
            </w: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（一）恶性肿瘤TNM分期执行率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（二）术前的风险评估执行率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（三）非计划再次手术率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（四）术后出院7天内（含7天）再入院率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（五）拟恶性肿瘤术后病理确诊符合率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（六）手术死亡率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restart"/>
            <w:tcBorders>
              <w:top w:val="single" w:color="000000" w:sz="4" w:space="0"/>
              <w:bottom w:val="single" w:color="000000" w:sz="4" w:space="0"/>
              <w:right w:val="single" w:color="000000" w:sz="4" w:space="0"/>
            </w:tcBorders>
            <w:vAlign w:val="center"/>
          </w:tcPr>
          <w:p>
            <w:pPr>
              <w:pStyle w:val="4"/>
              <w:spacing w:line="300" w:lineRule="exact"/>
              <w:jc w:val="both"/>
              <w:rPr>
                <w:rFonts w:hint="default" w:ascii="Times New Roman" w:hAnsi="Times New Roman" w:eastAsia="方正仿宋_GBK" w:cs="Times New Roman"/>
                <w:b w:val="0"/>
                <w:bCs w:val="0"/>
                <w:color w:val="auto"/>
                <w:kern w:val="0"/>
                <w:sz w:val="24"/>
                <w:szCs w:val="24"/>
                <w:highlight w:val="none"/>
              </w:rPr>
            </w:pPr>
            <w:bookmarkStart w:id="123" w:name="_Hlk78738359"/>
            <w:r>
              <w:rPr>
                <w:rFonts w:hint="default" w:ascii="Times New Roman" w:hAnsi="Times New Roman" w:eastAsia="方正仿宋_GBK" w:cs="Times New Roman"/>
                <w:b w:val="0"/>
                <w:color w:val="auto"/>
                <w:sz w:val="24"/>
                <w:szCs w:val="24"/>
                <w:highlight w:val="none"/>
                <w:lang w:val="en-US" w:eastAsia="zh-CN"/>
              </w:rPr>
              <w:t>二十一</w:t>
            </w:r>
            <w:r>
              <w:rPr>
                <w:rFonts w:hint="default" w:ascii="Times New Roman" w:hAnsi="Times New Roman" w:eastAsia="方正仿宋_GBK" w:cs="Times New Roman"/>
                <w:b w:val="0"/>
                <w:color w:val="auto"/>
                <w:sz w:val="24"/>
                <w:szCs w:val="24"/>
                <w:highlight w:val="none"/>
              </w:rPr>
              <w:t>、儿童医院重点医疗质量控制指标</w:t>
            </w: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（一）≤5岁住院患儿死亡率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（二）住院患儿出院7天内再住院率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（三）住院患儿抗菌药物DDDs值</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（四）门诊患儿输液率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（五）手术死亡率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bookmarkEnd w:id="123"/>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restart"/>
            <w:tcBorders>
              <w:top w:val="nil"/>
              <w:bottom w:val="single" w:color="000000" w:sz="4" w:space="0"/>
              <w:right w:val="single" w:color="auto" w:sz="4" w:space="0"/>
            </w:tcBorders>
            <w:shd w:val="clear" w:color="auto" w:fill="auto"/>
            <w:vAlign w:val="center"/>
          </w:tcPr>
          <w:p>
            <w:pPr>
              <w:pStyle w:val="4"/>
              <w:spacing w:line="300" w:lineRule="exact"/>
              <w:jc w:val="both"/>
              <w:rPr>
                <w:rFonts w:hint="default" w:ascii="Times New Roman" w:hAnsi="Times New Roman" w:eastAsia="方正仿宋_GBK" w:cs="Times New Roman"/>
                <w:b w:val="0"/>
                <w:color w:val="auto"/>
                <w:sz w:val="24"/>
                <w:szCs w:val="24"/>
                <w:highlight w:val="none"/>
              </w:rPr>
            </w:pPr>
            <w:r>
              <w:rPr>
                <w:rFonts w:hint="default" w:ascii="Times New Roman" w:hAnsi="Times New Roman" w:eastAsia="方正仿宋_GBK" w:cs="Times New Roman"/>
                <w:b w:val="0"/>
                <w:color w:val="auto"/>
                <w:sz w:val="24"/>
                <w:szCs w:val="24"/>
                <w:highlight w:val="none"/>
                <w:lang w:val="en-US" w:eastAsia="zh-CN"/>
              </w:rPr>
              <w:t>二十二</w:t>
            </w:r>
            <w:r>
              <w:rPr>
                <w:rFonts w:hint="default" w:ascii="Times New Roman" w:hAnsi="Times New Roman" w:eastAsia="方正仿宋_GBK" w:cs="Times New Roman"/>
                <w:b w:val="0"/>
                <w:color w:val="auto"/>
                <w:sz w:val="24"/>
                <w:szCs w:val="24"/>
                <w:highlight w:val="none"/>
              </w:rPr>
              <w:t>、妇产医院重点医疗质量控制指标</w:t>
            </w: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（一）产前筛查率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nil"/>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（二）高危产妇管理率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nil"/>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（三）剖宫产率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nil"/>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（四）高危产妇占总产妇数百分比</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nil"/>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（五）孕产妇死亡率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nil"/>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（六）住院新生儿死亡率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nil"/>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（七）新生儿苯丙酮尿症筛查率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bottom w:val="single" w:color="000000" w:sz="4" w:space="0"/>
              <w:right w:val="single" w:color="auto" w:sz="4" w:space="0"/>
            </w:tcBorders>
            <w:vAlign w:val="center"/>
          </w:tcPr>
          <w:p>
            <w:pPr>
              <w:widowControl/>
              <w:spacing w:line="300" w:lineRule="exact"/>
              <w:jc w:val="both"/>
              <w:rPr>
                <w:rFonts w:hint="default" w:cs="Times New Roman"/>
                <w:color w:val="auto"/>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（八）新生儿甲状腺功能减低症筛查率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nil"/>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（九）新生儿听力筛查率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nil"/>
              <w:bottom w:val="single" w:color="000000"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（十）拟恶性肿瘤术后病理确诊符合率</w:t>
            </w:r>
          </w:p>
        </w:tc>
        <w:tc>
          <w:tcPr>
            <w:tcW w:w="1860" w:type="dxa"/>
            <w:tcBorders>
              <w:top w:val="nil"/>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restart"/>
            <w:tcBorders>
              <w:top w:val="single" w:color="000000" w:sz="4" w:space="0"/>
              <w:right w:val="single" w:color="000000" w:sz="4" w:space="0"/>
            </w:tcBorders>
            <w:vAlign w:val="center"/>
          </w:tcPr>
          <w:p>
            <w:pPr>
              <w:pStyle w:val="4"/>
              <w:spacing w:line="300" w:lineRule="exact"/>
              <w:jc w:val="both"/>
              <w:rPr>
                <w:rFonts w:hint="default" w:ascii="Times New Roman" w:hAnsi="Times New Roman" w:eastAsia="方正仿宋_GBK" w:cs="Times New Roman"/>
                <w:b w:val="0"/>
                <w:bCs w:val="0"/>
                <w:color w:val="auto"/>
                <w:kern w:val="0"/>
                <w:sz w:val="24"/>
                <w:szCs w:val="24"/>
                <w:highlight w:val="none"/>
              </w:rPr>
            </w:pPr>
            <w:bookmarkStart w:id="124" w:name="_Hlk78739540"/>
            <w:r>
              <w:rPr>
                <w:rFonts w:hint="default" w:ascii="Times New Roman" w:hAnsi="Times New Roman" w:eastAsia="方正仿宋_GBK" w:cs="Times New Roman"/>
                <w:b w:val="0"/>
                <w:color w:val="auto"/>
                <w:sz w:val="24"/>
                <w:szCs w:val="24"/>
                <w:highlight w:val="none"/>
                <w:lang w:val="en-US" w:eastAsia="zh-CN"/>
              </w:rPr>
              <w:t>二十三</w:t>
            </w:r>
            <w:r>
              <w:rPr>
                <w:rFonts w:hint="default" w:ascii="Times New Roman" w:hAnsi="Times New Roman" w:eastAsia="方正仿宋_GBK" w:cs="Times New Roman"/>
                <w:b w:val="0"/>
                <w:color w:val="auto"/>
                <w:sz w:val="24"/>
                <w:szCs w:val="24"/>
                <w:highlight w:val="none"/>
              </w:rPr>
              <w:t>、传染病医院重点医疗质量控制指标</w:t>
            </w: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（一）住院患者抗菌药物使用率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（二）住院患者抗菌药物使用DDDs值</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（三）使用抗菌药物住院患者微生物样本送检率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5"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（四）住院患者发热待诊诊断率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7"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（五）重型肝炎（乙肝）抗乙肝病毒治疗率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7" w:hRule="atLeas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（六）重型肝炎死亡率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7" w:hRule="atLeast"/>
        </w:trPr>
        <w:tc>
          <w:tcPr>
            <w:tcW w:w="1673" w:type="dxa"/>
            <w:vMerge w:val="continue"/>
            <w:tcBorders>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（七）住院肺结核患者经组织学或/和细胞学确诊率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bookmarkEnd w:id="124"/>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restart"/>
            <w:tcBorders>
              <w:top w:val="single" w:color="000000" w:sz="4" w:space="0"/>
              <w:bottom w:val="single" w:color="000000" w:sz="4" w:space="0"/>
              <w:right w:val="single" w:color="000000" w:sz="4" w:space="0"/>
            </w:tcBorders>
            <w:vAlign w:val="center"/>
          </w:tcPr>
          <w:p>
            <w:pPr>
              <w:pStyle w:val="4"/>
              <w:spacing w:line="300" w:lineRule="exact"/>
              <w:jc w:val="both"/>
              <w:rPr>
                <w:rFonts w:hint="default" w:ascii="Times New Roman" w:hAnsi="Times New Roman" w:eastAsia="方正仿宋_GBK" w:cs="Times New Roman"/>
                <w:b w:val="0"/>
                <w:bCs w:val="0"/>
                <w:color w:val="auto"/>
                <w:kern w:val="0"/>
                <w:sz w:val="24"/>
                <w:szCs w:val="24"/>
                <w:highlight w:val="none"/>
              </w:rPr>
            </w:pPr>
            <w:r>
              <w:rPr>
                <w:rFonts w:hint="default" w:ascii="Times New Roman" w:hAnsi="Times New Roman" w:eastAsia="方正仿宋_GBK" w:cs="Times New Roman"/>
                <w:b w:val="0"/>
                <w:color w:val="auto"/>
                <w:sz w:val="24"/>
                <w:szCs w:val="24"/>
                <w:highlight w:val="none"/>
                <w:lang w:val="en-US" w:eastAsia="zh-CN"/>
              </w:rPr>
              <w:t>二十四</w:t>
            </w:r>
            <w:r>
              <w:rPr>
                <w:rFonts w:hint="default" w:ascii="Times New Roman" w:hAnsi="Times New Roman" w:eastAsia="方正仿宋_GBK" w:cs="Times New Roman"/>
                <w:b w:val="0"/>
                <w:color w:val="auto"/>
                <w:sz w:val="24"/>
                <w:szCs w:val="24"/>
                <w:highlight w:val="none"/>
              </w:rPr>
              <w:t>、口腔医院重点医疗质量控制指标</w:t>
            </w: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（一）每诊椅日人次数</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（二）根管治疗合格率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（三）义齿返工率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（四）住院患者临床诊断与病理诊断符合率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24" w:hRule="exact"/>
        </w:trPr>
        <w:tc>
          <w:tcPr>
            <w:tcW w:w="1673" w:type="dxa"/>
            <w:vMerge w:val="restart"/>
            <w:tcBorders>
              <w:top w:val="single" w:color="000000" w:sz="4" w:space="0"/>
              <w:bottom w:val="single" w:color="000000" w:sz="4" w:space="0"/>
              <w:right w:val="single" w:color="000000" w:sz="4" w:space="0"/>
            </w:tcBorders>
            <w:vAlign w:val="center"/>
          </w:tcPr>
          <w:p>
            <w:pPr>
              <w:pStyle w:val="4"/>
              <w:spacing w:line="300" w:lineRule="exact"/>
              <w:jc w:val="both"/>
              <w:rPr>
                <w:rFonts w:hint="default" w:ascii="Times New Roman" w:hAnsi="Times New Roman" w:eastAsia="方正仿宋_GBK" w:cs="Times New Roman"/>
                <w:b w:val="0"/>
                <w:bCs w:val="0"/>
                <w:color w:val="auto"/>
                <w:kern w:val="0"/>
                <w:sz w:val="24"/>
                <w:szCs w:val="24"/>
                <w:highlight w:val="none"/>
              </w:rPr>
            </w:pPr>
            <w:r>
              <w:rPr>
                <w:rFonts w:hint="default" w:ascii="Times New Roman" w:hAnsi="Times New Roman" w:eastAsia="方正仿宋_GBK" w:cs="Times New Roman"/>
                <w:b w:val="0"/>
                <w:color w:val="auto"/>
                <w:sz w:val="24"/>
                <w:szCs w:val="24"/>
                <w:highlight w:val="none"/>
              </w:rPr>
              <w:t>二十</w:t>
            </w:r>
            <w:r>
              <w:rPr>
                <w:rFonts w:hint="default" w:ascii="Times New Roman" w:hAnsi="Times New Roman" w:eastAsia="方正仿宋_GBK" w:cs="Times New Roman"/>
                <w:b w:val="0"/>
                <w:color w:val="auto"/>
                <w:sz w:val="24"/>
                <w:szCs w:val="24"/>
                <w:highlight w:val="none"/>
                <w:lang w:val="en-US" w:eastAsia="zh-CN"/>
              </w:rPr>
              <w:t>五</w:t>
            </w:r>
            <w:r>
              <w:rPr>
                <w:rFonts w:hint="default" w:ascii="Times New Roman" w:hAnsi="Times New Roman" w:eastAsia="方正仿宋_GBK" w:cs="Times New Roman"/>
                <w:b w:val="0"/>
                <w:color w:val="auto"/>
                <w:sz w:val="24"/>
                <w:szCs w:val="24"/>
                <w:highlight w:val="none"/>
              </w:rPr>
              <w:t>、精神病医院患者安全和权益保障重点指标</w:t>
            </w: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（一）入院时完成攻击、自伤和自杀风险、物质滥用、不良生活事件等评估率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（二）住院期间约束和隔离措施使用率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（三）噎食窒息发生率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（四）自杀、自伤发生率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（五）伤人、毁物发生率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（六）擅自离院发生率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（七）出院前完成社会功能评估完成率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top w:val="single" w:color="000000" w:sz="4" w:space="0"/>
              <w:bottom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（八）出院后持续服务计划实施率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restart"/>
            <w:tcBorders>
              <w:top w:val="single" w:color="000000"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bookmarkStart w:id="125" w:name="_Hlk81151590"/>
            <w:r>
              <w:rPr>
                <w:rFonts w:hint="default" w:ascii="Times New Roman" w:hAnsi="Times New Roman" w:eastAsia="方正仿宋_GBK" w:cs="Times New Roman"/>
                <w:b w:val="0"/>
                <w:color w:val="auto"/>
                <w:sz w:val="24"/>
                <w:szCs w:val="24"/>
                <w:highlight w:val="none"/>
                <w:lang w:val="en-US" w:eastAsia="zh-CN"/>
              </w:rPr>
              <w:t>二十六</w:t>
            </w:r>
            <w:r>
              <w:rPr>
                <w:rFonts w:hint="default" w:ascii="Times New Roman" w:hAnsi="Times New Roman" w:eastAsia="方正仿宋_GBK" w:cs="Times New Roman"/>
                <w:b w:val="0"/>
                <w:color w:val="auto"/>
                <w:sz w:val="24"/>
                <w:szCs w:val="24"/>
                <w:highlight w:val="none"/>
              </w:rPr>
              <w:t>、</w:t>
            </w:r>
            <w:r>
              <w:rPr>
                <w:rFonts w:hint="default" w:ascii="Times New Roman" w:hAnsi="Times New Roman" w:eastAsia="方正仿宋_GBK" w:cs="Times New Roman"/>
                <w:b w:val="0"/>
                <w:color w:val="auto"/>
                <w:sz w:val="24"/>
                <w:szCs w:val="24"/>
                <w:highlight w:val="none"/>
                <w:lang w:val="en-US" w:eastAsia="zh-CN"/>
              </w:rPr>
              <w:t>眼科</w:t>
            </w:r>
            <w:r>
              <w:rPr>
                <w:rFonts w:hint="default" w:ascii="Times New Roman" w:hAnsi="Times New Roman" w:eastAsia="方正仿宋_GBK" w:cs="Times New Roman"/>
                <w:b w:val="0"/>
                <w:color w:val="auto"/>
                <w:sz w:val="24"/>
                <w:szCs w:val="24"/>
                <w:highlight w:val="none"/>
              </w:rPr>
              <w:t>医院重点医疗质量控制指标</w:t>
            </w: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eastAsia="方正仿宋_GBK" w:cs="Times New Roman"/>
                <w:color w:val="auto"/>
                <w:kern w:val="0"/>
                <w:sz w:val="24"/>
                <w:szCs w:val="24"/>
                <w:highlight w:val="none"/>
              </w:rPr>
              <w:t>（一）眼科三、四级手术率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（二）日间手术占比</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（三）人工晶体植入率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（四）非计划再次手术率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（五）眼后节手术占比</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（六）临床路径管理病例占比</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bottom w:val="single" w:color="auto" w:sz="4" w:space="0"/>
              <w:right w:val="single" w:color="000000"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（七）内眼手术感染率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bookmarkEnd w:id="125"/>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restart"/>
            <w:tcBorders>
              <w:top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bookmarkStart w:id="126" w:name="_Hlk78737298"/>
            <w:r>
              <w:rPr>
                <w:rFonts w:hint="default" w:ascii="Times New Roman" w:hAnsi="Times New Roman" w:eastAsia="方正仿宋_GBK" w:cs="Times New Roman"/>
                <w:bCs/>
                <w:color w:val="auto"/>
                <w:kern w:val="0"/>
                <w:sz w:val="24"/>
                <w:szCs w:val="24"/>
                <w:highlight w:val="none"/>
                <w:lang w:val="en-US" w:eastAsia="zh-CN"/>
              </w:rPr>
              <w:t>二十七、康复医</w:t>
            </w:r>
            <w:r>
              <w:rPr>
                <w:rFonts w:hint="default" w:ascii="Times New Roman" w:hAnsi="Times New Roman" w:eastAsia="方正仿宋_GBK" w:cs="Times New Roman"/>
                <w:bCs/>
                <w:color w:val="auto"/>
                <w:kern w:val="0"/>
                <w:sz w:val="24"/>
                <w:szCs w:val="24"/>
                <w:highlight w:val="none"/>
              </w:rPr>
              <w:t>院</w:t>
            </w:r>
            <w:r>
              <w:rPr>
                <w:rFonts w:hint="default" w:ascii="Times New Roman" w:hAnsi="Times New Roman" w:eastAsia="方正仿宋_GBK" w:cs="Times New Roman"/>
                <w:color w:val="auto"/>
                <w:sz w:val="24"/>
                <w:szCs w:val="24"/>
                <w:highlight w:val="none"/>
              </w:rPr>
              <w:t>重点医疗质量控制指标</w:t>
            </w: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eastAsia="方正仿宋_GBK" w:cs="Times New Roman"/>
                <w:color w:val="auto"/>
                <w:kern w:val="0"/>
                <w:sz w:val="24"/>
                <w:szCs w:val="24"/>
                <w:highlight w:val="none"/>
              </w:rPr>
            </w:pPr>
            <w:r>
              <w:rPr>
                <w:rFonts w:hint="default" w:ascii="Times New Roman" w:eastAsia="方正仿宋_GBK" w:cs="Times New Roman"/>
                <w:color w:val="auto"/>
                <w:kern w:val="0"/>
                <w:sz w:val="24"/>
                <w:szCs w:val="24"/>
                <w:highlight w:val="none"/>
              </w:rPr>
              <w:t>（一）康复治疗患者康复评定完成率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（二）</w:t>
            </w:r>
            <w:r>
              <w:rPr>
                <w:rFonts w:hint="default" w:ascii="Times New Roman" w:eastAsia="方正仿宋_GBK" w:cs="Times New Roman"/>
                <w:color w:val="auto"/>
                <w:kern w:val="0"/>
                <w:sz w:val="24"/>
                <w:szCs w:val="24"/>
                <w:highlight w:val="none"/>
              </w:rPr>
              <w:t>康复治疗安全核查与风险评估执行率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（三）</w:t>
            </w:r>
            <w:r>
              <w:rPr>
                <w:rFonts w:hint="default" w:ascii="Times New Roman" w:eastAsia="方正仿宋_GBK" w:cs="Times New Roman"/>
                <w:color w:val="auto"/>
                <w:kern w:val="0"/>
                <w:sz w:val="24"/>
                <w:szCs w:val="24"/>
                <w:highlight w:val="none"/>
              </w:rPr>
              <w:t>住院患者康复治疗发生二次损伤的发生率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（四）开展早期康复介入服务率（发病时间≦2周）</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（五）住院患者日常生活活动能力改善率</w:t>
            </w:r>
          </w:p>
        </w:tc>
        <w:tc>
          <w:tcPr>
            <w:tcW w:w="1860" w:type="dxa"/>
            <w:tcBorders>
              <w:top w:val="single" w:color="auto" w:sz="4" w:space="0"/>
              <w:left w:val="nil"/>
              <w:bottom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bCs/>
                <w:color w:val="auto"/>
                <w:kern w:val="0"/>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（六）住院患者认知、言语、吞咽改善率</w:t>
            </w:r>
          </w:p>
        </w:tc>
        <w:tc>
          <w:tcPr>
            <w:tcW w:w="1860" w:type="dxa"/>
            <w:tcBorders>
              <w:top w:val="single" w:color="auto" w:sz="4" w:space="0"/>
              <w:left w:val="nil"/>
              <w:bottom w:val="single" w:color="auto" w:sz="4" w:space="0"/>
            </w:tcBorders>
            <w:shd w:val="clear" w:color="auto" w:fill="auto"/>
            <w:noWrap/>
            <w:vAlign w:val="center"/>
          </w:tcPr>
          <w:p>
            <w:pPr>
              <w:spacing w:line="300" w:lineRule="exact"/>
              <w:jc w:val="center"/>
              <w:rPr>
                <w:rFonts w:hint="eastAsia" w:cs="Times New Roman"/>
                <w:color w:val="auto"/>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（七）带管住院患者拔管率</w:t>
            </w:r>
          </w:p>
        </w:tc>
        <w:tc>
          <w:tcPr>
            <w:tcW w:w="1860" w:type="dxa"/>
            <w:tcBorders>
              <w:top w:val="single" w:color="auto" w:sz="4" w:space="0"/>
              <w:left w:val="nil"/>
              <w:bottom w:val="single" w:color="auto" w:sz="4" w:space="0"/>
            </w:tcBorders>
            <w:shd w:val="clear" w:color="auto" w:fill="auto"/>
            <w:noWrap/>
            <w:vAlign w:val="center"/>
          </w:tcPr>
          <w:p>
            <w:pPr>
              <w:spacing w:line="300" w:lineRule="exact"/>
              <w:jc w:val="center"/>
              <w:rPr>
                <w:rFonts w:hint="eastAsia" w:cs="Times New Roman"/>
                <w:color w:val="auto"/>
                <w:sz w:val="24"/>
                <w:szCs w:val="24"/>
                <w:highlight w:val="none"/>
              </w:rPr>
            </w:pPr>
            <w:r>
              <w:rPr>
                <w:rFonts w:hint="eastAsia" w:cs="Times New Roman"/>
                <w:bCs/>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（八）脊髓损伤患者间歇导尿率</w:t>
            </w:r>
          </w:p>
        </w:tc>
        <w:tc>
          <w:tcPr>
            <w:tcW w:w="1860" w:type="dxa"/>
            <w:tcBorders>
              <w:top w:val="single" w:color="auto" w:sz="4" w:space="0"/>
              <w:left w:val="nil"/>
              <w:bottom w:val="single" w:color="auto" w:sz="4" w:space="0"/>
            </w:tcBorders>
            <w:shd w:val="clear" w:color="auto" w:fill="auto"/>
            <w:noWrap/>
            <w:vAlign w:val="center"/>
          </w:tcPr>
          <w:p>
            <w:pPr>
              <w:spacing w:line="300" w:lineRule="exact"/>
              <w:jc w:val="center"/>
              <w:rPr>
                <w:rFonts w:hint="default" w:cs="Times New Roman"/>
                <w:color w:val="auto"/>
                <w:sz w:val="24"/>
                <w:szCs w:val="24"/>
                <w:highlight w:val="none"/>
              </w:rPr>
            </w:pPr>
            <w:r>
              <w:rPr>
                <w:rFonts w:hint="default" w:ascii="Times New Roman" w:hAnsi="Times New Roman" w:eastAsia="方正仿宋_GBK" w:cs="Times New Roman"/>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673" w:type="dxa"/>
            <w:vMerge w:val="continue"/>
            <w:tcBorders>
              <w:right w:val="single" w:color="auto" w:sz="4" w:space="0"/>
            </w:tcBorders>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p>
        </w:tc>
        <w:tc>
          <w:tcPr>
            <w:tcW w:w="5823" w:type="dxa"/>
            <w:tcBorders>
              <w:top w:val="single" w:color="auto" w:sz="4" w:space="0"/>
              <w:left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Cs/>
                <w:color w:val="auto"/>
                <w:kern w:val="0"/>
                <w:sz w:val="24"/>
                <w:szCs w:val="24"/>
                <w:highlight w:val="none"/>
              </w:rPr>
            </w:pPr>
            <w:r>
              <w:rPr>
                <w:rFonts w:hint="default" w:ascii="Times New Roman" w:hAnsi="Times New Roman" w:eastAsia="方正仿宋_GBK" w:cs="Times New Roman"/>
                <w:bCs/>
                <w:color w:val="auto"/>
                <w:kern w:val="0"/>
                <w:sz w:val="24"/>
                <w:szCs w:val="24"/>
                <w:highlight w:val="none"/>
              </w:rPr>
              <w:t>（九）意识障碍促醒治疗率</w:t>
            </w:r>
          </w:p>
        </w:tc>
        <w:tc>
          <w:tcPr>
            <w:tcW w:w="1860" w:type="dxa"/>
            <w:tcBorders>
              <w:top w:val="single" w:color="auto" w:sz="4" w:space="0"/>
              <w:left w:val="nil"/>
            </w:tcBorders>
            <w:shd w:val="clear" w:color="auto" w:fill="auto"/>
            <w:noWrap/>
            <w:vAlign w:val="center"/>
          </w:tcPr>
          <w:p>
            <w:pPr>
              <w:spacing w:line="300" w:lineRule="exact"/>
              <w:jc w:val="center"/>
              <w:rPr>
                <w:rFonts w:hint="default" w:cs="Times New Roman"/>
                <w:color w:val="auto"/>
                <w:sz w:val="24"/>
                <w:szCs w:val="24"/>
                <w:highlight w:val="none"/>
              </w:rPr>
            </w:pPr>
            <w:r>
              <w:rPr>
                <w:rFonts w:hint="default" w:ascii="Times New Roman" w:hAnsi="Times New Roman" w:eastAsia="方正仿宋_GBK" w:cs="Times New Roman"/>
                <w:bCs/>
                <w:color w:val="auto"/>
                <w:kern w:val="0"/>
                <w:sz w:val="24"/>
                <w:szCs w:val="24"/>
                <w:highlight w:val="none"/>
              </w:rPr>
              <w:t>⊙</w:t>
            </w:r>
          </w:p>
        </w:tc>
      </w:tr>
    </w:tbl>
    <w:p>
      <w:pPr>
        <w:pStyle w:val="3"/>
        <w:numPr>
          <w:ilvl w:val="255"/>
          <w:numId w:val="0"/>
        </w:numPr>
        <w:spacing w:before="0" w:after="0" w:line="200" w:lineRule="exact"/>
        <w:jc w:val="both"/>
        <w:rPr>
          <w:rFonts w:asciiTheme="minorEastAsia" w:hAnsiTheme="minorEastAsia" w:eastAsiaTheme="minorEastAsia"/>
          <w:color w:val="auto"/>
          <w:sz w:val="24"/>
          <w:szCs w:val="24"/>
          <w:highlight w:val="none"/>
        </w:rPr>
      </w:pPr>
      <w:bookmarkStart w:id="127" w:name="_Toc28211"/>
    </w:p>
    <w:p>
      <w:pPr>
        <w:pStyle w:val="3"/>
        <w:numPr>
          <w:ilvl w:val="255"/>
          <w:numId w:val="0"/>
        </w:numPr>
        <w:spacing w:before="0" w:after="0" w:line="200" w:lineRule="exact"/>
        <w:jc w:val="both"/>
        <w:rPr>
          <w:rFonts w:asciiTheme="minorEastAsia" w:hAnsiTheme="minorEastAsia" w:eastAsiaTheme="minorEastAsia"/>
          <w:color w:val="auto"/>
          <w:sz w:val="24"/>
          <w:szCs w:val="24"/>
          <w:highlight w:val="none"/>
        </w:rPr>
      </w:pPr>
    </w:p>
    <w:p>
      <w:pPr>
        <w:pStyle w:val="3"/>
        <w:numPr>
          <w:ilvl w:val="255"/>
          <w:numId w:val="0"/>
        </w:numPr>
        <w:spacing w:before="0" w:after="0" w:line="200" w:lineRule="exact"/>
        <w:jc w:val="both"/>
        <w:rPr>
          <w:rFonts w:asciiTheme="minorEastAsia" w:hAnsiTheme="minorEastAsia" w:eastAsiaTheme="minorEastAsia"/>
          <w:color w:val="auto"/>
          <w:sz w:val="24"/>
          <w:szCs w:val="24"/>
          <w:highlight w:val="none"/>
        </w:rPr>
      </w:pPr>
    </w:p>
    <w:p>
      <w:pPr>
        <w:pStyle w:val="3"/>
        <w:numPr>
          <w:ilvl w:val="255"/>
          <w:numId w:val="0"/>
        </w:numPr>
        <w:spacing w:before="0" w:after="0" w:line="200" w:lineRule="exact"/>
        <w:jc w:val="both"/>
        <w:rPr>
          <w:rFonts w:asciiTheme="minorEastAsia" w:hAnsiTheme="minorEastAsia" w:eastAsiaTheme="minorEastAsia"/>
          <w:color w:val="auto"/>
          <w:sz w:val="24"/>
          <w:szCs w:val="24"/>
          <w:highlight w:val="none"/>
        </w:rPr>
      </w:pPr>
    </w:p>
    <w:p>
      <w:pPr>
        <w:pStyle w:val="3"/>
        <w:numPr>
          <w:ilvl w:val="255"/>
          <w:numId w:val="0"/>
        </w:numPr>
        <w:spacing w:before="0" w:after="0" w:line="200" w:lineRule="exact"/>
        <w:jc w:val="both"/>
        <w:rPr>
          <w:rFonts w:asciiTheme="minorEastAsia" w:hAnsiTheme="minorEastAsia" w:eastAsiaTheme="minorEastAsia"/>
          <w:color w:val="auto"/>
          <w:sz w:val="24"/>
          <w:szCs w:val="24"/>
          <w:highlight w:val="none"/>
        </w:rPr>
      </w:pPr>
    </w:p>
    <w:p>
      <w:pPr>
        <w:pStyle w:val="3"/>
        <w:numPr>
          <w:ilvl w:val="255"/>
          <w:numId w:val="0"/>
        </w:numPr>
        <w:spacing w:before="0" w:after="0" w:line="200" w:lineRule="exact"/>
        <w:jc w:val="both"/>
        <w:rPr>
          <w:rFonts w:asciiTheme="minorEastAsia" w:hAnsiTheme="minorEastAsia" w:eastAsiaTheme="minorEastAsia"/>
          <w:color w:val="auto"/>
          <w:sz w:val="24"/>
          <w:szCs w:val="24"/>
          <w:highlight w:val="none"/>
        </w:rPr>
      </w:pPr>
    </w:p>
    <w:p>
      <w:pPr>
        <w:rPr>
          <w:color w:val="auto"/>
          <w:highlight w:val="none"/>
        </w:rPr>
      </w:pPr>
    </w:p>
    <w:p>
      <w:pPr>
        <w:pStyle w:val="3"/>
        <w:numPr>
          <w:ilvl w:val="255"/>
          <w:numId w:val="0"/>
        </w:numPr>
        <w:spacing w:before="0" w:after="0" w:line="200" w:lineRule="exact"/>
        <w:jc w:val="both"/>
        <w:rPr>
          <w:rFonts w:asciiTheme="minorEastAsia" w:hAnsiTheme="minorEastAsia" w:eastAsiaTheme="minorEastAsia"/>
          <w:color w:val="auto"/>
          <w:sz w:val="24"/>
          <w:szCs w:val="24"/>
          <w:highlight w:val="none"/>
        </w:rPr>
      </w:pPr>
    </w:p>
    <w:p>
      <w:pPr>
        <w:pStyle w:val="3"/>
        <w:numPr>
          <w:ilvl w:val="255"/>
          <w:numId w:val="0"/>
        </w:numPr>
        <w:spacing w:before="0" w:after="0" w:line="200" w:lineRule="exact"/>
        <w:jc w:val="both"/>
        <w:rPr>
          <w:rFonts w:asciiTheme="minorEastAsia" w:hAnsiTheme="minorEastAsia" w:eastAsiaTheme="minorEastAsia"/>
          <w:color w:val="auto"/>
          <w:sz w:val="24"/>
          <w:szCs w:val="24"/>
          <w:highlight w:val="none"/>
        </w:rPr>
      </w:pPr>
    </w:p>
    <w:p>
      <w:pPr>
        <w:numPr>
          <w:ilvl w:val="0"/>
          <w:numId w:val="1"/>
        </w:numPr>
        <w:spacing w:before="0" w:after="0" w:line="560" w:lineRule="exact"/>
        <w:ind w:left="0"/>
        <w:rPr>
          <w:rFonts w:asciiTheme="minorEastAsia" w:hAnsiTheme="minorEastAsia" w:eastAsiaTheme="minorEastAsia"/>
          <w:color w:val="auto"/>
          <w:sz w:val="24"/>
          <w:szCs w:val="24"/>
          <w:highlight w:val="none"/>
        </w:rPr>
      </w:pPr>
      <w:bookmarkStart w:id="128" w:name="_Toc8327"/>
      <w:bookmarkStart w:id="129" w:name="_Toc14218"/>
      <w:bookmarkStart w:id="130" w:name="_Toc30175"/>
      <w:bookmarkStart w:id="131" w:name="_Toc18958"/>
      <w:bookmarkStart w:id="132" w:name="_Toc16598"/>
      <w:bookmarkStart w:id="133" w:name="_Toc28353"/>
      <w:bookmarkStart w:id="134" w:name="_Toc31112"/>
      <w:bookmarkStart w:id="135" w:name="_Toc29687"/>
      <w:bookmarkStart w:id="136" w:name="_Toc22783"/>
      <w:r>
        <w:rPr>
          <w:rFonts w:hint="eastAsia" w:asciiTheme="minorEastAsia" w:hAnsiTheme="minorEastAsia" w:eastAsiaTheme="minorEastAsia"/>
          <w:color w:val="auto"/>
          <w:sz w:val="24"/>
          <w:szCs w:val="24"/>
          <w:highlight w:val="none"/>
        </w:rPr>
        <w:br w:type="page"/>
      </w:r>
    </w:p>
    <w:p>
      <w:pPr>
        <w:pStyle w:val="3"/>
        <w:numPr>
          <w:ilvl w:val="-1"/>
          <w:numId w:val="0"/>
        </w:numPr>
        <w:spacing w:before="0" w:after="0" w:line="560" w:lineRule="exact"/>
        <w:ind w:left="0" w:firstLine="0" w:firstLineChars="0"/>
        <w:jc w:val="center"/>
        <w:rPr>
          <w:rFonts w:asciiTheme="minorEastAsia" w:hAnsiTheme="minorEastAsia" w:eastAsiaTheme="minorEastAsia"/>
          <w:color w:val="auto"/>
          <w:sz w:val="24"/>
          <w:szCs w:val="24"/>
          <w:highlight w:val="none"/>
        </w:rPr>
      </w:pPr>
      <w:r>
        <w:rPr>
          <w:rFonts w:hint="default" w:ascii="Times New Roman" w:hAnsi="Times New Roman" w:eastAsia="方正黑体_GBK" w:cs="Times New Roman"/>
          <w:b w:val="0"/>
          <w:color w:val="auto"/>
          <w:sz w:val="32"/>
          <w:szCs w:val="24"/>
          <w:highlight w:val="none"/>
          <w:lang w:val="en-US" w:eastAsia="zh-CN"/>
        </w:rPr>
        <w:t xml:space="preserve">第四章 </w:t>
      </w:r>
      <w:r>
        <w:rPr>
          <w:rFonts w:hint="default" w:ascii="Times New Roman" w:hAnsi="Times New Roman" w:eastAsia="方正黑体_GBK" w:cs="Times New Roman"/>
          <w:b w:val="0"/>
          <w:color w:val="auto"/>
          <w:sz w:val="32"/>
          <w:szCs w:val="24"/>
          <w:highlight w:val="none"/>
        </w:rPr>
        <w:t>单病种（术种）质量控制指标</w:t>
      </w:r>
      <w:bookmarkEnd w:id="127"/>
      <w:bookmarkEnd w:id="128"/>
      <w:bookmarkEnd w:id="129"/>
      <w:bookmarkEnd w:id="130"/>
      <w:bookmarkEnd w:id="131"/>
      <w:bookmarkEnd w:id="132"/>
      <w:bookmarkEnd w:id="133"/>
      <w:bookmarkEnd w:id="134"/>
      <w:bookmarkEnd w:id="135"/>
      <w:bookmarkEnd w:id="136"/>
    </w:p>
    <w:tbl>
      <w:tblPr>
        <w:tblStyle w:val="12"/>
        <w:tblpPr w:leftFromText="180" w:rightFromText="180" w:vertAnchor="text" w:horzAnchor="page" w:tblpXSpec="center" w:tblpY="629"/>
        <w:tblOverlap w:val="never"/>
        <w:tblW w:w="4997" w:type="pct"/>
        <w:jc w:val="center"/>
        <w:tblLayout w:type="autofit"/>
        <w:tblCellMar>
          <w:top w:w="0" w:type="dxa"/>
          <w:left w:w="108" w:type="dxa"/>
          <w:bottom w:w="0" w:type="dxa"/>
          <w:right w:w="108" w:type="dxa"/>
        </w:tblCellMar>
      </w:tblPr>
      <w:tblGrid>
        <w:gridCol w:w="2372"/>
        <w:gridCol w:w="4619"/>
        <w:gridCol w:w="1952"/>
      </w:tblGrid>
      <w:tr>
        <w:tblPrEx>
          <w:tblCellMar>
            <w:top w:w="0" w:type="dxa"/>
            <w:left w:w="108" w:type="dxa"/>
            <w:bottom w:w="0" w:type="dxa"/>
            <w:right w:w="108" w:type="dxa"/>
          </w:tblCellMar>
        </w:tblPrEx>
        <w:trPr>
          <w:trHeight w:val="580" w:hRule="atLeast"/>
          <w:jc w:val="center"/>
        </w:trPr>
        <w:tc>
          <w:tcPr>
            <w:tcW w:w="132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方正黑体_GBK" w:hAnsi="方正黑体_GBK" w:eastAsia="方正黑体_GBK" w:cs="方正黑体_GBK"/>
                <w:color w:val="auto"/>
                <w:kern w:val="2"/>
                <w:sz w:val="24"/>
                <w:szCs w:val="24"/>
                <w:highlight w:val="none"/>
              </w:rPr>
            </w:pPr>
            <w:r>
              <w:rPr>
                <w:rFonts w:hint="default" w:ascii="方正黑体_GBK" w:hAnsi="方正黑体_GBK" w:eastAsia="方正黑体_GBK" w:cs="方正黑体_GBK"/>
                <w:color w:val="auto"/>
                <w:kern w:val="2"/>
                <w:sz w:val="24"/>
                <w:szCs w:val="24"/>
                <w:highlight w:val="none"/>
              </w:rPr>
              <w:t>指标大类</w:t>
            </w:r>
          </w:p>
        </w:tc>
        <w:tc>
          <w:tcPr>
            <w:tcW w:w="258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方正黑体_GBK" w:hAnsi="方正黑体_GBK" w:eastAsia="方正黑体_GBK" w:cs="方正黑体_GBK"/>
                <w:color w:val="auto"/>
                <w:kern w:val="2"/>
                <w:sz w:val="24"/>
                <w:szCs w:val="24"/>
                <w:highlight w:val="none"/>
              </w:rPr>
            </w:pPr>
            <w:r>
              <w:rPr>
                <w:rFonts w:hint="default" w:ascii="方正黑体_GBK" w:hAnsi="方正黑体_GBK" w:eastAsia="方正黑体_GBK" w:cs="方正黑体_GBK"/>
                <w:color w:val="auto"/>
                <w:kern w:val="2"/>
                <w:sz w:val="24"/>
                <w:szCs w:val="24"/>
                <w:highlight w:val="none"/>
              </w:rPr>
              <w:t>指标明细</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方正黑体_GBK" w:hAnsi="方正黑体_GBK" w:eastAsia="方正黑体_GBK" w:cs="方正黑体_GBK"/>
                <w:color w:val="auto"/>
                <w:kern w:val="2"/>
                <w:sz w:val="24"/>
                <w:szCs w:val="24"/>
                <w:highlight w:val="none"/>
              </w:rPr>
            </w:pPr>
            <w:r>
              <w:rPr>
                <w:rFonts w:hint="default" w:ascii="方正黑体_GBK" w:hAnsi="方正黑体_GBK" w:eastAsia="方正黑体_GBK" w:cs="方正黑体_GBK"/>
                <w:color w:val="auto"/>
                <w:kern w:val="2"/>
                <w:sz w:val="24"/>
                <w:szCs w:val="24"/>
                <w:highlight w:val="none"/>
              </w:rPr>
              <w:t>指标类型</w:t>
            </w:r>
          </w:p>
        </w:tc>
      </w:tr>
      <w:tr>
        <w:tblPrEx>
          <w:tblCellMar>
            <w:top w:w="0" w:type="dxa"/>
            <w:left w:w="108" w:type="dxa"/>
            <w:bottom w:w="0" w:type="dxa"/>
            <w:right w:w="108" w:type="dxa"/>
          </w:tblCellMar>
        </w:tblPrEx>
        <w:trPr>
          <w:trHeight w:val="880"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c>
          <w:tcPr>
            <w:tcW w:w="258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c>
          <w:tcPr>
            <w:tcW w:w="109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方正黑体_GBK" w:hAnsi="方正黑体_GBK" w:eastAsia="方正黑体_GBK" w:cs="方正黑体_GBK"/>
                <w:color w:val="auto"/>
                <w:kern w:val="2"/>
                <w:sz w:val="24"/>
                <w:szCs w:val="24"/>
                <w:highlight w:val="none"/>
              </w:rPr>
            </w:pPr>
            <w:r>
              <w:rPr>
                <w:rFonts w:hint="eastAsia" w:ascii="方正黑体_GBK" w:hAnsi="方正黑体_GBK" w:eastAsia="方正黑体_GBK" w:cs="方正黑体_GBK"/>
                <w:color w:val="auto"/>
                <w:kern w:val="2"/>
                <w:sz w:val="24"/>
                <w:szCs w:val="24"/>
                <w:highlight w:val="none"/>
                <w:lang w:eastAsia="zh-CN"/>
              </w:rPr>
              <w:t>#</w:t>
            </w:r>
            <w:r>
              <w:rPr>
                <w:rFonts w:hint="default" w:ascii="方正黑体_GBK" w:hAnsi="方正黑体_GBK" w:eastAsia="方正黑体_GBK" w:cs="方正黑体_GBK"/>
                <w:color w:val="auto"/>
                <w:kern w:val="2"/>
                <w:sz w:val="24"/>
                <w:szCs w:val="24"/>
                <w:highlight w:val="none"/>
              </w:rPr>
              <w:t>代表纵向对比指标</w:t>
            </w:r>
          </w:p>
        </w:tc>
      </w:tr>
      <w:tr>
        <w:tblPrEx>
          <w:tblCellMar>
            <w:top w:w="0" w:type="dxa"/>
            <w:left w:w="108" w:type="dxa"/>
            <w:bottom w:w="0" w:type="dxa"/>
            <w:right w:w="108" w:type="dxa"/>
          </w:tblCellMar>
        </w:tblPrEx>
        <w:trPr>
          <w:trHeight w:val="510"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一、急性心肌梗死（ST段抬高型，首次住院）</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主要诊断ICD-10编码：I21.0-I21.3的出院患者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10"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二、心力衰竭</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主要诊断ICD-10编码：I05至I09，或I11至I13，或I20至I21，或I40至I41，或I42至I43伴第二诊断为I50的出院患者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10"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三、冠状动脉旁路移植术</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主要手术ICD-9-CM-3编码：36.1的手术出院患者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300"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四、房颤</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主要诊断ICD-10编码：I48的出院患者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300"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五、主动脉瓣置换术</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主要手术ICD-9-CM-3编码：35.0，35.2的手术出院患者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六、二尖瓣置换术</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主要手术 ICD-9-CM-3 编码：35.02，35.12，35.23，35.24的手术出院患者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七、房间隔缺损手术</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主要手术 ICD-9-CM-3 编码：35.51，35.52，35.61，35.71的手术出院患者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八、室间隔缺损手术</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主要手术 ICD-9-CM-3 编码：35.53，35.55，35.62，35.72的手术出院患者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九、脑梗死（首次住院）</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主要诊断ICD-10编码：I63.0至I63.9的出院患者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300"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十、短暂性脑缺血发作</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主要诊断ICD-10编码：G45.0至G45.9的出院患者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300"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十一、脑出血</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主要诊断ICD-10编码：I61.0至I61.9的出院患者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十二、脑膜瘤（初发，手术治疗）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主要诊断ICD-10编码：C70.0，C70.9，D32.0，D32.9，D42.9，且伴ICD-9-CM-3编码：01.51，01.59的手术出院患者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十三、胶质瘤（初发，手术治疗）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主要诊断ICD-10编码：C71，且伴主要手术ICD-9-CM-3编码：01.52至01.59的手术出院患者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780"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十四、垂体腺瘤（初发，手术治疗）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 ICD-10 编码：D35.2，C75.1，D44.3，E22.0，E23.6，且伴主要手术 ICD-9-CM-3 编码：07.61 至 07.69，07.71，07.72，07.79 和 01.59 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780"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十五、急性动脉瘤性蛛网膜下腔出血（初发，手术治疗）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主要诊断ICD-10编码：I60.0至I60.9，且伴主要手术ICD-9-CM编码：01.3，02.2，02.3，38.3，38.4，38.6，39.5的手术出院患者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十六、惊厥性癫痫持续状态</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主要诊断ICD-10编码：G41.0，G41.8，G41.9的出院患者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90"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十七、帕金森病</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主要诊断ICD-10编码：G20.x00的出院患者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十八、社区获得性肺炎（成人，首次住院）</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主要诊断ICD-10编码：J13至J16</w:t>
            </w:r>
            <w:r>
              <w:rPr>
                <w:rFonts w:hint="default" w:ascii="Times New Roman" w:hAnsi="Times New Roman" w:eastAsia="方正仿宋_GBK" w:cs="Times New Roman"/>
                <w:color w:val="auto"/>
                <w:kern w:val="0"/>
                <w:sz w:val="24"/>
                <w:szCs w:val="24"/>
                <w:highlight w:val="none"/>
                <w:lang w:val="en-US" w:eastAsia="zh-CN"/>
              </w:rPr>
              <w:t>,J18</w:t>
            </w:r>
            <w:r>
              <w:rPr>
                <w:rFonts w:hint="default" w:ascii="Times New Roman" w:hAnsi="Times New Roman" w:eastAsia="方正仿宋_GBK" w:cs="Times New Roman"/>
                <w:color w:val="auto"/>
                <w:kern w:val="0"/>
                <w:sz w:val="24"/>
                <w:szCs w:val="24"/>
                <w:highlight w:val="none"/>
              </w:rPr>
              <w:t>；年龄≥18岁的出院患者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十九、社区获得性肺炎（儿童，首次住院）</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主要诊断ICD-10编码：J13至J16，J18；2岁≤年龄＜18岁的出院患儿</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二十、慢性阻塞性肺疾病（急性发作，住院）</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w:t>
            </w:r>
            <w:r>
              <w:rPr>
                <w:rFonts w:hint="default" w:ascii="Times New Roman" w:hAnsi="Times New Roman" w:eastAsia="方正仿宋_GBK" w:cs="Times New Roman"/>
                <w:color w:val="auto"/>
                <w:spacing w:val="-11"/>
                <w:kern w:val="0"/>
                <w:sz w:val="24"/>
                <w:szCs w:val="24"/>
                <w:highlight w:val="none"/>
              </w:rPr>
              <w:t>要诊断ICD-10编码：J44.0，J44.1的出院患者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二十一、哮喘（成人，急性发作，住院）</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主要诊断ICD-10编码：J45，J46；年龄≥18岁的出院患者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二十二、哮喘（儿童，住院）</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主要诊断ICD-10编码：J45，J46；2岁≤年龄＜18岁的出院患儿</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二十三、髋关节置换术</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主要手术ICD-9-CM-3编码：00.7，81.51至81.53的手术出院患者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二十四、膝关节置换术</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主要手术ICD-9-CM-3编码：00.80 至 00.84，81.54，81.55的手术出院患者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780"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二十五、发育性髋关节发育不良（手术治疗）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主要诊断ICD-10编码：Q65.0至Q65.6，Q65.8，Q65.9,且伴主要手术ICD-9-CM-3编码:79.85，77.25，77.29；18个月≤年龄≤8 岁（旧称先天性髋关节脱位）的手术出院患儿</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二十六、剖宫产</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主要手术ICD-9-CM-3编码：74.0，74.1，74.2，74.4，74.99的手术出院患者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二十七、异位妊娠（手术治疗）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主要诊断ICD-10编码：O00开头</w:t>
            </w: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且伴主要手术ICD-9-CM-3 编码：65.01，66.01，66.02，66.62，66.95，74.3x的手术出院患者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二十八、子宫肌瘤（手术治疗）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主要诊断ICD-10编码与名称：D25开头，且伴主要手术ICD-9-CM-3编码：68.29，68.3至68.5，68.9的手术出院患者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二十九、肺癌（手术治疗）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主要诊断ICD-10编码：C34开头，且伴主要手术ICD-9-CM-3编码：32.2至32.6，32.9的手术出院患者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三十、甲状腺癌（手术治疗）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主要诊断ICD-10编码：C73开头，且伴主要手术操作ICD-9-CM-3编码：06.2 至 06.6 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三十一、乳腺癌（手术治疗）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主要诊断ICD-10编码：C50开头，且伴主要手术ICD-9-CM-3编码：85.2至85.4的手术出院患者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三十二、胃癌（手术治疗）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主要诊断ICD-10编码：C16开头，且伴主要手术ICD-9-CM-3编码：43.4至43.9的手术出院患者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三十三、结肠癌（手术治疗）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w:t>
            </w:r>
            <w:r>
              <w:rPr>
                <w:rFonts w:hint="default" w:ascii="Times New Roman" w:hAnsi="Times New Roman" w:eastAsia="方正仿宋_GBK" w:cs="Times New Roman"/>
                <w:color w:val="auto"/>
                <w:spacing w:val="-11"/>
                <w:kern w:val="0"/>
                <w:sz w:val="24"/>
                <w:szCs w:val="24"/>
                <w:highlight w:val="none"/>
              </w:rPr>
              <w:t>要诊断ICD-10编码： C18</w:t>
            </w:r>
            <w:r>
              <w:rPr>
                <w:rFonts w:hint="default" w:ascii="Times New Roman" w:hAnsi="Times New Roman" w:eastAsia="方正仿宋_GBK" w:cs="Times New Roman"/>
                <w:color w:val="auto"/>
                <w:spacing w:val="-11"/>
                <w:kern w:val="0"/>
                <w:sz w:val="24"/>
                <w:szCs w:val="24"/>
                <w:highlight w:val="none"/>
                <w:lang w:eastAsia="zh-CN"/>
              </w:rPr>
              <w:t>；</w:t>
            </w:r>
            <w:r>
              <w:rPr>
                <w:rFonts w:hint="default" w:ascii="Times New Roman" w:hAnsi="Times New Roman" w:eastAsia="方正仿宋_GBK" w:cs="Times New Roman"/>
                <w:color w:val="auto"/>
                <w:spacing w:val="-11"/>
                <w:kern w:val="0"/>
                <w:sz w:val="24"/>
                <w:szCs w:val="24"/>
                <w:highlight w:val="none"/>
              </w:rPr>
              <w:t>且伴主要手术操作ICD-9-CM-3编码17.31至17.36，17.39，45.4, 45.73至45.79,45.8的手术出院患者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三十四、宫颈癌（手术治疗）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主要诊断ICD-10编码：C53开头，且伴主要手术ICD-9-CM-3编码：67.2 至 67.4，68.4 至 68.8的手术出院患者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三十五、糖尿病肾病</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主要诊断和其他诊断ICD-10编码：E10至E14，且伴主要操作ICD-9-CM-3编码：55.23的非产妇出院患者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三十六、终末期肾病血液透析</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主要诊断ICD-10编码：N18.0，且伴主要操作ICD-9-CM-3编码：38.95，39.27，39.42，39.95的血液透析患者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三十七、终末期肾病腹膜透析</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主要诊断ICD-10编码：N18.0，且伴主要操作ICD-9-CM-3编码：54.98的腹膜透析患者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三十八、舌鳞状细胞癌（手术治疗）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主要诊断ICD-10编码：C01，C02，且伴主要手术ICD-9-CM-3编码：25.1至25.4，40.4的手术出院患者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三十九、腮腺肿瘤（手术治疗）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主要诊断ICD-10编码：D10.5，D11.0，D33.2，C07，C10.2，C71.9，且伴主要手术 ICD-9-CM-3 编码：26.2，26.3伴04.03，04.04，04.42，40.29的手术出院患者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109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四十、口腔种植术</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主要手术 ICD-9-CM-3 编码：23.5，23.6 的门诊或者76.09，76.91，76.92，22.79 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154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四十一、原发性急性闭角型青光眼（手术治疗）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H26.2，H40.0，H40.2，H40.9且伴主要手术ICD-9-CM-3编码：10.1，10.49，10.6，10.91，10.99，12.11，12.12，12.64，12.66，12.67，12.71至12.73，12.79，12.83，12.85，12.87，12.91，12.92，12.99，13.19，13.3，13.41，13.59，13.70，13.71，13.90，14.73，14.74，14.79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154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四十二、复杂性视网膜脱离（手术治疗）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E10.3，E11.3，E14.3，H33.0至H33.5，H59.8，且伴主要手术ICD-9-CM-3编码：13.19，13.3，13.41，13.42，13.43，13.59，13.64，13.65，13.69，13.70，13.71，13.72，13.8，13.90，14.29，14.31，14.49，14.51，14.52，14.53，14.54，14.59，14.71，14.72，14.73，14.74，14.75，14.9。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132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四十三、围手术期预防感染</w:t>
            </w:r>
          </w:p>
        </w:tc>
        <w:tc>
          <w:tcPr>
            <w:tcW w:w="2582" w:type="pct"/>
            <w:tcBorders>
              <w:top w:val="single" w:color="auto" w:sz="4" w:space="0"/>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主要手术ICD-9-CM-3编码如下的手术出院患者：</w:t>
            </w:r>
          </w:p>
        </w:tc>
        <w:tc>
          <w:tcPr>
            <w:tcW w:w="1091"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p>
            <w:pPr>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70"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1.甲状腺叶切除术：06.2至06.5</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70"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2.膝半月软骨切除术：80.6</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70"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3.晶状体相关手术：13.0至13.9</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510"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4.腹股沟疝相关手术：17.11至17.13，17.21至17.24，53.00至53.17</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70"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5.乳房组织相关手术：85.2至85.4</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70"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6.动脉内膜切除术：38.1</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70"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7.足和踝关节固定术和关节制动术：81.1</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90"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8.其他颅骨切开术：01.24</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70"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9.椎间盘切除术或破坏术：80.50 至 80.59</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510"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10.骨折切开复位+内固定术：03.53，21.72，76.72 至76.79，79.31 至 79.39</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70"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sz w:val="24"/>
              </w:rPr>
              <mc:AlternateContent>
                <mc:Choice Requires="wps">
                  <w:drawing>
                    <wp:anchor distT="0" distB="0" distL="114300" distR="114300" simplePos="0" relativeHeight="251673600" behindDoc="0" locked="0" layoutInCell="1" allowOverlap="1">
                      <wp:simplePos x="0" y="0"/>
                      <wp:positionH relativeFrom="column">
                        <wp:posOffset>-1505585</wp:posOffset>
                      </wp:positionH>
                      <wp:positionV relativeFrom="paragraph">
                        <wp:posOffset>70485</wp:posOffset>
                      </wp:positionV>
                      <wp:extent cx="1381125" cy="1257300"/>
                      <wp:effectExtent l="0" t="0" r="9525" b="0"/>
                      <wp:wrapNone/>
                      <wp:docPr id="17" name="文本框 17"/>
                      <wp:cNvGraphicFramePr/>
                      <a:graphic xmlns:a="http://schemas.openxmlformats.org/drawingml/2006/main">
                        <a:graphicData uri="http://schemas.microsoft.com/office/word/2010/wordprocessingShape">
                          <wps:wsp>
                            <wps:cNvSpPr txBox="1"/>
                            <wps:spPr>
                              <a:xfrm>
                                <a:off x="1010285" y="1928495"/>
                                <a:ext cx="1381125" cy="1257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color w:val="auto"/>
                                      <w:kern w:val="0"/>
                                      <w:sz w:val="24"/>
                                      <w:szCs w:val="24"/>
                                      <w:highlight w:val="none"/>
                                    </w:rPr>
                                    <w:t>四十三、围手术期预防感染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8.55pt;margin-top:5.55pt;height:99pt;width:108.75pt;z-index:251673600;mso-width-relative:page;mso-height-relative:page;" filled="f" stroked="f" coordsize="21600,21600" o:gfxdata="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jukP3NwAAAALAQAADwAAAAAA&#10;AAABACAAAAAiAAAAZHJzL2Rvd25yZXYueG1sUEsBAhQAFAAAAAgAh07iQESR/DtIAgAAdQQAAA4A&#10;AAAAAAAAAQAgAAAAKwEAAGRycy9lMm9Eb2MueG1sUEsFBgAAAAAGAAYAWQEAAOUFA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color w:val="auto"/>
                                <w:kern w:val="0"/>
                                <w:sz w:val="24"/>
                                <w:szCs w:val="24"/>
                                <w:highlight w:val="none"/>
                              </w:rPr>
                              <w:t>四十三、围手术期预防感染</w:t>
                            </w:r>
                          </w:p>
                        </w:txbxContent>
                      </v:textbox>
                    </v:shape>
                  </w:pict>
                </mc:Fallback>
              </mc:AlternateContent>
            </w:r>
            <w:r>
              <w:rPr>
                <w:rFonts w:hint="default" w:ascii="Times New Roman" w:hAnsi="Times New Roman" w:eastAsia="方正仿宋_GBK" w:cs="Times New Roman"/>
                <w:color w:val="auto"/>
                <w:kern w:val="0"/>
                <w:sz w:val="24"/>
                <w:szCs w:val="24"/>
                <w:highlight w:val="none"/>
              </w:rPr>
              <w:t>11.关节脱位切开复位内固定术：76.94，79.8</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70"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12.骨内固定不伴骨折复位术及置入装置去除：78.5至78.6</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70"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13.卵巢相关手术：65.2至65.6</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70"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14.肌腱相关手术：83.11至83.14</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15.睾丸相关手术：62.0至62.9</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eastAsia="zh-CN"/>
              </w:rPr>
            </w:pPr>
            <w:r>
              <w:rPr>
                <w:rFonts w:hint="default" w:ascii="Times New Roman" w:hAnsi="Times New Roman" w:eastAsia="方正仿宋_GBK" w:cs="Times New Roman"/>
                <w:color w:val="auto"/>
                <w:kern w:val="0"/>
                <w:sz w:val="24"/>
                <w:szCs w:val="24"/>
                <w:highlight w:val="none"/>
              </w:rPr>
              <w:t>16.阴茎相关手术：64.0至64.4</w:t>
            </w:r>
            <w:r>
              <w:rPr>
                <w:rFonts w:hint="default" w:ascii="Times New Roman" w:hAnsi="Times New Roman" w:eastAsia="方正仿宋_GBK" w:cs="Times New Roman"/>
                <w:color w:val="auto"/>
                <w:kern w:val="0"/>
                <w:sz w:val="24"/>
                <w:szCs w:val="24"/>
                <w:highlight w:val="none"/>
                <w:lang w:eastAsia="zh-CN"/>
              </w:rPr>
              <w:t>，64.9</w:t>
            </w:r>
          </w:p>
        </w:tc>
        <w:tc>
          <w:tcPr>
            <w:tcW w:w="10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17.室间隔缺损修补术：35.62</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18.房间隔缺损修补术：35.61</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19.髋关节置换术：00.7，81.51至81.53</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20.膝关节置换术：00.80至00.83，81.54，81.55</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nil"/>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21.冠状动脉旁路移植术：36.1</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300"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22.剖宫产：74.0，74.1，74.2，74.4，74.99</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四十四、围手术期预防深静脉血栓栓塞</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主要手术ICD-9-CM-3编码如下的手术出院患者：</w:t>
            </w:r>
          </w:p>
        </w:tc>
        <w:tc>
          <w:tcPr>
            <w:tcW w:w="1091"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1.闭合性心脏瓣膜切开术：35.00至35.04</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2.心脏瓣膜切开和其他置换术：35.20至35.28</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3.脊柱颈融合术：81.04至81.08</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4.脊柱再融合术：81.34 至 81.38</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5.胃部分切除术伴胃十二指肠吻合术：43.6</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6.胃部分切除术伴胃空肠吻合术：43.7</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7.其他胃部分切除术：43.8</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8.胃全部切除术：43.9</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9.开放性和其他部分大肠切除术：45.7</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10.腹会阴直肠切除术：48.5</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11.直肠其他切除术：48.6</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12.肝叶切除术：50.3</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13.部分肾切除术：55.4</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14.全部肾切除术：55.5</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15.部分膀胱切除术：57.6</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16.全部膀胱切除术：57.7</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17.卵巢病损或卵巢组织的局部切除术或破坏术：65.2</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18.单侧卵巢切除术：65.3</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19.单侧输卵管-卵巢切除术：65.4</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20.双侧卵巢切除术：65.5</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21.双侧输卵管-卵巢切除术：65.6</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22.子宫病损或组织的切除术或破坏术：68.2</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23.经腹子宫次全切除术：68.3</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24.经腹子宫全部切除术：68.4</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25.阴道子宫切除术：68.5</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sz w:val="24"/>
              </w:rPr>
              <mc:AlternateContent>
                <mc:Choice Requires="wps">
                  <w:drawing>
                    <wp:anchor distT="0" distB="0" distL="114300" distR="114300" simplePos="0" relativeHeight="251674624" behindDoc="0" locked="0" layoutInCell="1" allowOverlap="1">
                      <wp:simplePos x="0" y="0"/>
                      <wp:positionH relativeFrom="column">
                        <wp:posOffset>-1524635</wp:posOffset>
                      </wp:positionH>
                      <wp:positionV relativeFrom="paragraph">
                        <wp:posOffset>61595</wp:posOffset>
                      </wp:positionV>
                      <wp:extent cx="1381125" cy="886460"/>
                      <wp:effectExtent l="0" t="0" r="9525" b="8890"/>
                      <wp:wrapNone/>
                      <wp:docPr id="18" name="文本框 18"/>
                      <wp:cNvGraphicFramePr/>
                      <a:graphic xmlns:a="http://schemas.openxmlformats.org/drawingml/2006/main">
                        <a:graphicData uri="http://schemas.microsoft.com/office/word/2010/wordprocessingShape">
                          <wps:wsp>
                            <wps:cNvSpPr txBox="1"/>
                            <wps:spPr>
                              <a:xfrm>
                                <a:off x="0" y="0"/>
                                <a:ext cx="1381125" cy="8864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color w:val="auto"/>
                                      <w:kern w:val="0"/>
                                      <w:sz w:val="24"/>
                                      <w:szCs w:val="24"/>
                                      <w:highlight w:val="none"/>
                                    </w:rPr>
                                    <w:t>四十四、围手术期预防深静脉血栓栓塞</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0.05pt;margin-top:4.85pt;height:69.8pt;width:108.75pt;z-index:251674624;mso-width-relative:page;mso-height-relative:page;" filled="f" stroked="f" coordsize="21600,21600" o:gfxdata="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&#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IlWTE2wAAAAoBAAAPAAAAAAAAAAEAIAAAACIAAABk&#10;cnMvZG93bnJldi54bWxQSwECFAAUAAAACACHTuJAF4L9eTwCAABoBAAADgAAAAAAAAABACAAAAAq&#10;AQAAZHJzL2Uyb0RvYy54bWxQSwUGAAAAAAYABgBZAQAA2AU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color w:val="auto"/>
                                <w:kern w:val="0"/>
                                <w:sz w:val="24"/>
                                <w:szCs w:val="24"/>
                                <w:highlight w:val="none"/>
                              </w:rPr>
                              <w:t>四十四、围手术期预防深静脉血栓栓塞</w:t>
                            </w:r>
                          </w:p>
                        </w:txbxContent>
                      </v:textbox>
                    </v:shape>
                  </w:pict>
                </mc:Fallback>
              </mc:AlternateContent>
            </w:r>
            <w:r>
              <w:rPr>
                <w:rFonts w:hint="default" w:ascii="Times New Roman" w:hAnsi="Times New Roman" w:eastAsia="方正仿宋_GBK" w:cs="Times New Roman"/>
                <w:color w:val="auto"/>
                <w:kern w:val="0"/>
                <w:sz w:val="24"/>
                <w:szCs w:val="24"/>
                <w:highlight w:val="none"/>
              </w:rPr>
              <w:t>26.经腹根治性子宫切除术：68.6</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27.根治性阴道子宫切除术：68.7</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28.盆腔脏器去除术：68.8</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29.髋关节置换术：00.7，81.51 至 81.53</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30.膝关节置换术：00.80至00.83，81.54，81.55</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300" w:hRule="atLeast"/>
          <w:jc w:val="center"/>
        </w:trPr>
        <w:tc>
          <w:tcPr>
            <w:tcW w:w="132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31.冠状动脉旁路移植术：36.1</w:t>
            </w:r>
          </w:p>
        </w:tc>
        <w:tc>
          <w:tcPr>
            <w:tcW w:w="10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300"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四十五、住院精神疾病</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主要诊断ICD-10编码：F00-F99的出院患者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780"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四十六、中高危风险患者预防静脉血栓栓塞症</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需要落实预防静脉血栓措施的重点患者：</w:t>
            </w:r>
          </w:p>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1.入住 ICU的患者</w:t>
            </w:r>
          </w:p>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2.中高危风险患者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403"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四十七、感染性休克早期治疗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主要诊断/其他诊断ICD-10编码：A02.1，A22.7，A32.7，A40.1至A40.9，A41.0至A41.9，A42.7，A54.8，B37.7，R57.2</w:t>
            </w:r>
            <w:r>
              <w:rPr>
                <w:rFonts w:hint="default" w:ascii="Times New Roman" w:hAnsi="Times New Roman" w:eastAsia="方正仿宋_GBK" w:cs="Times New Roman"/>
                <w:color w:val="auto"/>
                <w:kern w:val="0"/>
                <w:sz w:val="24"/>
                <w:szCs w:val="24"/>
                <w:highlight w:val="none"/>
                <w:lang w:eastAsia="zh-CN"/>
              </w:rPr>
              <w:t>，R57.8，R65.9</w:t>
            </w:r>
            <w:r>
              <w:rPr>
                <w:rFonts w:hint="default" w:ascii="Times New Roman" w:hAnsi="Times New Roman" w:eastAsia="方正仿宋_GBK" w:cs="Times New Roman"/>
                <w:color w:val="auto"/>
                <w:kern w:val="0"/>
                <w:sz w:val="24"/>
                <w:szCs w:val="24"/>
                <w:highlight w:val="none"/>
              </w:rPr>
              <w:t>的出院患者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780"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四十八、儿童急性淋巴细胞白血病（初始诱导化疗）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 ICD-10 编码：C91.0，且伴主要操作 ICD-9-CM-3编码：03.92</w:t>
            </w: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99.25 的出院患儿</w:t>
            </w:r>
            <w:r>
              <w:rPr>
                <w:rFonts w:hint="default" w:ascii="Times New Roman" w:hAnsi="Times New Roman" w:eastAsia="方正仿宋_GBK" w:cs="Times New Roman"/>
                <w:color w:val="auto"/>
                <w:kern w:val="0"/>
                <w:sz w:val="24"/>
                <w:szCs w:val="24"/>
                <w:highlight w:val="none"/>
                <w:lang w:eastAsia="zh-CN"/>
              </w:rPr>
              <w:t>（年龄&lt;18 岁）</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780"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四十九、儿童急性早幼粒细胞白血病（初始化疗）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eastAsia="zh-CN"/>
              </w:rPr>
            </w:pPr>
            <w:r>
              <w:rPr>
                <w:rFonts w:hint="default" w:ascii="Times New Roman" w:hAnsi="Times New Roman" w:eastAsia="方正仿宋_GBK" w:cs="Times New Roman"/>
                <w:color w:val="auto"/>
                <w:kern w:val="0"/>
                <w:sz w:val="24"/>
                <w:szCs w:val="24"/>
                <w:highlight w:val="none"/>
              </w:rPr>
              <w:t>主要诊断 ICD-10 编码：C92.4，且伴主要操作 ICD-9-CM-3编码：03.92</w:t>
            </w: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99.25 的出院患儿</w:t>
            </w:r>
            <w:r>
              <w:rPr>
                <w:rFonts w:hint="default" w:ascii="Times New Roman" w:hAnsi="Times New Roman" w:eastAsia="方正仿宋_GBK" w:cs="Times New Roman"/>
                <w:color w:val="auto"/>
                <w:kern w:val="0"/>
                <w:sz w:val="24"/>
                <w:szCs w:val="24"/>
                <w:highlight w:val="none"/>
                <w:lang w:eastAsia="zh-CN"/>
              </w:rPr>
              <w:t>（年龄&lt;18 岁）</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五十、甲状腺结节（手术治疗）</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主要诊断ICD-10编码：D34，E04.0，E04.1，E04.2，E04.9且伴主要手术ICD-9-CM-3编码：06.2至06.5的手术出院患者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1035" w:hRule="atLeast"/>
          <w:jc w:val="center"/>
        </w:trPr>
        <w:tc>
          <w:tcPr>
            <w:tcW w:w="13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五十一、HBV感染分娩母婴阻断</w:t>
            </w:r>
          </w:p>
        </w:tc>
        <w:tc>
          <w:tcPr>
            <w:tcW w:w="25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主要诊断 ICD-10 编码：O98.4，Z22.5+O80 至 O84+Z37；且伴①阴道分娩操作 ICD-9-CM-3 编码 72.0 至 72.9，73.0， 73.1，73.21，73.4 至 73.6，73.9；或②剖宫产手术 ICD 9-CM-3编码：74.0，74.1，74.2，74.4，74.99 的出院患者</w:t>
            </w:r>
          </w:p>
        </w:tc>
        <w:tc>
          <w:tcPr>
            <w:tcW w:w="109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bl>
    <w:p>
      <w:pPr>
        <w:rPr>
          <w:color w:val="auto"/>
          <w:highlight w:val="none"/>
        </w:rPr>
      </w:pPr>
    </w:p>
    <w:bookmarkEnd w:id="126"/>
    <w:p>
      <w:pPr>
        <w:rPr>
          <w:rFonts w:asciiTheme="minorEastAsia" w:hAnsiTheme="minorEastAsia" w:eastAsiaTheme="minorEastAsia"/>
          <w:color w:val="auto"/>
          <w:szCs w:val="21"/>
          <w:highlight w:val="none"/>
        </w:rPr>
      </w:pPr>
    </w:p>
    <w:p>
      <w:pPr>
        <w:numPr>
          <w:ilvl w:val="0"/>
          <w:numId w:val="1"/>
        </w:numPr>
        <w:jc w:val="left"/>
        <w:rPr>
          <w:rFonts w:hint="default" w:ascii="Times New Roman" w:hAnsi="Times New Roman" w:eastAsia="方正黑体_GBK" w:cs="Times New Roman"/>
          <w:b w:val="0"/>
          <w:color w:val="auto"/>
          <w:sz w:val="32"/>
          <w:szCs w:val="24"/>
          <w:highlight w:val="none"/>
          <w:lang w:val="en-US" w:eastAsia="zh-CN"/>
        </w:rPr>
      </w:pPr>
      <w:bookmarkStart w:id="137" w:name="_Toc30940"/>
      <w:bookmarkStart w:id="138" w:name="_Toc3897"/>
      <w:bookmarkStart w:id="139" w:name="_Toc28912"/>
      <w:bookmarkStart w:id="140" w:name="_Toc3085"/>
      <w:bookmarkStart w:id="141" w:name="_Toc18368"/>
      <w:bookmarkStart w:id="142" w:name="_Toc6974"/>
      <w:bookmarkStart w:id="143" w:name="_Toc30358"/>
      <w:bookmarkStart w:id="144" w:name="_Toc32324"/>
      <w:bookmarkStart w:id="145" w:name="_Toc15408"/>
      <w:bookmarkStart w:id="146" w:name="_Toc2624"/>
      <w:r>
        <w:rPr>
          <w:rFonts w:hint="default" w:ascii="Times New Roman" w:hAnsi="Times New Roman" w:eastAsia="方正黑体_GBK" w:cs="Times New Roman"/>
          <w:b w:val="0"/>
          <w:color w:val="auto"/>
          <w:sz w:val="32"/>
          <w:szCs w:val="24"/>
          <w:highlight w:val="none"/>
          <w:lang w:val="en-US" w:eastAsia="zh-CN"/>
        </w:rPr>
        <w:br w:type="page"/>
      </w:r>
    </w:p>
    <w:p>
      <w:pPr>
        <w:pStyle w:val="3"/>
        <w:numPr>
          <w:ilvl w:val="-1"/>
          <w:numId w:val="0"/>
        </w:numPr>
        <w:ind w:left="0" w:firstLine="0" w:firstLineChars="0"/>
        <w:jc w:val="center"/>
        <w:rPr>
          <w:rFonts w:asciiTheme="minorEastAsia" w:hAnsiTheme="minorEastAsia" w:eastAsiaTheme="minorEastAsia"/>
          <w:color w:val="auto"/>
          <w:sz w:val="21"/>
          <w:szCs w:val="21"/>
          <w:highlight w:val="none"/>
        </w:rPr>
      </w:pPr>
      <w:r>
        <w:rPr>
          <w:rFonts w:hint="default" w:ascii="Times New Roman" w:hAnsi="Times New Roman" w:eastAsia="方正黑体_GBK" w:cs="Times New Roman"/>
          <w:b w:val="0"/>
          <w:color w:val="auto"/>
          <w:sz w:val="32"/>
          <w:szCs w:val="24"/>
          <w:highlight w:val="none"/>
          <w:lang w:val="en-US" w:eastAsia="zh-CN"/>
        </w:rPr>
        <w:t xml:space="preserve">第五章 </w:t>
      </w:r>
      <w:r>
        <w:rPr>
          <w:rFonts w:hint="default" w:ascii="Times New Roman" w:hAnsi="Times New Roman" w:eastAsia="方正黑体_GBK" w:cs="Times New Roman"/>
          <w:b w:val="0"/>
          <w:color w:val="auto"/>
          <w:sz w:val="32"/>
          <w:szCs w:val="24"/>
          <w:highlight w:val="none"/>
        </w:rPr>
        <w:t>重点医疗技术临床应用质量控制指标</w:t>
      </w:r>
      <w:bookmarkEnd w:id="137"/>
      <w:bookmarkEnd w:id="138"/>
      <w:bookmarkEnd w:id="139"/>
      <w:bookmarkEnd w:id="140"/>
      <w:bookmarkEnd w:id="141"/>
      <w:bookmarkEnd w:id="142"/>
      <w:bookmarkEnd w:id="143"/>
      <w:bookmarkEnd w:id="144"/>
      <w:bookmarkEnd w:id="145"/>
      <w:bookmarkEnd w:id="146"/>
    </w:p>
    <w:p>
      <w:pPr>
        <w:jc w:val="center"/>
        <w:rPr>
          <w:color w:val="auto"/>
          <w:highlight w:val="none"/>
        </w:rPr>
      </w:pPr>
    </w:p>
    <w:tbl>
      <w:tblPr>
        <w:tblStyle w:val="12"/>
        <w:tblpPr w:leftFromText="180" w:rightFromText="180" w:vertAnchor="text" w:horzAnchor="page" w:tblpXSpec="center" w:tblpY="812"/>
        <w:tblOverlap w:val="never"/>
        <w:tblW w:w="4999" w:type="pct"/>
        <w:jc w:val="center"/>
        <w:tblLayout w:type="autofit"/>
        <w:tblCellMar>
          <w:top w:w="0" w:type="dxa"/>
          <w:left w:w="108" w:type="dxa"/>
          <w:bottom w:w="0" w:type="dxa"/>
          <w:right w:w="108" w:type="dxa"/>
        </w:tblCellMar>
      </w:tblPr>
      <w:tblGrid>
        <w:gridCol w:w="1195"/>
        <w:gridCol w:w="2262"/>
        <w:gridCol w:w="4440"/>
        <w:gridCol w:w="1049"/>
      </w:tblGrid>
      <w:tr>
        <w:tblPrEx>
          <w:tblCellMar>
            <w:top w:w="0" w:type="dxa"/>
            <w:left w:w="108" w:type="dxa"/>
            <w:bottom w:w="0" w:type="dxa"/>
            <w:right w:w="108" w:type="dxa"/>
          </w:tblCellMar>
        </w:tblPrEx>
        <w:trPr>
          <w:trHeight w:val="285" w:hRule="atLeast"/>
          <w:jc w:val="center"/>
        </w:trPr>
        <w:tc>
          <w:tcPr>
            <w:tcW w:w="6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方正黑体_GBK" w:hAnsi="方正黑体_GBK" w:eastAsia="方正黑体_GBK" w:cs="方正黑体_GBK"/>
                <w:color w:val="auto"/>
                <w:kern w:val="2"/>
                <w:sz w:val="24"/>
                <w:szCs w:val="24"/>
                <w:highlight w:val="none"/>
              </w:rPr>
            </w:pPr>
            <w:r>
              <w:rPr>
                <w:rFonts w:hint="default" w:ascii="方正黑体_GBK" w:hAnsi="方正黑体_GBK" w:eastAsia="方正黑体_GBK" w:cs="方正黑体_GBK"/>
                <w:color w:val="auto"/>
                <w:sz w:val="24"/>
                <w:szCs w:val="24"/>
                <w:highlight w:val="none"/>
              </w:rPr>
              <w:br w:type="page"/>
            </w:r>
            <w:r>
              <w:rPr>
                <w:rFonts w:hint="default" w:ascii="方正黑体_GBK" w:hAnsi="方正黑体_GBK" w:eastAsia="方正黑体_GBK" w:cs="方正黑体_GBK"/>
                <w:color w:val="auto"/>
                <w:kern w:val="2"/>
                <w:sz w:val="24"/>
                <w:szCs w:val="24"/>
                <w:highlight w:val="none"/>
              </w:rPr>
              <w:t>指标大类</w:t>
            </w:r>
          </w:p>
        </w:tc>
        <w:tc>
          <w:tcPr>
            <w:tcW w:w="3745"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方正黑体_GBK" w:hAnsi="方正黑体_GBK" w:eastAsia="方正黑体_GBK" w:cs="方正黑体_GBK"/>
                <w:color w:val="auto"/>
                <w:kern w:val="2"/>
                <w:sz w:val="24"/>
                <w:szCs w:val="24"/>
                <w:highlight w:val="none"/>
              </w:rPr>
            </w:pPr>
            <w:r>
              <w:rPr>
                <w:rFonts w:hint="default" w:ascii="方正黑体_GBK" w:hAnsi="方正黑体_GBK" w:eastAsia="方正黑体_GBK" w:cs="方正黑体_GBK"/>
                <w:color w:val="auto"/>
                <w:kern w:val="2"/>
                <w:sz w:val="24"/>
                <w:szCs w:val="24"/>
                <w:highlight w:val="none"/>
              </w:rPr>
              <w:t>指标明细</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方正黑体_GBK" w:hAnsi="方正黑体_GBK" w:eastAsia="方正黑体_GBK" w:cs="方正黑体_GBK"/>
                <w:color w:val="auto"/>
                <w:kern w:val="2"/>
                <w:sz w:val="21"/>
                <w:szCs w:val="21"/>
                <w:highlight w:val="none"/>
              </w:rPr>
            </w:pPr>
            <w:r>
              <w:rPr>
                <w:rFonts w:hint="default" w:ascii="方正黑体_GBK" w:hAnsi="方正黑体_GBK" w:eastAsia="方正黑体_GBK" w:cs="方正黑体_GBK"/>
                <w:color w:val="auto"/>
                <w:kern w:val="2"/>
                <w:sz w:val="21"/>
                <w:szCs w:val="21"/>
                <w:highlight w:val="none"/>
              </w:rPr>
              <w:t>指标类型</w:t>
            </w:r>
          </w:p>
        </w:tc>
      </w:tr>
      <w:tr>
        <w:tblPrEx>
          <w:tblCellMar>
            <w:top w:w="0" w:type="dxa"/>
            <w:left w:w="108" w:type="dxa"/>
            <w:bottom w:w="0" w:type="dxa"/>
            <w:right w:w="108" w:type="dxa"/>
          </w:tblCellMar>
        </w:tblPrEx>
        <w:trPr>
          <w:trHeight w:val="510" w:hRule="atLeast"/>
          <w:jc w:val="center"/>
        </w:trPr>
        <w:tc>
          <w:tcPr>
            <w:tcW w:w="668" w:type="pct"/>
            <w:vMerge w:val="continue"/>
            <w:tcBorders>
              <w:top w:val="single" w:color="auto" w:sz="4" w:space="0"/>
              <w:left w:val="single" w:color="auto" w:sz="4" w:space="0"/>
              <w:bottom w:val="single" w:color="auto" w:sz="4" w:space="0"/>
              <w:right w:val="nil"/>
            </w:tcBorders>
            <w:vAlign w:val="center"/>
          </w:tcPr>
          <w:p>
            <w:pPr>
              <w:widowControl/>
              <w:spacing w:line="300" w:lineRule="exact"/>
              <w:jc w:val="center"/>
              <w:rPr>
                <w:rFonts w:hint="default" w:ascii="方正黑体_GBK" w:hAnsi="方正黑体_GBK" w:eastAsia="方正黑体_GBK" w:cs="方正黑体_GBK"/>
                <w:color w:val="auto"/>
                <w:kern w:val="2"/>
                <w:sz w:val="24"/>
                <w:szCs w:val="24"/>
                <w:highlight w:val="none"/>
              </w:rPr>
            </w:pPr>
          </w:p>
        </w:tc>
        <w:tc>
          <w:tcPr>
            <w:tcW w:w="3745"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方正黑体_GBK" w:hAnsi="方正黑体_GBK" w:eastAsia="方正黑体_GBK" w:cs="方正黑体_GBK"/>
                <w:color w:val="auto"/>
                <w:kern w:val="2"/>
                <w:sz w:val="24"/>
                <w:szCs w:val="24"/>
                <w:highlight w:val="none"/>
              </w:rPr>
            </w:pPr>
          </w:p>
        </w:tc>
        <w:tc>
          <w:tcPr>
            <w:tcW w:w="58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方正黑体_GBK" w:hAnsi="方正黑体_GBK" w:eastAsia="方正黑体_GBK" w:cs="方正黑体_GBK"/>
                <w:color w:val="auto"/>
                <w:kern w:val="2"/>
                <w:sz w:val="21"/>
                <w:szCs w:val="21"/>
                <w:highlight w:val="none"/>
              </w:rPr>
            </w:pPr>
            <w:r>
              <w:rPr>
                <w:rFonts w:hint="default" w:ascii="方正黑体_GBK" w:hAnsi="方正黑体_GBK" w:eastAsia="方正黑体_GBK" w:cs="方正黑体_GBK"/>
                <w:color w:val="auto"/>
                <w:kern w:val="2"/>
                <w:sz w:val="21"/>
                <w:szCs w:val="21"/>
                <w:highlight w:val="none"/>
              </w:rPr>
              <w:t>*代表准入指标</w:t>
            </w:r>
          </w:p>
          <w:p>
            <w:pPr>
              <w:widowControl/>
              <w:spacing w:line="300" w:lineRule="exact"/>
              <w:jc w:val="center"/>
              <w:rPr>
                <w:rFonts w:hint="default" w:ascii="方正黑体_GBK" w:hAnsi="方正黑体_GBK" w:eastAsia="方正黑体_GBK" w:cs="方正黑体_GBK"/>
                <w:color w:val="auto"/>
                <w:kern w:val="2"/>
                <w:sz w:val="21"/>
                <w:szCs w:val="21"/>
                <w:highlight w:val="none"/>
              </w:rPr>
            </w:pPr>
            <w:r>
              <w:rPr>
                <w:rFonts w:hint="default" w:ascii="方正黑体_GBK" w:hAnsi="方正黑体_GBK" w:eastAsia="方正黑体_GBK" w:cs="方正黑体_GBK"/>
                <w:color w:val="auto"/>
                <w:kern w:val="2"/>
                <w:sz w:val="21"/>
                <w:szCs w:val="21"/>
                <w:highlight w:val="none"/>
              </w:rPr>
              <w:t>#代表纵向对比指标</w:t>
            </w:r>
          </w:p>
        </w:tc>
      </w:tr>
      <w:tr>
        <w:tblPrEx>
          <w:tblCellMar>
            <w:top w:w="0" w:type="dxa"/>
            <w:left w:w="108" w:type="dxa"/>
            <w:bottom w:w="0" w:type="dxa"/>
            <w:right w:w="108" w:type="dxa"/>
          </w:tblCellMar>
        </w:tblPrEx>
        <w:trPr>
          <w:trHeight w:val="312" w:hRule="atLeast"/>
          <w:jc w:val="center"/>
        </w:trPr>
        <w:tc>
          <w:tcPr>
            <w:tcW w:w="668" w:type="pct"/>
            <w:vMerge w:val="continue"/>
            <w:tcBorders>
              <w:top w:val="single" w:color="auto" w:sz="4" w:space="0"/>
              <w:left w:val="single" w:color="auto" w:sz="4" w:space="0"/>
              <w:bottom w:val="single" w:color="auto" w:sz="4" w:space="0"/>
              <w:right w:val="nil"/>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3745"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58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648" w:hRule="exact"/>
          <w:jc w:val="center"/>
        </w:trPr>
        <w:tc>
          <w:tcPr>
            <w:tcW w:w="668" w:type="pct"/>
            <w:vMerge w:val="continue"/>
            <w:tcBorders>
              <w:top w:val="single" w:color="auto" w:sz="4" w:space="0"/>
              <w:left w:val="single" w:color="auto" w:sz="4" w:space="0"/>
              <w:bottom w:val="single" w:color="auto" w:sz="4" w:space="0"/>
              <w:right w:val="nil"/>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3745"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58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r>
      <w:tr>
        <w:tblPrEx>
          <w:tblCellMar>
            <w:top w:w="0" w:type="dxa"/>
            <w:left w:w="108" w:type="dxa"/>
            <w:bottom w:w="0" w:type="dxa"/>
            <w:right w:w="108" w:type="dxa"/>
          </w:tblCellMar>
        </w:tblPrEx>
        <w:trPr>
          <w:trHeight w:val="285" w:hRule="atLeast"/>
          <w:jc w:val="center"/>
        </w:trPr>
        <w:tc>
          <w:tcPr>
            <w:tcW w:w="6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r>
              <w:rPr>
                <w:rFonts w:hint="default" w:ascii="Times New Roman" w:hAnsi="Times New Roman" w:eastAsia="方正仿宋_GBK" w:cs="Times New Roman"/>
                <w:b w:val="0"/>
                <w:bCs w:val="0"/>
                <w:color w:val="auto"/>
                <w:kern w:val="0"/>
                <w:sz w:val="24"/>
                <w:szCs w:val="24"/>
                <w:highlight w:val="none"/>
              </w:rPr>
              <w:t>一、国家限制类医疗技术</w:t>
            </w:r>
          </w:p>
        </w:tc>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（一）异基因造血干细胞移植技术临床应用质量控制指标（2022年版）</w:t>
            </w: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1.异基因造血干细胞移植适应证符合率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2.异基因造血干细胞移植植入率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3.重</w:t>
            </w:r>
            <w:r>
              <w:rPr>
                <w:rFonts w:hint="default" w:ascii="Times New Roman" w:hAnsi="Times New Roman" w:eastAsia="方正仿宋_GBK" w:cs="Times New Roman"/>
                <w:color w:val="auto"/>
                <w:spacing w:val="-11"/>
                <w:kern w:val="0"/>
                <w:sz w:val="24"/>
                <w:szCs w:val="24"/>
                <w:highlight w:val="none"/>
              </w:rPr>
              <w:t>度（Ⅲ-Ⅳ度）急性移植物抗宿主病发生率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4.慢性移植物抗宿主病发生率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5.异基因造血干细胞移植相关死亡率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6.异基因造血干细胞移植总体生存率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7.异基因造血干细胞移植无病生存率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8.平均住院日</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9.平均住院费用</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10.平均住院药费</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（二）同种胰岛移植技术临床应用质量控制指标</w:t>
            </w:r>
          </w:p>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（2022年版）</w:t>
            </w: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1.胰岛纯度</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2.总胰岛当量</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3.胰岛活率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4.胰岛产物微生物培养/基因检测阳性率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5</w:t>
            </w:r>
            <w:r>
              <w:rPr>
                <w:rFonts w:hint="default" w:ascii="Times New Roman" w:hAnsi="Times New Roman" w:eastAsia="方正仿宋_GBK" w:cs="Times New Roman"/>
                <w:color w:val="auto"/>
                <w:kern w:val="0"/>
                <w:sz w:val="24"/>
                <w:szCs w:val="24"/>
                <w:highlight w:val="none"/>
              </w:rPr>
              <w:t>.围手术期并发症发生率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6</w:t>
            </w:r>
            <w:r>
              <w:rPr>
                <w:rFonts w:hint="default" w:ascii="Times New Roman" w:hAnsi="Times New Roman" w:eastAsia="方正仿宋_GBK" w:cs="Times New Roman"/>
                <w:color w:val="auto"/>
                <w:kern w:val="0"/>
                <w:sz w:val="24"/>
                <w:szCs w:val="24"/>
                <w:highlight w:val="none"/>
              </w:rPr>
              <w:t>.术后死亡率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7</w:t>
            </w:r>
            <w:r>
              <w:rPr>
                <w:rFonts w:hint="default" w:ascii="Times New Roman" w:hAnsi="Times New Roman" w:eastAsia="方正仿宋_GBK" w:cs="Times New Roman"/>
                <w:color w:val="auto"/>
                <w:kern w:val="0"/>
                <w:sz w:val="24"/>
                <w:szCs w:val="24"/>
                <w:highlight w:val="none"/>
              </w:rPr>
              <w:t>.患者随访率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8</w:t>
            </w:r>
            <w:r>
              <w:rPr>
                <w:rFonts w:hint="default" w:ascii="Times New Roman" w:hAnsi="Times New Roman" w:eastAsia="方正仿宋_GBK" w:cs="Times New Roman"/>
                <w:color w:val="auto"/>
                <w:kern w:val="0"/>
                <w:sz w:val="24"/>
                <w:szCs w:val="24"/>
                <w:highlight w:val="none"/>
              </w:rPr>
              <w:t>.移植后有效率（1 年、3 年、5 年）</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（三）同种异体运动系统结构性组织移植技术临床应用质量控制指标</w:t>
            </w:r>
          </w:p>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（2022年版）</w:t>
            </w: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1.符合规定的来源移植物比例</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2.术中移植物微生物培养阳性率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3.围手术期并发症发生率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4</w:t>
            </w:r>
            <w:r>
              <w:rPr>
                <w:rFonts w:hint="default" w:ascii="Times New Roman" w:hAnsi="Times New Roman" w:eastAsia="方正仿宋_GBK" w:cs="Times New Roman"/>
                <w:color w:val="auto"/>
                <w:kern w:val="0"/>
                <w:sz w:val="24"/>
                <w:szCs w:val="24"/>
                <w:highlight w:val="none"/>
              </w:rPr>
              <w:t>.微创手术比例</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5</w:t>
            </w:r>
            <w:r>
              <w:rPr>
                <w:rFonts w:hint="default" w:ascii="Times New Roman" w:hAnsi="Times New Roman" w:eastAsia="方正仿宋_GBK" w:cs="Times New Roman"/>
                <w:color w:val="auto"/>
                <w:kern w:val="0"/>
                <w:sz w:val="24"/>
                <w:szCs w:val="24"/>
                <w:highlight w:val="none"/>
              </w:rPr>
              <w:t>.患者随访率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（四）同种异体角膜移植技术临床应用质量控制指标（2022年版）</w:t>
            </w: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1.成分供体使用率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2.同种异体角膜移植成功率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3.角膜植片透明率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4.角膜原发疾病控制率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5.并发症发生率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6.术后视力提高率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7.诊断符合率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8.患者随访率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9.角膜组织存活率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r>
              <w:rPr>
                <w:rFonts w:hint="default" w:ascii="Times New Roman" w:hAnsi="Times New Roman" w:eastAsia="方正仿宋_GBK" w:cs="Times New Roman"/>
                <w:color w:val="auto"/>
                <w:kern w:val="0"/>
                <w:sz w:val="24"/>
                <w:szCs w:val="24"/>
                <w:highlight w:val="none"/>
                <w:lang w:val="en-US" w:eastAsia="zh-CN"/>
              </w:rPr>
              <w:t>五</w:t>
            </w:r>
            <w:r>
              <w:rPr>
                <w:rFonts w:hint="default" w:ascii="Times New Roman" w:hAnsi="Times New Roman" w:eastAsia="方正仿宋_GBK" w:cs="Times New Roman"/>
                <w:color w:val="auto"/>
                <w:kern w:val="0"/>
                <w:sz w:val="24"/>
                <w:szCs w:val="24"/>
                <w:highlight w:val="none"/>
              </w:rPr>
              <w:t>）性别重置技术临床应用质量控制指标（20</w:t>
            </w:r>
            <w:r>
              <w:rPr>
                <w:rFonts w:hint="default" w:ascii="Times New Roman" w:hAnsi="Times New Roman" w:eastAsia="方正仿宋_GBK" w:cs="Times New Roman"/>
                <w:color w:val="auto"/>
                <w:kern w:val="0"/>
                <w:sz w:val="24"/>
                <w:szCs w:val="24"/>
                <w:highlight w:val="none"/>
                <w:lang w:val="en-US" w:eastAsia="zh-CN"/>
              </w:rPr>
              <w:t>22</w:t>
            </w:r>
            <w:r>
              <w:rPr>
                <w:rFonts w:hint="default" w:ascii="Times New Roman" w:hAnsi="Times New Roman" w:eastAsia="方正仿宋_GBK" w:cs="Times New Roman"/>
                <w:color w:val="auto"/>
                <w:kern w:val="0"/>
                <w:sz w:val="24"/>
                <w:szCs w:val="24"/>
                <w:highlight w:val="none"/>
              </w:rPr>
              <w:t xml:space="preserve"> 年版） </w:t>
            </w: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1.术中输血率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2.术后输血率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3.术中自体血输注率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4</w:t>
            </w:r>
            <w:r>
              <w:rPr>
                <w:rFonts w:hint="default" w:ascii="Times New Roman" w:hAnsi="Times New Roman" w:eastAsia="方正仿宋_GBK" w:cs="Times New Roman"/>
                <w:color w:val="auto"/>
                <w:kern w:val="0"/>
                <w:sz w:val="24"/>
                <w:szCs w:val="24"/>
                <w:highlight w:val="none"/>
              </w:rPr>
              <w:t>.术后 1 年随访率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5</w:t>
            </w:r>
            <w:r>
              <w:rPr>
                <w:rFonts w:hint="default" w:ascii="Times New Roman" w:hAnsi="Times New Roman" w:eastAsia="方正仿宋_GBK" w:cs="Times New Roman"/>
                <w:color w:val="auto"/>
                <w:kern w:val="0"/>
                <w:sz w:val="24"/>
                <w:szCs w:val="24"/>
                <w:highlight w:val="none"/>
              </w:rPr>
              <w:t>.术后 2 周内感染率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6</w:t>
            </w:r>
            <w:r>
              <w:rPr>
                <w:rFonts w:hint="default" w:ascii="Times New Roman" w:hAnsi="Times New Roman" w:eastAsia="方正仿宋_GBK" w:cs="Times New Roman"/>
                <w:color w:val="auto"/>
                <w:kern w:val="0"/>
                <w:sz w:val="24"/>
                <w:szCs w:val="24"/>
                <w:highlight w:val="none"/>
              </w:rPr>
              <w:t>.尿瘘发生率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7</w:t>
            </w:r>
            <w:r>
              <w:rPr>
                <w:rFonts w:hint="default" w:ascii="Times New Roman" w:hAnsi="Times New Roman" w:eastAsia="方正仿宋_GBK" w:cs="Times New Roman"/>
                <w:color w:val="auto"/>
                <w:kern w:val="0"/>
                <w:sz w:val="24"/>
                <w:szCs w:val="24"/>
                <w:highlight w:val="none"/>
              </w:rPr>
              <w:t>.再造尿道狭窄率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8</w:t>
            </w:r>
            <w:r>
              <w:rPr>
                <w:rFonts w:hint="default" w:ascii="Times New Roman" w:hAnsi="Times New Roman" w:eastAsia="方正仿宋_GBK" w:cs="Times New Roman"/>
                <w:color w:val="auto"/>
                <w:kern w:val="0"/>
                <w:sz w:val="24"/>
                <w:szCs w:val="24"/>
                <w:highlight w:val="none"/>
              </w:rPr>
              <w:t>.再造阴道狭窄率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9</w:t>
            </w:r>
            <w:r>
              <w:rPr>
                <w:rFonts w:hint="default" w:ascii="Times New Roman" w:hAnsi="Times New Roman" w:eastAsia="方正仿宋_GBK" w:cs="Times New Roman"/>
                <w:color w:val="auto"/>
                <w:kern w:val="0"/>
                <w:sz w:val="24"/>
                <w:szCs w:val="24"/>
                <w:highlight w:val="none"/>
              </w:rPr>
              <w:t>.直肠阴道瘘发生率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w:t>
            </w:r>
            <w:r>
              <w:rPr>
                <w:rFonts w:hint="default" w:ascii="Times New Roman" w:hAnsi="Times New Roman" w:eastAsia="方正仿宋_GBK" w:cs="Times New Roman"/>
                <w:color w:val="auto"/>
                <w:kern w:val="0"/>
                <w:sz w:val="24"/>
                <w:szCs w:val="24"/>
                <w:highlight w:val="none"/>
                <w:lang w:val="en-US" w:eastAsia="zh-CN"/>
              </w:rPr>
              <w:t>0</w:t>
            </w:r>
            <w:r>
              <w:rPr>
                <w:rFonts w:hint="default" w:ascii="Times New Roman" w:hAnsi="Times New Roman" w:eastAsia="方正仿宋_GBK" w:cs="Times New Roman"/>
                <w:color w:val="auto"/>
                <w:kern w:val="0"/>
                <w:sz w:val="24"/>
                <w:szCs w:val="24"/>
                <w:highlight w:val="none"/>
              </w:rPr>
              <w:t>.皮瓣坏死发生率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w:t>
            </w:r>
            <w:r>
              <w:rPr>
                <w:rFonts w:hint="default" w:ascii="Times New Roman" w:hAnsi="Times New Roman" w:eastAsia="方正仿宋_GBK" w:cs="Times New Roman"/>
                <w:color w:val="auto"/>
                <w:kern w:val="0"/>
                <w:sz w:val="24"/>
                <w:szCs w:val="24"/>
                <w:highlight w:val="none"/>
                <w:lang w:val="en-US" w:eastAsia="zh-CN"/>
              </w:rPr>
              <w:t>1</w:t>
            </w:r>
            <w:r>
              <w:rPr>
                <w:rFonts w:hint="default" w:ascii="Times New Roman" w:hAnsi="Times New Roman" w:eastAsia="方正仿宋_GBK" w:cs="Times New Roman"/>
                <w:color w:val="auto"/>
                <w:kern w:val="0"/>
                <w:sz w:val="24"/>
                <w:szCs w:val="24"/>
                <w:highlight w:val="none"/>
              </w:rPr>
              <w:t>.术后 1 周内死亡率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sz w:val="24"/>
              </w:rPr>
              <mc:AlternateContent>
                <mc:Choice Requires="wps">
                  <w:drawing>
                    <wp:anchor distT="0" distB="0" distL="114300" distR="114300" simplePos="0" relativeHeight="251675648" behindDoc="0" locked="0" layoutInCell="1" allowOverlap="1">
                      <wp:simplePos x="0" y="0"/>
                      <wp:positionH relativeFrom="column">
                        <wp:posOffset>-804545</wp:posOffset>
                      </wp:positionH>
                      <wp:positionV relativeFrom="paragraph">
                        <wp:posOffset>884555</wp:posOffset>
                      </wp:positionV>
                      <wp:extent cx="733425" cy="17145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733425" cy="1714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b w:val="0"/>
                                      <w:bCs w:val="0"/>
                                      <w:color w:val="auto"/>
                                      <w:kern w:val="0"/>
                                      <w:sz w:val="24"/>
                                      <w:szCs w:val="24"/>
                                      <w:highlight w:val="none"/>
                                    </w:rPr>
                                    <w:t>一、国家限制类医疗技术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3.35pt;margin-top:69.65pt;height:135pt;width:57.75pt;z-index:251675648;mso-width-relative:page;mso-height-relative:page;" filled="f" stroked="f" coordsize="21600,21600" o:gfxdata="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hOyDC3AAAAAwBAAAPAAAAAAAAAAEAIAAAACIA&#10;AABkcnMvZG93bnJldi54bWxQSwECFAAUAAAACACHTuJARD+4Tj4CAABoBAAADgAAAAAAAAABACAA&#10;AAArAQAAZHJzL2Uyb0RvYy54bWxQSwUGAAAAAAYABgBZAQAA2wU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b w:val="0"/>
                                <w:bCs w:val="0"/>
                                <w:color w:val="auto"/>
                                <w:kern w:val="0"/>
                                <w:sz w:val="24"/>
                                <w:szCs w:val="24"/>
                                <w:highlight w:val="none"/>
                              </w:rPr>
                              <w:t>一、国家限制类医疗技术</w:t>
                            </w:r>
                          </w:p>
                        </w:txbxContent>
                      </v:textbox>
                    </v:shape>
                  </w:pict>
                </mc:Fallback>
              </mc:AlternateContent>
            </w:r>
            <w:r>
              <w:rPr>
                <w:rFonts w:hint="default" w:ascii="Times New Roman" w:hAnsi="Times New Roman" w:eastAsia="方正仿宋_GBK" w:cs="Times New Roman"/>
                <w:color w:val="auto"/>
                <w:kern w:val="0"/>
                <w:sz w:val="24"/>
                <w:szCs w:val="24"/>
                <w:highlight w:val="none"/>
              </w:rPr>
              <w:t>（</w:t>
            </w:r>
            <w:r>
              <w:rPr>
                <w:rFonts w:hint="default" w:ascii="Times New Roman" w:hAnsi="Times New Roman" w:eastAsia="方正仿宋_GBK" w:cs="Times New Roman"/>
                <w:color w:val="auto"/>
                <w:kern w:val="0"/>
                <w:sz w:val="24"/>
                <w:szCs w:val="24"/>
                <w:highlight w:val="none"/>
                <w:lang w:val="en-US" w:eastAsia="zh-CN"/>
              </w:rPr>
              <w:t>六</w:t>
            </w:r>
            <w:r>
              <w:rPr>
                <w:rFonts w:hint="default" w:ascii="Times New Roman" w:hAnsi="Times New Roman" w:eastAsia="方正仿宋_GBK" w:cs="Times New Roman"/>
                <w:color w:val="auto"/>
                <w:kern w:val="0"/>
                <w:sz w:val="24"/>
                <w:szCs w:val="24"/>
                <w:highlight w:val="none"/>
              </w:rPr>
              <w:t>）质子和重离子加速器放射治疗技术临床应用质量控制指标（20</w:t>
            </w:r>
            <w:r>
              <w:rPr>
                <w:rFonts w:hint="default" w:ascii="Times New Roman" w:hAnsi="Times New Roman" w:eastAsia="方正仿宋_GBK" w:cs="Times New Roman"/>
                <w:color w:val="auto"/>
                <w:kern w:val="0"/>
                <w:sz w:val="24"/>
                <w:szCs w:val="24"/>
                <w:highlight w:val="none"/>
                <w:lang w:val="en-US" w:eastAsia="zh-CN"/>
              </w:rPr>
              <w:t>22</w:t>
            </w:r>
            <w:r>
              <w:rPr>
                <w:rFonts w:hint="default" w:ascii="Times New Roman" w:hAnsi="Times New Roman" w:eastAsia="方正仿宋_GBK" w:cs="Times New Roman"/>
                <w:color w:val="auto"/>
                <w:kern w:val="0"/>
                <w:sz w:val="24"/>
                <w:szCs w:val="24"/>
                <w:highlight w:val="none"/>
              </w:rPr>
              <w:t xml:space="preserve"> 年版）</w:t>
            </w: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1.病理诊断率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2.临床 TNM 分期比例</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3.MDT 执行率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4.治疗方案完成率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5</w:t>
            </w:r>
            <w:r>
              <w:rPr>
                <w:rFonts w:hint="default" w:ascii="Times New Roman" w:hAnsi="Times New Roman" w:eastAsia="方正仿宋_GBK" w:cs="Times New Roman"/>
                <w:color w:val="auto"/>
                <w:kern w:val="0"/>
                <w:sz w:val="24"/>
                <w:szCs w:val="24"/>
                <w:highlight w:val="none"/>
              </w:rPr>
              <w:t>.不良反应发生率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6</w:t>
            </w:r>
            <w:r>
              <w:rPr>
                <w:rFonts w:hint="default" w:ascii="Times New Roman" w:hAnsi="Times New Roman" w:eastAsia="方正仿宋_GBK" w:cs="Times New Roman"/>
                <w:color w:val="auto"/>
                <w:kern w:val="0"/>
                <w:sz w:val="24"/>
                <w:szCs w:val="24"/>
                <w:highlight w:val="none"/>
              </w:rPr>
              <w:t>.</w:t>
            </w:r>
            <w:r>
              <w:rPr>
                <w:rFonts w:hint="default" w:ascii="Times New Roman" w:hAnsi="Times New Roman" w:eastAsia="方正仿宋_GBK" w:cs="Times New Roman"/>
                <w:color w:val="auto"/>
                <w:kern w:val="0"/>
                <w:sz w:val="24"/>
                <w:szCs w:val="24"/>
                <w:highlight w:val="none"/>
                <w:lang w:val="en-US" w:eastAsia="zh-CN"/>
              </w:rPr>
              <w:t>六</w:t>
            </w:r>
            <w:r>
              <w:rPr>
                <w:rFonts w:hint="default" w:ascii="Times New Roman" w:hAnsi="Times New Roman" w:eastAsia="方正仿宋_GBK" w:cs="Times New Roman"/>
                <w:color w:val="auto"/>
                <w:kern w:val="0"/>
                <w:sz w:val="24"/>
                <w:szCs w:val="24"/>
                <w:highlight w:val="none"/>
              </w:rPr>
              <w:t>个月内死亡率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7</w:t>
            </w:r>
            <w:r>
              <w:rPr>
                <w:rFonts w:hint="default" w:ascii="Times New Roman" w:hAnsi="Times New Roman" w:eastAsia="方正仿宋_GBK" w:cs="Times New Roman"/>
                <w:color w:val="auto"/>
                <w:kern w:val="0"/>
                <w:sz w:val="24"/>
                <w:szCs w:val="24"/>
                <w:highlight w:val="none"/>
              </w:rPr>
              <w:t>.患者随访率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r>
              <w:rPr>
                <w:rFonts w:hint="default" w:ascii="Times New Roman" w:hAnsi="Times New Roman" w:eastAsia="方正仿宋_GBK" w:cs="Times New Roman"/>
                <w:color w:val="auto"/>
                <w:kern w:val="0"/>
                <w:sz w:val="24"/>
                <w:szCs w:val="24"/>
                <w:highlight w:val="none"/>
                <w:lang w:val="en-US" w:eastAsia="zh-CN"/>
              </w:rPr>
              <w:t>七</w:t>
            </w:r>
            <w:r>
              <w:rPr>
                <w:rFonts w:hint="default" w:ascii="Times New Roman" w:hAnsi="Times New Roman" w:eastAsia="方正仿宋_GBK" w:cs="Times New Roman"/>
                <w:color w:val="auto"/>
                <w:kern w:val="0"/>
                <w:sz w:val="24"/>
                <w:szCs w:val="24"/>
                <w:highlight w:val="none"/>
              </w:rPr>
              <w:t>）放射性粒子植入治疗技术临床应用质量控制指标（20</w:t>
            </w:r>
            <w:r>
              <w:rPr>
                <w:rFonts w:hint="default" w:ascii="Times New Roman" w:hAnsi="Times New Roman" w:eastAsia="方正仿宋_GBK" w:cs="Times New Roman"/>
                <w:color w:val="auto"/>
                <w:kern w:val="0"/>
                <w:sz w:val="24"/>
                <w:szCs w:val="24"/>
                <w:highlight w:val="none"/>
                <w:lang w:val="en-US" w:eastAsia="zh-CN"/>
              </w:rPr>
              <w:t>22</w:t>
            </w:r>
            <w:r>
              <w:rPr>
                <w:rFonts w:hint="default" w:ascii="Times New Roman" w:hAnsi="Times New Roman" w:eastAsia="方正仿宋_GBK" w:cs="Times New Roman"/>
                <w:color w:val="auto"/>
                <w:kern w:val="0"/>
                <w:sz w:val="24"/>
                <w:szCs w:val="24"/>
                <w:highlight w:val="none"/>
              </w:rPr>
              <w:t>年版）</w:t>
            </w: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1.植入指征正确率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2.术前制订治疗计划率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3.术后放射剂量验证率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4.术中及术后 30 天内主要并发症发生率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5.放射性粒子植入治疗有效率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6.术后 30 天内全因死亡率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7.患者随访率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8.患者术后生存率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r>
              <w:rPr>
                <w:rFonts w:hint="default" w:ascii="Times New Roman" w:hAnsi="Times New Roman" w:eastAsia="方正仿宋_GBK" w:cs="Times New Roman"/>
                <w:color w:val="auto"/>
                <w:kern w:val="0"/>
                <w:sz w:val="24"/>
                <w:szCs w:val="24"/>
                <w:highlight w:val="none"/>
                <w:lang w:val="en-US" w:eastAsia="zh-CN"/>
              </w:rPr>
              <w:t>八</w:t>
            </w:r>
            <w:r>
              <w:rPr>
                <w:rFonts w:hint="default" w:ascii="Times New Roman" w:hAnsi="Times New Roman" w:eastAsia="方正仿宋_GBK" w:cs="Times New Roman"/>
                <w:color w:val="auto"/>
                <w:kern w:val="0"/>
                <w:sz w:val="24"/>
                <w:szCs w:val="24"/>
                <w:highlight w:val="none"/>
              </w:rPr>
              <w:t>）肿瘤消融治疗技术临床应用质量控制指标（20</w:t>
            </w:r>
            <w:r>
              <w:rPr>
                <w:rFonts w:hint="default" w:ascii="Times New Roman" w:hAnsi="Times New Roman" w:eastAsia="方正仿宋_GBK" w:cs="Times New Roman"/>
                <w:color w:val="auto"/>
                <w:kern w:val="0"/>
                <w:sz w:val="24"/>
                <w:szCs w:val="24"/>
                <w:highlight w:val="none"/>
                <w:lang w:val="en-US" w:eastAsia="zh-CN"/>
              </w:rPr>
              <w:t>22</w:t>
            </w:r>
            <w:r>
              <w:rPr>
                <w:rFonts w:hint="default" w:ascii="Times New Roman" w:hAnsi="Times New Roman" w:eastAsia="方正仿宋_GBK" w:cs="Times New Roman"/>
                <w:color w:val="auto"/>
                <w:kern w:val="0"/>
                <w:sz w:val="24"/>
                <w:szCs w:val="24"/>
                <w:highlight w:val="none"/>
              </w:rPr>
              <w:t xml:space="preserve"> 年版）</w:t>
            </w: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1.肿瘤消融治疗指征正确率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2.肿瘤消融治疗完成率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3</w:t>
            </w:r>
            <w:r>
              <w:rPr>
                <w:rFonts w:hint="default" w:ascii="Times New Roman" w:hAnsi="Times New Roman" w:eastAsia="方正仿宋_GBK" w:cs="Times New Roman"/>
                <w:color w:val="auto"/>
                <w:kern w:val="0"/>
                <w:sz w:val="24"/>
                <w:szCs w:val="24"/>
                <w:highlight w:val="none"/>
              </w:rPr>
              <w:t>.肿瘤消融治疗后局部病灶有效控制率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4</w:t>
            </w:r>
            <w:r>
              <w:rPr>
                <w:rFonts w:hint="default" w:ascii="Times New Roman" w:hAnsi="Times New Roman" w:eastAsia="方正仿宋_GBK" w:cs="Times New Roman"/>
                <w:color w:val="auto"/>
                <w:kern w:val="0"/>
                <w:sz w:val="24"/>
                <w:szCs w:val="24"/>
                <w:highlight w:val="none"/>
              </w:rPr>
              <w:t>.肿瘤</w:t>
            </w:r>
            <w:r>
              <w:rPr>
                <w:rFonts w:hint="default" w:ascii="Times New Roman" w:hAnsi="Times New Roman" w:eastAsia="方正仿宋_GBK" w:cs="Times New Roman"/>
                <w:color w:val="auto"/>
                <w:spacing w:val="-11"/>
                <w:kern w:val="0"/>
                <w:sz w:val="24"/>
                <w:szCs w:val="24"/>
                <w:highlight w:val="none"/>
              </w:rPr>
              <w:t>消融治疗后 30 天内严重并发症发生率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5</w:t>
            </w:r>
            <w:r>
              <w:rPr>
                <w:rFonts w:hint="default" w:ascii="Times New Roman" w:hAnsi="Times New Roman" w:eastAsia="方正仿宋_GBK" w:cs="Times New Roman"/>
                <w:color w:val="auto"/>
                <w:kern w:val="0"/>
                <w:sz w:val="24"/>
                <w:szCs w:val="24"/>
                <w:highlight w:val="none"/>
              </w:rPr>
              <w:t>.肿瘤消融治疗后 30 天内死亡率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6</w:t>
            </w:r>
            <w:r>
              <w:rPr>
                <w:rFonts w:hint="default" w:ascii="Times New Roman" w:hAnsi="Times New Roman" w:eastAsia="方正仿宋_GBK" w:cs="Times New Roman"/>
                <w:color w:val="auto"/>
                <w:kern w:val="0"/>
                <w:sz w:val="24"/>
                <w:szCs w:val="24"/>
                <w:highlight w:val="none"/>
              </w:rPr>
              <w:t>.患者随访率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7</w:t>
            </w:r>
            <w:r>
              <w:rPr>
                <w:rFonts w:hint="default" w:ascii="Times New Roman" w:hAnsi="Times New Roman" w:eastAsia="方正仿宋_GBK" w:cs="Times New Roman"/>
                <w:color w:val="auto"/>
                <w:kern w:val="0"/>
                <w:sz w:val="24"/>
                <w:szCs w:val="24"/>
                <w:highlight w:val="none"/>
              </w:rPr>
              <w:t>.平均住院日</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8</w:t>
            </w:r>
            <w:r>
              <w:rPr>
                <w:rFonts w:hint="default" w:ascii="Times New Roman" w:hAnsi="Times New Roman" w:eastAsia="方正仿宋_GBK" w:cs="Times New Roman"/>
                <w:color w:val="auto"/>
                <w:kern w:val="0"/>
                <w:sz w:val="24"/>
                <w:szCs w:val="24"/>
                <w:highlight w:val="none"/>
              </w:rPr>
              <w:t>.甲状腺肿瘤消融治疗</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r>
              <w:rPr>
                <w:rFonts w:hint="default" w:ascii="Times New Roman" w:hAnsi="Times New Roman" w:eastAsia="方正仿宋_GBK" w:cs="Times New Roman"/>
                <w:color w:val="auto"/>
                <w:kern w:val="0"/>
                <w:sz w:val="24"/>
                <w:szCs w:val="24"/>
                <w:highlight w:val="none"/>
                <w:lang w:val="en-US" w:eastAsia="zh-CN"/>
              </w:rPr>
              <w:t>九</w:t>
            </w:r>
            <w:r>
              <w:rPr>
                <w:rFonts w:hint="default" w:ascii="Times New Roman" w:hAnsi="Times New Roman" w:eastAsia="方正仿宋_GBK" w:cs="Times New Roman"/>
                <w:color w:val="auto"/>
                <w:kern w:val="0"/>
                <w:sz w:val="24"/>
                <w:szCs w:val="24"/>
                <w:highlight w:val="none"/>
              </w:rPr>
              <w:t>）心室辅助技术临床应用质量控制指标（2</w:t>
            </w:r>
            <w:r>
              <w:rPr>
                <w:rFonts w:hint="default" w:ascii="Times New Roman" w:hAnsi="Times New Roman" w:eastAsia="方正仿宋_GBK" w:cs="Times New Roman"/>
                <w:color w:val="auto"/>
                <w:kern w:val="0"/>
                <w:sz w:val="24"/>
                <w:szCs w:val="24"/>
                <w:highlight w:val="none"/>
                <w:lang w:val="en-US" w:eastAsia="zh-CN"/>
              </w:rPr>
              <w:t>022</w:t>
            </w:r>
            <w:r>
              <w:rPr>
                <w:rFonts w:hint="default" w:ascii="Times New Roman" w:hAnsi="Times New Roman" w:eastAsia="方正仿宋_GBK" w:cs="Times New Roman"/>
                <w:color w:val="auto"/>
                <w:kern w:val="0"/>
                <w:sz w:val="24"/>
                <w:szCs w:val="24"/>
                <w:highlight w:val="none"/>
              </w:rPr>
              <w:t>年版）</w:t>
            </w: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1.心室辅助技术应用适应证选择正确率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2.心室辅助装置有效撤除率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3.术后 30 天死亡率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4.心室辅助桥接到心脏移植率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5.术中及术后 30 天内主要并发症发生率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6.术后随访率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7.患者术后生存率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（十）人工智能辅助治疗技术临床应用质量控制指标（20</w:t>
            </w:r>
            <w:r>
              <w:rPr>
                <w:rFonts w:hint="default" w:ascii="Times New Roman" w:hAnsi="Times New Roman" w:eastAsia="方正仿宋_GBK" w:cs="Times New Roman"/>
                <w:color w:val="auto"/>
                <w:kern w:val="0"/>
                <w:sz w:val="24"/>
                <w:szCs w:val="24"/>
                <w:highlight w:val="none"/>
                <w:lang w:val="en-US" w:eastAsia="zh-CN"/>
              </w:rPr>
              <w:t>22</w:t>
            </w:r>
            <w:r>
              <w:rPr>
                <w:rFonts w:hint="default" w:ascii="Times New Roman" w:hAnsi="Times New Roman" w:eastAsia="方正仿宋_GBK" w:cs="Times New Roman"/>
                <w:color w:val="auto"/>
                <w:kern w:val="0"/>
                <w:sz w:val="24"/>
                <w:szCs w:val="24"/>
                <w:highlight w:val="none"/>
              </w:rPr>
              <w:t>年版）</w:t>
            </w: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1.平均术前准备时间</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2.平均手术时间</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3.重大并发症发生率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4.手术中转率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5.术中设备不良事件发生率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6.术中及术后死亡率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7.各专业月手术量及人工智能辅助治疗技术比例</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283"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8.平均住院日</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（十</w:t>
            </w:r>
            <w:r>
              <w:rPr>
                <w:rFonts w:hint="default" w:ascii="Times New Roman" w:hAnsi="Times New Roman" w:eastAsia="方正仿宋_GBK" w:cs="Times New Roman"/>
                <w:color w:val="auto"/>
                <w:kern w:val="0"/>
                <w:sz w:val="24"/>
                <w:szCs w:val="24"/>
                <w:highlight w:val="none"/>
                <w:lang w:val="en-US" w:eastAsia="zh-CN"/>
              </w:rPr>
              <w:t>一</w:t>
            </w:r>
            <w:r>
              <w:rPr>
                <w:rFonts w:hint="default" w:ascii="Times New Roman" w:hAnsi="Times New Roman" w:eastAsia="方正仿宋_GBK" w:cs="Times New Roman"/>
                <w:color w:val="auto"/>
                <w:kern w:val="0"/>
                <w:sz w:val="24"/>
                <w:szCs w:val="24"/>
                <w:highlight w:val="none"/>
              </w:rPr>
              <w:t>）体外膜肺氧合（ECMO）技术临床应用质量控制指标（20</w:t>
            </w:r>
            <w:r>
              <w:rPr>
                <w:rFonts w:hint="default" w:ascii="Times New Roman" w:hAnsi="Times New Roman" w:eastAsia="方正仿宋_GBK" w:cs="Times New Roman"/>
                <w:color w:val="auto"/>
                <w:kern w:val="0"/>
                <w:sz w:val="24"/>
                <w:szCs w:val="24"/>
                <w:highlight w:val="none"/>
                <w:lang w:val="en-US" w:eastAsia="zh-CN"/>
              </w:rPr>
              <w:t>22</w:t>
            </w:r>
            <w:r>
              <w:rPr>
                <w:rFonts w:hint="default" w:ascii="Times New Roman" w:hAnsi="Times New Roman" w:eastAsia="方正仿宋_GBK" w:cs="Times New Roman"/>
                <w:color w:val="auto"/>
                <w:kern w:val="0"/>
                <w:sz w:val="24"/>
                <w:szCs w:val="24"/>
                <w:highlight w:val="none"/>
              </w:rPr>
              <w:t>年版）</w:t>
            </w: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1.ECMO 有效撤除率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2.30 天全因死亡率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3.一年生存率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4.机械故障指标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5.术中及术后 30 天内患者主要并发症发生率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sz w:val="24"/>
              </w:rPr>
              <mc:AlternateContent>
                <mc:Choice Requires="wps">
                  <w:drawing>
                    <wp:anchor distT="0" distB="0" distL="114300" distR="114300" simplePos="0" relativeHeight="251676672" behindDoc="0" locked="0" layoutInCell="1" allowOverlap="1">
                      <wp:simplePos x="0" y="0"/>
                      <wp:positionH relativeFrom="column">
                        <wp:posOffset>-814070</wp:posOffset>
                      </wp:positionH>
                      <wp:positionV relativeFrom="paragraph">
                        <wp:posOffset>1019810</wp:posOffset>
                      </wp:positionV>
                      <wp:extent cx="733425" cy="17145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733425" cy="1714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b w:val="0"/>
                                      <w:bCs w:val="0"/>
                                      <w:color w:val="auto"/>
                                      <w:kern w:val="0"/>
                                      <w:sz w:val="24"/>
                                      <w:szCs w:val="24"/>
                                      <w:highlight w:val="none"/>
                                    </w:rPr>
                                    <w:t>一、国家限制类医疗技术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4.1pt;margin-top:80.3pt;height:135pt;width:57.75pt;z-index:251676672;mso-width-relative:page;mso-height-relative:page;" filled="f" stroked="f" coordsize="21600,21600" o:gfxdata="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6Ryes2wAAAAwBAAAPAAAAAAAAAAEAIAAAACIA&#10;AABkcnMvZG93bnJldi54bWxQSwECFAAUAAAACACHTuJAurUzCD8CAABoBAAADgAAAAAAAAABACAA&#10;AAAqAQAAZHJzL2Uyb0RvYy54bWxQSwUGAAAAAAYABgBZAQAA2wU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b w:val="0"/>
                                <w:bCs w:val="0"/>
                                <w:color w:val="auto"/>
                                <w:kern w:val="0"/>
                                <w:sz w:val="24"/>
                                <w:szCs w:val="24"/>
                                <w:highlight w:val="none"/>
                              </w:rPr>
                              <w:t>一、国家限制类医疗技术</w:t>
                            </w:r>
                          </w:p>
                        </w:txbxContent>
                      </v:textbox>
                    </v:shape>
                  </w:pict>
                </mc:Fallback>
              </mc:AlternateContent>
            </w:r>
            <w:r>
              <w:rPr>
                <w:rFonts w:hint="default" w:ascii="Times New Roman" w:hAnsi="Times New Roman" w:eastAsia="方正仿宋_GBK" w:cs="Times New Roman"/>
                <w:color w:val="auto"/>
                <w:kern w:val="0"/>
                <w:sz w:val="24"/>
                <w:szCs w:val="24"/>
                <w:highlight w:val="none"/>
              </w:rPr>
              <w:t>（十</w:t>
            </w:r>
            <w:r>
              <w:rPr>
                <w:rFonts w:hint="default" w:ascii="Times New Roman" w:hAnsi="Times New Roman" w:eastAsia="方正仿宋_GBK" w:cs="Times New Roman"/>
                <w:color w:val="auto"/>
                <w:kern w:val="0"/>
                <w:sz w:val="24"/>
                <w:szCs w:val="24"/>
                <w:highlight w:val="none"/>
                <w:lang w:val="en-US" w:eastAsia="zh-CN"/>
              </w:rPr>
              <w:t>二</w:t>
            </w:r>
            <w:r>
              <w:rPr>
                <w:rFonts w:hint="default" w:ascii="Times New Roman" w:hAnsi="Times New Roman" w:eastAsia="方正仿宋_GBK" w:cs="Times New Roman"/>
                <w:color w:val="auto"/>
                <w:kern w:val="0"/>
                <w:sz w:val="24"/>
                <w:szCs w:val="24"/>
                <w:highlight w:val="none"/>
              </w:rPr>
              <w:t>）自体器官移植技术临床应用质量控制指标（20</w:t>
            </w:r>
            <w:r>
              <w:rPr>
                <w:rFonts w:hint="default" w:ascii="Times New Roman" w:hAnsi="Times New Roman" w:eastAsia="方正仿宋_GBK" w:cs="Times New Roman"/>
                <w:color w:val="auto"/>
                <w:kern w:val="0"/>
                <w:sz w:val="24"/>
                <w:szCs w:val="24"/>
                <w:highlight w:val="none"/>
                <w:lang w:val="en-US" w:eastAsia="zh-CN"/>
              </w:rPr>
              <w:t>22</w:t>
            </w:r>
            <w:r>
              <w:rPr>
                <w:rFonts w:hint="default" w:ascii="Times New Roman" w:hAnsi="Times New Roman" w:eastAsia="方正仿宋_GBK" w:cs="Times New Roman"/>
                <w:color w:val="auto"/>
                <w:kern w:val="0"/>
                <w:sz w:val="24"/>
                <w:szCs w:val="24"/>
                <w:highlight w:val="none"/>
              </w:rPr>
              <w:t>年版）</w:t>
            </w:r>
          </w:p>
        </w:tc>
        <w:tc>
          <w:tcPr>
            <w:tcW w:w="306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1.自体器官移植手术指标</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left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（1）冷缺血时间比例</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left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（2）无器官期时间比例</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left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（3）手术时间比例</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left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 xml:space="preserve">（4）术中大出血发生率 </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90"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left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lang w:val="en-US" w:eastAsia="zh-CN"/>
              </w:rPr>
              <w:t>5）术中输血率（红细胞）</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left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lang w:val="en-US" w:eastAsia="zh-CN"/>
              </w:rPr>
              <w:t>6）平均术中输血量（红细胞）</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2.自体器官移植术成功率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306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3.术后主要严重并发症指标</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（1）术后早期器官功能不全发生率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（2）术后非计划二次手术率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（3）术后血管并发症发生率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 xml:space="preserve">（4）Clavien-Ⅲ级及以上并发症发生率（严重并发症发生率） </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lang w:val="en-US" w:eastAsia="zh-CN"/>
              </w:rPr>
              <w:t>5）术后耐药菌感染发生率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306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4.患者术后生存指标</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（1）术后早期死亡率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（2）30 天内非计划再次入院率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（3）原发器官疾病术后复发率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5.术后全身系统严重并发症发生率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6.患者随访率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7.术后长期生存率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r>
              <w:rPr>
                <w:rFonts w:hint="default" w:ascii="Times New Roman" w:hAnsi="Times New Roman" w:eastAsia="方正仿宋_GBK" w:cs="Times New Roman"/>
                <w:b w:val="0"/>
                <w:bCs w:val="0"/>
                <w:color w:val="auto"/>
                <w:kern w:val="0"/>
                <w:sz w:val="24"/>
                <w:szCs w:val="24"/>
                <w:highlight w:val="none"/>
              </w:rPr>
              <w:t>二、人体器官捐献、获取与移植技术</w:t>
            </w:r>
          </w:p>
        </w:tc>
        <w:tc>
          <w:tcPr>
            <w:tcW w:w="374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（一）向人体器官获取组织报送的潜在器官捐献者人数与院内死亡人数比</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374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（二）实现器官捐献的人数与院内死亡人数比</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rPr>
              <w:t>（三）人体器官获取组织质量控制指标</w:t>
            </w: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lang w:val="en-US" w:eastAsia="zh-CN"/>
              </w:rPr>
              <w:t>2019年版）</w:t>
            </w: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1.器官捐献转化率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2.平均器官产出率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3.器官捐献分类占比</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4.获取器官利用率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5.器官病理检查率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6.边缘供器官比率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7.器官保存液病原菌培养阳性率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8.移植器官原发性无功能发生率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nil"/>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9.移植器官术后功能延迟性恢复发生率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 xml:space="preserve">（四）肝脏移植技术医疗质量控制指标（2020 年版） </w:t>
            </w:r>
          </w:p>
        </w:tc>
        <w:tc>
          <w:tcPr>
            <w:tcW w:w="306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1.肝癌肝脏移植指标</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（1）肝癌肝脏移植受者比例</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（2）单发肿瘤，直径不超过 5cm 的肝癌肝脏移植受者比例</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（3）多发肿瘤，肿瘤数目不超过 3 个，最大直径不超过 3cm 的肝癌肝脏移植受者比例</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306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2.肝脏移植手术指标</w:t>
            </w:r>
          </w:p>
        </w:tc>
      </w:tr>
      <w:tr>
        <w:tblPrEx>
          <w:tblCellMar>
            <w:top w:w="0" w:type="dxa"/>
            <w:left w:w="108" w:type="dxa"/>
            <w:bottom w:w="0" w:type="dxa"/>
            <w:right w:w="108" w:type="dxa"/>
          </w:tblCellMar>
        </w:tblPrEx>
        <w:trPr>
          <w:trHeight w:val="90"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（1）冷缺血时间比例</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（2）无肝期比例</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（3）手术时间比例</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 xml:space="preserve">（4）术中大出血发生率 </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306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3.术后主要并发症指标</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（1）术后早期肝功能不全（EAD）发生率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（2）术后非计划二次手术率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sz w:val="24"/>
              </w:rPr>
              <mc:AlternateContent>
                <mc:Choice Requires="wps">
                  <w:drawing>
                    <wp:anchor distT="0" distB="0" distL="114300" distR="114300" simplePos="0" relativeHeight="251679744" behindDoc="0" locked="0" layoutInCell="1" allowOverlap="1">
                      <wp:simplePos x="0" y="0"/>
                      <wp:positionH relativeFrom="column">
                        <wp:posOffset>-1354455</wp:posOffset>
                      </wp:positionH>
                      <wp:positionV relativeFrom="paragraph">
                        <wp:posOffset>137160</wp:posOffset>
                      </wp:positionV>
                      <wp:extent cx="1180465" cy="17145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180465" cy="1714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color w:val="auto"/>
                                      <w:kern w:val="0"/>
                                      <w:sz w:val="24"/>
                                      <w:szCs w:val="24"/>
                                      <w:highlight w:val="none"/>
                                    </w:rPr>
                                    <w:t xml:space="preserve">（四）肝脏移植技术医疗质量控制指标（2020 年版）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6.65pt;margin-top:10.8pt;height:135pt;width:92.95pt;z-index:251679744;mso-width-relative:page;mso-height-relative:page;" filled="f" stroked="f" coordsize="21600,21600" o:gfxdata="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vKnkRNsAAAALAQAADwAAAAAAAAABACAAAAAiAAAA&#10;ZHJzL2Rvd25yZXYueG1sUEsBAhQAFAAAAAgAh07iQBIUgyA9AgAAaQQAAA4AAAAAAAAAAQAgAAAA&#10;KgEAAGRycy9lMm9Eb2MueG1sUEsFBgAAAAAGAAYAWQEAANkFA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color w:val="auto"/>
                                <w:kern w:val="0"/>
                                <w:sz w:val="24"/>
                                <w:szCs w:val="24"/>
                                <w:highlight w:val="none"/>
                              </w:rPr>
                              <w:t xml:space="preserve">（四）肝脏移植技术医疗质量控制指标（2020 年版） </w:t>
                            </w:r>
                          </w:p>
                        </w:txbxContent>
                      </v:textbox>
                    </v:shape>
                  </w:pict>
                </mc:Fallback>
              </mc:AlternateContent>
            </w:r>
            <w:r>
              <w:rPr>
                <w:rFonts w:hint="default" w:ascii="Times New Roman" w:hAnsi="Times New Roman" w:eastAsia="方正仿宋_GBK" w:cs="Times New Roman"/>
                <w:color w:val="auto"/>
                <w:kern w:val="0"/>
                <w:sz w:val="24"/>
                <w:szCs w:val="24"/>
                <w:highlight w:val="none"/>
              </w:rPr>
              <w:t>（3）术后血管并发症发生率（1 周内、1 月内、3 月内）</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（4）术后超急性排斥反应、急性排斥反应发生率（1 周内、1月内、6月内、1 年内）</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（5）术后胆道并发症发生率（1月内、6月内、1年内）</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（6）术后耐药菌感染发生率（1 周内、1 月内、6 月内、 1 年内）</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306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4.受者术后生存指标</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（1）术后早期死亡率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（2）受者术后生存率（1 年、3 年、5 年）</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sz w:val="24"/>
              </w:rPr>
              <mc:AlternateContent>
                <mc:Choice Requires="wps">
                  <w:drawing>
                    <wp:anchor distT="0" distB="0" distL="114300" distR="114300" simplePos="0" relativeHeight="251677696" behindDoc="0" locked="0" layoutInCell="1" allowOverlap="1">
                      <wp:simplePos x="0" y="0"/>
                      <wp:positionH relativeFrom="column">
                        <wp:posOffset>-2250440</wp:posOffset>
                      </wp:positionH>
                      <wp:positionV relativeFrom="paragraph">
                        <wp:posOffset>-2098040</wp:posOffset>
                      </wp:positionV>
                      <wp:extent cx="733425" cy="17145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733425" cy="1714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b w:val="0"/>
                                      <w:bCs w:val="0"/>
                                      <w:color w:val="auto"/>
                                      <w:kern w:val="0"/>
                                      <w:sz w:val="24"/>
                                      <w:szCs w:val="24"/>
                                      <w:highlight w:val="none"/>
                                    </w:rPr>
                                    <w:t>二、人体器官捐献、获取与移植技术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7.2pt;margin-top:-165.2pt;height:135pt;width:57.75pt;z-index:251677696;mso-width-relative:page;mso-height-relative:page;" filled="f" stroked="f" coordsize="21600,21600" o:gfxdata="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IZ/xgN0AAAAOAQAADwAAAAAAAAABACAAAAAi&#10;AAAAZHJzL2Rvd25yZXYueG1sUEsBAhQAFAAAAAgAh07iQC/OZYM+AgAAaAQAAA4AAAAAAAAAAQAg&#10;AAAALAEAAGRycy9lMm9Eb2MueG1sUEsFBgAAAAAGAAYAWQEAANwFA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b w:val="0"/>
                                <w:bCs w:val="0"/>
                                <w:color w:val="auto"/>
                                <w:kern w:val="0"/>
                                <w:sz w:val="24"/>
                                <w:szCs w:val="24"/>
                                <w:highlight w:val="none"/>
                              </w:rPr>
                              <w:t>二、人体器官捐献、获取与移植技术</w:t>
                            </w:r>
                          </w:p>
                        </w:txbxContent>
                      </v:textbox>
                    </v:shape>
                  </w:pict>
                </mc:Fallback>
              </mc:AlternateContent>
            </w:r>
            <w:r>
              <w:rPr>
                <w:rFonts w:hint="default" w:ascii="Times New Roman" w:hAnsi="Times New Roman" w:eastAsia="方正仿宋_GBK" w:cs="Times New Roman"/>
                <w:color w:val="auto"/>
                <w:kern w:val="0"/>
                <w:sz w:val="24"/>
                <w:szCs w:val="24"/>
                <w:highlight w:val="none"/>
              </w:rPr>
              <w:t>（3）肝癌肝脏移植受者术后无瘤生存率（1 年、3 年、 5 年）</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306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5.中国肝移植注册系统（CLTR）数据报送质量指标</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（1）数据完整度</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（2）数据及时性</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（3）数据真实性</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（4）有效随访率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（5）受者失访率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 xml:space="preserve">（五）肾脏移植技术医疗质量控制指标（2020 年版） </w:t>
            </w: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1.冷热缺血时间</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2.亲属间活体捐献者重大并发症发生率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3.术后 30 天内死亡率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4.移植肾功能延迟恢复发生率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5.血管并发症发生率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6.急性排斥反应发生率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7.术后感染发生率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52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306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8.中国肾脏移植科学登记系统（CSRKT）数据报送质量指标</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（1）数据完整度</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（2）数据及时性</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（3）数据真实性</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 xml:space="preserve">（4）受者总体随访质量 </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357"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9.移植肾生存率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p>
            <w:pPr>
              <w:widowControl/>
              <w:spacing w:line="300" w:lineRule="exact"/>
              <w:jc w:val="both"/>
              <w:rPr>
                <w:rFonts w:hint="default" w:ascii="Times New Roman" w:hAnsi="Times New Roman" w:eastAsia="方正仿宋_GBK" w:cs="Times New Roman"/>
                <w:color w:val="auto"/>
                <w:kern w:val="0"/>
                <w:sz w:val="24"/>
                <w:szCs w:val="24"/>
                <w:highlight w:val="none"/>
              </w:rPr>
            </w:pPr>
          </w:p>
          <w:p>
            <w:pPr>
              <w:widowControl/>
              <w:spacing w:line="300" w:lineRule="exact"/>
              <w:jc w:val="both"/>
              <w:rPr>
                <w:rFonts w:hint="default" w:ascii="Times New Roman" w:hAnsi="Times New Roman" w:eastAsia="方正仿宋_GBK" w:cs="Times New Roman"/>
                <w:color w:val="auto"/>
                <w:kern w:val="0"/>
                <w:sz w:val="24"/>
                <w:szCs w:val="24"/>
                <w:highlight w:val="none"/>
              </w:rPr>
            </w:pPr>
          </w:p>
          <w:p>
            <w:pPr>
              <w:widowControl/>
              <w:spacing w:line="300" w:lineRule="exact"/>
              <w:jc w:val="both"/>
              <w:rPr>
                <w:rFonts w:hint="default" w:ascii="Times New Roman" w:hAnsi="Times New Roman" w:eastAsia="方正仿宋_GBK" w:cs="Times New Roman"/>
                <w:color w:val="auto"/>
                <w:kern w:val="0"/>
                <w:sz w:val="24"/>
                <w:szCs w:val="24"/>
                <w:highlight w:val="none"/>
              </w:rPr>
            </w:pPr>
          </w:p>
          <w:p>
            <w:pPr>
              <w:widowControl/>
              <w:spacing w:line="300" w:lineRule="exact"/>
              <w:jc w:val="both"/>
              <w:rPr>
                <w:rFonts w:hint="default" w:ascii="Times New Roman" w:hAnsi="Times New Roman" w:eastAsia="方正仿宋_GBK" w:cs="Times New Roman"/>
                <w:color w:val="auto"/>
                <w:kern w:val="0"/>
                <w:sz w:val="24"/>
                <w:szCs w:val="24"/>
                <w:highlight w:val="none"/>
              </w:rPr>
            </w:pPr>
          </w:p>
          <w:p>
            <w:pPr>
              <w:widowControl/>
              <w:spacing w:line="300" w:lineRule="exact"/>
              <w:jc w:val="both"/>
              <w:rPr>
                <w:rFonts w:hint="default" w:ascii="Times New Roman" w:hAnsi="Times New Roman" w:eastAsia="方正仿宋_GBK" w:cs="Times New Roman"/>
                <w:color w:val="auto"/>
                <w:kern w:val="0"/>
                <w:sz w:val="24"/>
                <w:szCs w:val="24"/>
                <w:highlight w:val="none"/>
              </w:rPr>
            </w:pPr>
          </w:p>
          <w:p>
            <w:pPr>
              <w:widowControl/>
              <w:spacing w:line="300" w:lineRule="exact"/>
              <w:jc w:val="both"/>
              <w:rPr>
                <w:rFonts w:hint="default" w:ascii="Times New Roman" w:hAnsi="Times New Roman" w:eastAsia="方正仿宋_GBK" w:cs="Times New Roman"/>
                <w:color w:val="auto"/>
                <w:kern w:val="0"/>
                <w:sz w:val="24"/>
                <w:szCs w:val="24"/>
                <w:highlight w:val="none"/>
              </w:rPr>
            </w:pPr>
            <w:r>
              <w:rPr>
                <w:sz w:val="24"/>
              </w:rPr>
              <mc:AlternateContent>
                <mc:Choice Requires="wps">
                  <w:drawing>
                    <wp:anchor distT="0" distB="0" distL="114300" distR="114300" simplePos="0" relativeHeight="251678720" behindDoc="0" locked="0" layoutInCell="1" allowOverlap="1">
                      <wp:simplePos x="0" y="0"/>
                      <wp:positionH relativeFrom="column">
                        <wp:posOffset>-785495</wp:posOffset>
                      </wp:positionH>
                      <wp:positionV relativeFrom="paragraph">
                        <wp:posOffset>851535</wp:posOffset>
                      </wp:positionV>
                      <wp:extent cx="685800" cy="17145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685800" cy="1714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b w:val="0"/>
                                      <w:bCs w:val="0"/>
                                      <w:color w:val="auto"/>
                                      <w:kern w:val="0"/>
                                      <w:sz w:val="24"/>
                                      <w:szCs w:val="24"/>
                                      <w:highlight w:val="none"/>
                                    </w:rPr>
                                    <w:t>二、人体器官捐献、获取与移植技术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85pt;margin-top:67.05pt;height:135pt;width:54pt;z-index:251678720;mso-width-relative:page;mso-height-relative:page;" filled="f" stroked="f" coordsize="21600,21600" o:gfxdata="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HWi7fzbAAAADAEAAA8AAAAAAAAAAQAgAAAAIgAAAGRy&#10;cy9kb3ducmV2LnhtbFBLAQIUABQAAAAIAIdO4kD2Z9GJOwIAAGgEAAAOAAAAAAAAAAEAIAAAACoB&#10;AABkcnMvZTJvRG9jLnhtbFBLBQYAAAAABgAGAFkBAADXBQ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b w:val="0"/>
                                <w:bCs w:val="0"/>
                                <w:color w:val="auto"/>
                                <w:kern w:val="0"/>
                                <w:sz w:val="24"/>
                                <w:szCs w:val="24"/>
                                <w:highlight w:val="none"/>
                              </w:rPr>
                              <w:t>二、人体器官捐献、获取与移植技术</w:t>
                            </w:r>
                          </w:p>
                        </w:txbxContent>
                      </v:textbox>
                    </v:shape>
                  </w:pict>
                </mc:Fallback>
              </mc:AlternateContent>
            </w:r>
            <w:r>
              <w:rPr>
                <w:rFonts w:hint="default" w:ascii="Times New Roman" w:hAnsi="Times New Roman" w:eastAsia="方正仿宋_GBK" w:cs="Times New Roman"/>
                <w:color w:val="auto"/>
                <w:kern w:val="0"/>
                <w:sz w:val="24"/>
                <w:szCs w:val="24"/>
                <w:highlight w:val="none"/>
              </w:rPr>
              <w:t xml:space="preserve">（六）心脏移植技术医疗质量控制指标（2020 年版） </w:t>
            </w: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1.伦理委员会决议通过率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2.术前有创肺动脉压监测率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3.术前心肺运动试验检查率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4.供体心脏缺血时间小于等于 6 小时的比例</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5.术中术后生命支持应用率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6.术</w:t>
            </w:r>
            <w:r>
              <w:rPr>
                <w:rFonts w:hint="default" w:ascii="Times New Roman" w:hAnsi="Times New Roman" w:eastAsia="方正仿宋_GBK" w:cs="Times New Roman"/>
                <w:color w:val="auto"/>
                <w:spacing w:val="-11"/>
                <w:kern w:val="0"/>
                <w:sz w:val="24"/>
                <w:szCs w:val="24"/>
                <w:highlight w:val="none"/>
              </w:rPr>
              <w:t>后机械通气时间小于等于 48 小时的比例</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7.术后并发症发病率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8.术后院内死亡率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9.术后存活率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306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10.中国心脏移植注册登记数据报送质量指标</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（1）数据完整度</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（2）数据及时性</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（3）随访完整度</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（七）肺脏移植技术医疗质量控制指标（2020 年版）</w:t>
            </w: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1.肺脏移植绝对适应证占比</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2.热缺血时间≤1 分钟（min）比例</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3.冷缺血时间≤12 小时（h）比例</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w:t>
            </w:r>
            <w:r>
              <w:rPr>
                <w:rFonts w:hint="default" w:ascii="Times New Roman" w:hAnsi="Times New Roman" w:eastAsia="方正仿宋_GBK" w:cs="Times New Roman"/>
                <w:color w:val="auto"/>
                <w:spacing w:val="-6"/>
                <w:kern w:val="0"/>
                <w:sz w:val="24"/>
                <w:szCs w:val="24"/>
                <w:highlight w:val="none"/>
              </w:rPr>
              <w:t>.术中异体输血≤1000 毫升（ml）手术比例</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5.术后二次开胸率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6.术后 3 个月内感染发生率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7.术</w:t>
            </w:r>
            <w:r>
              <w:rPr>
                <w:rFonts w:hint="default" w:ascii="Times New Roman" w:hAnsi="Times New Roman" w:eastAsia="方正仿宋_GBK" w:cs="Times New Roman"/>
                <w:color w:val="auto"/>
                <w:spacing w:val="-6"/>
                <w:kern w:val="0"/>
                <w:sz w:val="24"/>
                <w:szCs w:val="24"/>
                <w:highlight w:val="none"/>
              </w:rPr>
              <w:t>后 6 个月内气道吻合口并发症发生率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8.诊断符合率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303"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9.术后（6月、1年、3年、5年、10年生存率</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306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10.中国肺脏移植注册登记数据报送质量指标</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（1）数据完整度</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（2）数据及时性</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285"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（3）随访完整度</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83" w:hRule="atLeast"/>
          <w:jc w:val="center"/>
        </w:trPr>
        <w:tc>
          <w:tcPr>
            <w:tcW w:w="668"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b/>
                <w:bCs/>
                <w:color w:val="auto"/>
                <w:kern w:val="0"/>
                <w:sz w:val="24"/>
                <w:szCs w:val="24"/>
                <w:highlight w:val="none"/>
              </w:rPr>
            </w:pPr>
            <w:r>
              <w:rPr>
                <w:rFonts w:hint="default" w:ascii="Times New Roman" w:hAnsi="Times New Roman" w:eastAsia="方正仿宋_GBK" w:cs="Times New Roman"/>
                <w:b w:val="0"/>
                <w:bCs w:val="0"/>
                <w:color w:val="auto"/>
                <w:kern w:val="0"/>
                <w:sz w:val="24"/>
                <w:szCs w:val="24"/>
                <w:highlight w:val="none"/>
                <w:lang w:val="en-US" w:eastAsia="zh-CN"/>
              </w:rPr>
              <w:t>三</w:t>
            </w:r>
            <w:r>
              <w:rPr>
                <w:rFonts w:hint="default" w:ascii="Times New Roman" w:hAnsi="Times New Roman" w:eastAsia="方正仿宋_GBK" w:cs="Times New Roman"/>
                <w:b w:val="0"/>
                <w:bCs w:val="0"/>
                <w:color w:val="auto"/>
                <w:kern w:val="0"/>
                <w:sz w:val="24"/>
                <w:szCs w:val="24"/>
                <w:highlight w:val="none"/>
              </w:rPr>
              <w:t>、其他重点医疗技术质量控制指标</w:t>
            </w:r>
          </w:p>
        </w:tc>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消化内镜诊疗技术医疗质量控制指标（2022 年版）</w:t>
            </w: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rPr>
              <w:t>1.消化内镜中心医师年均工作量</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83"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cs="Times New Roman"/>
                <w:color w:val="auto"/>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cs="Times New Roman"/>
                <w:color w:val="auto"/>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2.四级消化内镜诊疗技术占比</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83"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3.三级消化内镜诊疗技术占比</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83"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rPr>
              <w:t>4.上消化道内镜检查完整率</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83"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rPr>
              <w:t>5</w:t>
            </w:r>
            <w:r>
              <w:rPr>
                <w:rFonts w:hint="default" w:ascii="Times New Roman" w:hAnsi="Times New Roman" w:eastAsia="方正仿宋_GBK" w:cs="Times New Roman"/>
                <w:color w:val="auto"/>
                <w:kern w:val="0"/>
                <w:sz w:val="24"/>
                <w:szCs w:val="24"/>
                <w:highlight w:val="none"/>
              </w:rPr>
              <w:t>.结肠镜检查肠道准备优良率</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83"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rPr>
              <w:t>6</w:t>
            </w:r>
            <w:r>
              <w:rPr>
                <w:rFonts w:hint="default" w:ascii="Times New Roman" w:hAnsi="Times New Roman" w:eastAsia="方正仿宋_GBK" w:cs="Times New Roman"/>
                <w:color w:val="auto"/>
                <w:kern w:val="0"/>
                <w:sz w:val="24"/>
                <w:szCs w:val="24"/>
                <w:highlight w:val="none"/>
              </w:rPr>
              <w:t>.结肠镜盲肠插镜成功率</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83"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rPr>
              <w:t>7</w:t>
            </w:r>
            <w:r>
              <w:rPr>
                <w:rFonts w:hint="default" w:ascii="Times New Roman" w:hAnsi="Times New Roman" w:eastAsia="方正仿宋_GBK" w:cs="Times New Roman"/>
                <w:color w:val="auto"/>
                <w:kern w:val="0"/>
                <w:sz w:val="24"/>
                <w:szCs w:val="24"/>
                <w:highlight w:val="none"/>
              </w:rPr>
              <w:t>.结肠镜退镜检查时间≥6 分钟率</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83"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rPr>
              <w:t>8</w:t>
            </w:r>
            <w:r>
              <w:rPr>
                <w:rFonts w:hint="default" w:ascii="Times New Roman" w:hAnsi="Times New Roman" w:eastAsia="方正仿宋_GBK" w:cs="Times New Roman"/>
                <w:color w:val="auto"/>
                <w:kern w:val="0"/>
                <w:sz w:val="24"/>
                <w:szCs w:val="24"/>
                <w:highlight w:val="none"/>
              </w:rPr>
              <w:t>.内镜下逆行胰胆管造影术（ERCP）选择性深插管成功率</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83"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rPr>
              <w:t>9</w:t>
            </w:r>
            <w:r>
              <w:rPr>
                <w:rFonts w:hint="default" w:ascii="Times New Roman" w:hAnsi="Times New Roman" w:eastAsia="方正仿宋_GBK" w:cs="Times New Roman"/>
                <w:color w:val="auto"/>
                <w:kern w:val="0"/>
                <w:sz w:val="24"/>
                <w:szCs w:val="24"/>
                <w:highlight w:val="none"/>
              </w:rPr>
              <w:t>.超声内镜（EUS）检查完整率</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83"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rPr>
              <w:t>10</w:t>
            </w:r>
            <w:r>
              <w:rPr>
                <w:rFonts w:hint="default" w:ascii="Times New Roman" w:hAnsi="Times New Roman" w:eastAsia="方正仿宋_GBK" w:cs="Times New Roman"/>
                <w:color w:val="auto"/>
                <w:kern w:val="0"/>
                <w:sz w:val="24"/>
                <w:szCs w:val="24"/>
                <w:highlight w:val="none"/>
              </w:rPr>
              <w:t>.磁控胶囊胃镜检查完整率</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83"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rPr>
              <w:t>11.消化内镜相关严重并发症发生率</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83"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rPr>
              <w:t>12.食管癌早期诊断率</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83"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rPr>
              <w:t>13.胃癌早期诊断率</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83"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rPr>
              <w:t>14结直肠腺瘤检出率</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83"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rPr>
              <w:t>15.结直肠癌早期诊断率</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83" w:hRule="atLeas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rPr>
              <w:t>16.消化道早癌内镜黏膜下剥离术（ESD）完整切除率</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r>
        <w:tblPrEx>
          <w:tblCellMar>
            <w:top w:w="0" w:type="dxa"/>
            <w:left w:w="108" w:type="dxa"/>
            <w:bottom w:w="0" w:type="dxa"/>
            <w:right w:w="108" w:type="dxa"/>
          </w:tblCellMar>
        </w:tblPrEx>
        <w:trPr>
          <w:trHeight w:val="1134"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rPr>
            </w:pPr>
            <w:r>
              <w:rPr>
                <w:sz w:val="24"/>
              </w:rPr>
              <mc:AlternateContent>
                <mc:Choice Requires="wps">
                  <w:drawing>
                    <wp:anchor distT="0" distB="0" distL="114300" distR="114300" simplePos="0" relativeHeight="251681792" behindDoc="0" locked="0" layoutInCell="1" allowOverlap="1">
                      <wp:simplePos x="0" y="0"/>
                      <wp:positionH relativeFrom="column">
                        <wp:posOffset>-1480820</wp:posOffset>
                      </wp:positionH>
                      <wp:positionV relativeFrom="paragraph">
                        <wp:posOffset>220980</wp:posOffset>
                      </wp:positionV>
                      <wp:extent cx="1180465" cy="17145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180465" cy="1714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color w:val="auto"/>
                                      <w:kern w:val="0"/>
                                      <w:sz w:val="24"/>
                                      <w:szCs w:val="24"/>
                                      <w:highlight w:val="none"/>
                                    </w:rPr>
                                    <w:t>消化内镜诊疗技术医疗质量控制指标（2022 年版）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6.6pt;margin-top:17.4pt;height:135pt;width:92.95pt;z-index:251681792;mso-width-relative:page;mso-height-relative:page;" filled="f" stroked="f" coordsize="21600,21600" o:gfxdata="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G3ula2gAAAAsBAAAPAAAAAAAAAAEAIAAAACIAAABk&#10;cnMvZG93bnJldi54bWxQSwECFAAUAAAACACHTuJAp3EREj0CAABpBAAADgAAAAAAAAABACAAAAAp&#10;AQAAZHJzL2Uyb0RvYy54bWxQSwUGAAAAAAYABgBZAQAA2AU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color w:val="auto"/>
                                <w:kern w:val="0"/>
                                <w:sz w:val="24"/>
                                <w:szCs w:val="24"/>
                                <w:highlight w:val="none"/>
                              </w:rPr>
                              <w:t>消化内镜诊疗技术医疗质量控制指标（2022 年版）</w:t>
                            </w:r>
                          </w:p>
                        </w:txbxContent>
                      </v:textbox>
                    </v:shape>
                  </w:pict>
                </mc:Fallback>
              </mc:AlternateContent>
            </w:r>
            <w:r>
              <w:rPr>
                <w:sz w:val="24"/>
              </w:rPr>
              <mc:AlternateContent>
                <mc:Choice Requires="wps">
                  <w:drawing>
                    <wp:anchor distT="0" distB="0" distL="114300" distR="114300" simplePos="0" relativeHeight="251680768" behindDoc="0" locked="0" layoutInCell="1" allowOverlap="1">
                      <wp:simplePos x="0" y="0"/>
                      <wp:positionH relativeFrom="column">
                        <wp:posOffset>-2322830</wp:posOffset>
                      </wp:positionH>
                      <wp:positionV relativeFrom="paragraph">
                        <wp:posOffset>186690</wp:posOffset>
                      </wp:positionV>
                      <wp:extent cx="828040" cy="1266825"/>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828040" cy="12668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pPr>
                                  <w:r>
                                    <w:rPr>
                                      <w:rFonts w:hint="default" w:ascii="Times New Roman" w:hAnsi="Times New Roman" w:eastAsia="方正仿宋_GBK" w:cs="Times New Roman"/>
                                      <w:b w:val="0"/>
                                      <w:bCs w:val="0"/>
                                      <w:color w:val="auto"/>
                                      <w:kern w:val="0"/>
                                      <w:sz w:val="24"/>
                                      <w:szCs w:val="24"/>
                                      <w:highlight w:val="none"/>
                                      <w:lang w:val="en-US" w:eastAsia="zh-CN"/>
                                    </w:rPr>
                                    <w:t>三</w:t>
                                  </w:r>
                                  <w:r>
                                    <w:rPr>
                                      <w:rFonts w:hint="default" w:ascii="Times New Roman" w:hAnsi="Times New Roman" w:eastAsia="方正仿宋_GBK" w:cs="Times New Roman"/>
                                      <w:b w:val="0"/>
                                      <w:bCs w:val="0"/>
                                      <w:color w:val="auto"/>
                                      <w:kern w:val="0"/>
                                      <w:sz w:val="24"/>
                                      <w:szCs w:val="24"/>
                                      <w:highlight w:val="none"/>
                                    </w:rPr>
                                    <w:t>、其他重点医疗技术质量控制指标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2.9pt;margin-top:14.7pt;height:99.75pt;width:65.2pt;z-index:251680768;mso-width-relative:page;mso-height-relative:page;" filled="f" stroked="f" coordsize="21600,21600" o:gfxdata="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jFtXjdAAAADAEAAA8AAAAAAAAAAQAgAAAAIgAA&#10;AGRycy9kb3ducmV2LnhtbFBLAQIUABQAAAAIAIdO4kA+VfmNPAIAAGgEAAAOAAAAAAAAAAEAIAAA&#10;ACwBAABkcnMvZTJvRG9jLnhtbFBLBQYAAAAABgAGAFkBAADaBQAAAAA=&#10;">
                      <v:fill on="f" focussize="0,0"/>
                      <v:stroke on="f" weight="0.5pt"/>
                      <v:imagedata o:title=""/>
                      <o:lock v:ext="edit" aspectratio="f"/>
                      <v:textbox>
                        <w:txbxContent>
                          <w:p>
                            <w:pPr>
                              <w:spacing w:line="300" w:lineRule="exact"/>
                            </w:pPr>
                            <w:r>
                              <w:rPr>
                                <w:rFonts w:hint="default" w:ascii="Times New Roman" w:hAnsi="Times New Roman" w:eastAsia="方正仿宋_GBK" w:cs="Times New Roman"/>
                                <w:b w:val="0"/>
                                <w:bCs w:val="0"/>
                                <w:color w:val="auto"/>
                                <w:kern w:val="0"/>
                                <w:sz w:val="24"/>
                                <w:szCs w:val="24"/>
                                <w:highlight w:val="none"/>
                                <w:lang w:val="en-US" w:eastAsia="zh-CN"/>
                              </w:rPr>
                              <w:t>三</w:t>
                            </w:r>
                            <w:r>
                              <w:rPr>
                                <w:rFonts w:hint="default" w:ascii="Times New Roman" w:hAnsi="Times New Roman" w:eastAsia="方正仿宋_GBK" w:cs="Times New Roman"/>
                                <w:b w:val="0"/>
                                <w:bCs w:val="0"/>
                                <w:color w:val="auto"/>
                                <w:kern w:val="0"/>
                                <w:sz w:val="24"/>
                                <w:szCs w:val="24"/>
                                <w:highlight w:val="none"/>
                              </w:rPr>
                              <w:t>、其他重点医疗技术质量控制指标</w:t>
                            </w:r>
                          </w:p>
                        </w:txbxContent>
                      </v:textbox>
                    </v:shape>
                  </w:pict>
                </mc:Fallback>
              </mc:AlternateContent>
            </w:r>
            <w:r>
              <w:rPr>
                <w:rFonts w:hint="default" w:ascii="Times New Roman" w:hAnsi="Times New Roman" w:eastAsia="方正仿宋_GBK" w:cs="Times New Roman"/>
                <w:color w:val="auto"/>
                <w:kern w:val="0"/>
                <w:sz w:val="24"/>
                <w:szCs w:val="24"/>
                <w:highlight w:val="none"/>
                <w:lang w:val="en-US" w:eastAsia="zh-CN"/>
              </w:rPr>
              <w:t>17.ERCP 胆总管结石清除成功率</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p>
        </w:tc>
      </w:tr>
      <w:tr>
        <w:tblPrEx>
          <w:tblCellMar>
            <w:top w:w="0" w:type="dxa"/>
            <w:left w:w="108" w:type="dxa"/>
            <w:bottom w:w="0" w:type="dxa"/>
            <w:right w:w="108" w:type="dxa"/>
          </w:tblCellMar>
        </w:tblPrEx>
        <w:trPr>
          <w:trHeight w:val="1134" w:hRule="exact"/>
          <w:jc w:val="center"/>
        </w:trPr>
        <w:tc>
          <w:tcPr>
            <w:tcW w:w="6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1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rPr>
            </w:pP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rPr>
              <w:t>18.超声内镜引导下胰腺细针穿刺术（EUS-FNA）标本病理阳性率</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p>
        </w:tc>
      </w:tr>
    </w:tbl>
    <w:p>
      <w:pPr>
        <w:widowControl/>
        <w:rPr>
          <w:color w:val="auto"/>
          <w:highlight w:val="none"/>
        </w:rPr>
      </w:pPr>
    </w:p>
    <w:p>
      <w:pPr>
        <w:jc w:val="center"/>
        <w:rPr>
          <w:rFonts w:hint="eastAsia" w:ascii="宋体" w:hAnsi="宋体" w:eastAsia="宋体" w:cs="宋体"/>
          <w:color w:val="auto"/>
          <w:sz w:val="32"/>
          <w:szCs w:val="32"/>
          <w:highlight w:val="none"/>
        </w:rPr>
      </w:pPr>
      <w:bookmarkStart w:id="147" w:name="_Toc17684"/>
      <w:bookmarkStart w:id="148" w:name="_Toc27243"/>
      <w:bookmarkStart w:id="149" w:name="_Toc19080"/>
      <w:bookmarkStart w:id="150" w:name="_Toc21803"/>
      <w:bookmarkStart w:id="151" w:name="_Toc23161"/>
      <w:bookmarkStart w:id="152" w:name="_Toc22627"/>
      <w:bookmarkStart w:id="153" w:name="_Toc7112"/>
      <w:bookmarkStart w:id="154" w:name="_Toc11805"/>
      <w:bookmarkStart w:id="155" w:name="_Toc21146"/>
      <w:r>
        <w:rPr>
          <w:rFonts w:hint="eastAsia" w:ascii="宋体" w:hAnsi="宋体" w:eastAsia="宋体" w:cs="宋体"/>
          <w:color w:val="auto"/>
          <w:sz w:val="32"/>
          <w:szCs w:val="32"/>
          <w:highlight w:val="none"/>
        </w:rPr>
        <w:br w:type="page"/>
      </w:r>
    </w:p>
    <w:p>
      <w:pPr>
        <w:pStyle w:val="2"/>
        <w:jc w:val="center"/>
        <w:rPr>
          <w:rFonts w:ascii="宋体" w:hAnsi="宋体" w:eastAsia="宋体" w:cs="宋体"/>
          <w:color w:val="auto"/>
          <w:szCs w:val="32"/>
          <w:highlight w:val="none"/>
        </w:rPr>
      </w:pPr>
      <w:r>
        <w:rPr>
          <w:rFonts w:hint="eastAsia"/>
        </w:rPr>
        <w:t>第三部分 现场检查</w:t>
      </w:r>
      <w:bookmarkEnd w:id="147"/>
      <w:bookmarkEnd w:id="148"/>
      <w:bookmarkEnd w:id="149"/>
      <w:bookmarkEnd w:id="150"/>
      <w:bookmarkEnd w:id="151"/>
      <w:bookmarkEnd w:id="152"/>
      <w:bookmarkEnd w:id="153"/>
      <w:bookmarkEnd w:id="154"/>
      <w:bookmarkEnd w:id="155"/>
      <w:bookmarkStart w:id="156" w:name="_Toc9060"/>
    </w:p>
    <w:bookmarkEnd w:id="156"/>
    <w:p>
      <w:pPr>
        <w:pStyle w:val="3"/>
        <w:spacing w:line="560" w:lineRule="exact"/>
        <w:ind w:firstLine="0" w:firstLineChars="0"/>
        <w:jc w:val="center"/>
        <w:rPr>
          <w:rFonts w:asciiTheme="minorEastAsia" w:hAnsiTheme="minorEastAsia" w:eastAsiaTheme="minorEastAsia" w:cstheme="minorBidi"/>
          <w:color w:val="auto"/>
          <w:kern w:val="44"/>
          <w:sz w:val="24"/>
          <w:szCs w:val="24"/>
          <w:highlight w:val="none"/>
        </w:rPr>
      </w:pPr>
      <w:bookmarkStart w:id="157" w:name="_Toc13095"/>
      <w:bookmarkStart w:id="158" w:name="_Toc3324"/>
      <w:bookmarkStart w:id="159" w:name="_Toc254"/>
      <w:bookmarkStart w:id="160" w:name="_Toc17928"/>
      <w:bookmarkStart w:id="161" w:name="_Toc4151"/>
      <w:bookmarkStart w:id="162" w:name="_Toc4125"/>
      <w:bookmarkStart w:id="163" w:name="_Toc12544"/>
      <w:bookmarkStart w:id="164" w:name="_Toc15793"/>
      <w:bookmarkStart w:id="165" w:name="_Toc18440"/>
      <w:bookmarkStart w:id="166" w:name="_Toc5461"/>
      <w:bookmarkStart w:id="167" w:name="_Toc9406"/>
      <w:bookmarkStart w:id="168" w:name="_Toc23025"/>
      <w:r>
        <w:rPr>
          <w:rFonts w:hint="default" w:ascii="Times New Roman" w:hAnsi="Times New Roman" w:eastAsia="方正黑体_GBK" w:cs="Times New Roman"/>
          <w:color w:val="auto"/>
          <w:kern w:val="44"/>
          <w:sz w:val="32"/>
          <w:szCs w:val="24"/>
          <w:highlight w:val="none"/>
        </w:rPr>
        <w:t>第一章</w:t>
      </w:r>
      <w:bookmarkStart w:id="169" w:name="_Hlk49528577"/>
      <w:r>
        <w:rPr>
          <w:rFonts w:hint="default" w:ascii="Times New Roman" w:hAnsi="Times New Roman" w:eastAsia="方正黑体_GBK" w:cs="Times New Roman"/>
          <w:color w:val="auto"/>
          <w:kern w:val="44"/>
          <w:sz w:val="32"/>
          <w:szCs w:val="24"/>
          <w:highlight w:val="none"/>
        </w:rPr>
        <w:t xml:space="preserve"> 医院功能与任务</w:t>
      </w:r>
      <w:bookmarkEnd w:id="157"/>
      <w:bookmarkEnd w:id="158"/>
      <w:bookmarkEnd w:id="159"/>
      <w:bookmarkEnd w:id="160"/>
      <w:bookmarkEnd w:id="161"/>
      <w:bookmarkEnd w:id="162"/>
      <w:bookmarkEnd w:id="163"/>
      <w:bookmarkEnd w:id="164"/>
      <w:bookmarkEnd w:id="165"/>
    </w:p>
    <w:bookmarkEnd w:id="169"/>
    <w:p>
      <w:pPr>
        <w:pStyle w:val="4"/>
        <w:spacing w:before="0" w:after="0" w:line="560" w:lineRule="exact"/>
        <w:ind w:firstLine="624" w:firstLineChars="200"/>
        <w:rPr>
          <w:color w:val="auto"/>
          <w:szCs w:val="21"/>
          <w:highlight w:val="none"/>
        </w:rPr>
      </w:pPr>
      <w:bookmarkStart w:id="170" w:name="_Toc19671"/>
      <w:r>
        <w:rPr>
          <w:rFonts w:hint="default" w:eastAsia="方正黑体_GBK" w:cs="Times New Roman"/>
          <w:b w:val="0"/>
          <w:color w:val="auto"/>
          <w:szCs w:val="21"/>
          <w:highlight w:val="none"/>
        </w:rPr>
        <w:t>一、</w:t>
      </w:r>
      <w:bookmarkStart w:id="171" w:name="_Hlk49528664"/>
      <w:r>
        <w:rPr>
          <w:rFonts w:hint="default" w:eastAsia="方正黑体_GBK" w:cs="Times New Roman"/>
          <w:b w:val="0"/>
          <w:color w:val="auto"/>
          <w:szCs w:val="21"/>
          <w:highlight w:val="none"/>
        </w:rPr>
        <w:t>依据医院的功能任务，确定医院的发展目标和中长期发展规划</w:t>
      </w:r>
      <w:bookmarkEnd w:id="170"/>
    </w:p>
    <w:bookmarkEnd w:id="171"/>
    <w:tbl>
      <w:tblPr>
        <w:tblStyle w:val="12"/>
        <w:tblW w:w="4999" w:type="pct"/>
        <w:tblInd w:w="0" w:type="dxa"/>
        <w:tblLayout w:type="autofit"/>
        <w:tblCellMar>
          <w:top w:w="15" w:type="dxa"/>
          <w:left w:w="15" w:type="dxa"/>
          <w:bottom w:w="15" w:type="dxa"/>
          <w:right w:w="15" w:type="dxa"/>
        </w:tblCellMar>
      </w:tblPr>
      <w:tblGrid>
        <w:gridCol w:w="1576"/>
        <w:gridCol w:w="4255"/>
        <w:gridCol w:w="2943"/>
      </w:tblGrid>
      <w:tr>
        <w:tblPrEx>
          <w:tblCellMar>
            <w:top w:w="15" w:type="dxa"/>
            <w:left w:w="15" w:type="dxa"/>
            <w:bottom w:w="15" w:type="dxa"/>
            <w:right w:w="15" w:type="dxa"/>
          </w:tblCellMar>
        </w:tblPrEx>
        <w:tc>
          <w:tcPr>
            <w:tcW w:w="898"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评审标准</w:t>
            </w:r>
          </w:p>
        </w:tc>
        <w:tc>
          <w:tcPr>
            <w:tcW w:w="24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评审要点</w:t>
            </w:r>
          </w:p>
        </w:tc>
        <w:tc>
          <w:tcPr>
            <w:tcW w:w="167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评审方法</w:t>
            </w:r>
          </w:p>
        </w:tc>
      </w:tr>
      <w:tr>
        <w:tblPrEx>
          <w:tblCellMar>
            <w:top w:w="15" w:type="dxa"/>
            <w:left w:w="15" w:type="dxa"/>
            <w:bottom w:w="15" w:type="dxa"/>
            <w:right w:w="15" w:type="dxa"/>
          </w:tblCellMar>
        </w:tblPrEx>
        <w:tc>
          <w:tcPr>
            <w:tcW w:w="5000" w:type="pct"/>
            <w:gridSpan w:val="3"/>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1.1.1 医院的功能与任务，符合本区域卫生发展规划。</w:t>
            </w:r>
          </w:p>
        </w:tc>
      </w:tr>
      <w:tr>
        <w:tblPrEx>
          <w:tblCellMar>
            <w:top w:w="15" w:type="dxa"/>
            <w:left w:w="15" w:type="dxa"/>
            <w:bottom w:w="15" w:type="dxa"/>
            <w:right w:w="15" w:type="dxa"/>
          </w:tblCellMar>
        </w:tblPrEx>
        <w:trPr>
          <w:trHeight w:val="1303" w:hRule="atLeast"/>
        </w:trPr>
        <w:tc>
          <w:tcPr>
            <w:tcW w:w="898" w:type="pct"/>
            <w:vMerge w:val="restart"/>
            <w:tcBorders>
              <w:top w:val="single" w:color="000000" w:sz="6" w:space="0"/>
              <w:left w:val="single" w:color="000000" w:sz="6" w:space="0"/>
              <w:right w:val="single" w:color="auto" w:sz="4"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1.1.1.1 医院的功能任务与目标符合区域卫生规划。</w:t>
            </w:r>
          </w:p>
        </w:tc>
        <w:tc>
          <w:tcPr>
            <w:tcW w:w="2425" w:type="pct"/>
            <w:tcBorders>
              <w:top w:val="single" w:color="auto" w:sz="4" w:space="0"/>
              <w:left w:val="single" w:color="auto" w:sz="4" w:space="0"/>
              <w:bottom w:val="single" w:color="auto" w:sz="4" w:space="0"/>
              <w:right w:val="single" w:color="auto" w:sz="4" w:space="0"/>
            </w:tcBorders>
            <w:tcMar>
              <w:top w:w="22" w:type="dxa"/>
              <w:left w:w="22" w:type="dxa"/>
              <w:bottom w:w="22" w:type="dxa"/>
              <w:right w:w="22" w:type="dxa"/>
            </w:tcMar>
            <w:vAlign w:val="center"/>
          </w:tcPr>
          <w:p>
            <w:pPr>
              <w:numPr>
                <w:ilvl w:val="-1"/>
                <w:numId w:val="0"/>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numPr>
                <w:ilvl w:val="-1"/>
                <w:numId w:val="0"/>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rPr>
              <w:t>医院的功能与任务符合区域卫生发展规划和医疗机构设置规划。</w:t>
            </w:r>
          </w:p>
          <w:p>
            <w:pPr>
              <w:numPr>
                <w:ilvl w:val="-1"/>
                <w:numId w:val="0"/>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发展规划和管理目标能体现医院宗旨及愿景。</w:t>
            </w:r>
          </w:p>
        </w:tc>
        <w:tc>
          <w:tcPr>
            <w:tcW w:w="1675" w:type="pct"/>
            <w:tcBorders>
              <w:top w:val="single" w:color="auto" w:sz="4" w:space="0"/>
              <w:left w:val="single" w:color="auto" w:sz="4" w:space="0"/>
              <w:bottom w:val="single" w:color="auto" w:sz="4" w:space="0"/>
              <w:right w:val="single" w:color="auto" w:sz="4" w:space="0"/>
            </w:tcBorders>
            <w:tcMar>
              <w:top w:w="22" w:type="dxa"/>
              <w:left w:w="22" w:type="dxa"/>
              <w:bottom w:w="22" w:type="dxa"/>
              <w:right w:w="22" w:type="dxa"/>
            </w:tcMar>
            <w:vAlign w:val="center"/>
          </w:tcPr>
          <w:p>
            <w:pPr>
              <w:numPr>
                <w:ilvl w:val="-1"/>
                <w:numId w:val="0"/>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rPr>
              <w:t>查阅医疗机构执业证书原件。</w:t>
            </w:r>
          </w:p>
          <w:p>
            <w:pPr>
              <w:numPr>
                <w:ilvl w:val="0"/>
                <w:numId w:val="0"/>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查阅医院章程、近5年发展规划及每年管理目标是否体现医院宗旨及愿景。</w:t>
            </w:r>
          </w:p>
        </w:tc>
      </w:tr>
      <w:tr>
        <w:tblPrEx>
          <w:tblCellMar>
            <w:top w:w="15" w:type="dxa"/>
            <w:left w:w="15" w:type="dxa"/>
            <w:bottom w:w="15" w:type="dxa"/>
            <w:right w:w="15" w:type="dxa"/>
          </w:tblCellMar>
        </w:tblPrEx>
        <w:trPr>
          <w:trHeight w:val="1353" w:hRule="atLeast"/>
        </w:trPr>
        <w:tc>
          <w:tcPr>
            <w:tcW w:w="898" w:type="pct"/>
            <w:vMerge w:val="continue"/>
            <w:tcBorders>
              <w:left w:val="single" w:color="000000" w:sz="6" w:space="0"/>
              <w:right w:val="single" w:color="auto" w:sz="4" w:space="0"/>
            </w:tcBorders>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25" w:type="pct"/>
            <w:tcBorders>
              <w:top w:val="single" w:color="auto" w:sz="4" w:space="0"/>
              <w:left w:val="single" w:color="auto" w:sz="4" w:space="0"/>
              <w:bottom w:val="single" w:color="auto" w:sz="4" w:space="0"/>
              <w:right w:val="single" w:color="auto" w:sz="4" w:space="0"/>
            </w:tcBorders>
            <w:tcMar>
              <w:top w:w="22" w:type="dxa"/>
              <w:left w:w="22" w:type="dxa"/>
              <w:bottom w:w="22" w:type="dxa"/>
              <w:right w:w="22" w:type="dxa"/>
            </w:tcMar>
            <w:vAlign w:val="center"/>
          </w:tcPr>
          <w:p>
            <w:pPr>
              <w:numPr>
                <w:ilvl w:val="0"/>
                <w:numId w:val="0"/>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numPr>
                <w:ilvl w:val="-1"/>
                <w:numId w:val="0"/>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rPr>
              <w:t>医院应用多种途径向全体员工、患者及社会宣传医院的宗旨、愿景、目标和功能任务。</w:t>
            </w:r>
          </w:p>
          <w:p>
            <w:pPr>
              <w:numPr>
                <w:ilvl w:val="-1"/>
                <w:numId w:val="0"/>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医院宗旨、办院理念、愿景等员工知晓。</w:t>
            </w:r>
          </w:p>
        </w:tc>
        <w:tc>
          <w:tcPr>
            <w:tcW w:w="1675" w:type="pct"/>
            <w:tcBorders>
              <w:top w:val="single" w:color="auto" w:sz="4" w:space="0"/>
              <w:left w:val="single" w:color="auto" w:sz="4" w:space="0"/>
              <w:bottom w:val="single" w:color="auto" w:sz="4" w:space="0"/>
              <w:right w:val="single" w:color="auto" w:sz="4" w:space="0"/>
            </w:tcBorders>
            <w:tcMar>
              <w:top w:w="22" w:type="dxa"/>
              <w:left w:w="22" w:type="dxa"/>
              <w:bottom w:w="22" w:type="dxa"/>
              <w:right w:w="22" w:type="dxa"/>
            </w:tcMar>
            <w:vAlign w:val="center"/>
          </w:tcPr>
          <w:p>
            <w:pPr>
              <w:numPr>
                <w:ilvl w:val="-1"/>
                <w:numId w:val="0"/>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rPr>
              <w:t>查阅相关资料，现场查看网站、宣传栏、屏幕等。</w:t>
            </w:r>
          </w:p>
          <w:p>
            <w:pPr>
              <w:numPr>
                <w:ilvl w:val="0"/>
                <w:numId w:val="0"/>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现场询问5名医务人员医院宗旨、办院理念、愿景等，知晓率100%。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737" w:hRule="exact"/>
        </w:trPr>
        <w:tc>
          <w:tcPr>
            <w:tcW w:w="898" w:type="pct"/>
            <w:vMerge w:val="continue"/>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25" w:type="pct"/>
            <w:tcBorders>
              <w:top w:val="single" w:color="auto" w:sz="4"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医院的功能任务与区域发展规划同步。</w:t>
            </w:r>
          </w:p>
        </w:tc>
        <w:tc>
          <w:tcPr>
            <w:tcW w:w="1675" w:type="pct"/>
            <w:tcBorders>
              <w:top w:val="single" w:color="auto" w:sz="4" w:space="0"/>
            </w:tcBorders>
            <w:tcMar>
              <w:top w:w="22" w:type="dxa"/>
              <w:left w:w="22" w:type="dxa"/>
              <w:bottom w:w="22" w:type="dxa"/>
              <w:right w:w="22" w:type="dxa"/>
            </w:tcMar>
            <w:vAlign w:val="center"/>
          </w:tcPr>
          <w:p>
            <w:pPr>
              <w:spacing w:line="300" w:lineRule="exact"/>
              <w:ind w:firstLine="232" w:firstLineChars="100"/>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c>
          <w:tcPr>
            <w:tcW w:w="5000" w:type="pct"/>
            <w:gridSpan w:val="3"/>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1.1.2 制定医院中长期规划与年度计划，医院规模和发展目标与医院的功能任务一致。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c>
          <w:tcPr>
            <w:tcW w:w="898" w:type="pct"/>
            <w:vMerge w:val="restart"/>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1.1.2.1</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根据医院的功能任务，制定医院中长期规划及年度计划。</w:t>
            </w:r>
          </w:p>
          <w:p>
            <w:pPr>
              <w:spacing w:line="300" w:lineRule="exact"/>
              <w:jc w:val="both"/>
              <w:rPr>
                <w:rFonts w:hint="default" w:ascii="Times New Roman" w:hAnsi="Times New Roman" w:eastAsia="方正仿宋_GBK" w:cs="Times New Roman"/>
                <w:color w:val="auto"/>
                <w:sz w:val="24"/>
                <w:szCs w:val="24"/>
                <w:highlight w:val="none"/>
              </w:rPr>
            </w:pPr>
          </w:p>
        </w:tc>
        <w:tc>
          <w:tcPr>
            <w:tcW w:w="2425" w:type="pct"/>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1.医院制定中长期规划（内容包括：目标、实施方法、实施步骤、工作分工、相关预算以及年度安排等）及年度工作目标。</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2.根据医院计划制定各部门、科室的年度工作目标。</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3.医院的中长期规划及年度计划征求职工意见，经过集体讨论，由各部门参与共同制定。</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4.医院中长期规划及年度计划经过职工代表大会</w:t>
            </w:r>
            <w:r>
              <w:rPr>
                <w:rFonts w:hint="default" w:ascii="Times New Roman" w:hAnsi="Times New Roman" w:eastAsia="方正仿宋_GBK" w:cs="Times New Roman"/>
                <w:color w:val="auto"/>
                <w:sz w:val="24"/>
                <w:szCs w:val="24"/>
                <w:highlight w:val="none"/>
                <w:lang w:val="en-US" w:eastAsia="zh-CN"/>
              </w:rPr>
              <w:t>或院长办公会</w:t>
            </w:r>
            <w:r>
              <w:rPr>
                <w:rFonts w:hint="default" w:ascii="Times New Roman" w:hAnsi="Times New Roman" w:eastAsia="方正仿宋_GBK" w:cs="Times New Roman"/>
                <w:color w:val="auto"/>
                <w:sz w:val="24"/>
                <w:szCs w:val="24"/>
                <w:highlight w:val="none"/>
              </w:rPr>
              <w:t>通过。</w:t>
            </w:r>
          </w:p>
        </w:tc>
        <w:tc>
          <w:tcPr>
            <w:tcW w:w="1675" w:type="pct"/>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1.查阅医院中长期规划及年度工作目标相关内容。</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2.查阅职能部门及科室年度工作目标相关内容。</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4.查阅相关资料。</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1247" w:hRule="exact"/>
        </w:trPr>
        <w:tc>
          <w:tcPr>
            <w:tcW w:w="898" w:type="pct"/>
            <w:vMerge w:val="continue"/>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25" w:type="pct"/>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对年度计划进行分析、总结，并提出改进措施。</w:t>
            </w:r>
          </w:p>
        </w:tc>
        <w:tc>
          <w:tcPr>
            <w:tcW w:w="1675" w:type="pct"/>
            <w:tcMar>
              <w:top w:w="22" w:type="dxa"/>
              <w:left w:w="22" w:type="dxa"/>
              <w:bottom w:w="22" w:type="dxa"/>
              <w:right w:w="22" w:type="dxa"/>
            </w:tcMar>
            <w:vAlign w:val="center"/>
          </w:tcPr>
          <w:p>
            <w:pPr>
              <w:spacing w:line="300" w:lineRule="exact"/>
              <w:ind w:firstLine="232" w:firstLineChars="100"/>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1247" w:hRule="exact"/>
        </w:trPr>
        <w:tc>
          <w:tcPr>
            <w:tcW w:w="898" w:type="pct"/>
            <w:vMerge w:val="continue"/>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25" w:type="pct"/>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持续改进有成效，中长期规划得到落实。</w:t>
            </w:r>
          </w:p>
        </w:tc>
        <w:tc>
          <w:tcPr>
            <w:tcW w:w="1675" w:type="pct"/>
            <w:tcMar>
              <w:top w:w="22" w:type="dxa"/>
              <w:left w:w="22" w:type="dxa"/>
              <w:bottom w:w="22" w:type="dxa"/>
              <w:right w:w="22" w:type="dxa"/>
            </w:tcMar>
            <w:vAlign w:val="center"/>
          </w:tcPr>
          <w:p>
            <w:pPr>
              <w:spacing w:line="300" w:lineRule="exact"/>
              <w:ind w:firstLine="232" w:firstLineChars="100"/>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324" w:hRule="atLeast"/>
        </w:trPr>
        <w:tc>
          <w:tcPr>
            <w:tcW w:w="5000" w:type="pct"/>
            <w:gridSpan w:val="3"/>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1.1.3 </w:t>
            </w:r>
            <w:r>
              <w:rPr>
                <w:rFonts w:hint="default" w:ascii="Times New Roman" w:hAnsi="Times New Roman" w:eastAsia="方正仿宋_GBK" w:cs="Times New Roman"/>
                <w:color w:val="auto"/>
                <w:spacing w:val="-6"/>
                <w:sz w:val="24"/>
                <w:szCs w:val="24"/>
                <w:highlight w:val="none"/>
              </w:rPr>
              <w:t>医院有承担服务区域内急危重症和疑难疾病诊疗的设施设备、技术梯队与处置能力。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c>
          <w:tcPr>
            <w:tcW w:w="898" w:type="pct"/>
            <w:vMerge w:val="restart"/>
            <w:vAlign w:val="center"/>
          </w:tcPr>
          <w:p>
            <w:pPr>
              <w:numPr>
                <w:ilvl w:val="0"/>
                <w:numId w:val="0"/>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1.1.3.1 医院具备服务区域内急危重症和疑难疾病诊疗的设施设备、技术梯队与处置能力。</w:t>
            </w:r>
          </w:p>
          <w:p>
            <w:pPr>
              <w:numPr>
                <w:ilvl w:val="0"/>
                <w:numId w:val="0"/>
              </w:numPr>
              <w:spacing w:line="300" w:lineRule="exact"/>
              <w:jc w:val="both"/>
              <w:rPr>
                <w:rFonts w:hint="default" w:ascii="Times New Roman" w:hAnsi="Times New Roman" w:eastAsia="方正仿宋_GBK" w:cs="Times New Roman"/>
                <w:color w:val="auto"/>
                <w:sz w:val="24"/>
                <w:szCs w:val="24"/>
                <w:highlight w:val="none"/>
              </w:rPr>
            </w:pPr>
          </w:p>
        </w:tc>
        <w:tc>
          <w:tcPr>
            <w:tcW w:w="2425" w:type="pct"/>
            <w:tcMar>
              <w:top w:w="22" w:type="dxa"/>
              <w:left w:w="22" w:type="dxa"/>
              <w:bottom w:w="22" w:type="dxa"/>
              <w:right w:w="22" w:type="dxa"/>
            </w:tcMar>
            <w:vAlign w:val="center"/>
          </w:tcPr>
          <w:p>
            <w:pPr>
              <w:numPr>
                <w:ilvl w:val="0"/>
                <w:numId w:val="0"/>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numPr>
                <w:ilvl w:val="0"/>
                <w:numId w:val="0"/>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1.医院具备本区域急危重症诊疗的设施设备、技术梯队与处置能力。</w:t>
            </w:r>
          </w:p>
          <w:p>
            <w:pPr>
              <w:numPr>
                <w:ilvl w:val="0"/>
                <w:numId w:val="0"/>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w:t>
            </w:r>
            <w:r>
              <w:rPr>
                <w:rFonts w:hint="default" w:ascii="Times New Roman" w:hAnsi="Times New Roman" w:eastAsia="方正仿宋_GBK" w:cs="Times New Roman"/>
                <w:color w:val="auto"/>
                <w:sz w:val="24"/>
                <w:szCs w:val="24"/>
                <w:highlight w:val="none"/>
                <w:lang w:val="en-US" w:eastAsia="zh-CN"/>
              </w:rPr>
              <w:t>急诊、</w:t>
            </w:r>
            <w:r>
              <w:rPr>
                <w:rFonts w:hint="default" w:ascii="Times New Roman" w:hAnsi="Times New Roman" w:eastAsia="方正仿宋_GBK" w:cs="Times New Roman"/>
                <w:color w:val="auto"/>
                <w:sz w:val="24"/>
                <w:szCs w:val="24"/>
                <w:highlight w:val="none"/>
              </w:rPr>
              <w:t>重症医学科负责全院急危重症患者的诊治。</w:t>
            </w:r>
          </w:p>
          <w:p>
            <w:pPr>
              <w:numPr>
                <w:ilvl w:val="0"/>
                <w:numId w:val="0"/>
              </w:numPr>
              <w:spacing w:line="300" w:lineRule="exact"/>
              <w:jc w:val="both"/>
              <w:rPr>
                <w:rFonts w:hint="default" w:ascii="Times New Roman" w:hAnsi="Times New Roman" w:eastAsia="方正仿宋_GBK" w:cs="Times New Roman"/>
                <w:color w:val="auto"/>
                <w:sz w:val="24"/>
                <w:szCs w:val="24"/>
                <w:highlight w:val="none"/>
              </w:rPr>
            </w:pPr>
            <w:r>
              <w:rPr>
                <w:rFonts w:hint="eastAsia" w:ascii="Times New Roman" w:hAnsi="Times New Roman"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rPr>
              <w:t>提供 24 小时急危重症诊疗服务。</w:t>
            </w:r>
          </w:p>
          <w:p>
            <w:pPr>
              <w:numPr>
                <w:ilvl w:val="0"/>
                <w:numId w:val="0"/>
              </w:numPr>
              <w:spacing w:line="300" w:lineRule="exact"/>
              <w:jc w:val="both"/>
              <w:rPr>
                <w:rFonts w:hint="default" w:ascii="Times New Roman" w:hAnsi="Times New Roman" w:eastAsia="方正仿宋_GBK" w:cs="Times New Roman"/>
                <w:color w:val="auto"/>
                <w:sz w:val="24"/>
                <w:szCs w:val="24"/>
                <w:highlight w:val="none"/>
              </w:rPr>
            </w:pPr>
            <w:r>
              <w:rPr>
                <w:rFonts w:hint="eastAsia" w:ascii="Times New Roman" w:hAnsi="Times New Roman" w:eastAsia="方正仿宋_GBK"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lang w:val="en-US" w:eastAsia="zh-CN"/>
              </w:rPr>
              <w:t>医院有对疑难疾病诊疗的相关制度及流程并执行。</w:t>
            </w:r>
          </w:p>
          <w:p>
            <w:pPr>
              <w:numPr>
                <w:ilvl w:val="0"/>
                <w:numId w:val="0"/>
              </w:numPr>
              <w:spacing w:line="300" w:lineRule="exact"/>
              <w:jc w:val="both"/>
              <w:rPr>
                <w:rFonts w:hint="default" w:ascii="Times New Roman" w:hAnsi="Times New Roman" w:eastAsia="方正仿宋_GBK" w:cs="Times New Roman"/>
                <w:color w:val="auto"/>
                <w:sz w:val="24"/>
                <w:szCs w:val="24"/>
                <w:highlight w:val="none"/>
              </w:rPr>
            </w:pPr>
          </w:p>
        </w:tc>
        <w:tc>
          <w:tcPr>
            <w:tcW w:w="1675" w:type="pct"/>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1.查阅急诊、重症医学设施设备配置目录及医护团队花名册（含配置人数、人员职称、执业证书、专科护士等人员情况）。</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2.查阅呈现</w:t>
            </w:r>
            <w:r>
              <w:rPr>
                <w:rFonts w:hint="default" w:ascii="Times New Roman" w:hAnsi="Times New Roman" w:eastAsia="方正仿宋_GBK" w:cs="Times New Roman"/>
                <w:color w:val="auto"/>
                <w:sz w:val="24"/>
                <w:szCs w:val="24"/>
                <w:highlight w:val="none"/>
                <w:lang w:val="en-US" w:eastAsia="zh-CN"/>
              </w:rPr>
              <w:t>急诊、</w:t>
            </w:r>
            <w:r>
              <w:rPr>
                <w:rFonts w:hint="default" w:ascii="Times New Roman" w:hAnsi="Times New Roman" w:eastAsia="方正仿宋_GBK" w:cs="Times New Roman"/>
                <w:color w:val="auto"/>
                <w:sz w:val="24"/>
                <w:szCs w:val="24"/>
                <w:highlight w:val="none"/>
              </w:rPr>
              <w:t>重症医学科诊治能力的相关资料（含救治病种、救治技术及救治好转率等）。</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3.现场查看急诊小区设置、布局、人员及相关医技科室服务能否满足急诊急救需要。</w:t>
            </w:r>
          </w:p>
          <w:p>
            <w:pPr>
              <w:spacing w:line="300" w:lineRule="exact"/>
              <w:jc w:val="both"/>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4.查阅相关资料。</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c>
          <w:tcPr>
            <w:tcW w:w="898" w:type="pct"/>
            <w:vMerge w:val="continue"/>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25" w:type="pct"/>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主管部门对急危重症和疑难疾病诊疗服务有监管。</w:t>
            </w:r>
          </w:p>
        </w:tc>
        <w:tc>
          <w:tcPr>
            <w:tcW w:w="1675" w:type="pct"/>
            <w:tcMar>
              <w:top w:w="22" w:type="dxa"/>
              <w:left w:w="22" w:type="dxa"/>
              <w:bottom w:w="22" w:type="dxa"/>
              <w:right w:w="22" w:type="dxa"/>
            </w:tcMar>
            <w:vAlign w:val="center"/>
          </w:tcPr>
          <w:p>
            <w:pPr>
              <w:spacing w:line="300" w:lineRule="exact"/>
              <w:ind w:firstLine="232" w:firstLineChars="100"/>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w:t>
            </w:r>
            <w:r>
              <w:rPr>
                <w:rFonts w:hint="default" w:ascii="Times New Roman" w:hAnsi="Times New Roman" w:eastAsia="方正仿宋_GBK" w:cs="Times New Roman"/>
                <w:color w:val="auto"/>
                <w:sz w:val="24"/>
                <w:szCs w:val="24"/>
                <w:highlight w:val="none"/>
                <w:lang w:val="en-US" w:eastAsia="zh-CN"/>
              </w:rPr>
              <w:t>督查</w:t>
            </w:r>
            <w:r>
              <w:rPr>
                <w:rFonts w:hint="default" w:ascii="Times New Roman" w:hAnsi="Times New Roman" w:eastAsia="方正仿宋_GBK" w:cs="Times New Roman"/>
                <w:color w:val="auto"/>
                <w:sz w:val="24"/>
                <w:szCs w:val="24"/>
                <w:highlight w:val="none"/>
              </w:rPr>
              <w:t>资料。</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c>
          <w:tcPr>
            <w:tcW w:w="898" w:type="pct"/>
            <w:vMerge w:val="continue"/>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25" w:type="pct"/>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持续改进有成效，有数据或案例体现医院对急危重症和疑难疾病诊治服务能力不断提升。</w:t>
            </w:r>
          </w:p>
        </w:tc>
        <w:tc>
          <w:tcPr>
            <w:tcW w:w="1675" w:type="pct"/>
            <w:tcMar>
              <w:top w:w="22" w:type="dxa"/>
              <w:left w:w="22" w:type="dxa"/>
              <w:bottom w:w="22" w:type="dxa"/>
              <w:right w:w="22" w:type="dxa"/>
            </w:tcMar>
            <w:vAlign w:val="center"/>
          </w:tcPr>
          <w:p>
            <w:pPr>
              <w:spacing w:line="300" w:lineRule="exact"/>
              <w:ind w:firstLine="232" w:firstLineChars="100"/>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bl>
    <w:p>
      <w:pPr>
        <w:pStyle w:val="4"/>
        <w:spacing w:before="0" w:after="0" w:line="560" w:lineRule="exact"/>
        <w:ind w:firstLine="624" w:firstLineChars="200"/>
        <w:rPr>
          <w:color w:val="auto"/>
          <w:szCs w:val="21"/>
          <w:highlight w:val="none"/>
        </w:rPr>
      </w:pPr>
      <w:bookmarkStart w:id="172" w:name="_Toc24331"/>
      <w:r>
        <w:rPr>
          <w:rFonts w:hint="default" w:eastAsia="方正黑体_GBK" w:cs="Times New Roman"/>
          <w:b w:val="0"/>
          <w:color w:val="auto"/>
          <w:szCs w:val="21"/>
          <w:highlight w:val="none"/>
        </w:rPr>
        <w:t>二、</w:t>
      </w:r>
      <w:bookmarkStart w:id="173" w:name="_Hlk49528789"/>
      <w:r>
        <w:rPr>
          <w:rFonts w:hint="default" w:eastAsia="方正黑体_GBK" w:cs="Times New Roman"/>
          <w:b w:val="0"/>
          <w:color w:val="auto"/>
          <w:szCs w:val="21"/>
          <w:highlight w:val="none"/>
        </w:rPr>
        <w:t>坚持公立医院公益性，把社会效益放在第一位，履行相应的社会责任和义务</w:t>
      </w:r>
      <w:bookmarkEnd w:id="172"/>
    </w:p>
    <w:bookmarkEnd w:id="173"/>
    <w:tbl>
      <w:tblPr>
        <w:tblStyle w:val="12"/>
        <w:tblW w:w="4998" w:type="pct"/>
        <w:jc w:val="center"/>
        <w:tblLayout w:type="autofit"/>
        <w:tblCellMar>
          <w:top w:w="15" w:type="dxa"/>
          <w:left w:w="15" w:type="dxa"/>
          <w:bottom w:w="15" w:type="dxa"/>
          <w:right w:w="15" w:type="dxa"/>
        </w:tblCellMar>
      </w:tblPr>
      <w:tblGrid>
        <w:gridCol w:w="1618"/>
        <w:gridCol w:w="4207"/>
        <w:gridCol w:w="2940"/>
      </w:tblGrid>
      <w:tr>
        <w:tblPrEx>
          <w:tblCellMar>
            <w:top w:w="15" w:type="dxa"/>
            <w:left w:w="15" w:type="dxa"/>
            <w:bottom w:w="15" w:type="dxa"/>
            <w:right w:w="15" w:type="dxa"/>
          </w:tblCellMar>
        </w:tblPrEx>
        <w:trPr>
          <w:trHeight w:val="356" w:hRule="atLeast"/>
          <w:jc w:val="center"/>
        </w:trPr>
        <w:tc>
          <w:tcPr>
            <w:tcW w:w="923"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评审标准</w:t>
            </w:r>
          </w:p>
        </w:tc>
        <w:tc>
          <w:tcPr>
            <w:tcW w:w="2400" w:type="pct"/>
            <w:tcBorders>
              <w:top w:val="single" w:color="000000" w:sz="6" w:space="0"/>
              <w:left w:val="single" w:color="000000" w:sz="6" w:space="0"/>
              <w:bottom w:val="single" w:color="000000" w:sz="6" w:space="0"/>
              <w:right w:val="single" w:color="000000" w:sz="6" w:space="0"/>
            </w:tcBorders>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评审要点</w:t>
            </w:r>
          </w:p>
        </w:tc>
        <w:tc>
          <w:tcPr>
            <w:tcW w:w="1675" w:type="pct"/>
            <w:tcBorders>
              <w:top w:val="single" w:color="000000" w:sz="6" w:space="0"/>
              <w:left w:val="single" w:color="000000" w:sz="6" w:space="0"/>
              <w:bottom w:val="single" w:color="000000" w:sz="6" w:space="0"/>
              <w:right w:val="single" w:color="000000" w:sz="6" w:space="0"/>
            </w:tcBorders>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评审方法</w:t>
            </w:r>
          </w:p>
        </w:tc>
      </w:tr>
      <w:tr>
        <w:trPr>
          <w:jc w:val="center"/>
        </w:trPr>
        <w:tc>
          <w:tcPr>
            <w:tcW w:w="5000" w:type="pct"/>
            <w:gridSpan w:val="3"/>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1.2.1 坚持公立医院公益性，把社会效益放在首位，履行相应的社会责任和义务。</w:t>
            </w:r>
          </w:p>
        </w:tc>
      </w:tr>
      <w:tr>
        <w:tblPrEx>
          <w:tblCellMar>
            <w:top w:w="15" w:type="dxa"/>
            <w:left w:w="15" w:type="dxa"/>
            <w:bottom w:w="15" w:type="dxa"/>
            <w:right w:w="15" w:type="dxa"/>
          </w:tblCellMar>
        </w:tblPrEx>
        <w:trPr>
          <w:trHeight w:val="1893" w:hRule="atLeast"/>
          <w:jc w:val="center"/>
        </w:trPr>
        <w:tc>
          <w:tcPr>
            <w:tcW w:w="923" w:type="pct"/>
            <w:vMerge w:val="restart"/>
            <w:tcBorders>
              <w:top w:val="single" w:color="000000" w:sz="6" w:space="0"/>
              <w:left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1.2.1.1 坚持公立医院公益性，履行相应的社会责任和义务。</w:t>
            </w:r>
          </w:p>
        </w:tc>
        <w:tc>
          <w:tcPr>
            <w:tcW w:w="2400"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numPr>
                <w:ilvl w:val="0"/>
                <w:numId w:val="3"/>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医院</w:t>
            </w:r>
            <w:r>
              <w:rPr>
                <w:rFonts w:hint="default" w:ascii="Times New Roman" w:hAnsi="Times New Roman" w:eastAsia="方正仿宋_GBK" w:cs="Times New Roman"/>
                <w:color w:val="auto"/>
                <w:sz w:val="24"/>
                <w:szCs w:val="24"/>
                <w:highlight w:val="none"/>
              </w:rPr>
              <w:t>有保障基本医疗服务的相关制度与规范，有</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以患者为中心</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、优化质量、改进服务、降低成本、控制费用的措施并执行。</w:t>
            </w:r>
          </w:p>
          <w:p>
            <w:pPr>
              <w:numPr>
                <w:ilvl w:val="0"/>
                <w:numId w:val="3"/>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完成法定和政府指定的公共卫生服务、突发事件紧急医疗救援、援外、支农、支边和支援社区等任务。</w:t>
            </w:r>
          </w:p>
        </w:tc>
        <w:tc>
          <w:tcPr>
            <w:tcW w:w="167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1.查阅相关制度、规范，有体现</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优化质量、改进服务、降低成本、控制费用</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等措施并有执行的资料。</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2.查阅指令性任务完成情况的相关资料。</w:t>
            </w:r>
          </w:p>
        </w:tc>
      </w:tr>
      <w:tr>
        <w:tblPrEx>
          <w:tblCellMar>
            <w:top w:w="15" w:type="dxa"/>
            <w:left w:w="15" w:type="dxa"/>
            <w:bottom w:w="15" w:type="dxa"/>
            <w:right w:w="15" w:type="dxa"/>
          </w:tblCellMar>
        </w:tblPrEx>
        <w:trPr>
          <w:trHeight w:val="90" w:hRule="atLeast"/>
          <w:jc w:val="center"/>
        </w:trPr>
        <w:tc>
          <w:tcPr>
            <w:tcW w:w="923" w:type="pct"/>
            <w:vMerge w:val="continue"/>
            <w:tcBorders>
              <w:left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00"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numPr>
                <w:ilvl w:val="0"/>
                <w:numId w:val="4"/>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科室对基本医疗服务任务完成情况有</w:t>
            </w:r>
            <w:r>
              <w:rPr>
                <w:rFonts w:hint="default" w:ascii="Times New Roman" w:hAnsi="Times New Roman" w:eastAsia="方正仿宋_GBK" w:cs="Times New Roman"/>
                <w:color w:val="auto"/>
                <w:sz w:val="24"/>
                <w:szCs w:val="24"/>
                <w:highlight w:val="none"/>
                <w:lang w:eastAsia="zh-CN"/>
              </w:rPr>
              <w:t>定期总结</w:t>
            </w:r>
            <w:r>
              <w:rPr>
                <w:rFonts w:hint="default" w:ascii="Times New Roman" w:hAnsi="Times New Roman" w:eastAsia="方正仿宋_GBK" w:cs="Times New Roman"/>
                <w:color w:val="auto"/>
                <w:sz w:val="24"/>
                <w:szCs w:val="24"/>
                <w:highlight w:val="none"/>
              </w:rPr>
              <w:t>、有改进措施</w:t>
            </w:r>
            <w:r>
              <w:rPr>
                <w:rFonts w:hint="default" w:ascii="Times New Roman" w:hAnsi="Times New Roman" w:eastAsia="方正仿宋_GBK" w:cs="Times New Roman"/>
                <w:color w:val="auto"/>
                <w:sz w:val="24"/>
                <w:szCs w:val="24"/>
                <w:highlight w:val="none"/>
                <w:lang w:eastAsia="zh-CN"/>
              </w:rPr>
              <w:t>并落实</w:t>
            </w:r>
            <w:r>
              <w:rPr>
                <w:rFonts w:hint="default" w:ascii="Times New Roman" w:hAnsi="Times New Roman" w:eastAsia="方正仿宋_GBK" w:cs="Times New Roman"/>
                <w:color w:val="auto"/>
                <w:sz w:val="24"/>
                <w:szCs w:val="24"/>
                <w:highlight w:val="none"/>
              </w:rPr>
              <w:t>。</w:t>
            </w:r>
          </w:p>
          <w:p>
            <w:pPr>
              <w:numPr>
                <w:ilvl w:val="0"/>
                <w:numId w:val="4"/>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w:t>
            </w:r>
            <w:r>
              <w:rPr>
                <w:rFonts w:hint="default" w:ascii="Times New Roman" w:hAnsi="Times New Roman" w:eastAsia="方正仿宋_GBK" w:cs="Times New Roman"/>
                <w:color w:val="auto"/>
                <w:sz w:val="24"/>
                <w:szCs w:val="24"/>
                <w:highlight w:val="none"/>
                <w:lang w:eastAsia="zh-CN"/>
              </w:rPr>
              <w:t>定期督查与反馈，并督促整改</w:t>
            </w:r>
            <w:r>
              <w:rPr>
                <w:rFonts w:hint="default" w:ascii="Times New Roman" w:hAnsi="Times New Roman" w:eastAsia="方正仿宋_GBK" w:cs="Times New Roman"/>
                <w:color w:val="auto"/>
                <w:sz w:val="24"/>
                <w:szCs w:val="24"/>
                <w:highlight w:val="none"/>
              </w:rPr>
              <w:t>。</w:t>
            </w:r>
          </w:p>
        </w:tc>
        <w:tc>
          <w:tcPr>
            <w:tcW w:w="167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numPr>
                <w:ilvl w:val="0"/>
                <w:numId w:val="5"/>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抽查2个临床科室相关资料。</w:t>
            </w:r>
          </w:p>
          <w:p>
            <w:pPr>
              <w:numPr>
                <w:ilvl w:val="0"/>
                <w:numId w:val="5"/>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spacing w:line="300" w:lineRule="exact"/>
              <w:jc w:val="both"/>
              <w:rPr>
                <w:rFonts w:hint="default" w:ascii="Times New Roman" w:hAnsi="Times New Roman" w:eastAsia="方正仿宋_GBK" w:cs="Times New Roman"/>
                <w:color w:val="auto"/>
                <w:sz w:val="24"/>
                <w:szCs w:val="24"/>
                <w:highlight w:val="none"/>
              </w:rPr>
            </w:pPr>
          </w:p>
        </w:tc>
      </w:tr>
      <w:tr>
        <w:tblPrEx>
          <w:tblCellMar>
            <w:top w:w="15" w:type="dxa"/>
            <w:left w:w="15" w:type="dxa"/>
            <w:bottom w:w="15" w:type="dxa"/>
            <w:right w:w="15" w:type="dxa"/>
          </w:tblCellMar>
        </w:tblPrEx>
        <w:trPr>
          <w:trHeight w:val="1134" w:hRule="exact"/>
          <w:jc w:val="center"/>
        </w:trPr>
        <w:tc>
          <w:tcPr>
            <w:tcW w:w="923" w:type="pct"/>
            <w:vMerge w:val="continue"/>
            <w:tcBorders>
              <w:left w:val="single" w:color="000000" w:sz="6" w:space="0"/>
              <w:bottom w:val="single" w:color="auto" w:sz="4"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00" w:type="pct"/>
            <w:tcBorders>
              <w:top w:val="single" w:color="000000" w:sz="6" w:space="0"/>
              <w:left w:val="single" w:color="000000" w:sz="6" w:space="0"/>
              <w:bottom w:val="single" w:color="auto" w:sz="4" w:space="0"/>
              <w:right w:val="single" w:color="000000" w:sz="6" w:space="0"/>
            </w:tcBorders>
            <w:tcMar>
              <w:top w:w="22" w:type="dxa"/>
              <w:left w:w="22" w:type="dxa"/>
              <w:bottom w:w="22" w:type="dxa"/>
              <w:right w:w="22" w:type="dxa"/>
            </w:tcMar>
            <w:vAlign w:val="center"/>
          </w:tcPr>
          <w:p>
            <w:pPr>
              <w:numPr>
                <w:ilvl w:val="0"/>
                <w:numId w:val="0"/>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numPr>
                <w:ilvl w:val="0"/>
                <w:numId w:val="0"/>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75" w:type="pct"/>
            <w:tcBorders>
              <w:top w:val="single" w:color="000000" w:sz="6" w:space="0"/>
              <w:left w:val="single" w:color="000000" w:sz="6" w:space="0"/>
              <w:bottom w:val="single" w:color="auto" w:sz="4"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spacing w:line="300" w:lineRule="exact"/>
              <w:jc w:val="both"/>
              <w:rPr>
                <w:rFonts w:hint="default" w:ascii="Times New Roman" w:hAnsi="Times New Roman" w:eastAsia="方正仿宋_GBK" w:cs="Times New Roman"/>
                <w:color w:val="auto"/>
                <w:sz w:val="24"/>
                <w:szCs w:val="24"/>
                <w:highlight w:val="none"/>
              </w:rPr>
            </w:pPr>
          </w:p>
        </w:tc>
      </w:tr>
      <w:tr>
        <w:tblPrEx>
          <w:tblCellMar>
            <w:top w:w="15" w:type="dxa"/>
            <w:left w:w="15" w:type="dxa"/>
            <w:bottom w:w="15" w:type="dxa"/>
            <w:right w:w="15" w:type="dxa"/>
          </w:tblCellMar>
        </w:tblPrEx>
        <w:trPr>
          <w:trHeight w:val="90" w:hRule="atLeast"/>
          <w:jc w:val="center"/>
        </w:trPr>
        <w:tc>
          <w:tcPr>
            <w:tcW w:w="5000" w:type="pct"/>
            <w:gridSpan w:val="3"/>
            <w:tcBorders>
              <w:top w:val="single" w:color="auto" w:sz="4" w:space="0"/>
              <w:left w:val="single" w:color="auto" w:sz="4" w:space="0"/>
              <w:bottom w:val="single" w:color="auto" w:sz="4" w:space="0"/>
              <w:right w:val="single" w:color="auto" w:sz="4"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1.2.2 根据《中华人民共和国传染病防治法》、《中华人民共和国食品安全法》和《突发公共卫生事件应急条例》等相关法律法规承担传染病、食源性疾病的发现、救治、报告、预防等任务。定期对全体医务人员进行传染病、食源性疾病防治知识和技能培训与处置演练。</w:t>
            </w:r>
          </w:p>
        </w:tc>
      </w:tr>
      <w:tr>
        <w:tblPrEx>
          <w:tblCellMar>
            <w:top w:w="15" w:type="dxa"/>
            <w:left w:w="15" w:type="dxa"/>
            <w:bottom w:w="15" w:type="dxa"/>
            <w:right w:w="15" w:type="dxa"/>
          </w:tblCellMar>
        </w:tblPrEx>
        <w:trPr>
          <w:trHeight w:val="90" w:hRule="atLeast"/>
          <w:jc w:val="center"/>
        </w:trPr>
        <w:tc>
          <w:tcPr>
            <w:tcW w:w="923" w:type="pct"/>
            <w:vMerge w:val="restart"/>
            <w:tcBorders>
              <w:top w:val="single" w:color="auto" w:sz="4" w:space="0"/>
              <w:left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1.2.2.1 根据相关法律法规要求，建立健全的传染病防治组织架构，承担传染病及食源性疾病的发现、救治、报告、预防等任务。</w:t>
            </w:r>
          </w:p>
          <w:p>
            <w:pPr>
              <w:spacing w:line="300" w:lineRule="exact"/>
              <w:jc w:val="both"/>
              <w:rPr>
                <w:rFonts w:hint="default" w:ascii="Times New Roman" w:hAnsi="Times New Roman" w:eastAsia="方正仿宋_GBK" w:cs="Times New Roman"/>
                <w:color w:val="auto"/>
                <w:sz w:val="24"/>
                <w:szCs w:val="24"/>
                <w:highlight w:val="none"/>
              </w:rPr>
            </w:pPr>
          </w:p>
        </w:tc>
        <w:tc>
          <w:tcPr>
            <w:tcW w:w="2400" w:type="pct"/>
            <w:tcBorders>
              <w:top w:val="single" w:color="auto" w:sz="4"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numPr>
                <w:ilvl w:val="0"/>
                <w:numId w:val="6"/>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有传染病及食源性疾病防控组织架构，有工作领导组织、重点传染病防控、食源性疾病和突发公共卫生事件救治防控专家组，有专门部门负责管理工作。</w:t>
            </w:r>
          </w:p>
          <w:p>
            <w:pPr>
              <w:numPr>
                <w:ilvl w:val="0"/>
                <w:numId w:val="6"/>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有相关的管理制度及流程。</w:t>
            </w:r>
          </w:p>
          <w:p>
            <w:pPr>
              <w:numPr>
                <w:ilvl w:val="0"/>
                <w:numId w:val="6"/>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有布局及流程符合相关规范要求的发热门诊及肠道门诊，并规范运行。</w:t>
            </w:r>
          </w:p>
          <w:p>
            <w:pPr>
              <w:numPr>
                <w:ilvl w:val="0"/>
                <w:numId w:val="6"/>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按照传染病及食源性疾病防治有关规定及时报告，有指定人员负责传染病疫情及食源性疾病监控、报告等工作。</w:t>
            </w:r>
          </w:p>
          <w:p>
            <w:pPr>
              <w:numPr>
                <w:ilvl w:val="0"/>
                <w:numId w:val="6"/>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对发现的法定传染病患者、病原携带者、疑似患者的密切接触者采取必要的治疗和控制措施。</w:t>
            </w:r>
          </w:p>
          <w:p>
            <w:pPr>
              <w:numPr>
                <w:ilvl w:val="0"/>
                <w:numId w:val="6"/>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对本单位内被传染病病原体污染的场所、物品实施消毒和无害化处置。</w:t>
            </w:r>
          </w:p>
        </w:tc>
        <w:tc>
          <w:tcPr>
            <w:tcW w:w="1675" w:type="pct"/>
            <w:tcBorders>
              <w:top w:val="single" w:color="auto" w:sz="4"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3.现场查看。</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4.查阅相关资料。</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5.查阅相关资料。</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6.查阅处置记录，现场查看相关制度、流程的执行情况。</w:t>
            </w:r>
          </w:p>
        </w:tc>
      </w:tr>
      <w:tr>
        <w:tblPrEx>
          <w:tblCellMar>
            <w:top w:w="15" w:type="dxa"/>
            <w:left w:w="15" w:type="dxa"/>
            <w:bottom w:w="15" w:type="dxa"/>
            <w:right w:w="15" w:type="dxa"/>
          </w:tblCellMar>
        </w:tblPrEx>
        <w:trPr>
          <w:trHeight w:val="931" w:hRule="atLeast"/>
          <w:jc w:val="center"/>
        </w:trPr>
        <w:tc>
          <w:tcPr>
            <w:tcW w:w="923" w:type="pct"/>
            <w:vMerge w:val="continue"/>
            <w:tcBorders>
              <w:left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00"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主管部门对传染病及食源性疾病报告情况定期监督检查、总结分析。</w:t>
            </w:r>
          </w:p>
        </w:tc>
        <w:tc>
          <w:tcPr>
            <w:tcW w:w="167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查阅相关监督检查（包括上级主管部门及医院职能部门）等资料。</w:t>
            </w:r>
          </w:p>
        </w:tc>
      </w:tr>
      <w:tr>
        <w:tblPrEx>
          <w:tblCellMar>
            <w:top w:w="15" w:type="dxa"/>
            <w:left w:w="15" w:type="dxa"/>
            <w:bottom w:w="15" w:type="dxa"/>
            <w:right w:w="15" w:type="dxa"/>
          </w:tblCellMar>
        </w:tblPrEx>
        <w:trPr>
          <w:trHeight w:val="90" w:hRule="atLeast"/>
          <w:jc w:val="center"/>
        </w:trPr>
        <w:tc>
          <w:tcPr>
            <w:tcW w:w="923" w:type="pct"/>
            <w:vMerge w:val="continue"/>
            <w:tcBorders>
              <w:left w:val="single" w:color="000000" w:sz="6" w:space="0"/>
              <w:bottom w:val="single" w:color="auto" w:sz="4"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00" w:type="pct"/>
            <w:tcBorders>
              <w:top w:val="single" w:color="000000" w:sz="6" w:space="0"/>
              <w:left w:val="single" w:color="000000" w:sz="6" w:space="0"/>
              <w:bottom w:val="single" w:color="auto" w:sz="4"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持续改进有成效，传染病防控管理工作规范，无传染病漏报，无管理原因导致传染病播散事件。</w:t>
            </w:r>
          </w:p>
        </w:tc>
        <w:tc>
          <w:tcPr>
            <w:tcW w:w="1675" w:type="pct"/>
            <w:tcBorders>
              <w:top w:val="single" w:color="000000" w:sz="6" w:space="0"/>
              <w:left w:val="single" w:color="000000" w:sz="6" w:space="0"/>
              <w:bottom w:val="single" w:color="auto" w:sz="4"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查阅相关资料（包括CDC等主管部门督查反馈资料）。</w:t>
            </w:r>
          </w:p>
          <w:p>
            <w:pPr>
              <w:spacing w:line="300" w:lineRule="exact"/>
              <w:jc w:val="both"/>
              <w:rPr>
                <w:rFonts w:hint="default" w:ascii="Times New Roman" w:hAnsi="Times New Roman" w:eastAsia="方正仿宋_GBK" w:cs="Times New Roman"/>
                <w:color w:val="auto"/>
                <w:sz w:val="24"/>
                <w:szCs w:val="24"/>
                <w:highlight w:val="none"/>
              </w:rPr>
            </w:pPr>
          </w:p>
        </w:tc>
      </w:tr>
      <w:tr>
        <w:tblPrEx>
          <w:tblCellMar>
            <w:top w:w="15" w:type="dxa"/>
            <w:left w:w="15" w:type="dxa"/>
            <w:bottom w:w="15" w:type="dxa"/>
            <w:right w:w="15" w:type="dxa"/>
          </w:tblCellMar>
        </w:tblPrEx>
        <w:trPr>
          <w:trHeight w:val="1327" w:hRule="atLeast"/>
          <w:jc w:val="center"/>
        </w:trPr>
        <w:tc>
          <w:tcPr>
            <w:tcW w:w="923" w:type="pct"/>
            <w:vMerge w:val="restart"/>
            <w:tcBorders>
              <w:top w:val="single" w:color="auto" w:sz="4" w:space="0"/>
              <w:left w:val="single" w:color="auto" w:sz="4" w:space="0"/>
              <w:bottom w:val="single" w:color="auto" w:sz="4" w:space="0"/>
              <w:right w:val="single" w:color="auto" w:sz="4"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1.2.2.2 定期对全体医务人员进行传染病、食源性疾病防治知识和技能的培训与处置演练。</w:t>
            </w:r>
          </w:p>
        </w:tc>
        <w:tc>
          <w:tcPr>
            <w:tcW w:w="2400" w:type="pct"/>
            <w:tcBorders>
              <w:top w:val="single" w:color="auto" w:sz="4" w:space="0"/>
              <w:left w:val="single" w:color="auto" w:sz="4" w:space="0"/>
              <w:bottom w:val="single" w:color="auto" w:sz="4" w:space="0"/>
              <w:right w:val="single" w:color="auto" w:sz="4"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1.有相关防治知识和技能培训计划，并组织相关培训。</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2.医务人员知晓相关知识并能遵循。</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3.根据传染病及食源性疾病疫情，适时开展处置相关演练（每年不少于2次）。</w:t>
            </w:r>
          </w:p>
        </w:tc>
        <w:tc>
          <w:tcPr>
            <w:tcW w:w="1675" w:type="pct"/>
            <w:tcBorders>
              <w:top w:val="single" w:color="auto" w:sz="4" w:space="0"/>
              <w:left w:val="single" w:color="auto" w:sz="4" w:space="0"/>
              <w:bottom w:val="single" w:color="auto" w:sz="4" w:space="0"/>
              <w:right w:val="single" w:color="auto" w:sz="4"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2.随机抽查10名医务人员（含职能部门、医护人员及后勤保障人员）对相关知识的知晓度，知晓率≥95%。</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3.查阅相关资料（含预案、演练脚本、演练现场图片记录及总结资料等）。</w:t>
            </w:r>
          </w:p>
        </w:tc>
      </w:tr>
      <w:tr>
        <w:tblPrEx>
          <w:tblCellMar>
            <w:top w:w="15" w:type="dxa"/>
            <w:left w:w="15" w:type="dxa"/>
            <w:bottom w:w="15" w:type="dxa"/>
            <w:right w:w="15" w:type="dxa"/>
          </w:tblCellMar>
        </w:tblPrEx>
        <w:trPr>
          <w:trHeight w:val="580" w:hRule="atLeast"/>
          <w:jc w:val="center"/>
        </w:trPr>
        <w:tc>
          <w:tcPr>
            <w:tcW w:w="923" w:type="pct"/>
            <w:vMerge w:val="continue"/>
            <w:tcBorders>
              <w:top w:val="single" w:color="auto" w:sz="4" w:space="0"/>
              <w:left w:val="single" w:color="auto" w:sz="4"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00" w:type="pct"/>
            <w:tcBorders>
              <w:top w:val="single" w:color="auto" w:sz="4"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主管部门对培训有管理，对培训效果有评价、分析。</w:t>
            </w:r>
          </w:p>
        </w:tc>
        <w:tc>
          <w:tcPr>
            <w:tcW w:w="1675" w:type="pct"/>
            <w:tcBorders>
              <w:top w:val="single" w:color="auto" w:sz="4"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ind w:firstLine="232" w:firstLineChars="100"/>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CellMar>
            <w:top w:w="15" w:type="dxa"/>
            <w:left w:w="15" w:type="dxa"/>
            <w:bottom w:w="15" w:type="dxa"/>
            <w:right w:w="15" w:type="dxa"/>
          </w:tblCellMar>
        </w:tblPrEx>
        <w:trPr>
          <w:trHeight w:val="575" w:hRule="atLeast"/>
          <w:jc w:val="center"/>
        </w:trPr>
        <w:tc>
          <w:tcPr>
            <w:tcW w:w="923" w:type="pct"/>
            <w:vMerge w:val="continue"/>
            <w:tcBorders>
              <w:left w:val="single" w:color="auto" w:sz="4"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00"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numPr>
                <w:ilvl w:val="0"/>
                <w:numId w:val="7"/>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持续改进有成效，有数据或案例体现医院传染病处置能力不断提升。</w:t>
            </w:r>
          </w:p>
        </w:tc>
        <w:tc>
          <w:tcPr>
            <w:tcW w:w="167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ind w:firstLine="232" w:firstLineChars="100"/>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spacing w:line="300" w:lineRule="exact"/>
              <w:jc w:val="both"/>
              <w:rPr>
                <w:rFonts w:hint="default" w:ascii="Times New Roman" w:hAnsi="Times New Roman" w:eastAsia="方正仿宋_GBK" w:cs="Times New Roman"/>
                <w:color w:val="auto"/>
                <w:sz w:val="24"/>
                <w:szCs w:val="24"/>
                <w:highlight w:val="none"/>
              </w:rPr>
            </w:pPr>
          </w:p>
        </w:tc>
      </w:tr>
      <w:tr>
        <w:tblPrEx>
          <w:tblCellMar>
            <w:top w:w="15" w:type="dxa"/>
            <w:left w:w="15" w:type="dxa"/>
            <w:bottom w:w="15" w:type="dxa"/>
            <w:right w:w="15" w:type="dxa"/>
          </w:tblCellMar>
        </w:tblPrEx>
        <w:trPr>
          <w:trHeight w:val="1134" w:hRule="exact"/>
          <w:jc w:val="center"/>
        </w:trPr>
        <w:tc>
          <w:tcPr>
            <w:tcW w:w="5000" w:type="pct"/>
            <w:gridSpan w:val="3"/>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1.2.3 按照《</w:t>
            </w:r>
            <w:r>
              <w:rPr>
                <w:rFonts w:hint="default" w:ascii="Times New Roman" w:hAnsi="Times New Roman" w:eastAsia="方正仿宋_GBK" w:cs="Times New Roman"/>
                <w:color w:val="auto"/>
                <w:sz w:val="24"/>
                <w:szCs w:val="24"/>
                <w:highlight w:val="none"/>
                <w:lang w:eastAsia="zh-CN"/>
              </w:rPr>
              <w:t>国家</w:t>
            </w:r>
            <w:r>
              <w:rPr>
                <w:rFonts w:hint="default" w:ascii="Times New Roman" w:hAnsi="Times New Roman" w:eastAsia="方正仿宋_GBK" w:cs="Times New Roman"/>
                <w:color w:val="auto"/>
                <w:sz w:val="24"/>
                <w:szCs w:val="24"/>
                <w:highlight w:val="none"/>
              </w:rPr>
              <w:t>基本药物临床应用指南》和《</w:t>
            </w:r>
            <w:r>
              <w:rPr>
                <w:rFonts w:hint="default" w:ascii="Times New Roman" w:hAnsi="Times New Roman" w:eastAsia="方正仿宋_GBK" w:cs="Times New Roman"/>
                <w:color w:val="auto"/>
                <w:sz w:val="24"/>
                <w:szCs w:val="24"/>
                <w:highlight w:val="none"/>
                <w:lang w:eastAsia="zh-CN"/>
              </w:rPr>
              <w:t>中国国家</w:t>
            </w:r>
            <w:r>
              <w:rPr>
                <w:rFonts w:hint="default" w:ascii="Times New Roman" w:hAnsi="Times New Roman" w:eastAsia="方正仿宋_GBK" w:cs="Times New Roman"/>
                <w:color w:val="auto"/>
                <w:sz w:val="24"/>
                <w:szCs w:val="24"/>
                <w:highlight w:val="none"/>
              </w:rPr>
              <w:t>处方集》及</w:t>
            </w:r>
            <w:r>
              <w:rPr>
                <w:rFonts w:hint="default" w:ascii="Times New Roman" w:hAnsi="Times New Roman" w:eastAsia="方正仿宋_GBK" w:cs="Times New Roman"/>
                <w:color w:val="auto"/>
                <w:sz w:val="24"/>
                <w:szCs w:val="24"/>
                <w:highlight w:val="none"/>
                <w:lang w:eastAsia="zh-CN"/>
              </w:rPr>
              <w:t>医院</w:t>
            </w:r>
            <w:r>
              <w:rPr>
                <w:rFonts w:hint="default" w:ascii="Times New Roman" w:hAnsi="Times New Roman" w:eastAsia="方正仿宋_GBK" w:cs="Times New Roman"/>
                <w:color w:val="auto"/>
                <w:sz w:val="24"/>
                <w:szCs w:val="24"/>
                <w:highlight w:val="none"/>
              </w:rPr>
              <w:t>药品使用管理有关规定，规范医师处方行为，优先合理使用基本药物。</w:t>
            </w:r>
          </w:p>
        </w:tc>
      </w:tr>
      <w:tr>
        <w:tblPrEx>
          <w:tblCellMar>
            <w:top w:w="15" w:type="dxa"/>
            <w:left w:w="15" w:type="dxa"/>
            <w:bottom w:w="15" w:type="dxa"/>
            <w:right w:w="15" w:type="dxa"/>
          </w:tblCellMar>
        </w:tblPrEx>
        <w:trPr>
          <w:jc w:val="center"/>
        </w:trPr>
        <w:tc>
          <w:tcPr>
            <w:tcW w:w="923" w:type="pct"/>
            <w:vMerge w:val="restar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1.2.3.1 按照《</w:t>
            </w:r>
            <w:r>
              <w:rPr>
                <w:rFonts w:hint="default" w:ascii="Times New Roman" w:hAnsi="Times New Roman" w:eastAsia="方正仿宋_GBK" w:cs="Times New Roman"/>
                <w:color w:val="auto"/>
                <w:sz w:val="24"/>
                <w:szCs w:val="24"/>
                <w:highlight w:val="none"/>
                <w:lang w:eastAsia="zh-CN"/>
              </w:rPr>
              <w:t>国家</w:t>
            </w:r>
            <w:r>
              <w:rPr>
                <w:rFonts w:hint="default" w:ascii="Times New Roman" w:hAnsi="Times New Roman" w:eastAsia="方正仿宋_GBK" w:cs="Times New Roman"/>
                <w:color w:val="auto"/>
                <w:sz w:val="24"/>
                <w:szCs w:val="24"/>
                <w:highlight w:val="none"/>
              </w:rPr>
              <w:t>基本药物临床应用指南》、《</w:t>
            </w:r>
            <w:r>
              <w:rPr>
                <w:rFonts w:hint="default" w:ascii="Times New Roman" w:hAnsi="Times New Roman" w:eastAsia="方正仿宋_GBK" w:cs="Times New Roman"/>
                <w:color w:val="auto"/>
                <w:sz w:val="24"/>
                <w:szCs w:val="24"/>
                <w:highlight w:val="none"/>
                <w:lang w:eastAsia="zh-CN"/>
              </w:rPr>
              <w:t>中国国家</w:t>
            </w:r>
            <w:r>
              <w:rPr>
                <w:rFonts w:hint="default" w:ascii="Times New Roman" w:hAnsi="Times New Roman" w:eastAsia="方正仿宋_GBK" w:cs="Times New Roman"/>
                <w:color w:val="auto"/>
                <w:sz w:val="24"/>
                <w:szCs w:val="24"/>
                <w:highlight w:val="none"/>
              </w:rPr>
              <w:t>处方集》及</w:t>
            </w:r>
            <w:r>
              <w:rPr>
                <w:rFonts w:hint="default" w:ascii="Times New Roman" w:hAnsi="Times New Roman" w:eastAsia="方正仿宋_GBK" w:cs="Times New Roman"/>
                <w:color w:val="auto"/>
                <w:sz w:val="24"/>
                <w:szCs w:val="24"/>
                <w:highlight w:val="none"/>
                <w:lang w:eastAsia="zh-CN"/>
              </w:rPr>
              <w:t>医院</w:t>
            </w:r>
            <w:r>
              <w:rPr>
                <w:rFonts w:hint="default" w:ascii="Times New Roman" w:hAnsi="Times New Roman" w:eastAsia="方正仿宋_GBK" w:cs="Times New Roman"/>
                <w:color w:val="auto"/>
                <w:sz w:val="24"/>
                <w:szCs w:val="24"/>
                <w:highlight w:val="none"/>
              </w:rPr>
              <w:t>药品使用管理有关规定，规范医师处方行为，优先合理使用基本药物。</w:t>
            </w:r>
          </w:p>
        </w:tc>
        <w:tc>
          <w:tcPr>
            <w:tcW w:w="2400"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numPr>
                <w:ilvl w:val="0"/>
                <w:numId w:val="8"/>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有贯彻落实《</w:t>
            </w:r>
            <w:r>
              <w:rPr>
                <w:rFonts w:hint="default" w:ascii="Times New Roman" w:hAnsi="Times New Roman" w:eastAsia="方正仿宋_GBK" w:cs="Times New Roman"/>
                <w:color w:val="auto"/>
                <w:sz w:val="24"/>
                <w:szCs w:val="24"/>
                <w:highlight w:val="none"/>
                <w:lang w:eastAsia="zh-CN"/>
              </w:rPr>
              <w:t>国家</w:t>
            </w:r>
            <w:r>
              <w:rPr>
                <w:rFonts w:hint="default" w:ascii="Times New Roman" w:hAnsi="Times New Roman" w:eastAsia="方正仿宋_GBK" w:cs="Times New Roman"/>
                <w:color w:val="auto"/>
                <w:sz w:val="24"/>
                <w:szCs w:val="24"/>
                <w:highlight w:val="none"/>
              </w:rPr>
              <w:t>基本药物临床应用指南》和《</w:t>
            </w:r>
            <w:r>
              <w:rPr>
                <w:rFonts w:hint="default" w:ascii="Times New Roman" w:hAnsi="Times New Roman" w:eastAsia="方正仿宋_GBK" w:cs="Times New Roman"/>
                <w:color w:val="auto"/>
                <w:sz w:val="24"/>
                <w:szCs w:val="24"/>
                <w:highlight w:val="none"/>
                <w:lang w:eastAsia="zh-CN"/>
              </w:rPr>
              <w:t>中国国家</w:t>
            </w:r>
            <w:r>
              <w:rPr>
                <w:rFonts w:hint="default" w:ascii="Times New Roman" w:hAnsi="Times New Roman" w:eastAsia="方正仿宋_GBK" w:cs="Times New Roman"/>
                <w:color w:val="auto"/>
                <w:sz w:val="24"/>
                <w:szCs w:val="24"/>
                <w:highlight w:val="none"/>
              </w:rPr>
              <w:t>处方集》，优先使用基本药物的相关规定及监管体系。</w:t>
            </w:r>
          </w:p>
          <w:p>
            <w:pPr>
              <w:numPr>
                <w:ilvl w:val="0"/>
                <w:numId w:val="8"/>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《基本药物目录》中的品种优先纳入</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药品处方集</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和</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基本用药供应目录</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，有相应的采购、库存量。</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3.使用基本药物的比例符合上级主管部门的规定。</w:t>
            </w:r>
          </w:p>
        </w:tc>
        <w:tc>
          <w:tcPr>
            <w:tcW w:w="167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1.查阅相关制度（如优先使用国家基本药物管理制度、考核办法等）。</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2.查阅《医院用药目录》及采购、库存等符合规定要求。</w:t>
            </w:r>
          </w:p>
          <w:p>
            <w:pPr>
              <w:numPr>
                <w:ilvl w:val="0"/>
                <w:numId w:val="8"/>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CellMar>
            <w:top w:w="15" w:type="dxa"/>
            <w:left w:w="15" w:type="dxa"/>
            <w:bottom w:w="15" w:type="dxa"/>
            <w:right w:w="15" w:type="dxa"/>
          </w:tblCellMar>
        </w:tblPrEx>
        <w:trPr>
          <w:jc w:val="center"/>
        </w:trPr>
        <w:tc>
          <w:tcPr>
            <w:tcW w:w="923" w:type="pct"/>
            <w:vMerge w:val="continue"/>
            <w:tcBorders>
              <w:top w:val="single" w:color="000000" w:sz="6" w:space="0"/>
              <w:left w:val="single" w:color="000000" w:sz="6" w:space="0"/>
              <w:bottom w:val="single" w:color="000000" w:sz="6" w:space="0"/>
              <w:right w:val="single" w:color="000000" w:sz="6" w:space="0"/>
            </w:tcBorders>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00"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1.科室对医师使用基本药物情况有自查。</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2.主管部门定期对</w:t>
            </w:r>
            <w:r>
              <w:rPr>
                <w:rFonts w:hint="default" w:ascii="Times New Roman" w:hAnsi="Times New Roman" w:eastAsia="方正仿宋_GBK" w:cs="Times New Roman"/>
                <w:color w:val="auto"/>
                <w:sz w:val="24"/>
                <w:szCs w:val="24"/>
                <w:highlight w:val="none"/>
                <w:lang w:eastAsia="zh-CN"/>
              </w:rPr>
              <w:t>科室</w:t>
            </w:r>
            <w:r>
              <w:rPr>
                <w:rFonts w:hint="default" w:ascii="Times New Roman" w:hAnsi="Times New Roman" w:eastAsia="方正仿宋_GBK" w:cs="Times New Roman"/>
                <w:color w:val="auto"/>
                <w:sz w:val="24"/>
                <w:szCs w:val="24"/>
                <w:highlight w:val="none"/>
              </w:rPr>
              <w:t>使用基本药物情况有检查、分析、反馈。</w:t>
            </w:r>
          </w:p>
        </w:tc>
        <w:tc>
          <w:tcPr>
            <w:tcW w:w="167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1.抽查2个临床科室相关资料。</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CellMar>
            <w:top w:w="15" w:type="dxa"/>
            <w:left w:w="15" w:type="dxa"/>
            <w:bottom w:w="15" w:type="dxa"/>
            <w:right w:w="15" w:type="dxa"/>
          </w:tblCellMar>
        </w:tblPrEx>
        <w:trPr>
          <w:jc w:val="center"/>
        </w:trPr>
        <w:tc>
          <w:tcPr>
            <w:tcW w:w="923" w:type="pct"/>
            <w:vMerge w:val="continue"/>
            <w:tcBorders>
              <w:top w:val="single" w:color="000000" w:sz="6" w:space="0"/>
              <w:left w:val="single" w:color="000000" w:sz="6" w:space="0"/>
              <w:bottom w:val="single" w:color="000000" w:sz="6" w:space="0"/>
              <w:right w:val="single" w:color="000000" w:sz="6" w:space="0"/>
            </w:tcBorders>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00"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持续改进有成效，基本药物在医院能够优先合理使用。</w:t>
            </w:r>
          </w:p>
        </w:tc>
        <w:tc>
          <w:tcPr>
            <w:tcW w:w="167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ind w:firstLine="232" w:firstLineChars="100"/>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spacing w:line="300" w:lineRule="exact"/>
              <w:jc w:val="both"/>
              <w:rPr>
                <w:rFonts w:hint="default" w:ascii="Times New Roman" w:hAnsi="Times New Roman" w:eastAsia="方正仿宋_GBK" w:cs="Times New Roman"/>
                <w:color w:val="auto"/>
                <w:sz w:val="24"/>
                <w:szCs w:val="24"/>
                <w:highlight w:val="none"/>
              </w:rPr>
            </w:pPr>
          </w:p>
        </w:tc>
      </w:tr>
    </w:tbl>
    <w:p>
      <w:pPr>
        <w:pStyle w:val="4"/>
        <w:spacing w:before="0" w:after="0" w:line="560" w:lineRule="exact"/>
        <w:ind w:firstLine="624" w:firstLineChars="200"/>
        <w:jc w:val="left"/>
        <w:rPr>
          <w:color w:val="auto"/>
          <w:szCs w:val="21"/>
          <w:highlight w:val="none"/>
        </w:rPr>
      </w:pPr>
      <w:bookmarkStart w:id="174" w:name="_Toc30901"/>
      <w:r>
        <w:rPr>
          <w:rFonts w:hint="default" w:eastAsia="方正黑体_GBK" w:cs="Times New Roman"/>
          <w:b w:val="0"/>
          <w:color w:val="auto"/>
          <w:szCs w:val="21"/>
          <w:highlight w:val="none"/>
        </w:rPr>
        <w:t>三、</w:t>
      </w:r>
      <w:bookmarkEnd w:id="174"/>
      <w:r>
        <w:rPr>
          <w:rFonts w:hint="default" w:eastAsia="方正黑体_GBK" w:cs="Times New Roman"/>
          <w:b w:val="0"/>
          <w:color w:val="auto"/>
          <w:szCs w:val="21"/>
          <w:highlight w:val="none"/>
        </w:rPr>
        <w:t>促进医疗资源下沉，完成政府指令性任务</w:t>
      </w:r>
    </w:p>
    <w:tbl>
      <w:tblPr>
        <w:tblStyle w:val="12"/>
        <w:tblW w:w="4999"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1619"/>
        <w:gridCol w:w="4227"/>
        <w:gridCol w:w="2"/>
        <w:gridCol w:w="2926"/>
        <w:gridCol w:w="1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7" w:type="pct"/>
          <w:trHeight w:val="284" w:hRule="atLeast"/>
        </w:trPr>
        <w:tc>
          <w:tcPr>
            <w:tcW w:w="921" w:type="pct"/>
            <w:vAlign w:val="center"/>
          </w:tcPr>
          <w:p>
            <w:pPr>
              <w:spacing w:line="300" w:lineRule="exact"/>
              <w:jc w:val="center"/>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评审标准</w:t>
            </w:r>
          </w:p>
        </w:tc>
        <w:tc>
          <w:tcPr>
            <w:tcW w:w="2405" w:type="pct"/>
            <w:vAlign w:val="center"/>
          </w:tcPr>
          <w:p>
            <w:pPr>
              <w:spacing w:line="300" w:lineRule="exact"/>
              <w:jc w:val="center"/>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评审要点</w:t>
            </w:r>
          </w:p>
        </w:tc>
        <w:tc>
          <w:tcPr>
            <w:tcW w:w="1665" w:type="pct"/>
            <w:gridSpan w:val="2"/>
            <w:vAlign w:val="center"/>
          </w:tcPr>
          <w:p>
            <w:pPr>
              <w:spacing w:line="300" w:lineRule="exact"/>
              <w:jc w:val="center"/>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评审方法</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7" w:type="pct"/>
          <w:trHeight w:val="284" w:hRule="atLeast"/>
        </w:trPr>
        <w:tc>
          <w:tcPr>
            <w:tcW w:w="4992" w:type="pct"/>
            <w:gridSpan w:val="4"/>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1.3.1 加强医联体建设，实行分级诊疗，建立与实施双向转诊制度与相关服务流程，提升医联体内基层医疗机构服务能力。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21" w:type="pct"/>
            <w:vMerge w:val="restart"/>
            <w:tcBorders>
              <w:top w:val="single" w:color="000000" w:sz="6" w:space="0"/>
              <w:left w:val="single" w:color="000000" w:sz="6" w:space="0"/>
              <w:right w:val="single" w:color="000000" w:sz="6" w:space="0"/>
            </w:tcBorders>
            <w:vAlign w:val="center"/>
          </w:tcPr>
          <w:p>
            <w:pPr>
              <w:spacing w:line="300" w:lineRule="exact"/>
              <w:jc w:val="both"/>
              <w:rPr>
                <w:rFonts w:hint="default" w:ascii="Times New Roman" w:hAnsi="Times New Roman" w:eastAsia="方正仿宋_GBK" w:cs="Times New Roman"/>
                <w:strike/>
                <w:dstrike w:val="0"/>
                <w:color w:val="auto"/>
                <w:sz w:val="24"/>
                <w:szCs w:val="24"/>
                <w:highlight w:val="none"/>
              </w:rPr>
            </w:pPr>
            <w:r>
              <w:rPr>
                <w:rFonts w:hint="default" w:ascii="Times New Roman" w:hAnsi="Times New Roman" w:eastAsia="方正仿宋_GBK" w:cs="Times New Roman"/>
                <w:color w:val="auto"/>
                <w:sz w:val="24"/>
                <w:szCs w:val="24"/>
                <w:highlight w:val="none"/>
              </w:rPr>
              <w:t>1.3.1.1 实行分级诊疗，医院应建立与实施双向转诊制度与相关服务流程。</w:t>
            </w:r>
          </w:p>
          <w:p>
            <w:pPr>
              <w:spacing w:line="300" w:lineRule="exact"/>
              <w:jc w:val="both"/>
              <w:rPr>
                <w:rFonts w:hint="default" w:ascii="Times New Roman" w:hAnsi="Times New Roman" w:eastAsia="方正仿宋_GBK" w:cs="Times New Roman"/>
                <w:color w:val="auto"/>
                <w:sz w:val="24"/>
                <w:szCs w:val="24"/>
                <w:highlight w:val="none"/>
              </w:rPr>
            </w:pPr>
          </w:p>
        </w:tc>
        <w:tc>
          <w:tcPr>
            <w:tcW w:w="24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1.实行分级诊疗，建立与实施双向转诊制度与服务流程，并落实。</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2.有与基层医疗机构双向转诊协议。</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3.建立基层医疗机构双向转诊信息平台，通过信息平台规范开展与基层医疗机构双向转诊工作。</w:t>
            </w:r>
          </w:p>
          <w:p>
            <w:pPr>
              <w:spacing w:line="300" w:lineRule="exact"/>
              <w:jc w:val="both"/>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4.牵头紧密型城市医联体或县域医共体建设任务的，成立管理委员会（理事会），建立议事协调机制。</w:t>
            </w:r>
          </w:p>
        </w:tc>
        <w:tc>
          <w:tcPr>
            <w:tcW w:w="1672" w:type="pct"/>
            <w:gridSpan w:val="3"/>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2.查阅双向转诊协议。</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3.查看信息平台运行情况。</w:t>
            </w:r>
          </w:p>
          <w:p>
            <w:pPr>
              <w:spacing w:line="300" w:lineRule="exact"/>
              <w:jc w:val="both"/>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4.查阅相关资料。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64" w:hRule="exact"/>
        </w:trPr>
        <w:tc>
          <w:tcPr>
            <w:tcW w:w="921" w:type="pct"/>
            <w:vMerge w:val="continue"/>
            <w:tcBorders>
              <w:left w:val="single" w:color="000000" w:sz="6" w:space="0"/>
              <w:right w:val="single" w:color="000000" w:sz="6" w:space="0"/>
            </w:tcBorders>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有为签约服务提供专家（专科）门诊号源及优先提供床位等</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绿色通道</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的措施并落实。</w:t>
            </w:r>
          </w:p>
        </w:tc>
        <w:tc>
          <w:tcPr>
            <w:tcW w:w="1672" w:type="pct"/>
            <w:gridSpan w:val="3"/>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ind w:firstLine="232" w:firstLineChars="100"/>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01" w:hRule="exact"/>
        </w:trPr>
        <w:tc>
          <w:tcPr>
            <w:tcW w:w="921" w:type="pct"/>
            <w:vMerge w:val="continue"/>
            <w:tcBorders>
              <w:left w:val="single" w:color="000000" w:sz="6" w:space="0"/>
              <w:bottom w:val="single" w:color="000000" w:sz="6" w:space="0"/>
              <w:right w:val="single" w:color="000000" w:sz="6" w:space="0"/>
            </w:tcBorders>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持续改进有成效，有数据体现分级诊疗及双向转诊工作落实到位。</w:t>
            </w:r>
          </w:p>
        </w:tc>
        <w:tc>
          <w:tcPr>
            <w:tcW w:w="1672" w:type="pct"/>
            <w:gridSpan w:val="3"/>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spacing w:line="300" w:lineRule="exact"/>
              <w:ind w:firstLine="232" w:firstLineChars="100"/>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7" w:type="pct"/>
          <w:trHeight w:val="284" w:hRule="atLeast"/>
        </w:trPr>
        <w:tc>
          <w:tcPr>
            <w:tcW w:w="4992" w:type="pct"/>
            <w:gridSpan w:val="4"/>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1.3.2 将对口支援下级医院和支援社区卫生服务工作、慢性病管理纳入院长目标责任制与医院年度工作计划，有实施方案，由专人负责。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7" w:type="pct"/>
          <w:trHeight w:val="284" w:hRule="atLeast"/>
        </w:trPr>
        <w:tc>
          <w:tcPr>
            <w:tcW w:w="921" w:type="pct"/>
            <w:vMerge w:val="restart"/>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1.3.2.1 将对口支援下级医院和支援社区（简称受援单位）卫生服务工作纳入院长目标责任制与医院年度工作计划，有实施措施及部门负责。</w:t>
            </w:r>
          </w:p>
        </w:tc>
        <w:tc>
          <w:tcPr>
            <w:tcW w:w="2405" w:type="pct"/>
            <w:vAlign w:val="center"/>
          </w:tcPr>
          <w:p>
            <w:pPr>
              <w:spacing w:line="300" w:lineRule="exact"/>
              <w:jc w:val="both"/>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【C】</w:t>
            </w:r>
          </w:p>
          <w:p>
            <w:pPr>
              <w:spacing w:line="300" w:lineRule="exact"/>
              <w:jc w:val="both"/>
              <w:rPr>
                <w:rFonts w:hint="default" w:ascii="Times New Roman" w:hAnsi="Times New Roman" w:eastAsia="方正仿宋_GBK" w:cs="Times New Roman"/>
                <w:color w:val="auto"/>
                <w:sz w:val="24"/>
                <w:szCs w:val="24"/>
                <w:highlight w:val="none"/>
              </w:rPr>
            </w:pPr>
            <w:r>
              <w:rPr>
                <w:rFonts w:hint="eastAsia"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rPr>
              <w:t>医院有相关工作目标并纳入年度工作计划。</w:t>
            </w:r>
          </w:p>
          <w:p>
            <w:pPr>
              <w:spacing w:line="300" w:lineRule="exact"/>
              <w:jc w:val="both"/>
              <w:rPr>
                <w:rFonts w:hint="default" w:ascii="Times New Roman" w:hAnsi="Times New Roman" w:eastAsia="方正仿宋_GBK" w:cs="Times New Roman"/>
                <w:color w:val="auto"/>
                <w:sz w:val="24"/>
                <w:szCs w:val="24"/>
                <w:highlight w:val="none"/>
              </w:rPr>
            </w:pPr>
            <w:r>
              <w:rPr>
                <w:rFonts w:hint="eastAsia"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有根据受援单位的实际情况，双方制定具体的技术指导、人才培养及管理帮扶目标和实施方案，签订协议书。</w:t>
            </w:r>
          </w:p>
          <w:p>
            <w:pPr>
              <w:spacing w:line="300" w:lineRule="exact"/>
              <w:jc w:val="both"/>
              <w:rPr>
                <w:rFonts w:hint="default" w:ascii="Times New Roman" w:hAnsi="Times New Roman" w:eastAsia="方正仿宋_GBK" w:cs="Times New Roman"/>
                <w:color w:val="auto"/>
                <w:sz w:val="24"/>
                <w:szCs w:val="24"/>
                <w:highlight w:val="none"/>
              </w:rPr>
            </w:pPr>
            <w:r>
              <w:rPr>
                <w:rFonts w:hint="eastAsia"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rPr>
              <w:t>将受援单位考核结果纳入绩效考核与医师定期考核，并与晋升、聘任、任用、评优等挂钩。</w:t>
            </w:r>
          </w:p>
          <w:p>
            <w:pPr>
              <w:spacing w:line="300" w:lineRule="exact"/>
              <w:jc w:val="both"/>
              <w:rPr>
                <w:rFonts w:hint="default" w:ascii="Times New Roman" w:hAnsi="Times New Roman" w:eastAsia="方正仿宋_GBK" w:cs="Times New Roman"/>
                <w:color w:val="auto"/>
                <w:sz w:val="24"/>
                <w:szCs w:val="24"/>
                <w:highlight w:val="none"/>
              </w:rPr>
            </w:pPr>
            <w:r>
              <w:rPr>
                <w:rFonts w:hint="eastAsia"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rPr>
              <w:t>专家资源下沉乡镇卫生院或社区卫生服务中心</w:t>
            </w:r>
            <w:r>
              <w:rPr>
                <w:rFonts w:hint="default" w:ascii="Times New Roman" w:hAnsi="Times New Roman" w:eastAsia="方正仿宋_GBK" w:cs="Times New Roman"/>
                <w:color w:val="auto"/>
                <w:sz w:val="24"/>
                <w:szCs w:val="24"/>
                <w:highlight w:val="none"/>
                <w:lang w:eastAsia="zh-CN"/>
              </w:rPr>
              <w:t>。</w:t>
            </w:r>
          </w:p>
        </w:tc>
        <w:tc>
          <w:tcPr>
            <w:tcW w:w="1665" w:type="pct"/>
            <w:gridSpan w:val="2"/>
            <w:vAlign w:val="center"/>
          </w:tcPr>
          <w:p>
            <w:pPr>
              <w:numPr>
                <w:ilvl w:val="0"/>
                <w:numId w:val="9"/>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numPr>
                <w:ilvl w:val="0"/>
                <w:numId w:val="9"/>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numPr>
                <w:ilvl w:val="0"/>
                <w:numId w:val="9"/>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numPr>
                <w:ilvl w:val="0"/>
                <w:numId w:val="9"/>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7" w:type="pct"/>
          <w:trHeight w:val="284" w:hRule="atLeast"/>
        </w:trPr>
        <w:tc>
          <w:tcPr>
            <w:tcW w:w="921" w:type="pct"/>
            <w:vMerge w:val="continue"/>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05" w:type="pct"/>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主管部门对计划、方案和协议的落实有检查、分析、反馈。</w:t>
            </w:r>
          </w:p>
        </w:tc>
        <w:tc>
          <w:tcPr>
            <w:tcW w:w="1665" w:type="pct"/>
            <w:gridSpan w:val="2"/>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查阅医院对该工作总结资料、受援医院的评价资料及上级主管部门督查反馈资料。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7" w:type="pct"/>
          <w:trHeight w:val="785" w:hRule="atLeast"/>
        </w:trPr>
        <w:tc>
          <w:tcPr>
            <w:tcW w:w="921" w:type="pct"/>
            <w:vMerge w:val="continue"/>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05" w:type="pct"/>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持续改进有成效，有数据体现完成对口支援责任目标。</w:t>
            </w:r>
          </w:p>
        </w:tc>
        <w:tc>
          <w:tcPr>
            <w:tcW w:w="1665" w:type="pct"/>
            <w:gridSpan w:val="2"/>
            <w:vAlign w:val="center"/>
          </w:tcPr>
          <w:p>
            <w:pPr>
              <w:spacing w:line="300" w:lineRule="exact"/>
              <w:ind w:firstLine="232" w:firstLineChars="100"/>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7" w:type="pct"/>
          <w:trHeight w:val="99" w:hRule="atLeast"/>
        </w:trPr>
        <w:tc>
          <w:tcPr>
            <w:tcW w:w="921" w:type="pct"/>
            <w:vMerge w:val="restart"/>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1.3.2.2 将慢性病管理纳入医院目标管理及年度工作计划。有实施措施及部门负责。</w:t>
            </w:r>
          </w:p>
        </w:tc>
        <w:tc>
          <w:tcPr>
            <w:tcW w:w="2406" w:type="pct"/>
            <w:gridSpan w:val="2"/>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1.将慢性病管理工作纳入医院目标管理和医院年度工作计划。</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2.制定慢性病宣传及管理的具体实施方案并执行。对病情稳定的慢性病患者有下转基层的工作机制，为基层医疗卫生机构上转病人预留一定比例专家号、住院床位。</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有专门部门和人员负责慢性病管理工作。</w:t>
            </w:r>
          </w:p>
        </w:tc>
        <w:tc>
          <w:tcPr>
            <w:tcW w:w="1664" w:type="pct"/>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7" w:type="pct"/>
          <w:trHeight w:val="99" w:hRule="atLeast"/>
        </w:trPr>
        <w:tc>
          <w:tcPr>
            <w:tcW w:w="921" w:type="pct"/>
            <w:vMerge w:val="continue"/>
            <w:vAlign w:val="center"/>
          </w:tcPr>
          <w:p>
            <w:pPr>
              <w:spacing w:line="300" w:lineRule="exact"/>
              <w:jc w:val="both"/>
              <w:rPr>
                <w:rFonts w:hint="default" w:cs="Times New Roman"/>
                <w:color w:val="auto"/>
                <w:sz w:val="24"/>
                <w:szCs w:val="24"/>
                <w:highlight w:val="none"/>
              </w:rPr>
            </w:pPr>
          </w:p>
        </w:tc>
        <w:tc>
          <w:tcPr>
            <w:tcW w:w="2406" w:type="pct"/>
            <w:gridSpan w:val="2"/>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主管部门定期对慢性病管理督查、分析、反馈，并检查整改落实情况。</w:t>
            </w:r>
          </w:p>
        </w:tc>
        <w:tc>
          <w:tcPr>
            <w:tcW w:w="1664" w:type="pct"/>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7" w:type="pct"/>
          <w:trHeight w:val="99" w:hRule="atLeast"/>
        </w:trPr>
        <w:tc>
          <w:tcPr>
            <w:tcW w:w="921" w:type="pct"/>
            <w:vMerge w:val="continue"/>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06" w:type="pct"/>
            <w:gridSpan w:val="2"/>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64" w:type="pct"/>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7" w:type="pct"/>
          <w:trHeight w:val="354" w:hRule="atLeast"/>
        </w:trPr>
        <w:tc>
          <w:tcPr>
            <w:tcW w:w="4992" w:type="pct"/>
            <w:gridSpan w:val="4"/>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1.3.3 承担援疆援藏、健康扶贫、为下级医院培养卫生技术人员等政府指令性任务，制订相关的制度、方案，并有具体措施予以保障。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7" w:type="pct"/>
          <w:trHeight w:val="354" w:hRule="atLeast"/>
        </w:trPr>
        <w:tc>
          <w:tcPr>
            <w:tcW w:w="921" w:type="pct"/>
            <w:vMerge w:val="restart"/>
            <w:vAlign w:val="center"/>
          </w:tcPr>
          <w:p>
            <w:pPr>
              <w:spacing w:line="300" w:lineRule="exact"/>
              <w:jc w:val="both"/>
              <w:rPr>
                <w:rFonts w:hint="default" w:ascii="Times New Roman" w:hAnsi="Times New Roman" w:eastAsia="方正仿宋_GBK" w:cs="Times New Roman"/>
                <w:color w:val="auto"/>
                <w:sz w:val="24"/>
                <w:szCs w:val="24"/>
                <w:highlight w:val="none"/>
              </w:rPr>
            </w:pPr>
            <w:bookmarkStart w:id="175" w:name="_Hlk72056471"/>
            <w:r>
              <w:rPr>
                <w:rFonts w:hint="default" w:ascii="Times New Roman" w:hAnsi="Times New Roman" w:eastAsia="方正仿宋_GBK" w:cs="Times New Roman"/>
                <w:color w:val="auto"/>
                <w:sz w:val="24"/>
                <w:szCs w:val="24"/>
                <w:highlight w:val="none"/>
              </w:rPr>
              <w:t>1.3.3.1 承担政府指令性援疆援藏及健康扶贫任务，实现对口支援责任目标。</w:t>
            </w:r>
          </w:p>
        </w:tc>
        <w:tc>
          <w:tcPr>
            <w:tcW w:w="2405" w:type="pct"/>
            <w:vAlign w:val="center"/>
          </w:tcPr>
          <w:p>
            <w:pPr>
              <w:spacing w:line="300" w:lineRule="exact"/>
              <w:jc w:val="both"/>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【C】</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1.医院有相关的制度、方案及保障措施，并实施。</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2.针对受援医院的需求，制订重点扶持计划并组织实施，在技术指导、人才培养及管理等方面开展帮扶。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有专门部门和人员负责援疆援藏及健康扶贫协调工作</w:t>
            </w:r>
            <w:r>
              <w:rPr>
                <w:rFonts w:hint="default" w:ascii="Times New Roman" w:hAnsi="Times New Roman" w:eastAsia="方正仿宋_GBK" w:cs="Times New Roman"/>
                <w:color w:val="auto"/>
                <w:sz w:val="21"/>
                <w:szCs w:val="21"/>
                <w:highlight w:val="none"/>
              </w:rPr>
              <w:t>。</w:t>
            </w:r>
          </w:p>
        </w:tc>
        <w:tc>
          <w:tcPr>
            <w:tcW w:w="1665" w:type="pct"/>
            <w:gridSpan w:val="2"/>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1.查阅相关制度、措施及落实资料。</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查阅培训方案及实施记录等相关资料。</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p>
            <w:pPr>
              <w:spacing w:line="300" w:lineRule="exact"/>
              <w:jc w:val="both"/>
              <w:rPr>
                <w:rFonts w:hint="default" w:ascii="Times New Roman" w:hAnsi="Times New Roman" w:eastAsia="方正仿宋_GBK" w:cs="Times New Roman"/>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7" w:type="pct"/>
          <w:trHeight w:val="353" w:hRule="atLeast"/>
        </w:trPr>
        <w:tc>
          <w:tcPr>
            <w:tcW w:w="921" w:type="pct"/>
            <w:vMerge w:val="continue"/>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05" w:type="pct"/>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主管部门定期检查、分析、反馈，并检查整改落实情况。</w:t>
            </w:r>
          </w:p>
        </w:tc>
        <w:tc>
          <w:tcPr>
            <w:tcW w:w="1665" w:type="pct"/>
            <w:gridSpan w:val="2"/>
            <w:vAlign w:val="center"/>
          </w:tcPr>
          <w:p>
            <w:pPr>
              <w:spacing w:line="300" w:lineRule="exact"/>
              <w:ind w:firstLine="232" w:firstLineChars="100"/>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spacing w:line="300" w:lineRule="exact"/>
              <w:jc w:val="both"/>
              <w:rPr>
                <w:rFonts w:hint="default" w:ascii="Times New Roman" w:hAnsi="Times New Roman" w:eastAsia="方正仿宋_GBK" w:cs="Times New Roman"/>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7" w:type="pct"/>
          <w:trHeight w:val="353" w:hRule="atLeast"/>
        </w:trPr>
        <w:tc>
          <w:tcPr>
            <w:tcW w:w="921" w:type="pct"/>
            <w:vMerge w:val="continue"/>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05" w:type="pct"/>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w:t>
            </w:r>
            <w:r>
              <w:rPr>
                <w:rFonts w:hint="default" w:ascii="Times New Roman" w:hAnsi="Times New Roman" w:eastAsia="方正仿宋_GBK" w:cs="Times New Roman"/>
                <w:color w:val="auto"/>
                <w:spacing w:val="-6"/>
                <w:sz w:val="24"/>
                <w:szCs w:val="24"/>
                <w:highlight w:val="none"/>
              </w:rPr>
              <w:t>续改进有成效，有数据或案例体现成效。</w:t>
            </w:r>
          </w:p>
        </w:tc>
        <w:tc>
          <w:tcPr>
            <w:tcW w:w="1665" w:type="pct"/>
            <w:gridSpan w:val="2"/>
            <w:vAlign w:val="center"/>
          </w:tcPr>
          <w:p>
            <w:pPr>
              <w:spacing w:line="300" w:lineRule="exact"/>
              <w:ind w:firstLine="232" w:firstLineChars="100"/>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spacing w:line="300" w:lineRule="exact"/>
              <w:jc w:val="both"/>
              <w:rPr>
                <w:rFonts w:hint="default" w:ascii="Times New Roman" w:hAnsi="Times New Roman" w:eastAsia="方正仿宋_GBK" w:cs="Times New Roman"/>
                <w:color w:val="auto"/>
                <w:sz w:val="24"/>
                <w:szCs w:val="24"/>
                <w:highlight w:val="none"/>
              </w:rPr>
            </w:pPr>
          </w:p>
        </w:tc>
      </w:tr>
      <w:bookmarkEnd w:id="175"/>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7" w:type="pct"/>
          <w:trHeight w:val="354" w:hRule="atLeast"/>
        </w:trPr>
        <w:tc>
          <w:tcPr>
            <w:tcW w:w="921" w:type="pct"/>
            <w:vMerge w:val="restart"/>
            <w:vAlign w:val="center"/>
          </w:tcPr>
          <w:p>
            <w:pPr>
              <w:spacing w:line="300" w:lineRule="exact"/>
              <w:jc w:val="both"/>
              <w:rPr>
                <w:rFonts w:hint="default" w:ascii="Times New Roman" w:hAnsi="Times New Roman" w:eastAsia="方正仿宋_GBK" w:cs="Times New Roman"/>
                <w:color w:val="auto"/>
                <w:sz w:val="24"/>
                <w:szCs w:val="24"/>
                <w:highlight w:val="none"/>
              </w:rPr>
            </w:pPr>
            <w:bookmarkStart w:id="176" w:name="_Hlk72071541"/>
            <w:r>
              <w:rPr>
                <w:rFonts w:hint="default" w:ascii="Times New Roman" w:hAnsi="Times New Roman" w:eastAsia="方正仿宋_GBK" w:cs="Times New Roman"/>
                <w:color w:val="auto"/>
                <w:sz w:val="24"/>
                <w:szCs w:val="24"/>
                <w:highlight w:val="none"/>
              </w:rPr>
              <w:t>1.3.3.2 承担为下级医院卫生技术人员培养</w:t>
            </w:r>
            <w:r>
              <w:rPr>
                <w:rFonts w:hint="default" w:ascii="Times New Roman" w:hAnsi="Times New Roman" w:eastAsia="方正仿宋_GBK" w:cs="Times New Roman"/>
                <w:color w:val="auto"/>
                <w:sz w:val="24"/>
                <w:szCs w:val="24"/>
                <w:highlight w:val="none"/>
                <w:lang w:val="en-US" w:eastAsia="zh-CN"/>
              </w:rPr>
              <w:t>等</w:t>
            </w:r>
            <w:r>
              <w:rPr>
                <w:rFonts w:hint="default" w:ascii="Times New Roman" w:hAnsi="Times New Roman" w:eastAsia="方正仿宋_GBK" w:cs="Times New Roman"/>
                <w:color w:val="auto"/>
                <w:sz w:val="24"/>
                <w:szCs w:val="24"/>
                <w:highlight w:val="none"/>
              </w:rPr>
              <w:t>政府指令性任务。</w:t>
            </w:r>
          </w:p>
        </w:tc>
        <w:tc>
          <w:tcPr>
            <w:tcW w:w="2405" w:type="pct"/>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1.医院有相关的制度、方案及保障措施，并实施。</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2.有每年为县级骨干医师培训，社区、农村培养人才项目的实施计划和培训方案，并组织实施。</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3.有完整的项目培养资料，包括学员名单、授课课件、学时、考核和评价等。</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4.到下级医院服务医师人数占符合晋升条件人数比例≥60%。</w:t>
            </w:r>
          </w:p>
        </w:tc>
        <w:tc>
          <w:tcPr>
            <w:tcW w:w="1665" w:type="pct"/>
            <w:gridSpan w:val="2"/>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1.查阅相关制度、措施。</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2.查阅培训方案及实施记录等相关资料。</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4.查阅人数比例是否达标。</w:t>
            </w:r>
          </w:p>
          <w:p>
            <w:pPr>
              <w:spacing w:line="300" w:lineRule="exact"/>
              <w:jc w:val="both"/>
              <w:rPr>
                <w:rFonts w:hint="default" w:ascii="Times New Roman" w:hAnsi="Times New Roman" w:eastAsia="方正仿宋_GBK" w:cs="Times New Roman"/>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7" w:type="pct"/>
          <w:trHeight w:val="353" w:hRule="atLeast"/>
        </w:trPr>
        <w:tc>
          <w:tcPr>
            <w:tcW w:w="921" w:type="pct"/>
            <w:vMerge w:val="continue"/>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05" w:type="pct"/>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numPr>
                <w:ilvl w:val="0"/>
                <w:numId w:val="10"/>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主管部门对培养效果有分析、</w:t>
            </w:r>
            <w:r>
              <w:rPr>
                <w:rFonts w:hint="default" w:ascii="Times New Roman" w:hAnsi="Times New Roman" w:eastAsia="方正仿宋_GBK" w:cs="Times New Roman"/>
                <w:color w:val="auto"/>
                <w:sz w:val="24"/>
                <w:szCs w:val="24"/>
                <w:highlight w:val="none"/>
                <w:lang w:val="en-US" w:eastAsia="zh-CN"/>
              </w:rPr>
              <w:t>总结</w:t>
            </w:r>
            <w:r>
              <w:rPr>
                <w:rFonts w:hint="default" w:ascii="Times New Roman" w:hAnsi="Times New Roman" w:eastAsia="方正仿宋_GBK" w:cs="Times New Roman"/>
                <w:color w:val="auto"/>
                <w:sz w:val="24"/>
                <w:szCs w:val="24"/>
                <w:highlight w:val="none"/>
              </w:rPr>
              <w:t>。</w:t>
            </w:r>
          </w:p>
          <w:p>
            <w:pPr>
              <w:numPr>
                <w:ilvl w:val="0"/>
                <w:numId w:val="10"/>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到下级医院服务医师人数占符合晋升条件人数的比例≥70%。</w:t>
            </w:r>
          </w:p>
        </w:tc>
        <w:tc>
          <w:tcPr>
            <w:tcW w:w="1665" w:type="pct"/>
            <w:gridSpan w:val="2"/>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2.查阅人数比例是否达标。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7" w:type="pct"/>
          <w:trHeight w:val="353" w:hRule="atLeast"/>
        </w:trPr>
        <w:tc>
          <w:tcPr>
            <w:tcW w:w="921" w:type="pct"/>
            <w:vMerge w:val="continue"/>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05" w:type="pct"/>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numPr>
                <w:ilvl w:val="0"/>
                <w:numId w:val="11"/>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持续改进有成效，培养任务有效完成，培训效果达到相关要求。</w:t>
            </w:r>
          </w:p>
          <w:p>
            <w:pPr>
              <w:numPr>
                <w:ilvl w:val="0"/>
                <w:numId w:val="11"/>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到下级医院服务医师人数占符合晋升条件人数的比例≥90%。</w:t>
            </w:r>
          </w:p>
        </w:tc>
        <w:tc>
          <w:tcPr>
            <w:tcW w:w="1665" w:type="pct"/>
            <w:gridSpan w:val="2"/>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2.查阅人数比例是否达标。</w:t>
            </w:r>
          </w:p>
          <w:p>
            <w:pPr>
              <w:spacing w:line="300" w:lineRule="exact"/>
              <w:jc w:val="both"/>
              <w:rPr>
                <w:rFonts w:hint="default" w:ascii="Times New Roman" w:hAnsi="Times New Roman" w:eastAsia="方正仿宋_GBK" w:cs="Times New Roman"/>
                <w:color w:val="auto"/>
                <w:sz w:val="24"/>
                <w:szCs w:val="24"/>
                <w:highlight w:val="none"/>
              </w:rPr>
            </w:pPr>
          </w:p>
        </w:tc>
      </w:tr>
      <w:bookmarkEnd w:id="176"/>
    </w:tbl>
    <w:p>
      <w:pPr>
        <w:pStyle w:val="4"/>
        <w:spacing w:before="0" w:after="0" w:line="560" w:lineRule="exact"/>
        <w:ind w:firstLine="624" w:firstLineChars="200"/>
        <w:rPr>
          <w:color w:val="auto"/>
          <w:szCs w:val="21"/>
          <w:highlight w:val="none"/>
        </w:rPr>
      </w:pPr>
      <w:bookmarkStart w:id="177" w:name="_Toc7306"/>
      <w:bookmarkStart w:id="178" w:name="_Hlk49529057"/>
      <w:r>
        <w:rPr>
          <w:rFonts w:hint="default" w:eastAsia="方正黑体_GBK" w:cs="Times New Roman"/>
          <w:b w:val="0"/>
          <w:color w:val="auto"/>
          <w:szCs w:val="21"/>
          <w:highlight w:val="none"/>
        </w:rPr>
        <w:t>四、承担突发公共卫生事件和重大事故灾害的紧急医疗救援与紧急救治</w:t>
      </w:r>
      <w:bookmarkEnd w:id="177"/>
    </w:p>
    <w:tbl>
      <w:tblPr>
        <w:tblStyle w:val="12"/>
        <w:tblW w:w="4998" w:type="pct"/>
        <w:jc w:val="center"/>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autofit"/>
        <w:tblCellMar>
          <w:top w:w="15" w:type="dxa"/>
          <w:left w:w="15" w:type="dxa"/>
          <w:bottom w:w="15" w:type="dxa"/>
          <w:right w:w="15" w:type="dxa"/>
        </w:tblCellMar>
      </w:tblPr>
      <w:tblGrid>
        <w:gridCol w:w="1636"/>
        <w:gridCol w:w="4298"/>
        <w:gridCol w:w="2831"/>
      </w:tblGrid>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33" w:type="pct"/>
            <w:tcBorders>
              <w:top w:val="single" w:color="000000" w:sz="6" w:space="0"/>
            </w:tcBorders>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bookmarkStart w:id="179" w:name="_Hlk49717834"/>
            <w:r>
              <w:rPr>
                <w:rFonts w:hint="default" w:ascii="方正黑体_GBK" w:hAnsi="方正黑体_GBK" w:eastAsia="方正黑体_GBK" w:cs="方正黑体_GBK"/>
                <w:color w:val="auto"/>
                <w:sz w:val="24"/>
                <w:szCs w:val="24"/>
                <w:highlight w:val="none"/>
              </w:rPr>
              <w:t>评审标准</w:t>
            </w:r>
          </w:p>
        </w:tc>
        <w:tc>
          <w:tcPr>
            <w:tcW w:w="2452" w:type="pct"/>
            <w:tcBorders>
              <w:top w:val="single" w:color="000000" w:sz="6" w:space="0"/>
            </w:tcBorders>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评审要点</w:t>
            </w:r>
          </w:p>
        </w:tc>
        <w:tc>
          <w:tcPr>
            <w:tcW w:w="1613" w:type="pct"/>
            <w:tcBorders>
              <w:top w:val="single" w:color="000000" w:sz="6" w:space="0"/>
            </w:tcBorders>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评审方法</w:t>
            </w:r>
          </w:p>
        </w:tc>
      </w:tr>
      <w:bookmarkEnd w:id="178"/>
      <w:bookmarkEnd w:id="179"/>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1.4.1 遵守国家法律、法规，严格执行各级政府制定的应急预案，承担突发公共卫生事件和重大事故灾害的紧急医疗救援与紧急救治。遵守国家法律、法规，严格执行各级政府制定的应急预案，按照</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平</w:t>
            </w:r>
            <w:r>
              <w:rPr>
                <w:rFonts w:hint="default" w:ascii="Times New Roman" w:hAnsi="Times New Roman" w:eastAsia="方正仿宋_GBK" w:cs="Times New Roman"/>
                <w:color w:val="auto"/>
                <w:sz w:val="24"/>
                <w:szCs w:val="24"/>
                <w:highlight w:val="none"/>
                <w:lang w:val="en-US" w:eastAsia="zh-CN"/>
              </w:rPr>
              <w:t>急</w:t>
            </w:r>
            <w:r>
              <w:rPr>
                <w:rFonts w:hint="default" w:ascii="Times New Roman" w:hAnsi="Times New Roman" w:eastAsia="方正仿宋_GBK" w:cs="Times New Roman"/>
                <w:color w:val="auto"/>
                <w:sz w:val="24"/>
                <w:szCs w:val="24"/>
                <w:highlight w:val="none"/>
              </w:rPr>
              <w:t>结合、防治结合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的要求加强建设，承担突发公共卫生事件和重大事故灾害的紧急医疗救援与紧急救治工作。</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33" w:type="pct"/>
            <w:vMerge w:val="restart"/>
            <w:tcBorders>
              <w:left w:val="single" w:color="000000" w:sz="4" w:space="0"/>
              <w:bottom w:val="nil"/>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1.4.1.1 遵守国家法律、法规，严格执行各级政府制定的应急预案，按照</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平</w:t>
            </w:r>
            <w:r>
              <w:rPr>
                <w:rFonts w:hint="default" w:ascii="Times New Roman" w:hAnsi="Times New Roman" w:eastAsia="方正仿宋_GBK" w:cs="Times New Roman"/>
                <w:color w:val="auto"/>
                <w:sz w:val="24"/>
                <w:szCs w:val="24"/>
                <w:highlight w:val="none"/>
                <w:lang w:val="en-US" w:eastAsia="zh-CN"/>
              </w:rPr>
              <w:t>急</w:t>
            </w:r>
            <w:r>
              <w:rPr>
                <w:rFonts w:hint="default" w:ascii="Times New Roman" w:hAnsi="Times New Roman" w:eastAsia="方正仿宋_GBK" w:cs="Times New Roman"/>
                <w:color w:val="auto"/>
                <w:sz w:val="24"/>
                <w:szCs w:val="24"/>
                <w:highlight w:val="none"/>
              </w:rPr>
              <w:t>结合、防治结合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的要求加强建设，承担突发公共卫生事件和重大事故灾害的紧急医疗救援与紧急救治工作。</w:t>
            </w:r>
          </w:p>
        </w:tc>
        <w:tc>
          <w:tcPr>
            <w:tcW w:w="2452" w:type="pct"/>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1.根据各级政府制定的应急预案及医院在应对突发事件和重大事故灾害中的功能和承担的任务，制定本单位应急预案，有应对突发公共卫生事件与重大事故灾害的紧急医疗救援与救治响应机制和启动流程。</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2.根据医院年度脆弱性分析结果，制定院内各类应急预案。</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3.根据卫生健康行政部门指令，承担突发公共卫生事件相关工作。</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4.紧</w:t>
            </w:r>
            <w:r>
              <w:rPr>
                <w:rFonts w:hint="default" w:ascii="Times New Roman" w:hAnsi="Times New Roman" w:eastAsia="方正仿宋_GBK" w:cs="Times New Roman"/>
                <w:color w:val="auto"/>
                <w:spacing w:val="-6"/>
                <w:sz w:val="24"/>
                <w:szCs w:val="24"/>
                <w:highlight w:val="none"/>
              </w:rPr>
              <w:t>急救援、救治物资储备合理、完备、可用。</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5</w:t>
            </w:r>
            <w:r>
              <w:rPr>
                <w:rFonts w:hint="default" w:ascii="Times New Roman" w:hAnsi="Times New Roman" w:eastAsia="方正仿宋_GBK" w:cs="Times New Roman"/>
                <w:color w:val="auto"/>
                <w:sz w:val="24"/>
                <w:szCs w:val="24"/>
                <w:highlight w:val="none"/>
              </w:rPr>
              <w:t>. 定期组织应急预案培训与演练。</w:t>
            </w:r>
          </w:p>
        </w:tc>
        <w:tc>
          <w:tcPr>
            <w:tcW w:w="1613" w:type="pct"/>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numPr>
                <w:ilvl w:val="255"/>
                <w:numId w:val="0"/>
              </w:num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4.查阅目录、储备情况、使用登记及定期维护记录等资料。</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5.查阅相关资料。</w:t>
            </w:r>
          </w:p>
          <w:p>
            <w:pPr>
              <w:spacing w:line="300" w:lineRule="exact"/>
              <w:jc w:val="both"/>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383" w:hRule="atLeast"/>
          <w:jc w:val="center"/>
        </w:trPr>
        <w:tc>
          <w:tcPr>
            <w:tcW w:w="933" w:type="pct"/>
            <w:vMerge w:val="continue"/>
            <w:tcBorders>
              <w:left w:val="single" w:color="000000" w:sz="4" w:space="0"/>
              <w:bottom w:val="nil"/>
            </w:tcBorders>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主管部门对培训和演练有分析及</w:t>
            </w:r>
            <w:r>
              <w:rPr>
                <w:rFonts w:hint="default" w:ascii="Times New Roman" w:hAnsi="Times New Roman" w:eastAsia="方正仿宋_GBK" w:cs="Times New Roman"/>
                <w:color w:val="auto"/>
                <w:sz w:val="24"/>
                <w:szCs w:val="24"/>
                <w:highlight w:val="none"/>
                <w:lang w:val="en-US" w:eastAsia="zh-CN"/>
              </w:rPr>
              <w:t>总结</w:t>
            </w:r>
            <w:r>
              <w:rPr>
                <w:rFonts w:hint="default" w:ascii="Times New Roman" w:hAnsi="Times New Roman" w:eastAsia="方正仿宋_GBK" w:cs="Times New Roman"/>
                <w:color w:val="auto"/>
                <w:sz w:val="24"/>
                <w:szCs w:val="24"/>
                <w:highlight w:val="none"/>
              </w:rPr>
              <w:t>。</w:t>
            </w:r>
          </w:p>
        </w:tc>
        <w:tc>
          <w:tcPr>
            <w:tcW w:w="1613" w:type="pct"/>
            <w:tcMar>
              <w:top w:w="22" w:type="dxa"/>
              <w:left w:w="22" w:type="dxa"/>
              <w:bottom w:w="22" w:type="dxa"/>
              <w:right w:w="22" w:type="dxa"/>
            </w:tcMar>
            <w:vAlign w:val="center"/>
          </w:tcPr>
          <w:p>
            <w:pPr>
              <w:spacing w:line="300" w:lineRule="exact"/>
              <w:ind w:firstLine="232" w:firstLineChars="100"/>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933" w:type="pct"/>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jc w:val="both"/>
              <w:rPr>
                <w:rFonts w:hint="default" w:ascii="Times New Roman" w:hAnsi="Times New Roman" w:eastAsia="方正仿宋_GBK" w:cs="Times New Roman"/>
                <w:color w:val="auto"/>
                <w:sz w:val="24"/>
                <w:szCs w:val="24"/>
                <w:highlight w:val="none"/>
              </w:rPr>
            </w:pPr>
          </w:p>
        </w:tc>
        <w:tc>
          <w:tcPr>
            <w:tcW w:w="2452" w:type="pct"/>
            <w:tcBorders>
              <w:top w:val="single" w:color="000000" w:sz="6" w:space="0"/>
              <w:left w:val="single" w:color="000000" w:sz="4" w:space="0"/>
              <w:bottom w:val="single" w:color="000000" w:sz="6" w:space="0"/>
              <w:right w:val="single" w:color="000000" w:sz="6" w:space="0"/>
            </w:tcBorders>
            <w:tcMar>
              <w:top w:w="22" w:type="dxa"/>
              <w:left w:w="22" w:type="dxa"/>
              <w:bottom w:w="22" w:type="dxa"/>
              <w:right w:w="22" w:type="dxa"/>
            </w:tcMar>
            <w:vAlign w:val="center"/>
          </w:tcPr>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spacing w:line="300" w:lineRule="exact"/>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w:t>
            </w:r>
            <w:r>
              <w:rPr>
                <w:rFonts w:hint="default" w:ascii="Times New Roman" w:hAnsi="Times New Roman" w:eastAsia="方正仿宋_GBK" w:cs="Times New Roman"/>
                <w:color w:val="auto"/>
                <w:spacing w:val="-6"/>
                <w:sz w:val="24"/>
                <w:szCs w:val="24"/>
                <w:highlight w:val="none"/>
              </w:rPr>
              <w:t>，应急预案不断完善，有数据或案例体现应急能力和水平得到提升。</w:t>
            </w:r>
          </w:p>
        </w:tc>
        <w:tc>
          <w:tcPr>
            <w:tcW w:w="1613" w:type="pct"/>
            <w:tcBorders>
              <w:top w:val="single" w:color="000000" w:sz="6" w:space="0"/>
              <w:left w:val="nil"/>
              <w:bottom w:val="single" w:color="000000" w:sz="6" w:space="0"/>
              <w:right w:val="single" w:color="000000" w:sz="6" w:space="0"/>
            </w:tcBorders>
            <w:tcMar>
              <w:top w:w="22" w:type="dxa"/>
              <w:left w:w="22" w:type="dxa"/>
              <w:bottom w:w="22" w:type="dxa"/>
              <w:right w:w="22" w:type="dxa"/>
            </w:tcMar>
            <w:vAlign w:val="center"/>
          </w:tcPr>
          <w:p>
            <w:pPr>
              <w:spacing w:line="300" w:lineRule="exact"/>
              <w:ind w:firstLine="232" w:firstLineChars="100"/>
              <w:jc w:val="both"/>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spacing w:line="300" w:lineRule="exact"/>
              <w:jc w:val="both"/>
              <w:rPr>
                <w:rFonts w:hint="default" w:ascii="Times New Roman" w:hAnsi="Times New Roman" w:eastAsia="方正仿宋_GBK" w:cs="Times New Roman"/>
                <w:color w:val="auto"/>
                <w:sz w:val="24"/>
                <w:szCs w:val="24"/>
                <w:highlight w:val="none"/>
              </w:rPr>
            </w:pPr>
          </w:p>
        </w:tc>
      </w:tr>
    </w:tbl>
    <w:p>
      <w:pPr>
        <w:pStyle w:val="2"/>
        <w:spacing w:line="360" w:lineRule="auto"/>
        <w:jc w:val="center"/>
        <w:rPr>
          <w:rFonts w:eastAsiaTheme="minorEastAsia"/>
          <w:color w:val="auto"/>
          <w:highlight w:val="none"/>
        </w:rPr>
      </w:pPr>
      <w:bookmarkStart w:id="180" w:name="_Toc12394"/>
      <w:bookmarkStart w:id="181" w:name="_Toc6696"/>
      <w:bookmarkStart w:id="182" w:name="_Toc21805"/>
      <w:bookmarkStart w:id="183" w:name="_Toc16251"/>
      <w:bookmarkStart w:id="184" w:name="_Toc6031"/>
      <w:bookmarkStart w:id="185" w:name="_Toc1372"/>
      <w:bookmarkStart w:id="186" w:name="_Toc22694"/>
      <w:bookmarkStart w:id="187" w:name="_Toc24849"/>
      <w:r>
        <w:rPr>
          <w:rFonts w:hint="eastAsia"/>
        </w:rPr>
        <w:t>第二章 临床服务质量与安全管理</w:t>
      </w:r>
      <w:bookmarkEnd w:id="166"/>
      <w:bookmarkEnd w:id="180"/>
      <w:bookmarkEnd w:id="181"/>
      <w:bookmarkEnd w:id="182"/>
      <w:bookmarkEnd w:id="183"/>
      <w:bookmarkEnd w:id="184"/>
      <w:bookmarkEnd w:id="185"/>
      <w:bookmarkEnd w:id="186"/>
      <w:bookmarkEnd w:id="187"/>
    </w:p>
    <w:p>
      <w:pPr>
        <w:pStyle w:val="4"/>
        <w:spacing w:before="0" w:after="0" w:line="560" w:lineRule="exact"/>
        <w:ind w:firstLine="624" w:firstLineChars="200"/>
        <w:rPr>
          <w:color w:val="auto"/>
          <w:szCs w:val="21"/>
          <w:highlight w:val="none"/>
        </w:rPr>
      </w:pPr>
      <w:r>
        <w:rPr>
          <w:rFonts w:hint="default" w:eastAsia="方正黑体_GBK" w:cs="Times New Roman"/>
          <w:b w:val="0"/>
          <w:color w:val="auto"/>
          <w:szCs w:val="21"/>
          <w:highlight w:val="none"/>
        </w:rPr>
        <w:t>一、医疗质量管理体系和工作机制</w:t>
      </w:r>
    </w:p>
    <w:tbl>
      <w:tblPr>
        <w:tblStyle w:val="12"/>
        <w:tblW w:w="0" w:type="auto"/>
        <w:jc w:val="center"/>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autofit"/>
        <w:tblCellMar>
          <w:top w:w="15" w:type="dxa"/>
          <w:left w:w="15" w:type="dxa"/>
          <w:bottom w:w="15" w:type="dxa"/>
          <w:right w:w="15" w:type="dxa"/>
        </w:tblCellMar>
      </w:tblPr>
      <w:tblGrid>
        <w:gridCol w:w="1627"/>
        <w:gridCol w:w="4918"/>
        <w:gridCol w:w="2231"/>
      </w:tblGrid>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tcBorders>
              <w:top w:val="single" w:color="000000" w:sz="6" w:space="0"/>
            </w:tcBorders>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评审标准</w:t>
            </w:r>
          </w:p>
        </w:tc>
        <w:tc>
          <w:tcPr>
            <w:tcW w:w="2802" w:type="pct"/>
            <w:tcBorders>
              <w:top w:val="single" w:color="000000" w:sz="6" w:space="0"/>
            </w:tcBorders>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评审要点</w:t>
            </w:r>
          </w:p>
        </w:tc>
        <w:tc>
          <w:tcPr>
            <w:tcW w:w="1269" w:type="pct"/>
            <w:tcBorders>
              <w:top w:val="single" w:color="000000" w:sz="6" w:space="0"/>
            </w:tcBorders>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评审方法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2.1.1  有医疗质量管理体系，落实医疗质量管理主体责任，实行医疗质量管理院、科两级责任制。</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2.1.1.1 有质量与安全管理体系，</w:t>
            </w:r>
            <w:r>
              <w:rPr>
                <w:rFonts w:hint="default" w:ascii="Times New Roman" w:hAnsi="Times New Roman" w:eastAsia="方正仿宋_GBK" w:cs="Times New Roman"/>
                <w:color w:val="auto"/>
                <w:sz w:val="24"/>
                <w:szCs w:val="24"/>
                <w:highlight w:val="none"/>
                <w:lang w:val="en-US" w:eastAsia="zh-CN"/>
              </w:rPr>
              <w:t>有明确的体系架构、内容，</w:t>
            </w:r>
            <w:r>
              <w:rPr>
                <w:rFonts w:hint="default" w:ascii="Times New Roman" w:hAnsi="Times New Roman" w:eastAsia="方正仿宋_GBK" w:cs="Times New Roman"/>
                <w:color w:val="auto"/>
                <w:sz w:val="24"/>
                <w:szCs w:val="24"/>
                <w:highlight w:val="none"/>
              </w:rPr>
              <w:t>实行院、科两级责任制。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院长是医院质量管理第一责任人，定期专题研究医疗质量和医疗安全工作。</w:t>
            </w:r>
          </w:p>
          <w:p>
            <w:pPr>
              <w:pageBreakBefore w:val="0"/>
              <w:numPr>
                <w:ilvl w:val="0"/>
                <w:numId w:val="1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质量与安全管理组织机构健全、人员构成合理、职责明确，主要包括：医院质量与安全管理委员会、各质量相关委员会（医疗质量与安全管理委员会、伦理委员会、药事管理与药物治疗学委员会、医院感染管理委员会、病案管理委员会、输血管理委员会、护理质量管理委员会等）、质量管理部门、各职能部门、科室质量与安全管理小组等。</w:t>
            </w:r>
          </w:p>
          <w:p>
            <w:pPr>
              <w:pageBreakBefore w:val="0"/>
              <w:numPr>
                <w:ilvl w:val="0"/>
                <w:numId w:val="1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医院质量与安全管理委员会及各相关管理委员会能在质量与安全管理中发挥决策作用。</w:t>
            </w:r>
          </w:p>
        </w:tc>
        <w:tc>
          <w:tcPr>
            <w:tcW w:w="1269" w:type="pct"/>
            <w:tcMar>
              <w:top w:w="22" w:type="dxa"/>
              <w:left w:w="22" w:type="dxa"/>
              <w:bottom w:w="22" w:type="dxa"/>
              <w:right w:w="22" w:type="dxa"/>
            </w:tcMar>
            <w:vAlign w:val="center"/>
          </w:tcPr>
          <w:p>
            <w:pPr>
              <w:pageBreakBefore w:val="0"/>
              <w:numPr>
                <w:ilvl w:val="0"/>
                <w:numId w:val="1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rPr>
              <w:t>查阅</w:t>
            </w:r>
            <w:r>
              <w:rPr>
                <w:rFonts w:hint="default" w:ascii="Times New Roman" w:hAnsi="Times New Roman" w:eastAsia="方正仿宋_GBK" w:cs="Times New Roman"/>
                <w:color w:val="auto"/>
                <w:sz w:val="24"/>
                <w:szCs w:val="24"/>
                <w:highlight w:val="none"/>
                <w:lang w:val="en-US" w:eastAsia="zh-CN"/>
              </w:rPr>
              <w:t>相关资料。</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查阅医院质量管理构架图、可以体现院科两级管理的客观材料。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查阅相关委员会的职责及工作记录，随机询问医院领导、职能部门管理者等5名人员有关质量与安全管理知识及职责的知晓情况。</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各相关管理委员会定期专题研究质量与安全工作，有分析总结，有改进措施</w:t>
            </w:r>
            <w:r>
              <w:rPr>
                <w:rFonts w:hint="default" w:ascii="Times New Roman" w:hAnsi="Times New Roman" w:eastAsia="方正仿宋_GBK" w:cs="Times New Roman"/>
                <w:color w:val="auto"/>
                <w:sz w:val="24"/>
                <w:szCs w:val="24"/>
                <w:highlight w:val="none"/>
                <w:lang w:eastAsia="zh-CN"/>
              </w:rPr>
              <w:t>并落实</w:t>
            </w:r>
            <w:r>
              <w:rPr>
                <w:rFonts w:hint="default" w:ascii="Times New Roman" w:hAnsi="Times New Roman" w:eastAsia="方正仿宋_GBK" w:cs="Times New Roman"/>
                <w:color w:val="auto"/>
                <w:sz w:val="24"/>
                <w:szCs w:val="24"/>
                <w:highlight w:val="none"/>
              </w:rPr>
              <w:t>，有</w:t>
            </w:r>
            <w:r>
              <w:rPr>
                <w:rFonts w:hint="default" w:ascii="Times New Roman" w:hAnsi="Times New Roman" w:eastAsia="方正仿宋_GBK" w:cs="Times New Roman"/>
                <w:color w:val="auto"/>
                <w:sz w:val="24"/>
                <w:szCs w:val="24"/>
                <w:highlight w:val="none"/>
                <w:lang w:eastAsia="zh-CN"/>
              </w:rPr>
              <w:t>相关工作</w:t>
            </w:r>
            <w:r>
              <w:rPr>
                <w:rFonts w:hint="default" w:ascii="Times New Roman" w:hAnsi="Times New Roman" w:eastAsia="方正仿宋_GBK" w:cs="Times New Roman"/>
                <w:color w:val="auto"/>
                <w:sz w:val="24"/>
                <w:szCs w:val="24"/>
                <w:highlight w:val="none"/>
              </w:rPr>
              <w:t>记录。</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持续改进有成效，有数据或案例体现各医院质量与安全管理委员会能够执行三级管理，职责落实到位。</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823" w:hRule="exact"/>
          <w:jc w:val="center"/>
        </w:trPr>
        <w:tc>
          <w:tcPr>
            <w:tcW w:w="927" w:type="pct"/>
            <w:vMerge w:val="restart"/>
            <w:vAlign w:val="center"/>
          </w:tcPr>
          <w:p>
            <w:pPr>
              <w:pageBreakBefore w:val="0"/>
              <w:kinsoku/>
              <w:wordWrap/>
              <w:overflowPunct/>
              <w:topLinePunct w:val="0"/>
              <w:autoSpaceDE w:val="0"/>
              <w:autoSpaceDN w:val="0"/>
              <w:bidi w:val="0"/>
              <w:adjustRightInd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2.1.1.2 有质量管理方案，包括：质量管理目标、质量指标、考核项目、考核标准考核办法等，有相关配套的措施保证方案的落实。</w:t>
            </w:r>
          </w:p>
        </w:tc>
        <w:tc>
          <w:tcPr>
            <w:tcW w:w="2802" w:type="pct"/>
            <w:vAlign w:val="center"/>
          </w:tcPr>
          <w:p>
            <w:pPr>
              <w:pStyle w:val="10"/>
              <w:pageBreakBefore w:val="0"/>
              <w:kinsoku/>
              <w:wordWrap/>
              <w:overflowPunct/>
              <w:topLinePunct w:val="0"/>
              <w:bidi w:val="0"/>
              <w:snapToGrid/>
              <w:spacing w:line="300" w:lineRule="exact"/>
              <w:ind w:left="0" w:leftChars="0"/>
              <w:jc w:val="both"/>
              <w:textAlignment w:val="auto"/>
              <w:rPr>
                <w:rFonts w:hint="default" w:ascii="Times New Roman" w:hAnsi="Times New Roman" w:eastAsia="方正仿宋_GBK"/>
                <w:color w:val="auto"/>
                <w:sz w:val="24"/>
                <w:szCs w:val="24"/>
                <w:highlight w:val="none"/>
                <w:lang w:eastAsia="zh-CN"/>
              </w:rPr>
            </w:pPr>
            <w:r>
              <w:rPr>
                <w:rFonts w:hint="default" w:ascii="Times New Roman" w:hAnsi="Times New Roman" w:eastAsia="方正仿宋_GBK"/>
                <w:color w:val="auto"/>
                <w:sz w:val="24"/>
                <w:szCs w:val="24"/>
                <w:highlight w:val="none"/>
                <w:lang w:eastAsia="zh-CN"/>
              </w:rPr>
              <w:t>【C】</w:t>
            </w:r>
          </w:p>
          <w:p>
            <w:pPr>
              <w:pageBreakBefore w:val="0"/>
              <w:numPr>
                <w:ilvl w:val="0"/>
                <w:numId w:val="1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有医院质量管理方案，包括：质量管理目标、质量指标、考核项目、考核标准、考核办法等，以及相配套制度。</w:t>
            </w:r>
          </w:p>
          <w:p>
            <w:pPr>
              <w:pageBreakBefore w:val="0"/>
              <w:numPr>
                <w:ilvl w:val="0"/>
                <w:numId w:val="1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设置独立的质量与安全管理部门，配置充足人力，并落实医疗质量管理方案。</w:t>
            </w:r>
          </w:p>
          <w:p>
            <w:pPr>
              <w:pageBreakBefore w:val="0"/>
              <w:numPr>
                <w:ilvl w:val="0"/>
                <w:numId w:val="1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有院、科两级质量管理流程。</w:t>
            </w:r>
          </w:p>
        </w:tc>
        <w:tc>
          <w:tcPr>
            <w:tcW w:w="1269" w:type="pct"/>
            <w:vAlign w:val="center"/>
          </w:tcPr>
          <w:p>
            <w:pPr>
              <w:pageBreakBefore w:val="0"/>
              <w:numPr>
                <w:ilvl w:val="0"/>
                <w:numId w:val="1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查阅部门设置、人员配置及相关管理资料。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查阅院级质量管理流程，抽查内、外科及医技科室各1个科室的相关管理流程资料。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874" w:hRule="exac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职能部门能运用管理工具统计分析质量与安全指标、风险数据、重大质量缺陷等资料，对质量与安全工作实施监控，并定期总结、分析、反馈，有记录。</w:t>
            </w:r>
          </w:p>
        </w:tc>
        <w:tc>
          <w:tcPr>
            <w:tcW w:w="1269" w:type="pct"/>
            <w:vAlign w:val="center"/>
          </w:tcPr>
          <w:p>
            <w:pPr>
              <w:pageBreakBefore w:val="0"/>
              <w:kinsoku/>
              <w:wordWrap/>
              <w:overflowPunct/>
              <w:topLinePunct w:val="0"/>
              <w:bidi w:val="0"/>
              <w:snapToGrid/>
              <w:spacing w:line="300" w:lineRule="exact"/>
              <w:ind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查阅相关职能部门运用质量与安全指标、风险数据、重大质量缺陷等资料对质量与安全工作实施监控的相关资料。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74" w:hRule="atLeas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31" w:hRule="atLeast"/>
          <w:jc w:val="center"/>
        </w:trPr>
        <w:tc>
          <w:tcPr>
            <w:tcW w:w="5000" w:type="pct"/>
            <w:gridSpan w:val="3"/>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2.1.2. 设立医疗质量管理委员会，人员组成和职责符合《医疗质量管理办法》要求。医疗质量管理委员会负责承接、配合各级质控组织开展工作，并发挥统筹协调作用。</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2910" w:hRule="atLeast"/>
          <w:jc w:val="center"/>
        </w:trPr>
        <w:tc>
          <w:tcPr>
            <w:tcW w:w="927" w:type="pct"/>
            <w:vMerge w:val="restar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2.1.2.1 设立医疗质量管理委员会，人员组成和职责符合《医疗质量管理办法》要求。医疗质量管理委员会负责承接、配合各级质控组织开展工作，并发挥统筹协调作用。</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1.设立医疗质量管理委员会，医疗质量管理委员会人员组成和职责符合《医疗质量管理办法》要求，指定专门部门具体负责日常管理工作。</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2.医疗质量管理委员会能在质量与安全管理中发挥决策作用。职责清晰，负责组织制定本机构医疗质量管理制度、质量持续改进计划及实施方案，并组织实施。</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3.医疗质量管理委员会负责承接、配合各级质控组织开展工作，并发挥统筹协调作用。</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1247" w:hRule="exac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医疗质量管理</w:t>
            </w:r>
            <w:r>
              <w:rPr>
                <w:rFonts w:hint="default" w:ascii="Times New Roman" w:hAnsi="Times New Roman" w:eastAsia="方正仿宋_GBK" w:cs="Times New Roman"/>
                <w:strike w:val="0"/>
                <w:dstrike w:val="0"/>
                <w:color w:val="auto"/>
                <w:sz w:val="24"/>
                <w:szCs w:val="24"/>
                <w:highlight w:val="none"/>
                <w:lang w:val="en-US" w:eastAsia="zh-CN"/>
              </w:rPr>
              <w:t>部门</w:t>
            </w:r>
            <w:r>
              <w:rPr>
                <w:rFonts w:hint="default" w:ascii="Times New Roman" w:hAnsi="Times New Roman" w:eastAsia="方正仿宋_GBK" w:cs="Times New Roman"/>
                <w:color w:val="auto"/>
                <w:sz w:val="24"/>
                <w:szCs w:val="24"/>
                <w:highlight w:val="none"/>
              </w:rPr>
              <w:t>定期对质量与安全工作进行分析、</w:t>
            </w:r>
            <w:r>
              <w:rPr>
                <w:rFonts w:hint="default" w:ascii="Times New Roman" w:hAnsi="Times New Roman" w:eastAsia="方正仿宋_GBK" w:cs="Times New Roman"/>
                <w:color w:val="auto"/>
                <w:sz w:val="24"/>
                <w:szCs w:val="24"/>
                <w:highlight w:val="none"/>
                <w:lang w:val="en-US" w:eastAsia="zh-CN"/>
              </w:rPr>
              <w:t>总结及</w:t>
            </w:r>
            <w:r>
              <w:rPr>
                <w:rFonts w:hint="default" w:ascii="Times New Roman" w:hAnsi="Times New Roman" w:eastAsia="方正仿宋_GBK" w:cs="Times New Roman"/>
                <w:color w:val="auto"/>
                <w:sz w:val="24"/>
                <w:szCs w:val="24"/>
                <w:highlight w:val="none"/>
              </w:rPr>
              <w:t>反馈，并督查整改落实情况。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1247" w:hRule="exac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2.1.3 各业务科室成立本科室医疗质量管理工作小组，人员组成和职责符合《医疗质量管理办法》要求。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2.1.3.1 各业务科室成立本科室医疗质量管理工作小组，人员组成和职责符合《医疗质量管理办法》要求。</w:t>
            </w:r>
          </w:p>
        </w:tc>
        <w:tc>
          <w:tcPr>
            <w:tcW w:w="2802" w:type="pct"/>
            <w:tcMar>
              <w:top w:w="22" w:type="dxa"/>
              <w:left w:w="22" w:type="dxa"/>
              <w:bottom w:w="22" w:type="dxa"/>
              <w:right w:w="22" w:type="dxa"/>
            </w:tcMar>
            <w:vAlign w:val="center"/>
          </w:tcPr>
          <w:p>
            <w:pPr>
              <w:pStyle w:val="10"/>
              <w:pageBreakBefore w:val="0"/>
              <w:kinsoku/>
              <w:wordWrap/>
              <w:overflowPunct/>
              <w:topLinePunct w:val="0"/>
              <w:bidi w:val="0"/>
              <w:snapToGrid/>
              <w:spacing w:line="300" w:lineRule="exact"/>
              <w:ind w:left="0" w:leftChars="0"/>
              <w:jc w:val="both"/>
              <w:textAlignment w:val="auto"/>
              <w:rPr>
                <w:rFonts w:hint="default" w:ascii="Times New Roman" w:hAnsi="Times New Roman" w:eastAsia="方正仿宋_GBK"/>
                <w:color w:val="auto"/>
                <w:sz w:val="24"/>
                <w:szCs w:val="24"/>
                <w:highlight w:val="none"/>
                <w:lang w:eastAsia="zh-CN"/>
              </w:rPr>
            </w:pPr>
            <w:r>
              <w:rPr>
                <w:rFonts w:hint="default" w:ascii="Times New Roman" w:hAnsi="Times New Roman" w:eastAsia="方正仿宋_GBK"/>
                <w:color w:val="auto"/>
                <w:sz w:val="24"/>
                <w:szCs w:val="24"/>
                <w:highlight w:val="none"/>
                <w:lang w:eastAsia="zh-CN"/>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科室负责人是本科室的医疗质量与安全管理第一责任人，负责本科室质量与安全管理小组工作。成员构成及职责，符合《医疗质量管理办法》相关要求。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制定科室质量与安全工作计划，召开管理小组会议，研究解决本科室存在的质量与安全管理问题，有记录。</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1.查阅医院关于成立科室医疗质量管理小组的相关文件。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2.抽查内、外科及医技科室各2个的相关资料。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935" w:hRule="atLeas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管理小组对科室质量与安全进行定期检查、能运用质量管理方法与工具对科室存在的问题和相关管理指标进行分析，对存在的问题有改进措施与落实执行。</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w w:val="90"/>
                <w:sz w:val="24"/>
                <w:szCs w:val="24"/>
                <w:highlight w:val="none"/>
              </w:rPr>
              <w:t>查阅相关资料：科室质控小组每个月对本科室进行不少于一次的质量与安全检查，召开会议对相关控制指标进行分析，提出整改意见并落实。</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1134" w:hRule="exac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Style w:val="10"/>
              <w:pageBreakBefore w:val="0"/>
              <w:kinsoku/>
              <w:wordWrap/>
              <w:overflowPunct/>
              <w:topLinePunct w:val="0"/>
              <w:bidi w:val="0"/>
              <w:snapToGrid/>
              <w:spacing w:line="300" w:lineRule="exact"/>
              <w:ind w:left="0" w:leftChars="0"/>
              <w:jc w:val="both"/>
              <w:textAlignment w:val="auto"/>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lang w:eastAsia="zh-CN"/>
              </w:rPr>
              <w:t>【A】</w:t>
            </w:r>
            <w:r>
              <w:rPr>
                <w:rFonts w:hint="default" w:ascii="Times New Roman" w:hAnsi="Times New Roman" w:eastAsia="方正仿宋_GBK"/>
                <w:color w:val="auto"/>
                <w:sz w:val="24"/>
                <w:szCs w:val="24"/>
                <w:highlight w:val="none"/>
              </w:rPr>
              <w:t>符合</w:t>
            </w:r>
            <w:r>
              <w:rPr>
                <w:rFonts w:hint="default" w:ascii="Times New Roman" w:hAnsi="Times New Roman" w:eastAsia="方正仿宋_GBK"/>
                <w:color w:val="auto"/>
                <w:sz w:val="24"/>
                <w:szCs w:val="24"/>
                <w:highlight w:val="none"/>
                <w:lang w:eastAsia="zh-CN"/>
              </w:rPr>
              <w:t>“</w:t>
            </w:r>
            <w:r>
              <w:rPr>
                <w:rFonts w:hint="default" w:ascii="Times New Roman" w:hAnsi="Times New Roman" w:eastAsia="方正仿宋_GBK"/>
                <w:color w:val="auto"/>
                <w:sz w:val="24"/>
                <w:szCs w:val="24"/>
                <w:highlight w:val="none"/>
              </w:rPr>
              <w:t>B</w:t>
            </w:r>
            <w:r>
              <w:rPr>
                <w:rFonts w:hint="default" w:ascii="Times New Roman" w:hAnsi="Times New Roman" w:eastAsia="方正仿宋_GBK"/>
                <w:color w:val="auto"/>
                <w:sz w:val="24"/>
                <w:szCs w:val="24"/>
                <w:highlight w:val="none"/>
                <w:lang w:eastAsia="zh-CN"/>
              </w:rPr>
              <w:t>”</w:t>
            </w:r>
            <w:r>
              <w:rPr>
                <w:rFonts w:hint="default" w:ascii="Times New Roman" w:hAnsi="Times New Roman" w:eastAsia="方正仿宋_GBK"/>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w:t>
            </w:r>
            <w:r>
              <w:rPr>
                <w:rFonts w:hint="default" w:ascii="Times New Roman" w:hAnsi="Times New Roman" w:eastAsia="方正仿宋_GBK" w:cs="Times New Roman"/>
                <w:color w:val="auto"/>
                <w:sz w:val="24"/>
                <w:szCs w:val="24"/>
                <w:highlight w:val="none"/>
                <w:lang w:val="en-US" w:eastAsia="zh-CN"/>
              </w:rPr>
              <w:t>体现</w:t>
            </w:r>
            <w:r>
              <w:rPr>
                <w:rFonts w:hint="default" w:ascii="Times New Roman" w:hAnsi="Times New Roman" w:eastAsia="方正仿宋_GBK" w:cs="Times New Roman"/>
                <w:color w:val="auto"/>
                <w:sz w:val="24"/>
                <w:szCs w:val="24"/>
                <w:highlight w:val="none"/>
              </w:rPr>
              <w:t>科室对质量与安全工作计划、问题改进落实到位。</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2.1.4 建立健全医疗质量管理人员培训和考核制度，充分发挥专业人员在医疗质量管理工作中的作用。</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2.1.4.1 建立健全医疗质量管理人员培训和考核制度，充分发挥专业人员在医疗质量管理工作中的作用。</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医院有医疗质量管理人员培训和考核制度，并定期更新。</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2.医院领导、职能部门管理人员及科室质量管理小组人员接受质量管理</w:t>
            </w:r>
            <w:r>
              <w:rPr>
                <w:rFonts w:hint="default" w:ascii="Times New Roman" w:hAnsi="Times New Roman" w:eastAsia="方正仿宋_GBK" w:cs="Times New Roman"/>
                <w:color w:val="auto"/>
                <w:sz w:val="24"/>
                <w:szCs w:val="24"/>
                <w:highlight w:val="none"/>
                <w:lang w:val="en-US" w:eastAsia="zh-CN"/>
              </w:rPr>
              <w:t>相关</w:t>
            </w:r>
            <w:r>
              <w:rPr>
                <w:rFonts w:hint="default" w:ascii="Times New Roman" w:hAnsi="Times New Roman" w:eastAsia="方正仿宋_GBK" w:cs="Times New Roman"/>
                <w:color w:val="auto"/>
                <w:sz w:val="24"/>
                <w:szCs w:val="24"/>
                <w:highlight w:val="none"/>
              </w:rPr>
              <w:t>培训与教育。</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查阅相关资料：每年不少于1次的院级系列质量管理培训及考核，相关的专题培训及考核不少于3次。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Style w:val="10"/>
              <w:pageBreakBefore w:val="0"/>
              <w:kinsoku/>
              <w:wordWrap/>
              <w:overflowPunct/>
              <w:topLinePunct w:val="0"/>
              <w:bidi w:val="0"/>
              <w:snapToGrid/>
              <w:spacing w:line="300" w:lineRule="exact"/>
              <w:ind w:left="0" w:leftChars="0"/>
              <w:jc w:val="both"/>
              <w:textAlignment w:val="auto"/>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lang w:eastAsia="zh-CN"/>
              </w:rPr>
              <w:t>【B】</w:t>
            </w:r>
            <w:r>
              <w:rPr>
                <w:rFonts w:hint="default" w:ascii="Times New Roman" w:hAnsi="Times New Roman" w:eastAsia="方正仿宋_GBK"/>
                <w:color w:val="auto"/>
                <w:sz w:val="24"/>
                <w:szCs w:val="24"/>
                <w:highlight w:val="none"/>
              </w:rPr>
              <w:t>符合</w:t>
            </w:r>
            <w:r>
              <w:rPr>
                <w:rFonts w:hint="default" w:ascii="Times New Roman" w:hAnsi="Times New Roman" w:eastAsia="方正仿宋_GBK"/>
                <w:color w:val="auto"/>
                <w:sz w:val="24"/>
                <w:szCs w:val="24"/>
                <w:highlight w:val="none"/>
                <w:lang w:eastAsia="zh-CN"/>
              </w:rPr>
              <w:t>“</w:t>
            </w:r>
            <w:r>
              <w:rPr>
                <w:rFonts w:hint="default" w:ascii="Times New Roman" w:hAnsi="Times New Roman" w:eastAsia="方正仿宋_GBK"/>
                <w:color w:val="auto"/>
                <w:sz w:val="24"/>
                <w:szCs w:val="24"/>
                <w:highlight w:val="none"/>
              </w:rPr>
              <w:t>C</w:t>
            </w:r>
            <w:r>
              <w:rPr>
                <w:rFonts w:hint="default" w:ascii="Times New Roman" w:hAnsi="Times New Roman" w:eastAsia="方正仿宋_GBK"/>
                <w:color w:val="auto"/>
                <w:sz w:val="24"/>
                <w:szCs w:val="24"/>
                <w:highlight w:val="none"/>
                <w:lang w:eastAsia="zh-CN"/>
              </w:rPr>
              <w:t>”</w:t>
            </w:r>
            <w:r>
              <w:rPr>
                <w:rFonts w:hint="default" w:ascii="Times New Roman" w:hAnsi="Times New Roman" w:eastAsia="方正仿宋_GBK"/>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主管部门有定期总结分析与整改。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Style w:val="10"/>
              <w:pageBreakBefore w:val="0"/>
              <w:kinsoku/>
              <w:wordWrap/>
              <w:overflowPunct/>
              <w:topLinePunct w:val="0"/>
              <w:bidi w:val="0"/>
              <w:snapToGrid/>
              <w:spacing w:line="300" w:lineRule="exact"/>
              <w:ind w:left="0" w:leftChars="0"/>
              <w:jc w:val="both"/>
              <w:textAlignment w:val="auto"/>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lang w:eastAsia="zh-CN"/>
              </w:rPr>
              <w:t>【A】</w:t>
            </w:r>
            <w:r>
              <w:rPr>
                <w:rFonts w:hint="default" w:ascii="Times New Roman" w:hAnsi="Times New Roman" w:eastAsia="方正仿宋_GBK"/>
                <w:color w:val="auto"/>
                <w:sz w:val="24"/>
                <w:szCs w:val="24"/>
                <w:highlight w:val="none"/>
              </w:rPr>
              <w:t>符合</w:t>
            </w:r>
            <w:r>
              <w:rPr>
                <w:rFonts w:hint="default" w:ascii="Times New Roman" w:hAnsi="Times New Roman" w:eastAsia="方正仿宋_GBK"/>
                <w:color w:val="auto"/>
                <w:sz w:val="24"/>
                <w:szCs w:val="24"/>
                <w:highlight w:val="none"/>
                <w:lang w:eastAsia="zh-CN"/>
              </w:rPr>
              <w:t>“</w:t>
            </w:r>
            <w:r>
              <w:rPr>
                <w:rFonts w:hint="default" w:ascii="Times New Roman" w:hAnsi="Times New Roman" w:eastAsia="方正仿宋_GBK"/>
                <w:color w:val="auto"/>
                <w:sz w:val="24"/>
                <w:szCs w:val="24"/>
                <w:highlight w:val="none"/>
              </w:rPr>
              <w:t>B</w:t>
            </w:r>
            <w:r>
              <w:rPr>
                <w:rFonts w:hint="default" w:ascii="Times New Roman" w:hAnsi="Times New Roman" w:eastAsia="方正仿宋_GBK"/>
                <w:color w:val="auto"/>
                <w:sz w:val="24"/>
                <w:szCs w:val="24"/>
                <w:highlight w:val="none"/>
                <w:lang w:eastAsia="zh-CN"/>
              </w:rPr>
              <w:t>”</w:t>
            </w:r>
            <w:r>
              <w:rPr>
                <w:rFonts w:hint="default" w:ascii="Times New Roman" w:hAnsi="Times New Roman" w:eastAsia="方正仿宋_GBK"/>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持续改进有成效，培训考核合格率不断提升。</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2.1.5 遵循临床诊疗指南、医疗技术操作规范、</w:t>
            </w:r>
            <w:r>
              <w:rPr>
                <w:rFonts w:hint="default" w:ascii="Times New Roman" w:hAnsi="Times New Roman" w:eastAsia="方正仿宋_GBK" w:cs="Times New Roman"/>
                <w:color w:val="auto"/>
                <w:sz w:val="24"/>
                <w:szCs w:val="24"/>
                <w:highlight w:val="none"/>
                <w:lang w:val="en-US" w:eastAsia="zh-CN"/>
              </w:rPr>
              <w:t>医学伦理规范、</w:t>
            </w:r>
            <w:r>
              <w:rPr>
                <w:rFonts w:hint="default" w:ascii="Times New Roman" w:hAnsi="Times New Roman" w:eastAsia="方正仿宋_GBK" w:cs="Times New Roman"/>
                <w:color w:val="auto"/>
                <w:sz w:val="24"/>
                <w:szCs w:val="24"/>
                <w:highlight w:val="none"/>
              </w:rPr>
              <w:t>行业标准和临床路径等有关要求开展诊疗工作。</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2.1.5.1 遵循临床诊疗指南、医疗技术操作规范、</w:t>
            </w:r>
            <w:r>
              <w:rPr>
                <w:rFonts w:hint="default" w:ascii="Times New Roman" w:hAnsi="Times New Roman" w:eastAsia="方正仿宋_GBK" w:cs="Times New Roman"/>
                <w:color w:val="auto"/>
                <w:sz w:val="24"/>
                <w:szCs w:val="24"/>
                <w:highlight w:val="none"/>
                <w:lang w:val="en-US" w:eastAsia="zh-CN"/>
              </w:rPr>
              <w:t>医学伦理规范、</w:t>
            </w:r>
            <w:r>
              <w:rPr>
                <w:rFonts w:hint="default" w:ascii="Times New Roman" w:hAnsi="Times New Roman" w:eastAsia="方正仿宋_GBK" w:cs="Times New Roman"/>
                <w:color w:val="auto"/>
                <w:sz w:val="24"/>
                <w:szCs w:val="24"/>
                <w:highlight w:val="none"/>
              </w:rPr>
              <w:t>行业标准等有关要求开展诊疗工作。</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临床诊疗工作遵循诊疗指南和规范。</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有临床诊疗指南和规范的培训。</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1269" w:type="pct"/>
            <w:tcMar>
              <w:top w:w="22" w:type="dxa"/>
              <w:left w:w="22" w:type="dxa"/>
              <w:bottom w:w="22" w:type="dxa"/>
              <w:right w:w="22" w:type="dxa"/>
            </w:tcMar>
            <w:vAlign w:val="center"/>
          </w:tcPr>
          <w:p>
            <w:pPr>
              <w:pageBreakBefore w:val="0"/>
              <w:numPr>
                <w:ilvl w:val="0"/>
                <w:numId w:val="1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包括诊疗指南、医疗技术操作规范、病历及病案等</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w:t>
            </w:r>
          </w:p>
          <w:p>
            <w:pPr>
              <w:pageBreakBefore w:val="0"/>
              <w:numPr>
                <w:ilvl w:val="0"/>
                <w:numId w:val="1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1.科室对执行情况有自查。</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2.主管部门对执行情况有监管，对落实中存在的问题</w:t>
            </w:r>
            <w:r>
              <w:rPr>
                <w:rFonts w:hint="default" w:ascii="Times New Roman" w:hAnsi="Times New Roman" w:eastAsia="方正仿宋_GBK" w:cs="Times New Roman"/>
                <w:color w:val="auto"/>
                <w:sz w:val="24"/>
                <w:szCs w:val="24"/>
                <w:highlight w:val="none"/>
                <w:lang w:val="en-US" w:eastAsia="zh-CN"/>
              </w:rPr>
              <w:t>有总结</w:t>
            </w:r>
            <w:r>
              <w:rPr>
                <w:rFonts w:hint="default" w:ascii="Times New Roman" w:hAnsi="Times New Roman" w:eastAsia="方正仿宋_GBK" w:cs="Times New Roman"/>
                <w:color w:val="auto"/>
                <w:sz w:val="24"/>
                <w:szCs w:val="24"/>
                <w:highlight w:val="none"/>
              </w:rPr>
              <w:t>分析和反馈并督促整改。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随机抽查内、外科各2个科室相关自查记录。</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持续改进有成效，有数据体现改进成效。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2.1.5.2 实施临床路径管理。</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医院</w:t>
            </w:r>
            <w:r>
              <w:rPr>
                <w:rFonts w:hint="default" w:ascii="Times New Roman" w:hAnsi="Times New Roman" w:eastAsia="方正仿宋_GBK" w:cs="Times New Roman"/>
                <w:color w:val="auto"/>
                <w:sz w:val="24"/>
                <w:szCs w:val="24"/>
                <w:highlight w:val="none"/>
              </w:rPr>
              <w:t>有对临床路径管理的</w:t>
            </w:r>
            <w:r>
              <w:rPr>
                <w:rFonts w:hint="default" w:ascii="Times New Roman" w:hAnsi="Times New Roman" w:eastAsia="方正仿宋_GBK" w:cs="Times New Roman"/>
                <w:strike w:val="0"/>
                <w:dstrike w:val="0"/>
                <w:color w:val="auto"/>
                <w:sz w:val="24"/>
                <w:szCs w:val="24"/>
                <w:highlight w:val="none"/>
                <w:lang w:val="en-US" w:eastAsia="zh-CN"/>
              </w:rPr>
              <w:t>部门</w:t>
            </w:r>
            <w:r>
              <w:rPr>
                <w:rFonts w:hint="default" w:ascii="Times New Roman" w:hAnsi="Times New Roman" w:eastAsia="方正仿宋_GBK" w:cs="Times New Roman"/>
                <w:color w:val="auto"/>
                <w:sz w:val="24"/>
                <w:szCs w:val="24"/>
                <w:highlight w:val="none"/>
              </w:rPr>
              <w:t>、实施的相关制度和工作职责。</w:t>
            </w:r>
          </w:p>
          <w:p>
            <w:pPr>
              <w:pageBreakBefore w:val="0"/>
              <w:numPr>
                <w:ilvl w:val="0"/>
                <w:numId w:val="1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根据本院实际情况选择进入临床路径病种目录和文本。</w:t>
            </w:r>
          </w:p>
          <w:p>
            <w:pPr>
              <w:pageBreakBefore w:val="0"/>
              <w:numPr>
                <w:ilvl w:val="0"/>
                <w:numId w:val="1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临床路径</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监测指标包括：患者的入组率、入组后完成率、平均住院日、平均住院费用。</w:t>
            </w:r>
          </w:p>
        </w:tc>
        <w:tc>
          <w:tcPr>
            <w:tcW w:w="1269" w:type="pct"/>
            <w:tcMar>
              <w:top w:w="22" w:type="dxa"/>
              <w:left w:w="22" w:type="dxa"/>
              <w:bottom w:w="22" w:type="dxa"/>
              <w:right w:w="22" w:type="dxa"/>
            </w:tcMar>
            <w:vAlign w:val="center"/>
          </w:tcPr>
          <w:p>
            <w:pPr>
              <w:pageBreakBefore w:val="0"/>
              <w:numPr>
                <w:ilvl w:val="0"/>
                <w:numId w:val="2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1"/>
              </w:numPr>
              <w:kinsoku/>
              <w:wordWrap/>
              <w:overflowPunct/>
              <w:topLinePunct w:val="0"/>
              <w:bidi w:val="0"/>
              <w:snapToGrid/>
              <w:spacing w:line="300" w:lineRule="exact"/>
              <w:ind w:left="720" w:hanging="72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科室对临床路径有管理</w:t>
            </w:r>
            <w:r>
              <w:rPr>
                <w:rFonts w:hint="default" w:ascii="Times New Roman" w:hAnsi="Times New Roman" w:eastAsia="方正仿宋_GBK" w:cs="Times New Roman"/>
                <w:color w:val="auto"/>
                <w:sz w:val="24"/>
                <w:szCs w:val="24"/>
                <w:highlight w:val="none"/>
                <w:lang w:eastAsia="zh-CN"/>
              </w:rPr>
              <w:t>有定期自查</w:t>
            </w:r>
            <w:r>
              <w:rPr>
                <w:rFonts w:hint="default" w:ascii="Times New Roman" w:hAnsi="Times New Roman" w:eastAsia="方正仿宋_GBK" w:cs="Times New Roman"/>
                <w:color w:val="auto"/>
                <w:sz w:val="24"/>
                <w:szCs w:val="24"/>
                <w:highlight w:val="none"/>
              </w:rPr>
              <w:t>和对存在的问题有整改。</w:t>
            </w:r>
          </w:p>
          <w:p>
            <w:pPr>
              <w:pageBreakBefore w:val="0"/>
              <w:numPr>
                <w:ilvl w:val="0"/>
                <w:numId w:val="21"/>
              </w:numPr>
              <w:kinsoku/>
              <w:wordWrap/>
              <w:overflowPunct/>
              <w:topLinePunct w:val="0"/>
              <w:bidi w:val="0"/>
              <w:snapToGrid/>
              <w:spacing w:line="300" w:lineRule="exact"/>
              <w:ind w:left="720" w:hanging="72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主管部门每季度对监测指标进行汇总</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分析</w:t>
            </w:r>
            <w:r>
              <w:rPr>
                <w:rFonts w:hint="default" w:ascii="Times New Roman" w:hAnsi="Times New Roman" w:eastAsia="方正仿宋_GBK" w:cs="Times New Roman"/>
                <w:color w:val="auto"/>
                <w:sz w:val="24"/>
                <w:szCs w:val="24"/>
                <w:highlight w:val="none"/>
                <w:lang w:val="en-US" w:eastAsia="zh-CN"/>
              </w:rPr>
              <w:t>及</w:t>
            </w:r>
            <w:r>
              <w:rPr>
                <w:rFonts w:hint="default" w:ascii="Times New Roman" w:hAnsi="Times New Roman" w:eastAsia="方正仿宋_GBK" w:cs="Times New Roman"/>
                <w:color w:val="auto"/>
                <w:sz w:val="24"/>
                <w:szCs w:val="24"/>
                <w:highlight w:val="none"/>
              </w:rPr>
              <w:t>反馈。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1.随机抽查2个临床科室的相关资料。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.临床路径实施病种数量和总数量达到卫生行政主管部门要求，实行信息化管理。</w:t>
            </w:r>
          </w:p>
          <w:p>
            <w:pPr>
              <w:pageBreakBefore w:val="0"/>
              <w:numPr>
                <w:ilvl w:val="0"/>
                <w:numId w:val="2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sz w:val="24"/>
              </w:rPr>
              <mc:AlternateContent>
                <mc:Choice Requires="wps">
                  <w:drawing>
                    <wp:anchor distT="0" distB="0" distL="114300" distR="114300" simplePos="0" relativeHeight="251683840" behindDoc="0" locked="0" layoutInCell="1" allowOverlap="1">
                      <wp:simplePos x="0" y="0"/>
                      <wp:positionH relativeFrom="column">
                        <wp:posOffset>-993775</wp:posOffset>
                      </wp:positionH>
                      <wp:positionV relativeFrom="paragraph">
                        <wp:posOffset>72390</wp:posOffset>
                      </wp:positionV>
                      <wp:extent cx="975995" cy="666115"/>
                      <wp:effectExtent l="0" t="0" r="0" b="0"/>
                      <wp:wrapNone/>
                      <wp:docPr id="11" name="文本框 11"/>
                      <wp:cNvGraphicFramePr/>
                      <a:graphic xmlns:a="http://schemas.openxmlformats.org/drawingml/2006/main">
                        <a:graphicData uri="http://schemas.microsoft.com/office/word/2010/wordprocessingShape">
                          <wps:wsp>
                            <wps:cNvSpPr txBox="1"/>
                            <wps:spPr>
                              <a:xfrm>
                                <a:off x="1047750" y="956945"/>
                                <a:ext cx="975995" cy="6661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00" w:lineRule="exact"/>
                                    <w:textAlignment w:val="auto"/>
                                  </w:pPr>
                                  <w:r>
                                    <w:rPr>
                                      <w:rFonts w:hint="default" w:ascii="Times New Roman" w:hAnsi="Times New Roman" w:eastAsia="方正仿宋_GBK" w:cs="Times New Roman"/>
                                      <w:color w:val="auto"/>
                                      <w:sz w:val="24"/>
                                      <w:szCs w:val="24"/>
                                      <w:highlight w:val="none"/>
                                    </w:rPr>
                                    <w:t>2.1.5.2 实施临床路径管理。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8.25pt;margin-top:5.7pt;height:52.45pt;width:76.85pt;z-index:251683840;mso-width-relative:page;mso-height-relative:page;" filled="f" stroked="f" coordsize="21600,21600" o:gfxdata="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pWkYtkAAAAKAQAADwAAAAAAAAABACAA&#10;AAAiAAAAZHJzL2Rvd25yZXYueG1sUEsBAhQAFAAAAAgAh07iQFT5vCpFAgAAcgQAAA4AAAAAAAAA&#10;AQAgAAAAKAEAAGRycy9lMm9Eb2MueG1sUEsFBgAAAAAGAAYAWQEAAN8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00" w:lineRule="exact"/>
                              <w:textAlignment w:val="auto"/>
                            </w:pPr>
                            <w:r>
                              <w:rPr>
                                <w:rFonts w:hint="default" w:ascii="Times New Roman" w:hAnsi="Times New Roman" w:eastAsia="方正仿宋_GBK" w:cs="Times New Roman"/>
                                <w:color w:val="auto"/>
                                <w:sz w:val="24"/>
                                <w:szCs w:val="24"/>
                                <w:highlight w:val="none"/>
                              </w:rPr>
                              <w:t>2.1.5.2 实施临床路径管理。</w:t>
                            </w:r>
                          </w:p>
                        </w:txbxContent>
                      </v:textbox>
                    </v:shape>
                  </w:pict>
                </mc:Fallback>
              </mc:AlternateContent>
            </w:r>
            <w:r>
              <w:rPr>
                <w:rFonts w:hint="default" w:ascii="Times New Roman" w:hAnsi="Times New Roman" w:eastAsia="方正仿宋_GBK" w:cs="Times New Roman"/>
                <w:color w:val="auto"/>
                <w:sz w:val="24"/>
                <w:szCs w:val="24"/>
                <w:highlight w:val="none"/>
              </w:rPr>
              <w:t>实施临床路径管理的病例数达到医院出院病例数的30%。</w:t>
            </w:r>
          </w:p>
          <w:p>
            <w:pPr>
              <w:pageBreakBefore w:val="0"/>
              <w:numPr>
                <w:ilvl w:val="0"/>
                <w:numId w:val="2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对符合进入临床路径标准的患者达到入组率≥50%，入组完成率≥70%。</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1.查阅相关资料及现场查看临床路径信息系统。</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2.1.6 开</w:t>
            </w:r>
            <w:r>
              <w:rPr>
                <w:rFonts w:hint="default" w:ascii="Times New Roman" w:hAnsi="Times New Roman" w:eastAsia="方正仿宋_GBK" w:cs="Times New Roman"/>
                <w:color w:val="auto"/>
                <w:spacing w:val="-11"/>
                <w:sz w:val="24"/>
                <w:szCs w:val="24"/>
                <w:highlight w:val="none"/>
              </w:rPr>
              <w:t>展诊疗活动应当遵循患者知情同意原则，履行告知义务，尊重患者的自主选择权和隐私权，尊重民族习惯和宗教信仰，并对患者的隐私保密。完善保护患者隐私的设施和管理措施</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2.1.6.1 诊疗活动中遵循患者知情同意原则，履行告知义务，尊重患者的自主选择权。</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1.有保障患者合法权益的相关制度并落实。</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2.对患方病情、诊断、医疗措施、医疗风险和替代医疗方案进行告知。</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3.患方对医务人员的告知情况能理解并在病历中体现。</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查阅相关规定及随机询问医师及患者（家属）各3名知晓度。</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抽查在院患者电子病历5份，评价是否符合要求。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w:t>
            </w:r>
            <w:r>
              <w:rPr>
                <w:rFonts w:hint="default" w:ascii="Times New Roman" w:hAnsi="Times New Roman" w:eastAsia="方正仿宋_GBK" w:cs="Times New Roman"/>
                <w:color w:val="auto"/>
                <w:spacing w:val="-11"/>
                <w:sz w:val="24"/>
                <w:szCs w:val="24"/>
                <w:highlight w:val="none"/>
              </w:rPr>
              <w:t>部门对医务人员履行告知义务进行检查与监管。</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持续改进有成效，患者合法权益得到保障。</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查阅相关资料并询问3名患者或家属相关情况。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autoSpaceDE w:val="0"/>
              <w:autoSpaceDN w:val="0"/>
              <w:bidi w:val="0"/>
              <w:adjustRightInd w:val="0"/>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sz w:val="24"/>
                <w:szCs w:val="24"/>
                <w:highlight w:val="none"/>
              </w:rPr>
              <w:t>2.1.6.2 尊重患者隐私权，尊重民族习惯和宗教信仰；</w:t>
            </w:r>
            <w:r>
              <w:rPr>
                <w:rFonts w:hint="default" w:ascii="Times New Roman" w:hAnsi="Times New Roman" w:eastAsia="方正仿宋_GBK" w:cs="Times New Roman"/>
                <w:color w:val="auto"/>
                <w:sz w:val="24"/>
                <w:szCs w:val="24"/>
                <w:highlight w:val="none"/>
                <w:lang w:val="en-US" w:eastAsia="zh-CN"/>
              </w:rPr>
              <w:t>有</w:t>
            </w:r>
            <w:r>
              <w:rPr>
                <w:rFonts w:hint="default" w:ascii="Times New Roman" w:hAnsi="Times New Roman" w:eastAsia="方正仿宋_GBK" w:cs="Times New Roman"/>
                <w:color w:val="auto"/>
                <w:sz w:val="24"/>
                <w:szCs w:val="24"/>
                <w:highlight w:val="none"/>
              </w:rPr>
              <w:t>保护患者隐私的管理措施和设施。</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有保护患者隐私权的相关制度并落实</w:t>
            </w:r>
          </w:p>
          <w:p>
            <w:pPr>
              <w:pageBreakBefore w:val="0"/>
              <w:numPr>
                <w:ilvl w:val="0"/>
                <w:numId w:val="2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有尊重民族习惯和宗教信仰的相关制度并落实。</w:t>
            </w:r>
          </w:p>
          <w:p>
            <w:pPr>
              <w:pageBreakBefore w:val="0"/>
              <w:numPr>
                <w:ilvl w:val="0"/>
                <w:numId w:val="2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医务人员熟悉相关制度，了解不同民族、种族、国籍以及不同宗教患者的不同习惯。</w:t>
            </w:r>
          </w:p>
          <w:p>
            <w:pPr>
              <w:pageBreakBefore w:val="0"/>
              <w:numPr>
                <w:ilvl w:val="0"/>
                <w:numId w:val="2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医务人员自觉保护患者隐私，除法律规定外未经本人同意不得向他人泄露患者情况。</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 有完善的保护患者隐私措施及设施。</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查阅相关制度及现场查看落实情况。</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查阅相关制度及现场查看落实情况。</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3.4.随机询问3名医务人员了解其知晓情况。</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 现场查看相关设施是否符合要求（医疗区域患者信息的公示、医疗区域隔帘、谈话室等）</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624" w:hRule="exac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主管部门对患者隐私保护有检查与监管。</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964" w:hRule="exac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持续改进有成效，患者隐私保护落实到位。</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查阅相关资料并询问3名患者或家属相关情况。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2.1.7 建立医院全员参与、覆盖临床诊疗服务全过程的医疗质量管理与控制工作制度。</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2.1.7.1 医院</w:t>
            </w:r>
            <w:r>
              <w:rPr>
                <w:rFonts w:hint="default" w:ascii="Times New Roman" w:hAnsi="Times New Roman" w:eastAsia="方正仿宋_GBK" w:cs="Times New Roman"/>
                <w:color w:val="auto"/>
                <w:sz w:val="24"/>
                <w:szCs w:val="24"/>
                <w:highlight w:val="none"/>
                <w:lang w:val="en-US" w:eastAsia="zh-CN"/>
              </w:rPr>
              <w:t>有</w:t>
            </w:r>
            <w:r>
              <w:rPr>
                <w:rFonts w:hint="default" w:ascii="Times New Roman" w:hAnsi="Times New Roman" w:eastAsia="方正仿宋_GBK" w:cs="Times New Roman"/>
                <w:color w:val="auto"/>
                <w:sz w:val="24"/>
                <w:szCs w:val="24"/>
                <w:highlight w:val="none"/>
              </w:rPr>
              <w:t>全员参与、覆盖临床诊疗服务全过程的医疗质量管理与控制工作制度。</w:t>
            </w:r>
          </w:p>
        </w:tc>
        <w:tc>
          <w:tcPr>
            <w:tcW w:w="2802" w:type="pct"/>
            <w:tcMar>
              <w:top w:w="22" w:type="dxa"/>
              <w:left w:w="22" w:type="dxa"/>
              <w:bottom w:w="22" w:type="dxa"/>
              <w:right w:w="22" w:type="dxa"/>
            </w:tcMar>
            <w:vAlign w:val="center"/>
          </w:tcPr>
          <w:p>
            <w:pPr>
              <w:pStyle w:val="10"/>
              <w:pageBreakBefore w:val="0"/>
              <w:kinsoku/>
              <w:wordWrap/>
              <w:overflowPunct/>
              <w:topLinePunct w:val="0"/>
              <w:bidi w:val="0"/>
              <w:snapToGrid/>
              <w:spacing w:line="300" w:lineRule="exact"/>
              <w:ind w:left="0" w:leftChars="0"/>
              <w:jc w:val="both"/>
              <w:textAlignment w:val="auto"/>
              <w:rPr>
                <w:rFonts w:hint="default" w:ascii="Times New Roman" w:hAnsi="Times New Roman" w:eastAsia="方正仿宋_GBK"/>
                <w:color w:val="auto"/>
                <w:sz w:val="24"/>
                <w:szCs w:val="24"/>
                <w:highlight w:val="none"/>
                <w:lang w:eastAsia="zh-CN"/>
              </w:rPr>
            </w:pPr>
            <w:r>
              <w:rPr>
                <w:rFonts w:hint="default" w:ascii="Times New Roman" w:hAnsi="Times New Roman" w:eastAsia="方正仿宋_GBK"/>
                <w:color w:val="auto"/>
                <w:sz w:val="24"/>
                <w:szCs w:val="24"/>
                <w:highlight w:val="none"/>
                <w:lang w:eastAsia="zh-CN"/>
              </w:rPr>
              <w:t>【C】</w:t>
            </w:r>
          </w:p>
          <w:p>
            <w:pPr>
              <w:pageBreakBefore w:val="0"/>
              <w:numPr>
                <w:ilvl w:val="0"/>
                <w:numId w:val="2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有诊疗活动全流程、全员参与的质量管理与控制工作制度，并定期更新。</w:t>
            </w:r>
          </w:p>
          <w:p>
            <w:pPr>
              <w:pageBreakBefore w:val="0"/>
              <w:numPr>
                <w:ilvl w:val="0"/>
                <w:numId w:val="2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有医疗质量关键环节（如危急重患者管理、围手术期管理、输血与药物管理、有创诊疗操作等）管理制度与流程。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有重点部门（急诊科、手术室、血液透析室、内镜中心、介入中心、重症医学科、产房、新生儿病房、消毒供应中心等）的管理制度与流程。</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主管部门定期督查、总结分析、提出整改措施，并落实。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Style w:val="10"/>
              <w:pageBreakBefore w:val="0"/>
              <w:kinsoku/>
              <w:wordWrap/>
              <w:overflowPunct/>
              <w:topLinePunct w:val="0"/>
              <w:bidi w:val="0"/>
              <w:snapToGrid/>
              <w:spacing w:line="300" w:lineRule="exact"/>
              <w:ind w:left="0" w:leftChars="0"/>
              <w:jc w:val="both"/>
              <w:textAlignment w:val="auto"/>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lang w:eastAsia="zh-CN"/>
              </w:rPr>
              <w:t>【A】</w:t>
            </w:r>
            <w:r>
              <w:rPr>
                <w:rFonts w:hint="default" w:ascii="Times New Roman" w:hAnsi="Times New Roman" w:eastAsia="方正仿宋_GBK"/>
                <w:color w:val="auto"/>
                <w:sz w:val="24"/>
                <w:szCs w:val="24"/>
                <w:highlight w:val="none"/>
              </w:rPr>
              <w:t>符合</w:t>
            </w:r>
            <w:r>
              <w:rPr>
                <w:rFonts w:hint="default" w:ascii="Times New Roman" w:hAnsi="Times New Roman" w:eastAsia="方正仿宋_GBK"/>
                <w:color w:val="auto"/>
                <w:sz w:val="24"/>
                <w:szCs w:val="24"/>
                <w:highlight w:val="none"/>
                <w:lang w:eastAsia="zh-CN"/>
              </w:rPr>
              <w:t>“</w:t>
            </w:r>
            <w:r>
              <w:rPr>
                <w:rFonts w:hint="default" w:ascii="Times New Roman" w:hAnsi="Times New Roman" w:eastAsia="方正仿宋_GBK"/>
                <w:color w:val="auto"/>
                <w:sz w:val="24"/>
                <w:szCs w:val="24"/>
                <w:highlight w:val="none"/>
              </w:rPr>
              <w:t>B</w:t>
            </w:r>
            <w:r>
              <w:rPr>
                <w:rFonts w:hint="default" w:ascii="Times New Roman" w:hAnsi="Times New Roman" w:eastAsia="方正仿宋_GBK"/>
                <w:color w:val="auto"/>
                <w:sz w:val="24"/>
                <w:szCs w:val="24"/>
                <w:highlight w:val="none"/>
                <w:lang w:eastAsia="zh-CN"/>
              </w:rPr>
              <w:t>”</w:t>
            </w:r>
            <w:r>
              <w:rPr>
                <w:rFonts w:hint="default" w:ascii="Times New Roman" w:hAnsi="Times New Roman" w:eastAsia="方正仿宋_GBK"/>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2.1.8 熟练运用医疗质量管理工具开展医疗质量管理与自我评价，完善本院医疗质量管理相关指标体系，掌握本院医疗质量基础数据。</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bookmarkStart w:id="188" w:name="_Hlk72090585"/>
            <w:r>
              <w:rPr>
                <w:rFonts w:hint="default" w:ascii="Times New Roman" w:hAnsi="Times New Roman" w:eastAsia="方正仿宋_GBK" w:cs="Times New Roman"/>
                <w:color w:val="auto"/>
                <w:sz w:val="24"/>
                <w:szCs w:val="24"/>
                <w:highlight w:val="none"/>
              </w:rPr>
              <w:t>2.1.8.1 熟练运用医疗质量管理工具开展医疗质量管理与自我评价，</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医院有全面质量管理、PDCA 循环、品管圈、DRGs质量评价等医疗质量管理工具的培训计划，并落实。</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.医院领导、职能部门管理人员及科室质量安全管理小组人员，掌握一种以上医疗质量管理常用工具。</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查阅相关计划及落实记录等资料。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随机</w:t>
            </w:r>
            <w:r>
              <w:rPr>
                <w:rFonts w:hint="default" w:ascii="Times New Roman" w:hAnsi="Times New Roman" w:eastAsia="方正仿宋_GBK" w:cs="Times New Roman"/>
                <w:color w:val="auto"/>
                <w:sz w:val="24"/>
                <w:szCs w:val="24"/>
                <w:highlight w:val="none"/>
                <w:lang w:val="en-US" w:eastAsia="zh-CN"/>
              </w:rPr>
              <w:t>询问</w:t>
            </w:r>
            <w:r>
              <w:rPr>
                <w:rFonts w:hint="default" w:ascii="Times New Roman" w:hAnsi="Times New Roman" w:eastAsia="方正仿宋_GBK" w:cs="Times New Roman"/>
                <w:color w:val="auto"/>
                <w:sz w:val="24"/>
                <w:szCs w:val="24"/>
                <w:highlight w:val="none"/>
              </w:rPr>
              <w:t>医院领导、职能部门管理者等5名人员对质量管理工具的掌握情况，合格率≥90%。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Style w:val="10"/>
              <w:pageBreakBefore w:val="0"/>
              <w:kinsoku/>
              <w:wordWrap/>
              <w:overflowPunct/>
              <w:topLinePunct w:val="0"/>
              <w:bidi w:val="0"/>
              <w:snapToGrid/>
              <w:spacing w:line="300" w:lineRule="exact"/>
              <w:ind w:left="0" w:leftChars="0"/>
              <w:jc w:val="both"/>
              <w:textAlignment w:val="auto"/>
              <w:rPr>
                <w:rFonts w:hint="default" w:ascii="Times New Roman" w:hAnsi="Times New Roman" w:eastAsia="方正仿宋_GBK"/>
                <w:color w:val="auto"/>
                <w:sz w:val="24"/>
                <w:szCs w:val="24"/>
                <w:highlight w:val="none"/>
              </w:rPr>
            </w:pPr>
            <w:r>
              <w:rPr>
                <w:rFonts w:hint="default" w:ascii="Times New Roman" w:hAnsi="Times New Roman" w:eastAsia="方正仿宋_GBK" w:cs="Times New Roman"/>
                <w:color w:val="auto"/>
                <w:sz w:val="24"/>
                <w:szCs w:val="24"/>
                <w:highlight w:val="none"/>
                <w:lang w:eastAsia="zh-CN"/>
              </w:rPr>
              <w:t>【B】符合“C”，并</w:t>
            </w:r>
          </w:p>
          <w:p>
            <w:pPr>
              <w:pageBreakBefore w:val="0"/>
              <w:numPr>
                <w:ilvl w:val="-1"/>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主管部门定期分析、</w:t>
            </w:r>
            <w:r>
              <w:rPr>
                <w:rFonts w:hint="default" w:ascii="Times New Roman" w:hAnsi="Times New Roman" w:eastAsia="方正仿宋_GBK" w:cs="Times New Roman"/>
                <w:color w:val="auto"/>
                <w:sz w:val="24"/>
                <w:szCs w:val="24"/>
                <w:highlight w:val="none"/>
                <w:lang w:eastAsia="zh-CN"/>
              </w:rPr>
              <w:t>总结、</w:t>
            </w:r>
            <w:r>
              <w:rPr>
                <w:rFonts w:hint="default" w:ascii="Times New Roman" w:hAnsi="Times New Roman" w:eastAsia="方正仿宋_GBK" w:cs="Times New Roman"/>
                <w:color w:val="auto"/>
                <w:sz w:val="24"/>
                <w:szCs w:val="24"/>
                <w:highlight w:val="none"/>
              </w:rPr>
              <w:t>反馈，</w:t>
            </w:r>
            <w:r>
              <w:rPr>
                <w:rFonts w:hint="default" w:ascii="Times New Roman" w:hAnsi="Times New Roman" w:eastAsia="方正仿宋_GBK" w:cs="Times New Roman"/>
                <w:color w:val="auto"/>
                <w:sz w:val="24"/>
                <w:szCs w:val="24"/>
                <w:highlight w:val="none"/>
                <w:lang w:eastAsia="zh-CN"/>
              </w:rPr>
              <w:t>提出改进措施并落实</w:t>
            </w:r>
            <w:r>
              <w:rPr>
                <w:rFonts w:hint="default" w:ascii="Times New Roman" w:hAnsi="Times New Roman" w:eastAsia="方正仿宋_GBK" w:cs="Times New Roman"/>
                <w:color w:val="auto"/>
                <w:sz w:val="24"/>
                <w:szCs w:val="24"/>
                <w:highlight w:val="none"/>
              </w:rPr>
              <w:t>。</w:t>
            </w:r>
          </w:p>
        </w:tc>
        <w:tc>
          <w:tcPr>
            <w:tcW w:w="1269" w:type="pct"/>
            <w:tcMar>
              <w:top w:w="22" w:type="dxa"/>
              <w:left w:w="22" w:type="dxa"/>
              <w:bottom w:w="22" w:type="dxa"/>
              <w:right w:w="22" w:type="dxa"/>
            </w:tcMar>
            <w:vAlign w:val="center"/>
          </w:tcPr>
          <w:p>
            <w:pPr>
              <w:pageBreakBefore w:val="0"/>
              <w:numPr>
                <w:ilvl w:val="-1"/>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eastAsia" w:cs="Times New Roman"/>
                <w:color w:val="auto"/>
                <w:sz w:val="24"/>
                <w:szCs w:val="24"/>
                <w:highlight w:val="none"/>
                <w:lang w:val="en-US" w:eastAsia="zh-CN"/>
              </w:rPr>
              <w:t xml:space="preserve">  </w:t>
            </w: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2.1.8.2 医院有完善的医疗质量管理相关指标体系，及医疗质量基础数据。</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有医疗质量管理信息数据库，符合《三级医院评审标准（202</w:t>
            </w: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年版）》第二部分医疗服务能力与质量安全监测数据的管理要求。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医院对全院各临床及医技科室有明确的质量安全指标，定期衡量各科室医疗服务能力与质量水平。</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有指定的部门负责收集和处理相关信息，信息数据集中归口管理，方便管理人员调阅使用。</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现场查看数据库运行情况，是否满足要求。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现场查看及查阅相关资料。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科室定期分析质量安全监测指标变化趋势，针对负向趋势有原因分析、改进措施并落实。</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职能部门定期分析质量安全监测指标变化趋势，为制订本部门质量管理与持续改进目标提供依据。</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持续改进有成效，质量指标呈现正向趋势。</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bookmarkEnd w:id="188"/>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2.1.9 加强临床专科服务能力建设，重视专科协同和中西医共同发展，制订专科建设发展规划并组织实施，推行</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以患者为中心、以疾病为链条</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的多学科诊疗模式。</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color w:val="auto"/>
                <w:sz w:val="24"/>
                <w:szCs w:val="24"/>
                <w:highlight w:val="none"/>
              </w:rPr>
              <w:t>2.1.9.1制订切合学科发展趋势、满足社会需求和符合医院实际情况的专科建设发展规划，并组织实施</w:t>
            </w:r>
            <w:r>
              <w:rPr>
                <w:rFonts w:hint="default" w:ascii="Times New Roman" w:hAnsi="Times New Roman" w:eastAsia="方正仿宋_GBK" w:cs="Times New Roman"/>
                <w:color w:val="auto"/>
                <w:sz w:val="24"/>
                <w:szCs w:val="24"/>
                <w:highlight w:val="none"/>
                <w:lang w:eastAsia="zh-CN"/>
              </w:rPr>
              <w:t>。</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医院有专科建设规划（包括重点、特色、培育等）、考核指标及配套发展支持经费等。</w:t>
            </w:r>
          </w:p>
          <w:p>
            <w:pPr>
              <w:pageBreakBefore w:val="0"/>
              <w:numPr>
                <w:ilvl w:val="0"/>
                <w:numId w:val="2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科室根据医院总体规划制定本科室专科建设发展规划，并落实。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2.抽查2个学科相关资料，并询问科主任</w:t>
            </w:r>
            <w:r>
              <w:rPr>
                <w:rFonts w:hint="default" w:ascii="Times New Roman" w:hAnsi="Times New Roman" w:eastAsia="方正仿宋_GBK" w:cs="Times New Roman"/>
                <w:color w:val="auto"/>
                <w:sz w:val="24"/>
                <w:szCs w:val="24"/>
                <w:highlight w:val="none"/>
                <w:lang w:val="en-US" w:eastAsia="zh-CN"/>
              </w:rPr>
              <w:t>相关内容</w:t>
            </w:r>
            <w:r>
              <w:rPr>
                <w:rFonts w:hint="default" w:ascii="Times New Roman" w:hAnsi="Times New Roman" w:eastAsia="方正仿宋_GBK" w:cs="Times New Roman"/>
                <w:color w:val="auto"/>
                <w:sz w:val="24"/>
                <w:szCs w:val="24"/>
                <w:highlight w:val="none"/>
              </w:rPr>
              <w:t>。</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主管部门定期考核、总结分析规划落实情况，提出整改意见并落实。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建设成效显著，有数据体现临床专科能力持续提升。国家级临床重点专科收治省外患者占比≥5%</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2.1.9.2 推行</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以患者为中心，以疾病为链</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条</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的多学科诊疗模式。</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widowControl/>
              <w:numPr>
                <w:ilvl w:val="0"/>
                <w:numId w:val="2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医院有相关制度与流程支持开展多学科诊疗。</w:t>
            </w:r>
          </w:p>
          <w:p>
            <w:pPr>
              <w:pageBreakBefore w:val="0"/>
              <w:widowControl/>
              <w:numPr>
                <w:ilvl w:val="0"/>
                <w:numId w:val="2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有相关部门负责工作的开展。</w:t>
            </w:r>
          </w:p>
          <w:p>
            <w:pPr>
              <w:pageBreakBefore w:val="0"/>
              <w:widowControl/>
              <w:numPr>
                <w:ilvl w:val="0"/>
                <w:numId w:val="2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工作开展有记录。</w:t>
            </w:r>
          </w:p>
        </w:tc>
        <w:tc>
          <w:tcPr>
            <w:tcW w:w="1269" w:type="pct"/>
            <w:tcMar>
              <w:top w:w="22" w:type="dxa"/>
              <w:left w:w="22" w:type="dxa"/>
              <w:bottom w:w="22" w:type="dxa"/>
              <w:right w:w="22" w:type="dxa"/>
            </w:tcMar>
            <w:vAlign w:val="center"/>
          </w:tcPr>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rPr>
              <w:t>查阅相关资料。</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查阅相关资料。</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主管部门有定期总结分析、提出整改措施并落实。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2.1.9.3 提高医疗技术水平，开展各类关键技术。</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widowControl/>
              <w:numPr>
                <w:ilvl w:val="0"/>
                <w:numId w:val="2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医院可以开展的关键技术数量不低于关键技术目录（附件2）总数量的75%。</w:t>
            </w:r>
          </w:p>
          <w:p>
            <w:pPr>
              <w:pageBreakBefore w:val="0"/>
              <w:widowControl/>
              <w:numPr>
                <w:ilvl w:val="0"/>
                <w:numId w:val="2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目录中标注为乙等必备的技术全部开展。</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0" w:firstLineChars="0"/>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对照医院提供的技术清单，随机抽查20%的技术类别，查阅门诊和住院病历信息及相关技术执行记录。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医院可以开展的关键技术数量不低于关键技术目录（附件2）总数量的85%。</w:t>
            </w:r>
          </w:p>
          <w:p>
            <w:pPr>
              <w:pageBreakBefore w:val="0"/>
              <w:numPr>
                <w:ilvl w:val="0"/>
                <w:numId w:val="2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目录中标注为甲等必备的技术全部开展。</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对照医院提供的技术清单，随机抽查20%的技术类别，查阅门诊和住院病历信息及相关技术执行记录。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eastAsia="zh-CN"/>
              </w:rPr>
              <w:t>z</w:t>
            </w:r>
            <w:r>
              <w:rPr>
                <w:rFonts w:hint="default" w:ascii="Times New Roman" w:hAnsi="Times New Roman" w:eastAsia="方正仿宋_GBK" w:cs="Times New Roman"/>
                <w:color w:val="auto"/>
                <w:sz w:val="24"/>
                <w:szCs w:val="24"/>
                <w:highlight w:val="none"/>
                <w:lang w:val="en-US" w:eastAsia="zh-CN"/>
              </w:rPr>
              <w:t>a</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医院可以开展的关键技术数量不低于关键技术目录（附件2）总数量的90%。</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对照医院提供的技术清单，随机抽查20%的技术类别，查阅门诊和住院病历信息及相关技术执行记录。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2.1.10加强单病种质量管理与控制工作，建立本院单病种管理的指标和质量参考标准体系，促进医疗质量精细化管理。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2.1.10.1 将单病种质量管理与控制工作纳入医院医疗质量管理工作体系。建立本院单病种管理的指标和质量参考标准体系，促进医疗质量精细化管理。</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医院有单病种管理实施方案，单病种管理病种至少满足《三级医院评审标准（202</w:t>
            </w: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年版）》管理要求。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医院有单病种管理指标和质量参考标准体系。</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医院有指定主管部门及临床科室有专人负责单病种管理，负责数据上报及定期统计分析质量指标。</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科室有定期对单病种过程质量开展系统追踪和个案追踪、总结分析与整改。</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主管部门定期对单病种过程质量开展系统追踪和个案追踪、分析、反馈，并检查科室整改落实情况，将监控结果纳入科室工作质量评价。</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1. </w:t>
            </w:r>
            <w:r>
              <w:rPr>
                <w:rFonts w:hint="default" w:ascii="Times New Roman" w:hAnsi="Times New Roman" w:eastAsia="方正仿宋_GBK" w:cs="Times New Roman"/>
                <w:color w:val="auto"/>
                <w:sz w:val="24"/>
                <w:szCs w:val="24"/>
                <w:highlight w:val="none"/>
                <w:lang w:val="en-US" w:eastAsia="zh-CN"/>
              </w:rPr>
              <w:t>抽查2个临床科室，</w:t>
            </w: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医院单病种实现信息化管理。</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有数据体现改进效果。</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现场查看管理系统。</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2.1.11制订满意度监测指标并不断完善，定期开展患者和员工满意度监测，改善患者就医体验和员工执业感受。</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2.1.11.1 制订</w:t>
            </w:r>
            <w:r>
              <w:rPr>
                <w:rFonts w:hint="default" w:ascii="Times New Roman" w:hAnsi="Times New Roman" w:eastAsia="方正仿宋_GBK" w:cs="Times New Roman"/>
                <w:color w:val="auto"/>
                <w:sz w:val="24"/>
                <w:szCs w:val="24"/>
                <w:highlight w:val="none"/>
                <w:lang w:val="en-US" w:eastAsia="zh-CN"/>
              </w:rPr>
              <w:t>患者</w:t>
            </w:r>
            <w:r>
              <w:rPr>
                <w:rFonts w:hint="default" w:ascii="Times New Roman" w:hAnsi="Times New Roman" w:eastAsia="方正仿宋_GBK" w:cs="Times New Roman"/>
                <w:color w:val="auto"/>
                <w:sz w:val="24"/>
                <w:szCs w:val="24"/>
                <w:highlight w:val="none"/>
              </w:rPr>
              <w:t>满意度监测指标并不断完善，实施社会评价活动，改善患者就医体验。</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医院建立社会满意度测评指标体系，并不断完善；有指定的主管部门负责本项工作，职责明确。</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有相关制度及流程保障多种渠道、定期收集院内、外对医院服务意见和建议。</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开展第三方社会调查与评价，并充分运用数据分析，评价和改进医院工作。</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主管部门定期分析、</w:t>
            </w:r>
            <w:r>
              <w:rPr>
                <w:rFonts w:hint="default" w:ascii="Times New Roman" w:hAnsi="Times New Roman" w:eastAsia="方正仿宋_GBK" w:cs="Times New Roman"/>
                <w:color w:val="auto"/>
                <w:sz w:val="24"/>
                <w:szCs w:val="24"/>
                <w:highlight w:val="none"/>
                <w:lang w:val="en-US" w:eastAsia="zh-CN"/>
              </w:rPr>
              <w:t>总结及</w:t>
            </w:r>
            <w:r>
              <w:rPr>
                <w:rFonts w:hint="default" w:ascii="Times New Roman" w:hAnsi="Times New Roman" w:eastAsia="方正仿宋_GBK" w:cs="Times New Roman"/>
                <w:color w:val="auto"/>
                <w:sz w:val="24"/>
                <w:szCs w:val="24"/>
                <w:highlight w:val="none"/>
              </w:rPr>
              <w:t>反馈，</w:t>
            </w:r>
            <w:r>
              <w:rPr>
                <w:rFonts w:hint="default" w:ascii="Times New Roman" w:hAnsi="Times New Roman" w:eastAsia="方正仿宋_GBK" w:cs="Times New Roman"/>
                <w:color w:val="auto"/>
                <w:sz w:val="24"/>
                <w:szCs w:val="24"/>
                <w:highlight w:val="none"/>
                <w:lang w:val="en-US" w:eastAsia="zh-CN"/>
              </w:rPr>
              <w:t>并督促整改</w:t>
            </w:r>
            <w:r>
              <w:rPr>
                <w:rFonts w:hint="default" w:ascii="Times New Roman" w:hAnsi="Times New Roman" w:eastAsia="方正仿宋_GBK" w:cs="Times New Roman"/>
                <w:color w:val="auto"/>
                <w:sz w:val="24"/>
                <w:szCs w:val="24"/>
                <w:highlight w:val="none"/>
              </w:rPr>
              <w:t>。</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持续改进有成效，患者满意度不断提高。</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2.1.11.2 建立员工满意度评价体系，改善员工执业感受。</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有员工满意度评价体系。</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有指定的主管部门负责本项工作，职责明确，有定期收集员工对医院服务及管理意见和建议。</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员工知晓医院员工满意度测评的方式、途径，并积极参与。</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随机询问10名员工，了解知晓度及参与情况，知晓率≥90%。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1. </w:t>
            </w:r>
            <w:r>
              <w:rPr>
                <w:rFonts w:hint="default" w:ascii="Times New Roman" w:hAnsi="Times New Roman" w:eastAsia="方正仿宋_GBK" w:cs="Times New Roman"/>
                <w:color w:val="auto"/>
                <w:spacing w:val="-6"/>
                <w:w w:val="90"/>
                <w:sz w:val="24"/>
                <w:szCs w:val="24"/>
                <w:highlight w:val="none"/>
              </w:rPr>
              <w:t>每年不少于2次的集中调查。员工参与度不少于90%。</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医院对存在问题及建议有分析、</w:t>
            </w:r>
            <w:r>
              <w:rPr>
                <w:rFonts w:hint="default" w:ascii="Times New Roman" w:hAnsi="Times New Roman" w:eastAsia="方正仿宋_GBK" w:cs="Times New Roman"/>
                <w:color w:val="auto"/>
                <w:sz w:val="24"/>
                <w:szCs w:val="24"/>
                <w:highlight w:val="none"/>
                <w:lang w:val="en-US" w:eastAsia="zh-CN"/>
              </w:rPr>
              <w:t>总结，</w:t>
            </w:r>
            <w:r>
              <w:rPr>
                <w:rFonts w:hint="default" w:ascii="Times New Roman" w:hAnsi="Times New Roman" w:eastAsia="方正仿宋_GBK" w:cs="Times New Roman"/>
                <w:color w:val="auto"/>
                <w:sz w:val="24"/>
                <w:szCs w:val="24"/>
                <w:highlight w:val="none"/>
              </w:rPr>
              <w:t>提出改进措施，并落实。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持续改进有成效，员工满意度≥80%。</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2.1.12建立本院各科室医疗质量内部现场检查和公示制度。</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2.1.12.1建立本院各科室医疗质量内部现场检查和公示制度</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并落实</w:t>
            </w:r>
            <w:r>
              <w:rPr>
                <w:rFonts w:hint="default" w:ascii="Times New Roman" w:hAnsi="Times New Roman" w:eastAsia="方正仿宋_GBK" w:cs="Times New Roman"/>
                <w:color w:val="auto"/>
                <w:sz w:val="24"/>
                <w:szCs w:val="24"/>
                <w:highlight w:val="none"/>
              </w:rPr>
              <w:t>。</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医院对各科室有明确的医疗质量与安全指标。</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有定期检查考核的规范及要求，由主管部门牵头考核，并公示考核结果。</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主管部门定期分析质量与安全指标的变化趋势，衡量各科室的医疗服务能力与质量水平。</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持续改进有成效，各项质量与安全指标呈正向变化趋势。</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2.1.13强化基于电子病历的医院信息平台建设，满足医疗质量管理与控制工作需要。</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2.1.13.1强化基于电子病历的医院信息平台建设，满足医疗质量管理与控制工作需要。</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pacing w:val="-6"/>
                <w:sz w:val="24"/>
                <w:szCs w:val="24"/>
                <w:highlight w:val="none"/>
              </w:rPr>
            </w:pPr>
            <w:r>
              <w:rPr>
                <w:rFonts w:hint="eastAsia" w:cs="Times New Roman"/>
                <w:color w:val="auto"/>
                <w:spacing w:val="-6"/>
                <w:sz w:val="24"/>
                <w:szCs w:val="24"/>
                <w:highlight w:val="none"/>
                <w:lang w:val="en-US" w:eastAsia="zh-CN"/>
              </w:rPr>
              <w:t>1.</w:t>
            </w:r>
            <w:r>
              <w:rPr>
                <w:rFonts w:hint="default" w:ascii="Times New Roman" w:hAnsi="Times New Roman" w:eastAsia="方正仿宋_GBK" w:cs="Times New Roman"/>
                <w:color w:val="auto"/>
                <w:spacing w:val="-6"/>
                <w:sz w:val="24"/>
                <w:szCs w:val="24"/>
                <w:highlight w:val="none"/>
              </w:rPr>
              <w:t>基于电子病历的医院信息平台建设符合《全国医院信息化建设标准与规范》的要求，功能具备《医院信息平台应用功能指引》的要求，技术符合《医院信息化建设应用技术指引（2017 版）》的要求。</w:t>
            </w:r>
          </w:p>
          <w:p>
            <w:pPr>
              <w:pageBreakBefore w:val="0"/>
              <w:numPr>
                <w:ilvl w:val="0"/>
                <w:numId w:val="0"/>
              </w:numPr>
              <w:kinsoku/>
              <w:wordWrap/>
              <w:overflowPunct/>
              <w:topLinePunct w:val="0"/>
              <w:bidi w:val="0"/>
              <w:snapToGrid/>
              <w:spacing w:line="300" w:lineRule="exact"/>
              <w:ind w:leftChars="0"/>
              <w:jc w:val="both"/>
              <w:textAlignment w:val="auto"/>
              <w:rPr>
                <w:rFonts w:hint="default" w:ascii="Times New Roman" w:hAnsi="Times New Roman" w:eastAsia="方正仿宋_GBK" w:cs="Times New Roman"/>
                <w:color w:val="auto"/>
                <w:sz w:val="24"/>
                <w:szCs w:val="24"/>
                <w:highlight w:val="none"/>
              </w:rPr>
            </w:pPr>
            <w:r>
              <w:rPr>
                <w:rFonts w:hint="eastAsia" w:cs="Times New Roman"/>
                <w:color w:val="auto"/>
                <w:spacing w:val="-6"/>
                <w:sz w:val="24"/>
                <w:szCs w:val="24"/>
                <w:highlight w:val="none"/>
                <w:lang w:val="en-US" w:eastAsia="zh-CN"/>
              </w:rPr>
              <w:t>2.</w:t>
            </w:r>
            <w:r>
              <w:rPr>
                <w:rFonts w:hint="default" w:ascii="Times New Roman" w:hAnsi="Times New Roman" w:eastAsia="方正仿宋_GBK" w:cs="Times New Roman"/>
                <w:color w:val="auto"/>
                <w:spacing w:val="-6"/>
                <w:sz w:val="24"/>
                <w:szCs w:val="24"/>
                <w:highlight w:val="none"/>
              </w:rPr>
              <w:t>医院信息平台能够提供医疗质量管理与控制工作所需的数据信息，数据符合《全国医院数据上报管理</w:t>
            </w:r>
            <w:r>
              <w:rPr>
                <w:rFonts w:hint="default" w:ascii="Times New Roman" w:hAnsi="Times New Roman" w:eastAsia="方正仿宋_GBK" w:cs="Times New Roman"/>
                <w:color w:val="auto"/>
                <w:spacing w:val="-11"/>
                <w:sz w:val="24"/>
                <w:szCs w:val="24"/>
                <w:highlight w:val="none"/>
              </w:rPr>
              <w:t>方案》《全国医院上报数据统计分析指标集》要求</w:t>
            </w:r>
            <w:r>
              <w:rPr>
                <w:rFonts w:hint="default" w:ascii="Times New Roman" w:hAnsi="Times New Roman" w:eastAsia="方正仿宋_GBK" w:cs="Times New Roman"/>
                <w:color w:val="auto"/>
                <w:spacing w:val="-11"/>
                <w:sz w:val="24"/>
                <w:szCs w:val="24"/>
                <w:highlight w:val="none"/>
                <w:lang w:eastAsia="zh-CN"/>
              </w:rPr>
              <w:t>。</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1.2. 现场查看相关系统是否符合要求。查阅相关资料。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主管部门收集问题及建议并分析，提出整改措施并落实。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w:t>
            </w:r>
            <w:r>
              <w:rPr>
                <w:rFonts w:hint="default" w:ascii="Times New Roman" w:hAnsi="Times New Roman" w:eastAsia="方正仿宋_GBK" w:cs="Times New Roman"/>
                <w:color w:val="auto"/>
                <w:sz w:val="24"/>
                <w:szCs w:val="24"/>
                <w:highlight w:val="none"/>
                <w:lang w:val="en-US" w:eastAsia="zh-CN"/>
              </w:rPr>
              <w:t>有数据或案例体现</w:t>
            </w:r>
            <w:r>
              <w:rPr>
                <w:rFonts w:hint="default" w:ascii="Times New Roman" w:hAnsi="Times New Roman" w:eastAsia="方正仿宋_GBK" w:cs="Times New Roman"/>
                <w:color w:val="auto"/>
                <w:sz w:val="24"/>
                <w:szCs w:val="24"/>
                <w:highlight w:val="none"/>
              </w:rPr>
              <w:t>信息平台建设不断完善。</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2.1.14对医疗质量管理要求执行情况进行定期评估，对医疗质量信息数据开展内部验证并及时分析和反馈，对医疗质</w:t>
            </w:r>
            <w:r>
              <w:rPr>
                <w:rFonts w:hint="default" w:ascii="Times New Roman" w:hAnsi="Times New Roman" w:eastAsia="方正仿宋_GBK" w:cs="Times New Roman"/>
                <w:color w:val="auto"/>
                <w:sz w:val="24"/>
                <w:szCs w:val="24"/>
                <w:highlight w:val="none"/>
                <w:lang w:eastAsia="zh-CN"/>
              </w:rPr>
              <w:t>量</w:t>
            </w:r>
            <w:r>
              <w:rPr>
                <w:rFonts w:hint="default" w:ascii="Times New Roman" w:hAnsi="Times New Roman" w:eastAsia="方正仿宋_GBK" w:cs="Times New Roman"/>
                <w:color w:val="auto"/>
                <w:sz w:val="24"/>
                <w:szCs w:val="24"/>
                <w:highlight w:val="none"/>
              </w:rPr>
              <w:t>问题和医疗安全风险进行预警和干预，对存在的问题及时采取有效干预措施，评估干预效果，促进医疗质量持续改进。</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bookmarkStart w:id="189" w:name="_Hlk72178182"/>
            <w:r>
              <w:rPr>
                <w:rFonts w:hint="default" w:ascii="Times New Roman" w:hAnsi="Times New Roman" w:eastAsia="方正仿宋_GBK" w:cs="Times New Roman"/>
                <w:color w:val="auto"/>
                <w:sz w:val="24"/>
                <w:szCs w:val="24"/>
                <w:highlight w:val="none"/>
              </w:rPr>
              <w:t>2.1.14.1 建立医疗质量数据内部验证、分析与反馈工作机制。</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有医疗质量信息数据库、内部验证等相应管理制度与工作流程。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根据相关规范等要求，对所采集的数据有明确的标准和准确的来源，能够做到及时更新与验证。</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查阅相关资料，现场查看数据库。</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现场查看及查阅相关资料。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主管部门有专人对医疗数据采集质量进行自查，利用医疗质量数据开展分析与评价。</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w:t>
            </w:r>
            <w:r>
              <w:rPr>
                <w:rFonts w:hint="default" w:ascii="Times New Roman" w:hAnsi="Times New Roman" w:eastAsia="方正仿宋_GBK" w:cs="Times New Roman"/>
                <w:color w:val="auto"/>
                <w:spacing w:val="-6"/>
                <w:sz w:val="24"/>
                <w:szCs w:val="24"/>
                <w:highlight w:val="none"/>
              </w:rPr>
              <w:t>续改进有成效，医疗质量数据采集质量不断提升。</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2.1.14.2对医疗质量问题和医疗安全风险进行预警和干预，对存在的问题及时采取有效干预措施，评估干预效果，促进医疗质量的持续改进。</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医院有对医疗质量问题和医疗安全风险进行预警、干预的制度，并落实。</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院科两级有医疗质量安全的培训计划并落实。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主管部门定期组织开展医疗质量问题和医疗安全风险分析，及时发布预警</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提出改进措施</w:t>
            </w:r>
            <w:r>
              <w:rPr>
                <w:rFonts w:hint="default" w:ascii="Times New Roman" w:hAnsi="Times New Roman" w:eastAsia="方正仿宋_GBK" w:cs="Times New Roman"/>
                <w:color w:val="auto"/>
                <w:sz w:val="24"/>
                <w:szCs w:val="24"/>
                <w:highlight w:val="none"/>
              </w:rPr>
              <w:t>并落实整改。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792" w:hRule="atLeas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bookmarkEnd w:id="189"/>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tcBorders>
              <w:left w:val="nil"/>
              <w:right w:val="nil"/>
            </w:tcBorders>
            <w:vAlign w:val="center"/>
          </w:tcPr>
          <w:p>
            <w:pPr>
              <w:pStyle w:val="4"/>
              <w:pageBreakBefore w:val="0"/>
              <w:kinsoku/>
              <w:wordWrap/>
              <w:overflowPunct/>
              <w:topLinePunct w:val="0"/>
              <w:bidi w:val="0"/>
              <w:snapToGrid/>
              <w:spacing w:before="0" w:beforeAutospacing="0" w:after="0" w:afterAutospacing="0" w:line="560" w:lineRule="exact"/>
              <w:ind w:left="0" w:leftChars="0" w:rightChars="0" w:firstLine="624" w:firstLineChars="200"/>
              <w:jc w:val="left"/>
              <w:textAlignment w:val="auto"/>
              <w:rPr>
                <w:rFonts w:hint="default" w:eastAsia="方正仿宋_GBK" w:cs="Times New Roman"/>
                <w:color w:val="auto"/>
                <w:sz w:val="24"/>
                <w:szCs w:val="24"/>
                <w:highlight w:val="none"/>
              </w:rPr>
            </w:pPr>
            <w:r>
              <w:rPr>
                <w:rFonts w:hint="default" w:eastAsia="方正黑体_GBK" w:cs="Times New Roman"/>
                <w:b w:val="0"/>
                <w:color w:val="auto"/>
                <w:szCs w:val="24"/>
                <w:highlight w:val="none"/>
              </w:rPr>
              <w:t>二、医疗质量安全核心制度</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评审标准</w:t>
            </w:r>
          </w:p>
        </w:tc>
        <w:tc>
          <w:tcPr>
            <w:tcW w:w="2802" w:type="pct"/>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评审要点</w:t>
            </w:r>
          </w:p>
        </w:tc>
        <w:tc>
          <w:tcPr>
            <w:tcW w:w="1269" w:type="pct"/>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评审方法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1134" w:hRule="exact"/>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2.2.1医院应当落实《医疗质量管理办法》《医疗质量安全核心制度要点》要求，制定发布本院医疗质量安全核心制度，并组织全员培训。</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2.2.1.1 根据《医疗质量管理办法》《医疗质量安全核心制度要点》，结合医院实际，制定医疗质量安全核心制度，并组织全员培训。</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根据《医疗质量管理办法》《医疗质量安全核心制度要点》，制定医院医疗质量安全核心制度（十八项），内容完整。</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有院科两级医疗质量安全核心制度培训及考核计划，并落实。</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3. 有针对新员工的专项培训，确保新员工尽快知晓其职责范围相关的医疗质量安全核心制度。</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ind w:left="180" w:hanging="232" w:hanging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查阅医院并抽查内、外科各2个科室培训计划及落实的相关资料。</w:t>
            </w:r>
          </w:p>
          <w:p>
            <w:pPr>
              <w:pageBreakBefore w:val="0"/>
              <w:kinsoku/>
              <w:wordWrap/>
              <w:overflowPunct/>
              <w:topLinePunct w:val="0"/>
              <w:bidi w:val="0"/>
              <w:snapToGrid/>
              <w:spacing w:line="300" w:lineRule="exact"/>
              <w:ind w:left="180" w:hanging="232" w:hangingChars="100"/>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培训率、知晓率≥90%。</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查阅相关培训资料，抽考20名医护人员，了解知晓率是否达标。</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持续改进有成效，培训率、知晓率100%。</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查阅相关培训资料，抽考20名医护人员，了解知晓率是否达标。</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2.2.2建立首诊负责制度。明确在诊疗过程不同阶段的责任主体，保障患者诊疗服务连续性和医疗行为可追溯。</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2.2.2.1 规范执行首诊负责制度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color w:val="auto"/>
                <w:sz w:val="24"/>
                <w:szCs w:val="24"/>
                <w:highlight w:val="none"/>
              </w:rPr>
              <w:t>医院制定相关制度，有首诊负责的具体要求及流程</w:t>
            </w:r>
            <w:r>
              <w:rPr>
                <w:rFonts w:hint="default" w:ascii="Times New Roman" w:hAnsi="Times New Roman" w:eastAsia="方正仿宋_GBK" w:cs="Times New Roman"/>
                <w:color w:val="auto"/>
                <w:sz w:val="24"/>
                <w:szCs w:val="24"/>
                <w:highlight w:val="none"/>
                <w:lang w:eastAsia="zh-CN"/>
              </w:rPr>
              <w:t>，保障患者</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eastAsia="zh-CN"/>
              </w:rPr>
              <w:t>诊疗服务连续性</w:t>
            </w:r>
            <w:r>
              <w:rPr>
                <w:rFonts w:hint="default" w:ascii="Times New Roman" w:hAnsi="Times New Roman" w:eastAsia="方正仿宋_GBK" w:cs="Times New Roman"/>
                <w:color w:val="auto"/>
                <w:sz w:val="24"/>
                <w:szCs w:val="24"/>
                <w:highlight w:val="none"/>
              </w:rPr>
              <w:t>。</w:t>
            </w:r>
          </w:p>
          <w:p>
            <w:pPr>
              <w:pageBreakBefore w:val="0"/>
              <w:numPr>
                <w:ilvl w:val="0"/>
                <w:numId w:val="3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各级医师熟悉首诊负责相关要求并执行。</w:t>
            </w:r>
          </w:p>
        </w:tc>
        <w:tc>
          <w:tcPr>
            <w:tcW w:w="1269" w:type="pct"/>
            <w:tcMar>
              <w:top w:w="22" w:type="dxa"/>
              <w:left w:w="22" w:type="dxa"/>
              <w:bottom w:w="22" w:type="dxa"/>
              <w:right w:w="22" w:type="dxa"/>
            </w:tcMar>
            <w:vAlign w:val="center"/>
          </w:tcPr>
          <w:p>
            <w:pPr>
              <w:pageBreakBefore w:val="0"/>
              <w:numPr>
                <w:ilvl w:val="0"/>
                <w:numId w:val="3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随机询问3名不同级别的医师，了解其知晓情况。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主管部门定期督查，对存在问题及时反馈，并督促整改。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2.2.3建立三级查房制度。实行科主任领导下的三个不同级别的医师查房制度，严格明确查房周期。明确各级医师的医疗决策和实施权限。</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2.2.3.1规范执行三级查房制度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医院制定相关制度，</w:t>
            </w:r>
            <w:r>
              <w:rPr>
                <w:rFonts w:hint="default" w:ascii="Times New Roman" w:hAnsi="Times New Roman" w:eastAsia="方正仿宋_GBK" w:cs="Times New Roman"/>
                <w:color w:val="auto"/>
                <w:sz w:val="24"/>
                <w:szCs w:val="24"/>
                <w:highlight w:val="none"/>
                <w:lang w:val="en-US" w:eastAsia="zh-CN"/>
              </w:rPr>
              <w:t>有</w:t>
            </w:r>
            <w:r>
              <w:rPr>
                <w:rFonts w:hint="default" w:ascii="Times New Roman" w:hAnsi="Times New Roman" w:eastAsia="方正仿宋_GBK" w:cs="Times New Roman"/>
                <w:color w:val="auto"/>
                <w:sz w:val="24"/>
                <w:szCs w:val="24"/>
                <w:highlight w:val="none"/>
              </w:rPr>
              <w:t>三级查房的具体要求及流程。</w:t>
            </w:r>
          </w:p>
          <w:p>
            <w:pPr>
              <w:pageBreakBefore w:val="0"/>
              <w:numPr>
                <w:ilvl w:val="0"/>
                <w:numId w:val="3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有明确的各级医师的医疗决策和实施权限。</w:t>
            </w:r>
          </w:p>
          <w:p>
            <w:pPr>
              <w:pageBreakBefore w:val="0"/>
              <w:numPr>
                <w:ilvl w:val="0"/>
                <w:numId w:val="3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科室的三级查房记录符合相关要求。</w:t>
            </w:r>
          </w:p>
          <w:p>
            <w:pPr>
              <w:pageBreakBefore w:val="0"/>
              <w:numPr>
                <w:ilvl w:val="0"/>
                <w:numId w:val="3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各级医师熟悉三级查房相关要求。</w:t>
            </w:r>
          </w:p>
        </w:tc>
        <w:tc>
          <w:tcPr>
            <w:tcW w:w="1269" w:type="pct"/>
            <w:tcMar>
              <w:top w:w="22" w:type="dxa"/>
              <w:left w:w="22" w:type="dxa"/>
              <w:bottom w:w="22" w:type="dxa"/>
              <w:right w:w="22" w:type="dxa"/>
            </w:tcMar>
            <w:vAlign w:val="center"/>
          </w:tcPr>
          <w:p>
            <w:pPr>
              <w:pageBreakBefore w:val="0"/>
              <w:numPr>
                <w:ilvl w:val="0"/>
                <w:numId w:val="3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查阅相关授权文件。</w:t>
            </w:r>
          </w:p>
          <w:p>
            <w:pPr>
              <w:pageBreakBefore w:val="0"/>
              <w:numPr>
                <w:ilvl w:val="0"/>
                <w:numId w:val="3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抽查在院患者电子病历5份，评价相关记录是否符合要求。</w:t>
            </w:r>
          </w:p>
          <w:p>
            <w:pPr>
              <w:pageBreakBefore w:val="0"/>
              <w:numPr>
                <w:ilvl w:val="0"/>
                <w:numId w:val="3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随机询问3名不同级别的医师，了解其</w:t>
            </w:r>
            <w:r>
              <w:rPr>
                <w:rFonts w:hint="default" w:ascii="Times New Roman" w:hAnsi="Times New Roman" w:eastAsia="方正仿宋_GBK" w:cs="Times New Roman"/>
                <w:color w:val="auto"/>
                <w:sz w:val="24"/>
                <w:szCs w:val="24"/>
                <w:highlight w:val="none"/>
                <w:lang w:val="en-US" w:eastAsia="zh-CN"/>
              </w:rPr>
              <w:t>知晓情况</w:t>
            </w:r>
            <w:r>
              <w:rPr>
                <w:rFonts w:hint="default" w:ascii="Times New Roman" w:hAnsi="Times New Roman" w:eastAsia="方正仿宋_GBK" w:cs="Times New Roman"/>
                <w:color w:val="auto"/>
                <w:sz w:val="24"/>
                <w:szCs w:val="24"/>
                <w:highlight w:val="none"/>
              </w:rPr>
              <w:t>。</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1134" w:hRule="exac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主管部门定期督查，对存在问题及时反馈，并督促整改。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trHeight w:val="1134" w:hRule="exac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2.2.4建立会诊制度。明确各类会诊的具体流程和时间要求，统一会诊单格式及填写规范。会诊请求人员应当陪同完成会诊，并按规定进行记录。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2472" w:hRule="exact"/>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2.2.4.1规范执行会诊制度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医院制定相关制度</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有院内外会诊的具体要求及流程。</w:t>
            </w:r>
          </w:p>
          <w:p>
            <w:pPr>
              <w:pageBreakBefore w:val="0"/>
              <w:numPr>
                <w:ilvl w:val="0"/>
                <w:numId w:val="3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有明确的各级医师会诊权限。</w:t>
            </w:r>
          </w:p>
          <w:p>
            <w:pPr>
              <w:pageBreakBefore w:val="0"/>
              <w:numPr>
                <w:ilvl w:val="0"/>
                <w:numId w:val="3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科室的会诊记录符合相关要求。</w:t>
            </w:r>
          </w:p>
          <w:p>
            <w:pPr>
              <w:pageBreakBefore w:val="0"/>
              <w:numPr>
                <w:ilvl w:val="0"/>
                <w:numId w:val="3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各级医师熟悉会诊相关要求。</w:t>
            </w:r>
          </w:p>
        </w:tc>
        <w:tc>
          <w:tcPr>
            <w:tcW w:w="1269" w:type="pct"/>
            <w:tcMar>
              <w:top w:w="22" w:type="dxa"/>
              <w:left w:w="22" w:type="dxa"/>
              <w:bottom w:w="22" w:type="dxa"/>
              <w:right w:w="22" w:type="dxa"/>
            </w:tcMar>
            <w:vAlign w:val="center"/>
          </w:tcPr>
          <w:p>
            <w:pPr>
              <w:pageBreakBefore w:val="0"/>
              <w:numPr>
                <w:ilvl w:val="0"/>
                <w:numId w:val="3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抽查在院患者电子病历5份，评价相关记录是否符合要求。</w:t>
            </w:r>
          </w:p>
          <w:p>
            <w:pPr>
              <w:pageBreakBefore w:val="0"/>
              <w:numPr>
                <w:ilvl w:val="0"/>
                <w:numId w:val="3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随机询问3名不同级别的医师，了解其</w:t>
            </w:r>
            <w:r>
              <w:rPr>
                <w:rFonts w:hint="default" w:ascii="Times New Roman" w:hAnsi="Times New Roman" w:eastAsia="方正仿宋_GBK" w:cs="Times New Roman"/>
                <w:color w:val="auto"/>
                <w:sz w:val="24"/>
                <w:szCs w:val="24"/>
                <w:highlight w:val="none"/>
                <w:lang w:val="en-US" w:eastAsia="zh-CN"/>
              </w:rPr>
              <w:t>知晓情况</w:t>
            </w:r>
            <w:r>
              <w:rPr>
                <w:rFonts w:hint="default" w:ascii="Times New Roman" w:hAnsi="Times New Roman" w:eastAsia="方正仿宋_GBK" w:cs="Times New Roman"/>
                <w:color w:val="auto"/>
                <w:sz w:val="24"/>
                <w:szCs w:val="24"/>
                <w:highlight w:val="none"/>
              </w:rPr>
              <w:t>。</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主管部门定期督查，对存在问题及时反馈，并督促整改。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2.2.5建立分级护理制度。按照国家分级护理管理相关指导原则和护理服务工作标准，规范各级别护理的内容。合理动态调整护理级别，护理级别应当明确标识。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2.2.5.1 规范执行分级护理制度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按照国家分级护理管理相关指导原则，制定医院分级护理制度，有针对各级别护理的工作规范。</w:t>
            </w:r>
          </w:p>
          <w:p>
            <w:pPr>
              <w:pageBreakBefore w:val="0"/>
              <w:numPr>
                <w:ilvl w:val="0"/>
                <w:numId w:val="3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护理级别应当实时在病历、患者一览表及床头卡有明确标识。</w:t>
            </w:r>
          </w:p>
          <w:p>
            <w:pPr>
              <w:pageBreakBefore w:val="0"/>
              <w:numPr>
                <w:ilvl w:val="0"/>
                <w:numId w:val="3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医护人员知晓分级护理的相关内容。</w:t>
            </w:r>
          </w:p>
        </w:tc>
        <w:tc>
          <w:tcPr>
            <w:tcW w:w="1269" w:type="pct"/>
            <w:tcMar>
              <w:top w:w="22" w:type="dxa"/>
              <w:left w:w="22" w:type="dxa"/>
              <w:bottom w:w="22" w:type="dxa"/>
              <w:right w:w="22" w:type="dxa"/>
            </w:tcMar>
            <w:vAlign w:val="center"/>
          </w:tcPr>
          <w:p>
            <w:pPr>
              <w:pageBreakBefore w:val="0"/>
              <w:numPr>
                <w:ilvl w:val="0"/>
                <w:numId w:val="3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现场查看及</w:t>
            </w:r>
            <w:r>
              <w:rPr>
                <w:rFonts w:hint="default" w:ascii="Times New Roman" w:hAnsi="Times New Roman" w:eastAsia="方正仿宋_GBK" w:cs="Times New Roman"/>
                <w:color w:val="auto"/>
                <w:sz w:val="24"/>
                <w:szCs w:val="24"/>
                <w:highlight w:val="none"/>
              </w:rPr>
              <w:t>抽查在院患者电子病历5份，评价</w:t>
            </w:r>
            <w:r>
              <w:rPr>
                <w:rFonts w:hint="default" w:ascii="Times New Roman" w:hAnsi="Times New Roman" w:eastAsia="方正仿宋_GBK" w:cs="Times New Roman"/>
                <w:color w:val="auto"/>
                <w:sz w:val="24"/>
                <w:szCs w:val="24"/>
                <w:highlight w:val="none"/>
                <w:lang w:val="en-US" w:eastAsia="zh-CN"/>
              </w:rPr>
              <w:t>是否符合要求</w:t>
            </w:r>
            <w:r>
              <w:rPr>
                <w:rFonts w:hint="default" w:ascii="Times New Roman" w:hAnsi="Times New Roman" w:eastAsia="方正仿宋_GBK" w:cs="Times New Roman"/>
                <w:color w:val="auto"/>
                <w:sz w:val="24"/>
                <w:szCs w:val="24"/>
                <w:highlight w:val="none"/>
              </w:rPr>
              <w:t>。</w:t>
            </w:r>
          </w:p>
          <w:p>
            <w:pPr>
              <w:pageBreakBefore w:val="0"/>
              <w:numPr>
                <w:ilvl w:val="0"/>
                <w:numId w:val="3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随机询问3名医护人员，了解其知晓情况。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主管部门（医务、护理部门）定期督查，对存在问题及时反馈，并督促整改。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2.2.6 建立值班与交接班制度。有全院性医疗值班体系，明确值班岗位职责、人员资质和人数并保证常态运行。实行医院总值班制度，总值班人员需接受培训并考核合格。医院及科室值班表应当全院公开，值班表应当涵盖与患者诊疗相关的所有岗位和时间。值班人员资质和值班记录应当符合规定。非本机构执业医务人员不得单独值班。值班期间所有的诊疗活动必须及时记入病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2.2.6.1 建立全院性值班体系，实行医院总值班制度。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有全院性医疗值班体系，包括临床、医技、护理部门以及提供诊疗支持的后勤部门，明确值班岗位职责并纳入职责汇编，员工知晓。</w:t>
            </w:r>
          </w:p>
          <w:p>
            <w:pPr>
              <w:pageBreakBefore w:val="0"/>
              <w:numPr>
                <w:ilvl w:val="0"/>
                <w:numId w:val="3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医院有</w:t>
            </w:r>
            <w:r>
              <w:rPr>
                <w:rFonts w:hint="default" w:ascii="Times New Roman" w:hAnsi="Times New Roman" w:eastAsia="方正仿宋_GBK" w:cs="Times New Roman"/>
                <w:color w:val="auto"/>
                <w:sz w:val="24"/>
                <w:szCs w:val="24"/>
                <w:highlight w:val="none"/>
              </w:rPr>
              <w:t>值班与交接班制度</w:t>
            </w:r>
            <w:r>
              <w:rPr>
                <w:rFonts w:hint="default" w:ascii="Times New Roman" w:hAnsi="Times New Roman" w:eastAsia="方正仿宋_GBK" w:cs="Times New Roman"/>
                <w:color w:val="auto"/>
                <w:sz w:val="24"/>
                <w:szCs w:val="24"/>
                <w:highlight w:val="none"/>
                <w:lang w:val="en-US" w:eastAsia="zh-CN"/>
              </w:rPr>
              <w:t>及总值班制度并执行，</w:t>
            </w:r>
            <w:r>
              <w:rPr>
                <w:rFonts w:hint="default" w:ascii="Times New Roman" w:hAnsi="Times New Roman" w:eastAsia="方正仿宋_GBK" w:cs="Times New Roman"/>
                <w:color w:val="auto"/>
                <w:sz w:val="24"/>
                <w:szCs w:val="24"/>
                <w:highlight w:val="none"/>
              </w:rPr>
              <w:t>总值班至少涵盖行政及医疗总值班，</w:t>
            </w:r>
            <w:r>
              <w:rPr>
                <w:rFonts w:hint="default" w:ascii="Times New Roman" w:hAnsi="Times New Roman" w:eastAsia="方正仿宋_GBK" w:cs="Times New Roman"/>
                <w:color w:val="auto"/>
                <w:sz w:val="24"/>
                <w:szCs w:val="24"/>
                <w:highlight w:val="none"/>
                <w:lang w:val="en-US" w:eastAsia="zh-CN"/>
              </w:rPr>
              <w:t>值班表</w:t>
            </w:r>
            <w:r>
              <w:rPr>
                <w:sz w:val="24"/>
              </w:rPr>
              <mc:AlternateContent>
                <mc:Choice Requires="wps">
                  <w:drawing>
                    <wp:anchor distT="0" distB="0" distL="114300" distR="114300" simplePos="0" relativeHeight="251684864" behindDoc="0" locked="0" layoutInCell="1" allowOverlap="1">
                      <wp:simplePos x="0" y="0"/>
                      <wp:positionH relativeFrom="column">
                        <wp:posOffset>-1028065</wp:posOffset>
                      </wp:positionH>
                      <wp:positionV relativeFrom="paragraph">
                        <wp:posOffset>134620</wp:posOffset>
                      </wp:positionV>
                      <wp:extent cx="1024255" cy="1130935"/>
                      <wp:effectExtent l="0" t="0" r="0" b="0"/>
                      <wp:wrapNone/>
                      <wp:docPr id="19" name="文本框 19"/>
                      <wp:cNvGraphicFramePr/>
                      <a:graphic xmlns:a="http://schemas.openxmlformats.org/drawingml/2006/main">
                        <a:graphicData uri="http://schemas.microsoft.com/office/word/2010/wordprocessingShape">
                          <wps:wsp>
                            <wps:cNvSpPr txBox="1"/>
                            <wps:spPr>
                              <a:xfrm>
                                <a:off x="1012825" y="1137920"/>
                                <a:ext cx="1024255" cy="11309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00" w:lineRule="exact"/>
                                    <w:textAlignment w:val="auto"/>
                                  </w:pPr>
                                  <w:r>
                                    <w:rPr>
                                      <w:rFonts w:hint="default" w:ascii="Times New Roman" w:hAnsi="Times New Roman" w:eastAsia="方正仿宋_GBK" w:cs="Times New Roman"/>
                                      <w:color w:val="auto"/>
                                      <w:sz w:val="24"/>
                                      <w:szCs w:val="24"/>
                                      <w:highlight w:val="none"/>
                                    </w:rPr>
                                    <w:t>2.2.6.1 建立全院性值班体系，实行医院总值班制度。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0.95pt;margin-top:10.6pt;height:89.05pt;width:80.65pt;z-index:251684864;mso-width-relative:page;mso-height-relative:page;" filled="f" stroked="f" coordsize="21600,21600" o:gfxdata="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7xzoNNoAAAAJAQAADwAAAAAAAAABACAA&#10;AAAiAAAAZHJzL2Rvd25yZXYueG1sUEsBAhQAFAAAAAgAh07iQEtMAQBEAgAAdQQAAA4AAAAAAAAA&#10;AQAgAAAAKQEAAGRycy9lMm9Eb2MueG1sUEsFBgAAAAAGAAYAWQEAAN8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00" w:lineRule="exact"/>
                              <w:textAlignment w:val="auto"/>
                            </w:pPr>
                            <w:r>
                              <w:rPr>
                                <w:rFonts w:hint="default" w:ascii="Times New Roman" w:hAnsi="Times New Roman" w:eastAsia="方正仿宋_GBK" w:cs="Times New Roman"/>
                                <w:color w:val="auto"/>
                                <w:sz w:val="24"/>
                                <w:szCs w:val="24"/>
                                <w:highlight w:val="none"/>
                              </w:rPr>
                              <w:t>2.2.6.1 建立全院性值班体系，实行医院总值班制度。</w:t>
                            </w:r>
                          </w:p>
                        </w:txbxContent>
                      </v:textbox>
                    </v:shape>
                  </w:pict>
                </mc:Fallback>
              </mc:AlternateContent>
            </w:r>
            <w:r>
              <w:rPr>
                <w:rFonts w:hint="default" w:ascii="Times New Roman" w:hAnsi="Times New Roman" w:eastAsia="方正仿宋_GBK" w:cs="Times New Roman"/>
                <w:color w:val="auto"/>
                <w:sz w:val="24"/>
                <w:szCs w:val="24"/>
                <w:highlight w:val="none"/>
                <w:lang w:val="en-US" w:eastAsia="zh-CN"/>
              </w:rPr>
              <w:t>及时</w:t>
            </w:r>
            <w:r>
              <w:rPr>
                <w:rFonts w:hint="default" w:ascii="Times New Roman" w:hAnsi="Times New Roman" w:eastAsia="方正仿宋_GBK" w:cs="Times New Roman"/>
                <w:color w:val="auto"/>
                <w:sz w:val="24"/>
                <w:szCs w:val="24"/>
                <w:highlight w:val="none"/>
              </w:rPr>
              <w:t>在医院OA上公示。</w:t>
            </w:r>
          </w:p>
          <w:p>
            <w:pPr>
              <w:pageBreakBefore w:val="0"/>
              <w:numPr>
                <w:ilvl w:val="0"/>
                <w:numId w:val="3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总值班人员接受岗前培训，考核合格后上岗。</w:t>
            </w:r>
          </w:p>
        </w:tc>
        <w:tc>
          <w:tcPr>
            <w:tcW w:w="1269" w:type="pct"/>
            <w:tcMar>
              <w:top w:w="22" w:type="dxa"/>
              <w:left w:w="22" w:type="dxa"/>
              <w:bottom w:w="22" w:type="dxa"/>
              <w:right w:w="22" w:type="dxa"/>
            </w:tcMar>
            <w:vAlign w:val="center"/>
          </w:tcPr>
          <w:p>
            <w:pPr>
              <w:pageBreakBefore w:val="0"/>
              <w:numPr>
                <w:ilvl w:val="0"/>
                <w:numId w:val="4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r>
              <w:rPr>
                <w:rFonts w:hint="default" w:ascii="Times New Roman" w:hAnsi="Times New Roman" w:eastAsia="方正仿宋_GBK" w:cs="Times New Roman"/>
                <w:color w:val="auto"/>
                <w:sz w:val="24"/>
                <w:szCs w:val="24"/>
                <w:highlight w:val="none"/>
                <w:lang w:val="en-US" w:eastAsia="zh-CN"/>
              </w:rPr>
              <w:t>并</w:t>
            </w:r>
            <w:r>
              <w:rPr>
                <w:rFonts w:hint="default" w:ascii="Times New Roman" w:hAnsi="Times New Roman" w:eastAsia="方正仿宋_GBK" w:cs="Times New Roman"/>
                <w:color w:val="auto"/>
                <w:sz w:val="24"/>
                <w:szCs w:val="24"/>
                <w:highlight w:val="none"/>
              </w:rPr>
              <w:t>随机询问</w:t>
            </w:r>
            <w:r>
              <w:rPr>
                <w:rFonts w:hint="default" w:ascii="Times New Roman" w:hAnsi="Times New Roman" w:eastAsia="方正仿宋_GBK" w:cs="Times New Roman"/>
                <w:color w:val="auto"/>
                <w:sz w:val="24"/>
                <w:szCs w:val="24"/>
                <w:highlight w:val="none"/>
                <w:lang w:val="en-US" w:eastAsia="zh-CN"/>
              </w:rPr>
              <w:t>5名员工，了解其知晓情况</w:t>
            </w:r>
            <w:r>
              <w:rPr>
                <w:rFonts w:hint="default" w:ascii="Times New Roman" w:hAnsi="Times New Roman" w:eastAsia="方正仿宋_GBK" w:cs="Times New Roman"/>
                <w:color w:val="auto"/>
                <w:sz w:val="24"/>
                <w:szCs w:val="24"/>
                <w:highlight w:val="none"/>
              </w:rPr>
              <w:t>。</w:t>
            </w:r>
          </w:p>
          <w:p>
            <w:pPr>
              <w:pageBreakBefore w:val="0"/>
              <w:numPr>
                <w:ilvl w:val="0"/>
                <w:numId w:val="4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w:t>
            </w:r>
            <w:r>
              <w:rPr>
                <w:rFonts w:hint="default" w:ascii="Times New Roman" w:hAnsi="Times New Roman" w:eastAsia="方正仿宋_GBK" w:cs="Times New Roman"/>
                <w:color w:val="auto"/>
                <w:sz w:val="24"/>
                <w:szCs w:val="24"/>
                <w:highlight w:val="none"/>
                <w:lang w:val="en-US" w:eastAsia="zh-CN"/>
              </w:rPr>
              <w:t>相关制度、值</w:t>
            </w:r>
            <w:r>
              <w:rPr>
                <w:rFonts w:hint="default" w:ascii="Times New Roman" w:hAnsi="Times New Roman" w:eastAsia="方正仿宋_GBK" w:cs="Times New Roman"/>
                <w:color w:val="auto"/>
                <w:sz w:val="24"/>
                <w:szCs w:val="24"/>
                <w:highlight w:val="none"/>
              </w:rPr>
              <w:t>班表公示情况</w:t>
            </w:r>
            <w:r>
              <w:rPr>
                <w:rFonts w:hint="default" w:ascii="Times New Roman" w:hAnsi="Times New Roman" w:eastAsia="方正仿宋_GBK" w:cs="Times New Roman"/>
                <w:color w:val="auto"/>
                <w:sz w:val="24"/>
                <w:szCs w:val="24"/>
                <w:highlight w:val="none"/>
                <w:lang w:eastAsia="zh-CN"/>
              </w:rPr>
              <w:t>。</w:t>
            </w:r>
          </w:p>
          <w:p>
            <w:pPr>
              <w:pageBreakBefore w:val="0"/>
              <w:numPr>
                <w:ilvl w:val="0"/>
                <w:numId w:val="4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主管部门及时了解总值班发现的问题，提出改进措施，并落实。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2.2.6.2 规范执行科室值班规定，保障医疗安全。</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临床医技科室24小时排班满足临床工作需要，原则上为三班制，不得24小时排同一人值班。值班表在医院OA上公示。</w:t>
            </w:r>
          </w:p>
          <w:p>
            <w:pPr>
              <w:pageBreakBefore w:val="0"/>
              <w:numPr>
                <w:ilvl w:val="0"/>
                <w:numId w:val="4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无执业资质及非本机构执业人员不得单独值班。</w:t>
            </w:r>
          </w:p>
          <w:p>
            <w:pPr>
              <w:pageBreakBefore w:val="0"/>
              <w:numPr>
                <w:ilvl w:val="0"/>
                <w:numId w:val="4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值班期间所有的诊疗活动必须及时记入病历。</w:t>
            </w:r>
          </w:p>
        </w:tc>
        <w:tc>
          <w:tcPr>
            <w:tcW w:w="1269" w:type="pct"/>
            <w:tcMar>
              <w:top w:w="22" w:type="dxa"/>
              <w:left w:w="22" w:type="dxa"/>
              <w:bottom w:w="22" w:type="dxa"/>
              <w:right w:w="22" w:type="dxa"/>
            </w:tcMar>
            <w:vAlign w:val="center"/>
          </w:tcPr>
          <w:p>
            <w:pPr>
              <w:pageBreakBefore w:val="0"/>
              <w:numPr>
                <w:ilvl w:val="0"/>
                <w:numId w:val="4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抽查内、外科、医技各2个科室排班表，是否符合要求。查看全院排班表公示情况。</w:t>
            </w:r>
          </w:p>
          <w:p>
            <w:pPr>
              <w:pageBreakBefore w:val="0"/>
              <w:numPr>
                <w:ilvl w:val="0"/>
                <w:numId w:val="4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抽查内、外科、医技各2个科室排班表，核查有无此情况。</w:t>
            </w:r>
          </w:p>
          <w:p>
            <w:pPr>
              <w:pageBreakBefore w:val="0"/>
              <w:numPr>
                <w:ilvl w:val="0"/>
                <w:numId w:val="4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抽查在院患者电子病历5份，评价相关病程记录是否符合要求。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主管部门定期督查，对存在问题及时反馈，并督促整改。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708" w:hRule="atLeas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2.2.7交接班内容应当专册记录，并由交班人员和接班人员共同签字确认。四级手术患者手术当日和急危重患者必须床旁交班。</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1814" w:hRule="exact"/>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bookmarkStart w:id="190" w:name="_Hlk72183485"/>
            <w:r>
              <w:rPr>
                <w:rFonts w:hint="default" w:ascii="Times New Roman" w:hAnsi="Times New Roman" w:eastAsia="方正仿宋_GBK" w:cs="Times New Roman"/>
                <w:color w:val="auto"/>
                <w:sz w:val="24"/>
                <w:szCs w:val="24"/>
                <w:highlight w:val="none"/>
              </w:rPr>
              <w:t>2.2.7.1 规范执行交接班制度。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医院有交接班工作的具体要求及流程。</w:t>
            </w:r>
          </w:p>
          <w:p>
            <w:pPr>
              <w:pageBreakBefore w:val="0"/>
              <w:numPr>
                <w:ilvl w:val="0"/>
                <w:numId w:val="4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科室的交接班记录符合相关要求。</w:t>
            </w:r>
          </w:p>
          <w:p>
            <w:pPr>
              <w:pageBreakBefore w:val="0"/>
              <w:numPr>
                <w:ilvl w:val="0"/>
                <w:numId w:val="3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医护人员熟悉交接班相关要求。</w:t>
            </w:r>
          </w:p>
        </w:tc>
        <w:tc>
          <w:tcPr>
            <w:tcW w:w="1269" w:type="pct"/>
            <w:tcMar>
              <w:top w:w="22" w:type="dxa"/>
              <w:left w:w="22" w:type="dxa"/>
              <w:bottom w:w="22" w:type="dxa"/>
              <w:right w:w="22" w:type="dxa"/>
            </w:tcMar>
            <w:vAlign w:val="center"/>
          </w:tcPr>
          <w:p>
            <w:pPr>
              <w:pageBreakBefore w:val="0"/>
              <w:numPr>
                <w:ilvl w:val="0"/>
                <w:numId w:val="4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抽查内、外科、医技各2各科室交班记录是否符合要求。</w:t>
            </w:r>
          </w:p>
          <w:p>
            <w:pPr>
              <w:pageBreakBefore w:val="0"/>
              <w:numPr>
                <w:ilvl w:val="0"/>
                <w:numId w:val="4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随机询问医护人员5名。了解其知晓情况。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主管部门定期督查、反馈，落实问题整改。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bookmarkEnd w:id="190"/>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2.2.8建立疑难病例讨论制度。医院和科室应当确定疑难病例的范围，明确参与讨论人员范围、组成和流程要求。讨论内容专册记录，讨论结论记入病历。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1790" w:hRule="exact"/>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2.2.8.1规范执行疑难病例讨论制度。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医院有疑难病例讨论相关制度，并落实。</w:t>
            </w:r>
          </w:p>
          <w:p>
            <w:pPr>
              <w:pageBreakBefore w:val="0"/>
              <w:numPr>
                <w:ilvl w:val="0"/>
                <w:numId w:val="4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有疑难病例讨论记录本，并规范记录。</w:t>
            </w:r>
          </w:p>
          <w:p>
            <w:pPr>
              <w:pageBreakBefore w:val="0"/>
              <w:numPr>
                <w:ilvl w:val="0"/>
                <w:numId w:val="4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讨论结论及时记入病历。</w:t>
            </w:r>
          </w:p>
          <w:p>
            <w:pPr>
              <w:pageBreakBefore w:val="0"/>
              <w:numPr>
                <w:ilvl w:val="0"/>
                <w:numId w:val="4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各级医师熟悉制度的相关内容。</w:t>
            </w:r>
          </w:p>
        </w:tc>
        <w:tc>
          <w:tcPr>
            <w:tcW w:w="1269" w:type="pct"/>
            <w:tcMar>
              <w:top w:w="22" w:type="dxa"/>
              <w:left w:w="22" w:type="dxa"/>
              <w:bottom w:w="22" w:type="dxa"/>
              <w:right w:w="22" w:type="dxa"/>
            </w:tcMar>
            <w:vAlign w:val="center"/>
          </w:tcPr>
          <w:p>
            <w:pPr>
              <w:pageBreakBefore w:val="0"/>
              <w:numPr>
                <w:ilvl w:val="0"/>
                <w:numId w:val="4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 xml:space="preserve">2.3. </w:t>
            </w:r>
            <w:r>
              <w:rPr>
                <w:rFonts w:hint="default" w:ascii="Times New Roman" w:hAnsi="Times New Roman" w:eastAsia="方正仿宋_GBK" w:cs="Times New Roman"/>
                <w:color w:val="auto"/>
                <w:sz w:val="24"/>
                <w:szCs w:val="24"/>
                <w:highlight w:val="none"/>
              </w:rPr>
              <w:t>抽查内、外科各2个科室，查阅疑难病例讨论记录本及相关病历，评价记录是否规范。</w:t>
            </w:r>
          </w:p>
          <w:p>
            <w:pPr>
              <w:pageBreakBefore w:val="0"/>
              <w:numPr>
                <w:ilvl w:val="0"/>
                <w:numId w:val="0"/>
              </w:numPr>
              <w:kinsoku/>
              <w:wordWrap/>
              <w:overflowPunct/>
              <w:topLinePunct w:val="0"/>
              <w:bidi w:val="0"/>
              <w:snapToGrid/>
              <w:spacing w:line="300" w:lineRule="exact"/>
              <w:ind w:left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 xml:space="preserve">4. </w:t>
            </w:r>
            <w:r>
              <w:rPr>
                <w:rFonts w:hint="default" w:ascii="Times New Roman" w:hAnsi="Times New Roman" w:eastAsia="方正仿宋_GBK" w:cs="Times New Roman"/>
                <w:color w:val="auto"/>
                <w:sz w:val="24"/>
                <w:szCs w:val="24"/>
                <w:highlight w:val="none"/>
              </w:rPr>
              <w:t>随机询问被抽查科室各2名医师，了解其知晓情况。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sz w:val="24"/>
              </w:rPr>
              <mc:AlternateContent>
                <mc:Choice Requires="wps">
                  <w:drawing>
                    <wp:anchor distT="0" distB="0" distL="114300" distR="114300" simplePos="0" relativeHeight="251685888" behindDoc="0" locked="0" layoutInCell="1" allowOverlap="1">
                      <wp:simplePos x="0" y="0"/>
                      <wp:positionH relativeFrom="column">
                        <wp:posOffset>-1051560</wp:posOffset>
                      </wp:positionH>
                      <wp:positionV relativeFrom="paragraph">
                        <wp:posOffset>48260</wp:posOffset>
                      </wp:positionV>
                      <wp:extent cx="1024255" cy="1130935"/>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024255" cy="11309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00" w:lineRule="exact"/>
                                    <w:textAlignment w:val="auto"/>
                                  </w:pPr>
                                  <w:r>
                                    <w:rPr>
                                      <w:rFonts w:hint="default" w:ascii="Times New Roman" w:hAnsi="Times New Roman" w:eastAsia="方正仿宋_GBK" w:cs="Times New Roman"/>
                                      <w:color w:val="auto"/>
                                      <w:sz w:val="24"/>
                                      <w:szCs w:val="24"/>
                                      <w:highlight w:val="none"/>
                                    </w:rPr>
                                    <w:t>2.2.8.1规范执行疑难病例讨论制度。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2.8pt;margin-top:3.8pt;height:89.05pt;width:80.65pt;z-index:251685888;mso-width-relative:page;mso-height-relative:page;" filled="f" stroked="f" coordsize="21600,21600" o:gfxdata="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&#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icvDt2gAAAAkBAAAPAAAAAAAAAAEAIAAAACIAAABk&#10;cnMvZG93bnJldi54bWxQSwECFAAUAAAACACHTuJAQWQP1D0CAABpBAAADgAAAAAAAAABACAAAAAp&#10;AQAAZHJzL2Uyb0RvYy54bWxQSwUGAAAAAAYABgBZAQAA2A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00" w:lineRule="exact"/>
                              <w:textAlignment w:val="auto"/>
                            </w:pPr>
                            <w:r>
                              <w:rPr>
                                <w:rFonts w:hint="default" w:ascii="Times New Roman" w:hAnsi="Times New Roman" w:eastAsia="方正仿宋_GBK" w:cs="Times New Roman"/>
                                <w:color w:val="auto"/>
                                <w:sz w:val="24"/>
                                <w:szCs w:val="24"/>
                                <w:highlight w:val="none"/>
                              </w:rPr>
                              <w:t>2.2.8.1规范执行疑难病例讨论制度。</w:t>
                            </w:r>
                          </w:p>
                        </w:txbxContent>
                      </v:textbox>
                    </v:shape>
                  </w:pict>
                </mc:Fallback>
              </mc:AlternateContent>
            </w: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主管部门定期督查、反馈，落实问题整改。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2.2.9建立急危重患者抢救制度。医院和科室应当确定急危重患者的范围，医院建立抢救资源配置与紧急调配机制和绿色通道机制。抢救完成后6小时内应当将抢救记录记入病历。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2.2.9.1 规范执行急危重患者抢救制度。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医院有急危重患者抢救相关制度，并落实。</w:t>
            </w:r>
          </w:p>
          <w:p>
            <w:pPr>
              <w:pageBreakBefore w:val="0"/>
              <w:numPr>
                <w:ilvl w:val="0"/>
                <w:numId w:val="4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有明确的抢救资源配置及紧急调配流程。</w:t>
            </w:r>
          </w:p>
          <w:p>
            <w:pPr>
              <w:pageBreakBefore w:val="0"/>
              <w:numPr>
                <w:ilvl w:val="0"/>
                <w:numId w:val="4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有抢救危重患者的绿色通道。</w:t>
            </w:r>
          </w:p>
          <w:p>
            <w:pPr>
              <w:pageBreakBefore w:val="0"/>
              <w:numPr>
                <w:ilvl w:val="0"/>
                <w:numId w:val="4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抢救完成后 6 小时内将抢救记录记入病历。</w:t>
            </w:r>
          </w:p>
        </w:tc>
        <w:tc>
          <w:tcPr>
            <w:tcW w:w="1269" w:type="pct"/>
            <w:tcMar>
              <w:top w:w="22" w:type="dxa"/>
              <w:left w:w="22" w:type="dxa"/>
              <w:bottom w:w="22" w:type="dxa"/>
              <w:right w:w="22" w:type="dxa"/>
            </w:tcMar>
            <w:vAlign w:val="center"/>
          </w:tcPr>
          <w:p>
            <w:pPr>
              <w:pageBreakBefore w:val="0"/>
              <w:numPr>
                <w:ilvl w:val="0"/>
                <w:numId w:val="4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2.3.现场查看急诊小区，并现场模拟急危重患者救治，评价流程是否符合要求。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调阅在院抢救患者电子病历3份，查阅记录是否符合要求。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主管部门定期督查、反馈，落实问题整改。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2.2.10建立术前讨论制度。医院应当明确不同术前讨论形式的参加人员范围和流程。科室应当明确本科室开展的各级手术术前讨论的范围并经医疗管理部门审定。术前讨论的结论记入病历。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2774" w:hRule="exact"/>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2.2.10.1 规范执行术前讨论制度。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医院有术前讨论的</w:t>
            </w:r>
            <w:r>
              <w:rPr>
                <w:rFonts w:hint="default" w:ascii="Times New Roman" w:hAnsi="Times New Roman" w:eastAsia="方正仿宋_GBK" w:cs="Times New Roman"/>
                <w:strike w:val="0"/>
                <w:dstrike w:val="0"/>
                <w:color w:val="auto"/>
                <w:sz w:val="24"/>
                <w:szCs w:val="24"/>
                <w:highlight w:val="none"/>
                <w:lang w:val="en-US" w:eastAsia="zh-CN"/>
              </w:rPr>
              <w:t>相关管理制度</w:t>
            </w:r>
            <w:r>
              <w:rPr>
                <w:rFonts w:hint="default" w:ascii="Times New Roman" w:hAnsi="Times New Roman" w:eastAsia="方正仿宋_GBK" w:cs="Times New Roman"/>
                <w:color w:val="auto"/>
                <w:sz w:val="24"/>
                <w:szCs w:val="24"/>
                <w:highlight w:val="none"/>
              </w:rPr>
              <w:t>及流程,并执行。</w:t>
            </w:r>
          </w:p>
          <w:p>
            <w:pPr>
              <w:pageBreakBefore w:val="0"/>
              <w:numPr>
                <w:ilvl w:val="0"/>
                <w:numId w:val="4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手术科室有本科室各级手术术前讨论的范围并经医务部门审定。</w:t>
            </w:r>
          </w:p>
          <w:p>
            <w:pPr>
              <w:pageBreakBefore w:val="0"/>
              <w:numPr>
                <w:ilvl w:val="0"/>
                <w:numId w:val="4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术前讨论结论及时记入病历。</w:t>
            </w:r>
          </w:p>
          <w:p>
            <w:pPr>
              <w:pageBreakBefore w:val="0"/>
              <w:numPr>
                <w:ilvl w:val="0"/>
                <w:numId w:val="4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各级医师熟悉术前讨论相关要求。</w:t>
            </w:r>
          </w:p>
        </w:tc>
        <w:tc>
          <w:tcPr>
            <w:tcW w:w="1269" w:type="pct"/>
            <w:tcMar>
              <w:top w:w="22" w:type="dxa"/>
              <w:left w:w="22" w:type="dxa"/>
              <w:bottom w:w="22" w:type="dxa"/>
              <w:right w:w="22" w:type="dxa"/>
            </w:tcMar>
            <w:vAlign w:val="center"/>
          </w:tcPr>
          <w:p>
            <w:pPr>
              <w:pageBreakBefore w:val="0"/>
              <w:numPr>
                <w:ilvl w:val="0"/>
                <w:numId w:val="5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抽查2个手术科室相关资料。</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rPr>
              <w:t>抽查在院手术患者病历5份，评价该制度执行情况。</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rPr>
              <w:t>随机询问被抽查科室各2名医师，了解其知晓情况。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主管部门定期督查、反馈，落实问题整改。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2.2.11建立死亡病例讨论制度。医院应当监测全院死亡病例并及时进行汇总分析，提出持续改进意见。死亡病例讨论范围、参加人员、时限和记录应当符合规定。</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2.2.11.1 规范执行死亡病例讨论制度。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5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医院有死亡病例讨论相关制度，并落实。</w:t>
            </w:r>
          </w:p>
          <w:p>
            <w:pPr>
              <w:pageBreakBefore w:val="0"/>
              <w:numPr>
                <w:ilvl w:val="0"/>
                <w:numId w:val="5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死亡病例讨论范围、参加人员、时限及记录符合规定要求。</w:t>
            </w:r>
          </w:p>
          <w:p>
            <w:pPr>
              <w:pageBreakBefore w:val="0"/>
              <w:numPr>
                <w:ilvl w:val="0"/>
                <w:numId w:val="5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各级医师熟悉死亡病例讨论相关要求。</w:t>
            </w:r>
          </w:p>
        </w:tc>
        <w:tc>
          <w:tcPr>
            <w:tcW w:w="1269" w:type="pct"/>
            <w:tcMar>
              <w:top w:w="22" w:type="dxa"/>
              <w:left w:w="22" w:type="dxa"/>
              <w:bottom w:w="22" w:type="dxa"/>
              <w:right w:w="22" w:type="dxa"/>
            </w:tcMar>
            <w:vAlign w:val="center"/>
          </w:tcPr>
          <w:p>
            <w:pPr>
              <w:pageBreakBefore w:val="0"/>
              <w:numPr>
                <w:ilvl w:val="0"/>
                <w:numId w:val="5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5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抽查2个科室死亡病例讨论记录本，评价是否符合规定要求。</w:t>
            </w:r>
          </w:p>
          <w:p>
            <w:pPr>
              <w:pageBreakBefore w:val="0"/>
              <w:numPr>
                <w:ilvl w:val="0"/>
                <w:numId w:val="5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 xml:space="preserve"> </w:t>
            </w:r>
            <w:r>
              <w:rPr>
                <w:rFonts w:hint="default" w:ascii="Times New Roman" w:hAnsi="Times New Roman" w:eastAsia="方正仿宋_GBK" w:cs="Times New Roman"/>
                <w:color w:val="auto"/>
                <w:sz w:val="24"/>
                <w:szCs w:val="24"/>
                <w:highlight w:val="none"/>
              </w:rPr>
              <w:t>随机询问被抽查科室各2名医师，了解其知晓情况。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主管部门监测全院死亡病例并及时进行汇总分析，提出改进措施，并督促落实。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2.2.12 建立查对制度。医院查对制度应当涵盖患者身份识别、临床诊疗行为、设备设施运行和医疗环境安全等方面。医疗器械、设施、药品、标本等查对要求按照国家有关规定和标准执行。</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restart"/>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2.2.12.1 对就诊患者身份施行唯一标识（医保卡、新型农村合作医疗卡编号、身份证号码、病历号等）管理。使用</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腕带</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作为识别患者身份的标识。</w:t>
            </w:r>
          </w:p>
        </w:tc>
        <w:tc>
          <w:tcPr>
            <w:tcW w:w="2802" w:type="pc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widowControl/>
              <w:numPr>
                <w:ilvl w:val="0"/>
                <w:numId w:val="5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有门诊及住院患者的身份标识制度。</w:t>
            </w:r>
          </w:p>
          <w:p>
            <w:pPr>
              <w:pageBreakBefore w:val="0"/>
              <w:widowControl/>
              <w:numPr>
                <w:ilvl w:val="0"/>
                <w:numId w:val="5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使用</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腕带</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作为识别患者身份的标识。对传染病、药物过敏等特殊患者有标识（腕带与床头卡）,对门诊及住院患者施行唯一标识管理。</w:t>
            </w:r>
          </w:p>
          <w:p>
            <w:pPr>
              <w:pageBreakBefore w:val="0"/>
              <w:widowControl/>
              <w:numPr>
                <w:ilvl w:val="0"/>
                <w:numId w:val="5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有关键流程</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急诊、病房、手术室、ICU</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的患者识别措施，并落实。</w:t>
            </w:r>
          </w:p>
        </w:tc>
        <w:tc>
          <w:tcPr>
            <w:tcW w:w="1269" w:type="pct"/>
            <w:vAlign w:val="center"/>
          </w:tcPr>
          <w:p>
            <w:pPr>
              <w:pageBreakBefore w:val="0"/>
              <w:widowControl/>
              <w:numPr>
                <w:ilvl w:val="0"/>
                <w:numId w:val="5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widowControl/>
              <w:numPr>
                <w:ilvl w:val="0"/>
                <w:numId w:val="5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现场查看患者身份标识是否符合规范。</w:t>
            </w:r>
          </w:p>
          <w:p>
            <w:pPr>
              <w:pageBreakBefore w:val="0"/>
              <w:widowControl/>
              <w:numPr>
                <w:ilvl w:val="0"/>
                <w:numId w:val="5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查阅相关资料，现场查看落实情况。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医务、护理</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对患者身份标识制度落实情况有督查、反馈，有整改措施并督促落实。</w:t>
            </w:r>
          </w:p>
        </w:tc>
        <w:tc>
          <w:tcPr>
            <w:tcW w:w="1269" w:type="pct"/>
            <w:vAlign w:val="center"/>
          </w:tcPr>
          <w:p>
            <w:pPr>
              <w:pageBreakBefore w:val="0"/>
              <w:widowControl/>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持续改进有成效，未发生与身份识别有关的不良事件。</w:t>
            </w:r>
          </w:p>
        </w:tc>
        <w:tc>
          <w:tcPr>
            <w:tcW w:w="1269" w:type="pct"/>
            <w:vAlign w:val="center"/>
          </w:tcPr>
          <w:p>
            <w:pPr>
              <w:pageBreakBefore w:val="0"/>
              <w:widowControl/>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2.2.12.2 规范执行查对制度。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5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有标本采集、给药、输血或血制品、发放特殊饮食、诊疗活动时患者身份确认的查对流程。</w:t>
            </w:r>
          </w:p>
          <w:p>
            <w:pPr>
              <w:pageBreakBefore w:val="0"/>
              <w:numPr>
                <w:ilvl w:val="0"/>
                <w:numId w:val="5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医护人员熟悉上述制度和流程，并</w:t>
            </w:r>
            <w:r>
              <w:rPr>
                <w:rFonts w:hint="default" w:ascii="Times New Roman" w:hAnsi="Times New Roman" w:eastAsia="方正仿宋_GBK" w:cs="Times New Roman"/>
                <w:color w:val="auto"/>
                <w:sz w:val="24"/>
                <w:szCs w:val="24"/>
                <w:highlight w:val="none"/>
                <w:lang w:val="en-US" w:eastAsia="zh-CN"/>
              </w:rPr>
              <w:t>执行</w:t>
            </w:r>
            <w:r>
              <w:rPr>
                <w:rFonts w:hint="default" w:ascii="Times New Roman" w:hAnsi="Times New Roman" w:eastAsia="方正仿宋_GBK" w:cs="Times New Roman"/>
                <w:color w:val="auto"/>
                <w:sz w:val="24"/>
                <w:szCs w:val="24"/>
                <w:highlight w:val="none"/>
              </w:rPr>
              <w:t>。</w:t>
            </w:r>
          </w:p>
        </w:tc>
        <w:tc>
          <w:tcPr>
            <w:tcW w:w="1269" w:type="pct"/>
            <w:tcMar>
              <w:top w:w="22" w:type="dxa"/>
              <w:left w:w="22" w:type="dxa"/>
              <w:bottom w:w="22" w:type="dxa"/>
              <w:right w:w="22" w:type="dxa"/>
            </w:tcMar>
            <w:vAlign w:val="center"/>
          </w:tcPr>
          <w:p>
            <w:pPr>
              <w:pageBreakBefore w:val="0"/>
              <w:numPr>
                <w:ilvl w:val="0"/>
                <w:numId w:val="5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5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随机询问5名医护人员，了解其知晓情况，知晓率100%。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主管部门（医务、护理）定期督查、反馈，落实问题整改。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持续改进有成效，未发生与查对有关的不良事件。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96" w:hRule="atLeast"/>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2.2.13建立手术安全核查制度。建立手术安全核查制度和标准化流程，将产房分娩核查纳入核查内容。手术安全核查过程和内容按国家有关规定执行。手术安全核查表纳入病历。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2.2.13.1规范执行手术安全核查制度。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5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医院有手术安全核查制度，制度涵盖产房分娩核查。</w:t>
            </w:r>
          </w:p>
          <w:p>
            <w:pPr>
              <w:pageBreakBefore w:val="0"/>
              <w:numPr>
                <w:ilvl w:val="0"/>
                <w:numId w:val="5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核查流程符合要求，并规范记录。</w:t>
            </w:r>
          </w:p>
          <w:p>
            <w:pPr>
              <w:pageBreakBefore w:val="0"/>
              <w:numPr>
                <w:ilvl w:val="0"/>
                <w:numId w:val="5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医护人员熟悉手术安全核查制度的相关要求。</w:t>
            </w:r>
          </w:p>
        </w:tc>
        <w:tc>
          <w:tcPr>
            <w:tcW w:w="1269" w:type="pct"/>
            <w:tcMar>
              <w:top w:w="22" w:type="dxa"/>
              <w:left w:w="22" w:type="dxa"/>
              <w:bottom w:w="22" w:type="dxa"/>
              <w:right w:w="22" w:type="dxa"/>
            </w:tcMar>
            <w:vAlign w:val="center"/>
          </w:tcPr>
          <w:p>
            <w:pPr>
              <w:pageBreakBefore w:val="0"/>
              <w:numPr>
                <w:ilvl w:val="0"/>
                <w:numId w:val="5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5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strike w:val="0"/>
                <w:dstrike w:val="0"/>
                <w:color w:val="auto"/>
                <w:sz w:val="24"/>
                <w:szCs w:val="24"/>
                <w:highlight w:val="none"/>
              </w:rPr>
              <w:t>现场查看</w:t>
            </w:r>
            <w:r>
              <w:rPr>
                <w:rFonts w:hint="default" w:ascii="Times New Roman" w:hAnsi="Times New Roman" w:eastAsia="方正仿宋_GBK" w:cs="Times New Roman"/>
                <w:color w:val="auto"/>
                <w:sz w:val="24"/>
                <w:szCs w:val="24"/>
                <w:highlight w:val="none"/>
                <w:lang w:val="en-US" w:eastAsia="zh-CN"/>
              </w:rPr>
              <w:t>手术室、分娩室</w:t>
            </w:r>
            <w:r>
              <w:rPr>
                <w:rFonts w:hint="default" w:ascii="Times New Roman" w:hAnsi="Times New Roman" w:eastAsia="方正仿宋_GBK" w:cs="Times New Roman"/>
                <w:strike w:val="0"/>
                <w:dstrike w:val="0"/>
                <w:color w:val="auto"/>
                <w:sz w:val="24"/>
                <w:szCs w:val="24"/>
                <w:highlight w:val="none"/>
              </w:rPr>
              <w:t>并</w:t>
            </w:r>
            <w:r>
              <w:rPr>
                <w:rFonts w:hint="default" w:ascii="Times New Roman" w:hAnsi="Times New Roman" w:eastAsia="方正仿宋_GBK" w:cs="Times New Roman"/>
                <w:color w:val="auto"/>
                <w:sz w:val="24"/>
                <w:szCs w:val="24"/>
                <w:highlight w:val="none"/>
              </w:rPr>
              <w:t>调阅</w:t>
            </w:r>
            <w:r>
              <w:rPr>
                <w:rFonts w:hint="default" w:ascii="Times New Roman" w:hAnsi="Times New Roman" w:eastAsia="方正仿宋_GBK" w:cs="Times New Roman"/>
                <w:color w:val="auto"/>
                <w:sz w:val="24"/>
                <w:szCs w:val="24"/>
                <w:highlight w:val="none"/>
                <w:lang w:val="en-US" w:eastAsia="zh-CN"/>
              </w:rPr>
              <w:t>已分娩产妇及手术患者</w:t>
            </w:r>
            <w:r>
              <w:rPr>
                <w:rFonts w:hint="default" w:ascii="Times New Roman" w:hAnsi="Times New Roman" w:eastAsia="方正仿宋_GBK" w:cs="Times New Roman"/>
                <w:color w:val="auto"/>
                <w:sz w:val="24"/>
                <w:szCs w:val="24"/>
                <w:highlight w:val="none"/>
              </w:rPr>
              <w:t>电子病历</w:t>
            </w:r>
            <w:r>
              <w:rPr>
                <w:rFonts w:hint="default" w:ascii="Times New Roman" w:hAnsi="Times New Roman" w:eastAsia="方正仿宋_GBK" w:cs="Times New Roman"/>
                <w:color w:val="auto"/>
                <w:sz w:val="24"/>
                <w:szCs w:val="24"/>
                <w:highlight w:val="none"/>
                <w:lang w:val="en-US" w:eastAsia="zh-CN"/>
              </w:rPr>
              <w:t>6</w:t>
            </w:r>
            <w:r>
              <w:rPr>
                <w:rFonts w:hint="default" w:ascii="Times New Roman" w:hAnsi="Times New Roman" w:eastAsia="方正仿宋_GBK" w:cs="Times New Roman"/>
                <w:color w:val="auto"/>
                <w:sz w:val="24"/>
                <w:szCs w:val="24"/>
                <w:highlight w:val="none"/>
              </w:rPr>
              <w:t>份，评价是否规范。</w:t>
            </w:r>
          </w:p>
          <w:p>
            <w:pPr>
              <w:pageBreakBefore w:val="0"/>
              <w:numPr>
                <w:ilvl w:val="0"/>
                <w:numId w:val="5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随机询问5位医护人员，了解其对制度的知晓情况，知晓率100%。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5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主管部门定期督查、反馈，落实问题整改。</w:t>
            </w:r>
          </w:p>
          <w:p>
            <w:pPr>
              <w:pageBreakBefore w:val="0"/>
              <w:numPr>
                <w:ilvl w:val="0"/>
                <w:numId w:val="5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未发生与手术安全核查有关的不良事件。</w:t>
            </w:r>
          </w:p>
        </w:tc>
        <w:tc>
          <w:tcPr>
            <w:tcW w:w="1269" w:type="pct"/>
            <w:tcMar>
              <w:top w:w="22" w:type="dxa"/>
              <w:left w:w="22" w:type="dxa"/>
              <w:bottom w:w="22" w:type="dxa"/>
              <w:right w:w="22" w:type="dxa"/>
            </w:tcMar>
            <w:vAlign w:val="center"/>
          </w:tcPr>
          <w:p>
            <w:pPr>
              <w:pageBreakBefore w:val="0"/>
              <w:numPr>
                <w:ilvl w:val="0"/>
                <w:numId w:val="6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6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1020" w:hRule="exac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1"/>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手术安全核查执行率100%。</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2.2.14建立手术分级管理制度。建立手术分级管理工作制度和手术分级管理目录。建立手术分级授权管理机制和手术医师技术档案。医院应当对手术医师能力进行定期评估，根据评估结果对手术权限进行动态调整。</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2.2.14.1 规范执行手术分级管理制度。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6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医院有手术医师资格许可授权组织、制度、流程及目录。</w:t>
            </w:r>
          </w:p>
          <w:p>
            <w:pPr>
              <w:pageBreakBefore w:val="0"/>
              <w:numPr>
                <w:ilvl w:val="0"/>
                <w:numId w:val="6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有资格初评、复评、取消及级别变更的标准。</w:t>
            </w:r>
          </w:p>
          <w:p>
            <w:pPr>
              <w:pageBreakBefore w:val="0"/>
              <w:numPr>
                <w:ilvl w:val="0"/>
                <w:numId w:val="6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有相关医师档案与授权动态管理的数据资料。</w:t>
            </w:r>
          </w:p>
        </w:tc>
        <w:tc>
          <w:tcPr>
            <w:tcW w:w="1269" w:type="pct"/>
            <w:tcMar>
              <w:top w:w="22" w:type="dxa"/>
              <w:left w:w="22" w:type="dxa"/>
              <w:bottom w:w="22" w:type="dxa"/>
              <w:right w:w="22" w:type="dxa"/>
            </w:tcMar>
            <w:vAlign w:val="center"/>
          </w:tcPr>
          <w:p>
            <w:pPr>
              <w:pageBreakBefore w:val="0"/>
              <w:numPr>
                <w:ilvl w:val="0"/>
                <w:numId w:val="6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6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6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6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科室对手术分级管理有定期自查。</w:t>
            </w:r>
          </w:p>
          <w:p>
            <w:pPr>
              <w:pageBreakBefore w:val="0"/>
              <w:numPr>
                <w:ilvl w:val="0"/>
                <w:numId w:val="6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主管部门对手术分级管理实施全程监管。</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抽查2个外科科室，查阅相关资料。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1119" w:hRule="exac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持续改进有成效，执行率100%。</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eastAsia"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color w:val="auto"/>
                <w:sz w:val="24"/>
                <w:szCs w:val="24"/>
                <w:highlight w:val="none"/>
              </w:rPr>
              <w:t>抽查在院手术患者电子病历，核实执行情况</w:t>
            </w:r>
            <w:r>
              <w:rPr>
                <w:rFonts w:hint="eastAsia" w:cs="Times New Roman"/>
                <w:color w:val="auto"/>
                <w:sz w:val="24"/>
                <w:szCs w:val="24"/>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2.2.15建立新技术和新项目准入制度。建立本院医疗技术临床应用目录并定期更新。建立新技术和新项目审批流程，所有新技术和新项目必须通过本院医学伦理委员会和医疗技术临床应用管理委员会审核同意后开展临床应用。</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2.2.15.1 有新技术和新项目准入制度，并执行。新技术和新项目审批流程符合规范要求。</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widowControl/>
              <w:numPr>
                <w:ilvl w:val="0"/>
                <w:numId w:val="6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医院有临床新技术、新项目准入管理制度，包括立项、论证、风险评估、审批、不良事件报告、追踪、评价、转常规技术等管理程序。</w:t>
            </w:r>
          </w:p>
          <w:p>
            <w:pPr>
              <w:pageBreakBefore w:val="0"/>
              <w:widowControl/>
              <w:numPr>
                <w:ilvl w:val="0"/>
                <w:numId w:val="6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医院有新技术、新项目目录和管理档案并定期更新。</w:t>
            </w:r>
          </w:p>
          <w:p>
            <w:pPr>
              <w:pageBreakBefore w:val="0"/>
              <w:widowControl/>
              <w:numPr>
                <w:ilvl w:val="0"/>
                <w:numId w:val="6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新技术、新项目须通过医院医疗技术临床应用管理委员会审核同意，需伦理审查的技术及项目必须经医院医学伦理委员会通过后开展。</w:t>
            </w:r>
          </w:p>
        </w:tc>
        <w:tc>
          <w:tcPr>
            <w:tcW w:w="1269" w:type="pct"/>
            <w:tcMar>
              <w:top w:w="22" w:type="dxa"/>
              <w:left w:w="22" w:type="dxa"/>
              <w:bottom w:w="22" w:type="dxa"/>
              <w:right w:w="22" w:type="dxa"/>
            </w:tcMar>
            <w:vAlign w:val="center"/>
          </w:tcPr>
          <w:p>
            <w:pPr>
              <w:pageBreakBefore w:val="0"/>
              <w:numPr>
                <w:ilvl w:val="0"/>
                <w:numId w:val="6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6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6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抽查评审年度内开展的新技术（项目）5项，核实是否符合要求。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kern w:val="0"/>
                <w:sz w:val="24"/>
                <w:szCs w:val="24"/>
                <w:highlight w:val="none"/>
              </w:rPr>
              <w:t xml:space="preserve">1. </w:t>
            </w:r>
            <w:r>
              <w:rPr>
                <w:rFonts w:hint="default" w:ascii="Times New Roman" w:hAnsi="Times New Roman" w:eastAsia="方正仿宋_GBK" w:cs="Times New Roman"/>
                <w:color w:val="auto"/>
                <w:sz w:val="24"/>
                <w:szCs w:val="24"/>
                <w:highlight w:val="none"/>
              </w:rPr>
              <w:t>科室对本专业开展的新技术和新项目有完整的档案资料。</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主管部门有监管，对存在的问题有反馈、并督促整改。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2.2.16明确开展新技术和新项目临床应用的专业人员范围、论证可能存在的安全隐患或技术风险并制定相应预案。建立新技术和新项目临床应用动态评估制度，对新技术和新项目实施全程追踪管理、质量控制和动态评估。</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2.2.16.1 有开展新技术和新项目临床应用的专业人员范围、论证可能存在的安全隐患或技术风险并制定相应预案。</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6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医院有开展新技术和新项目临床应用的专业人员范围和资质的相关规定，医院医疗技术临床应用管理委员会对其技术能力进行评估，并有资质授权。</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kern w:val="0"/>
                <w:sz w:val="24"/>
                <w:szCs w:val="24"/>
                <w:highlight w:val="none"/>
              </w:rPr>
              <w:t>2.</w:t>
            </w:r>
            <w:r>
              <w:rPr>
                <w:rFonts w:hint="default" w:ascii="Times New Roman" w:hAnsi="Times New Roman" w:eastAsia="方正仿宋_GBK" w:cs="Times New Roman"/>
                <w:color w:val="auto"/>
                <w:sz w:val="24"/>
                <w:szCs w:val="24"/>
                <w:highlight w:val="none"/>
              </w:rPr>
              <w:t>科室针对安全隐患或技术风险有制定相应预案并落实。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抽查内、外科各2个科室，查阅相关资料。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主管部门有监管，总结分析、反馈，并检查科室落实整改情况。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pacing w:val="-6"/>
                <w:sz w:val="24"/>
                <w:szCs w:val="24"/>
                <w:highlight w:val="none"/>
              </w:rPr>
              <w:t>持续改进有成效，管理规范，未发生相关不良事件。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2.2.16.2 有新技术和新项目临床应用动态评估制度，对新技术和新项目实施全程追踪管理、质量控制和动态评估。</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6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医院有新技术和新项目临床应用动态评估制度。监管内容包括诊疗病例数、适应证掌握情况、临床效果、并发症等内容；有需要及时报告管理部门及中止开展的情形管理。</w:t>
            </w:r>
          </w:p>
          <w:p>
            <w:pPr>
              <w:pageBreakBefore w:val="0"/>
              <w:numPr>
                <w:ilvl w:val="0"/>
                <w:numId w:val="6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首次评估应在新技术和新项目开始使用 3 个月内进行，根据新技术和新项目特点和开展例数等情况,每 3 个月至半年评估一次，转为常规技术前，至少有两次以上评估。</w:t>
            </w:r>
          </w:p>
        </w:tc>
        <w:tc>
          <w:tcPr>
            <w:tcW w:w="1269" w:type="pct"/>
            <w:tcMar>
              <w:top w:w="22" w:type="dxa"/>
              <w:left w:w="22" w:type="dxa"/>
              <w:bottom w:w="22" w:type="dxa"/>
              <w:right w:w="22" w:type="dxa"/>
            </w:tcMar>
            <w:vAlign w:val="center"/>
          </w:tcPr>
          <w:p>
            <w:pPr>
              <w:pageBreakBefore w:val="0"/>
              <w:numPr>
                <w:ilvl w:val="0"/>
                <w:numId w:val="6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6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抽查评审年度内开展的新技术（项目）5项，核实是否符合要求。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6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科室对新技术和新项目的开展情况有自查、分析，对存在问题有整改，并有完整记录。</w:t>
            </w:r>
          </w:p>
          <w:p>
            <w:pPr>
              <w:pageBreakBefore w:val="0"/>
              <w:numPr>
                <w:ilvl w:val="0"/>
                <w:numId w:val="6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主管部门有监管，定期总结分析、反馈，并检查科室落实整改情况。</w:t>
            </w:r>
          </w:p>
        </w:tc>
        <w:tc>
          <w:tcPr>
            <w:tcW w:w="1269" w:type="pct"/>
            <w:tcMar>
              <w:top w:w="22" w:type="dxa"/>
              <w:left w:w="22" w:type="dxa"/>
              <w:bottom w:w="22" w:type="dxa"/>
              <w:right w:w="22" w:type="dxa"/>
            </w:tcMar>
            <w:vAlign w:val="center"/>
          </w:tcPr>
          <w:p>
            <w:pPr>
              <w:pageBreakBefore w:val="0"/>
              <w:numPr>
                <w:ilvl w:val="0"/>
                <w:numId w:val="7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抽查内、外科各2个科室，查阅相关资料。</w:t>
            </w:r>
          </w:p>
          <w:p>
            <w:pPr>
              <w:pageBreakBefore w:val="0"/>
              <w:numPr>
                <w:ilvl w:val="0"/>
                <w:numId w:val="7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持续改进有成效，管理规范，有数据或案例体现成效。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2.2.17建立危急值报告制度。制定可能危及患者生命的各项检查、检验结果危急值清单并定期调整。分别建立住院和门急诊患者危急值报告具体管理流程和记录规范，确保危急值信息传递各环节无缝对接和关键要素可追溯。临床危急值信息专册登记。</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2.2.17.1 根据医院实际情况确定</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危急值</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项目，建立</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危急值</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管理制度。</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widowControl/>
              <w:numPr>
                <w:ilvl w:val="0"/>
                <w:numId w:val="7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危急值</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管理制度，涵盖外送检查项目存在危急值项目的报告流程，确保临床科室或患方能够及时接收危急值。</w:t>
            </w:r>
          </w:p>
          <w:p>
            <w:pPr>
              <w:pageBreakBefore w:val="0"/>
              <w:widowControl/>
              <w:numPr>
                <w:ilvl w:val="0"/>
                <w:numId w:val="7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有危急值清单（含检验、病理、医学影像、电生理检查、内镜检查、血药浓度监测及POCT项目等）。</w:t>
            </w:r>
          </w:p>
          <w:p>
            <w:pPr>
              <w:pageBreakBefore w:val="0"/>
              <w:widowControl/>
              <w:numPr>
                <w:ilvl w:val="0"/>
                <w:numId w:val="7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医院有统一规范的危急值信息</w:t>
            </w:r>
            <w:r>
              <w:rPr>
                <w:rFonts w:hint="default" w:ascii="Times New Roman" w:hAnsi="Times New Roman" w:eastAsia="方正仿宋_GBK" w:cs="Times New Roman"/>
                <w:strike w:val="0"/>
                <w:dstrike w:val="0"/>
                <w:color w:val="auto"/>
                <w:sz w:val="24"/>
                <w:szCs w:val="24"/>
                <w:highlight w:val="none"/>
                <w:lang w:val="en-US" w:eastAsia="zh-CN"/>
              </w:rPr>
              <w:t>记录</w:t>
            </w:r>
            <w:r>
              <w:rPr>
                <w:rFonts w:hint="default" w:ascii="Times New Roman" w:hAnsi="Times New Roman" w:eastAsia="方正仿宋_GBK" w:cs="Times New Roman"/>
                <w:color w:val="auto"/>
                <w:sz w:val="24"/>
                <w:szCs w:val="24"/>
                <w:highlight w:val="none"/>
              </w:rPr>
              <w:t>，确保危急值信息报告全流程的人员、时间、内容等关键要素可追溯。</w:t>
            </w:r>
          </w:p>
        </w:tc>
        <w:tc>
          <w:tcPr>
            <w:tcW w:w="1269" w:type="pct"/>
            <w:tcMar>
              <w:top w:w="22" w:type="dxa"/>
              <w:left w:w="22" w:type="dxa"/>
              <w:bottom w:w="22" w:type="dxa"/>
              <w:right w:w="22" w:type="dxa"/>
            </w:tcMar>
            <w:vAlign w:val="center"/>
          </w:tcPr>
          <w:p>
            <w:pPr>
              <w:pageBreakBefore w:val="0"/>
              <w:numPr>
                <w:ilvl w:val="0"/>
                <w:numId w:val="7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7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7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w:t>
            </w:r>
            <w:r>
              <w:rPr>
                <w:rFonts w:hint="default" w:ascii="Times New Roman" w:hAnsi="Times New Roman" w:eastAsia="方正仿宋_GBK" w:cs="Times New Roman"/>
                <w:color w:val="auto"/>
                <w:sz w:val="24"/>
                <w:szCs w:val="24"/>
                <w:highlight w:val="none"/>
                <w:lang w:val="en-US" w:eastAsia="zh-CN"/>
              </w:rPr>
              <w:t>相关记录</w:t>
            </w:r>
            <w:r>
              <w:rPr>
                <w:rFonts w:hint="default" w:ascii="Times New Roman" w:hAnsi="Times New Roman" w:eastAsia="方正仿宋_GBK" w:cs="Times New Roman"/>
                <w:color w:val="auto"/>
                <w:sz w:val="24"/>
                <w:szCs w:val="24"/>
                <w:highlight w:val="none"/>
              </w:rPr>
              <w:t>，评价是否符合要求。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主管部门定期分析、总结，根据管理需要修订制度及</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危急值</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项目。</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持续改进有成效，制度逐步完善，符合管理需要。</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trHeight w:val="1903" w:hRule="atLeast"/>
          <w:jc w:val="center"/>
        </w:trPr>
        <w:tc>
          <w:tcPr>
            <w:tcW w:w="927" w:type="pct"/>
            <w:vMerge w:val="restart"/>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2.2.17.2 科室规范执行</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危急值</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报告制度与流程。</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7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医技科室相关人员按照危急值报告流程，及时向临床发出危急值报告。</w:t>
            </w:r>
          </w:p>
          <w:p>
            <w:pPr>
              <w:pageBreakBefore w:val="0"/>
              <w:numPr>
                <w:ilvl w:val="0"/>
                <w:numId w:val="7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临床科室医护人员接获危急值报告后应记录患者信息、危急值内容和报告者的信息，及时向经治或值班医师报告，并做好记录。</w:t>
            </w:r>
          </w:p>
          <w:p>
            <w:pPr>
              <w:pageBreakBefore w:val="0"/>
              <w:numPr>
                <w:ilvl w:val="0"/>
                <w:numId w:val="7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经治或值班医师及时处置危急值并记录。</w:t>
            </w:r>
          </w:p>
        </w:tc>
        <w:tc>
          <w:tcPr>
            <w:tcW w:w="1269" w:type="pct"/>
            <w:tcMar>
              <w:top w:w="22" w:type="dxa"/>
              <w:left w:w="22" w:type="dxa"/>
              <w:bottom w:w="22" w:type="dxa"/>
              <w:right w:w="22" w:type="dxa"/>
            </w:tcMar>
            <w:vAlign w:val="center"/>
          </w:tcPr>
          <w:p>
            <w:pPr>
              <w:pageBreakBefore w:val="0"/>
              <w:numPr>
                <w:ilvl w:val="0"/>
                <w:numId w:val="7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抽查2个医技科室危急值报告流程是否符合要求。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 抽查2个临床科室</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危急值</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接收、处置流程是否规范；查阅病历处置记录。</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numPr>
                <w:ilvl w:val="0"/>
                <w:numId w:val="7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科室有定期自查、总结分析与整改。</w:t>
            </w:r>
          </w:p>
          <w:p>
            <w:pPr>
              <w:pageBreakBefore w:val="0"/>
              <w:numPr>
                <w:ilvl w:val="0"/>
                <w:numId w:val="7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主管部门定期督查、分析、反馈，督查结果纳入科室医疗质量考核。</w:t>
            </w:r>
          </w:p>
        </w:tc>
        <w:tc>
          <w:tcPr>
            <w:tcW w:w="1269" w:type="pct"/>
            <w:tcMar>
              <w:top w:w="22" w:type="dxa"/>
              <w:left w:w="22" w:type="dxa"/>
              <w:bottom w:w="22" w:type="dxa"/>
              <w:right w:w="22" w:type="dxa"/>
            </w:tcMar>
            <w:vAlign w:val="center"/>
          </w:tcPr>
          <w:p>
            <w:pPr>
              <w:pageBreakBefore w:val="0"/>
              <w:numPr>
                <w:ilvl w:val="0"/>
                <w:numId w:val="7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抽查临床、医技科室各2个的相关资料。</w:t>
            </w:r>
          </w:p>
          <w:p>
            <w:pPr>
              <w:pageBreakBefore w:val="0"/>
              <w:numPr>
                <w:ilvl w:val="0"/>
                <w:numId w:val="7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持续改进有成效，未发生与</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危急值</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报告有关的不良事件。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2.2.18建立病历管理制度。严格落实国家有关法律法规以及病历书写、分类编码、管理与应用相关规定，建立门急诊住院病历规范书写、管理和质量控制制度。医院应当保障病历资料安全，病历内容记录与修改信息可追溯。</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2.2.18.1 按照《医疗机构病历管理规定》等有关法规、规范的要求，制定病历管理制度；设置病案科</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室</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，人员配置合理。</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7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医院有病历书写、管理和应用管理制度，且符合国家有关法律法规及相关规定管理要求。</w:t>
            </w:r>
          </w:p>
          <w:p>
            <w:pPr>
              <w:pageBreakBefore w:val="0"/>
              <w:numPr>
                <w:ilvl w:val="0"/>
                <w:numId w:val="7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设置病案管理部门，配备从事病案管理五年以上的高级职称人员负责病案科（室）管理工作，人员配置满足工作需要。</w:t>
            </w:r>
          </w:p>
          <w:p>
            <w:pPr>
              <w:pageBreakBefore w:val="0"/>
              <w:numPr>
                <w:ilvl w:val="0"/>
                <w:numId w:val="7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有病案管理质量控制指标监测。</w:t>
            </w:r>
          </w:p>
        </w:tc>
        <w:tc>
          <w:tcPr>
            <w:tcW w:w="1269" w:type="pct"/>
            <w:tcMar>
              <w:top w:w="22" w:type="dxa"/>
              <w:left w:w="22" w:type="dxa"/>
              <w:bottom w:w="22" w:type="dxa"/>
              <w:right w:w="22" w:type="dxa"/>
            </w:tcMar>
            <w:vAlign w:val="center"/>
          </w:tcPr>
          <w:p>
            <w:pPr>
              <w:pageBreakBefore w:val="0"/>
              <w:numPr>
                <w:ilvl w:val="0"/>
                <w:numId w:val="7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7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7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病案科（室）有定期检查、总结分析与整改。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持续改进有成效，质量指标持续改进。</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2.2.18.2 按照《病历书写基本规范》，书写门诊、急诊、住院病历，有病历质量检查、评估与反馈机制，保证病历书写符合规范。</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7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医院有病历质量评价相关制度。</w:t>
            </w:r>
          </w:p>
          <w:p>
            <w:pPr>
              <w:pageBreakBefore w:val="0"/>
              <w:numPr>
                <w:ilvl w:val="0"/>
                <w:numId w:val="79"/>
              </w:numPr>
              <w:kinsoku/>
              <w:wordWrap/>
              <w:overflowPunct/>
              <w:topLinePunct w:val="0"/>
              <w:bidi w:val="0"/>
              <w:snapToGrid/>
              <w:spacing w:line="300" w:lineRule="exact"/>
              <w:ind w:left="0" w:lef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医师按照规范书写门诊、急诊、住院患者病历。</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抽查相关病历各5份，评价是否符合要求。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8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科室有自查，对存在的问题有整改。</w:t>
            </w:r>
          </w:p>
          <w:p>
            <w:pPr>
              <w:pageBreakBefore w:val="0"/>
              <w:numPr>
                <w:ilvl w:val="0"/>
                <w:numId w:val="8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主管部门有定期检查、分析、反馈，病历质量结果纳入科室医疗质量管理考核。</w:t>
            </w:r>
          </w:p>
        </w:tc>
        <w:tc>
          <w:tcPr>
            <w:tcW w:w="1269" w:type="pct"/>
            <w:tcMar>
              <w:top w:w="22" w:type="dxa"/>
              <w:left w:w="22" w:type="dxa"/>
              <w:bottom w:w="22" w:type="dxa"/>
              <w:right w:w="22" w:type="dxa"/>
            </w:tcMar>
            <w:vAlign w:val="center"/>
          </w:tcPr>
          <w:p>
            <w:pPr>
              <w:pageBreakBefore w:val="0"/>
              <w:numPr>
                <w:ilvl w:val="0"/>
                <w:numId w:val="8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抽查内、外科各2个科室，查阅相关资料。</w:t>
            </w:r>
          </w:p>
          <w:p>
            <w:pPr>
              <w:pageBreakBefore w:val="0"/>
              <w:numPr>
                <w:ilvl w:val="0"/>
                <w:numId w:val="8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2.2.18.3 按《医疗机构病历管理规定》保存病历资料,以保证病历及时归档，保障病历安全。</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1.采</w:t>
            </w:r>
            <w:r>
              <w:rPr>
                <w:rFonts w:hint="default" w:ascii="Times New Roman" w:hAnsi="Times New Roman" w:eastAsia="方正仿宋_GBK" w:cs="Times New Roman"/>
                <w:color w:val="auto"/>
                <w:spacing w:val="-6"/>
                <w:sz w:val="24"/>
                <w:szCs w:val="24"/>
                <w:highlight w:val="none"/>
              </w:rPr>
              <w:t>用病案示踪系统等方式，控制每份病案的去向。</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2.有3年病案存放的发展空间，病历保存符合管理要求。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3.病案查阅、借阅和归档期限有明确的规定，未归的病案有催还记录。</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4.患者出院后，住院病历7个工作日之内归档率达90％。</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1.现场查看是否符合要求。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2.现场查看是否符合要求。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3.查阅相关规定及执行记录。</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4.现场随机抽查50份病历，是否达到90％。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1.科</w:t>
            </w:r>
            <w:r>
              <w:rPr>
                <w:rFonts w:hint="default" w:ascii="Times New Roman" w:hAnsi="Times New Roman" w:eastAsia="方正仿宋_GBK" w:cs="Times New Roman"/>
                <w:color w:val="auto"/>
                <w:spacing w:val="-6"/>
                <w:sz w:val="24"/>
                <w:szCs w:val="24"/>
                <w:highlight w:val="none"/>
              </w:rPr>
              <w:t>室对病历归档有自查，对存在问题有改进措施</w:t>
            </w:r>
            <w:r>
              <w:rPr>
                <w:rFonts w:hint="default" w:ascii="Times New Roman" w:hAnsi="Times New Roman" w:eastAsia="方正仿宋_GBK" w:cs="Times New Roman"/>
                <w:color w:val="auto"/>
                <w:sz w:val="24"/>
                <w:szCs w:val="24"/>
                <w:highlight w:val="none"/>
              </w:rPr>
              <w:t>。</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2.主管部门有检查、分析、反馈。</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3.住院病历7个工作日之内归档率达95％。</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1.随机抽查2个科室，查阅自查资料。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2.查阅相关检查、反馈资料。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3.现场随机抽查50份病历，是否达到95％。</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2098" w:hRule="exac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8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持续改进有成效，病历归档与保存管理规范，保障病历安全。</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住院病历7个工作日之内归档率达100％。</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1.查阅相关资料，体现持续改进。</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2.现场随机抽查50份病历，是否达到100％。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2.2.18.4 采用国家卫生健康委发布的《疾病分类与代码国家临床版 2.0》和《手术操作分类代码国家临床版 3.0》分别对疾病和手术名称进行编码。</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8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对出院病案进行疾病分类，编码符合国家卫健委规定。</w:t>
            </w:r>
          </w:p>
          <w:p>
            <w:pPr>
              <w:pageBreakBefore w:val="0"/>
              <w:numPr>
                <w:ilvl w:val="0"/>
                <w:numId w:val="8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疾病分类编码人员有资质与技能要求，编码人员均要接受编码培训并获得培训证书。</w:t>
            </w:r>
          </w:p>
          <w:p>
            <w:pPr>
              <w:pageBreakBefore w:val="0"/>
              <w:numPr>
                <w:ilvl w:val="0"/>
                <w:numId w:val="8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有对临床医师疾病分类与手术操作分类编码培训计划，并落实。</w:t>
            </w:r>
          </w:p>
        </w:tc>
        <w:tc>
          <w:tcPr>
            <w:tcW w:w="1269" w:type="pct"/>
            <w:tcMar>
              <w:top w:w="22" w:type="dxa"/>
              <w:left w:w="22" w:type="dxa"/>
              <w:bottom w:w="22" w:type="dxa"/>
              <w:right w:w="22" w:type="dxa"/>
            </w:tcMar>
            <w:vAlign w:val="center"/>
          </w:tcPr>
          <w:p>
            <w:pPr>
              <w:pageBreakBefore w:val="0"/>
              <w:numPr>
                <w:ilvl w:val="0"/>
                <w:numId w:val="8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现场查阅出院病案分类编码是否符合要求。</w:t>
            </w:r>
          </w:p>
          <w:p>
            <w:pPr>
              <w:pageBreakBefore w:val="0"/>
              <w:numPr>
                <w:ilvl w:val="0"/>
                <w:numId w:val="8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查阅疾病分类编码人员资质。</w:t>
            </w:r>
          </w:p>
          <w:p>
            <w:pPr>
              <w:pageBreakBefore w:val="0"/>
              <w:numPr>
                <w:ilvl w:val="0"/>
                <w:numId w:val="8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查阅相关培训计划及培训资料。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8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编码人员定期对临床科室疾病与手术填写准确性进行检查、分析与反馈。</w:t>
            </w:r>
          </w:p>
          <w:p>
            <w:pPr>
              <w:pageBreakBefore w:val="0"/>
              <w:numPr>
                <w:ilvl w:val="0"/>
                <w:numId w:val="8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病案科（室）定期与不定期对疾病分类编码员的准确性进行评价、指导，提高编码质量。</w:t>
            </w:r>
          </w:p>
        </w:tc>
        <w:tc>
          <w:tcPr>
            <w:tcW w:w="1269" w:type="pct"/>
            <w:tcMar>
              <w:top w:w="22" w:type="dxa"/>
              <w:left w:w="22" w:type="dxa"/>
              <w:bottom w:w="22" w:type="dxa"/>
              <w:right w:w="22" w:type="dxa"/>
            </w:tcMar>
            <w:vAlign w:val="center"/>
          </w:tcPr>
          <w:p>
            <w:pPr>
              <w:pageBreakBefore w:val="0"/>
              <w:numPr>
                <w:ilvl w:val="0"/>
                <w:numId w:val="8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8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w:t>
            </w:r>
            <w:r>
              <w:rPr>
                <w:rFonts w:hint="default" w:ascii="Times New Roman" w:hAnsi="Times New Roman" w:eastAsia="方正仿宋_GBK" w:cs="Times New Roman"/>
                <w:color w:val="auto"/>
                <w:sz w:val="24"/>
                <w:szCs w:val="24"/>
                <w:highlight w:val="none"/>
                <w:lang w:val="en-US" w:eastAsia="zh-CN"/>
              </w:rPr>
              <w:t>有数据体现</w:t>
            </w:r>
            <w:r>
              <w:rPr>
                <w:rFonts w:hint="default" w:ascii="Times New Roman" w:hAnsi="Times New Roman" w:eastAsia="方正仿宋_GBK" w:cs="Times New Roman"/>
                <w:color w:val="auto"/>
                <w:sz w:val="24"/>
                <w:szCs w:val="24"/>
                <w:highlight w:val="none"/>
              </w:rPr>
              <w:t>编码质量不断提高。</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strike/>
                <w:dstrike w:val="0"/>
                <w:color w:val="auto"/>
                <w:sz w:val="24"/>
                <w:szCs w:val="24"/>
                <w:highlight w:val="none"/>
                <w:lang w:val="en-US" w:eastAsia="zh-CN"/>
              </w:rPr>
            </w:pPr>
            <w:r>
              <w:rPr>
                <w:rFonts w:hint="default" w:ascii="Times New Roman" w:hAnsi="Times New Roman" w:eastAsia="方正仿宋_GBK" w:cs="Times New Roman"/>
                <w:strike w:val="0"/>
                <w:dstrike w:val="0"/>
                <w:color w:val="auto"/>
                <w:sz w:val="24"/>
                <w:szCs w:val="24"/>
                <w:highlight w:val="none"/>
                <w:lang w:val="en-US" w:eastAsia="zh-CN"/>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2.2.18.5 有出院病案信息的查询系统。</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1.医院有出院病案信息的查询系统。</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2.病案首页内容完整、准确。</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3.病案首页全部资料信息录入查询系统，至少能为评审提供4年以上完整信息。</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1.2.3.现场查看评价是否符合要求。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病案科（室）有定期自查、总结分析与整改。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2.2.18.6 有病案服务管理制度，为医院医</w:t>
            </w:r>
            <w:r>
              <w:rPr>
                <w:rFonts w:hint="default" w:ascii="Times New Roman" w:hAnsi="Times New Roman" w:eastAsia="方正仿宋_GBK" w:cs="Times New Roman"/>
                <w:strike w:val="0"/>
                <w:dstrike w:val="0"/>
                <w:color w:val="auto"/>
                <w:sz w:val="24"/>
                <w:szCs w:val="24"/>
                <w:highlight w:val="none"/>
                <w:lang w:val="en-US" w:eastAsia="zh-CN"/>
              </w:rPr>
              <w:t>护</w:t>
            </w:r>
            <w:r>
              <w:rPr>
                <w:rFonts w:hint="default" w:ascii="Times New Roman" w:hAnsi="Times New Roman" w:eastAsia="方正仿宋_GBK" w:cs="Times New Roman"/>
                <w:color w:val="auto"/>
                <w:sz w:val="24"/>
                <w:szCs w:val="24"/>
                <w:highlight w:val="none"/>
              </w:rPr>
              <w:t>人员及管理人员、患者及其代理人、有关司法机关及医疗保险机构人员提供病案服务。</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1.医院有病案服务管理制度，有明确的服务规范与流程。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2.病案服务限于相关医</w:t>
            </w:r>
            <w:r>
              <w:rPr>
                <w:rFonts w:hint="default" w:ascii="Times New Roman" w:hAnsi="Times New Roman" w:eastAsia="方正仿宋_GBK" w:cs="Times New Roman"/>
                <w:color w:val="auto"/>
                <w:sz w:val="24"/>
                <w:szCs w:val="24"/>
                <w:highlight w:val="none"/>
                <w:lang w:val="en-US" w:eastAsia="zh-CN"/>
              </w:rPr>
              <w:t>护</w:t>
            </w:r>
            <w:r>
              <w:rPr>
                <w:rFonts w:hint="default" w:ascii="Times New Roman" w:hAnsi="Times New Roman" w:eastAsia="方正仿宋_GBK" w:cs="Times New Roman"/>
                <w:color w:val="auto"/>
                <w:sz w:val="24"/>
                <w:szCs w:val="24"/>
                <w:highlight w:val="none"/>
              </w:rPr>
              <w:t>人员及管理人员，患者及其代理人，公安机关，检察院、法院等有关司法机关，医疗保险机构相关人员。</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3.依照法律、法规和规章为患者及其代理人、司法机关和医疗保险机构人员提供病案服务，履行借阅、复印或复制申请核查与病案信息核查。</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4.有回避与保护患者隐私的规范与措施。</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5.有完整的病案服务登记信息，包括借阅人、借阅与归还时间、借阅目的以及复印或复制的内容，保留相关借阅、复印或复制人的申请、身份证明、单位介绍信等资料。</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 查阅相关借阅记录，是否符合规定。</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查阅相关规范与措施。</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 查阅相关资料，是否完整，符合要求。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病案科（室）有定期自查、总结分析与整改。</w:t>
            </w:r>
          </w:p>
        </w:tc>
        <w:tc>
          <w:tcPr>
            <w:tcW w:w="1269" w:type="pct"/>
            <w:tcMar>
              <w:top w:w="22" w:type="dxa"/>
              <w:left w:w="22" w:type="dxa"/>
              <w:bottom w:w="22" w:type="dxa"/>
              <w:right w:w="22" w:type="dxa"/>
            </w:tcMar>
            <w:vAlign w:val="center"/>
          </w:tcPr>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持续改进有成效，未发生与其相关的不良事件。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2.2.19实施电子病历的医院，应当建立电子病历的建立、记录、修改、使用、存储、传输、质控、安全等级保护等管理制度。</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2.2.19.1 有电子病历的建立、记录、修改、使用、存储、传输、质控、安全等级保护等管理制度。</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widowControl/>
              <w:numPr>
                <w:ilvl w:val="0"/>
                <w:numId w:val="8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有符合《电子病历应用管理规范（试行）》的电子病历系统，对电子病历的建立、记录、修改、使用、存储、传输、质控、安全等级保护等有管理制度。</w:t>
            </w:r>
          </w:p>
          <w:p>
            <w:pPr>
              <w:pageBreakBefore w:val="0"/>
              <w:widowControl/>
              <w:numPr>
                <w:ilvl w:val="0"/>
                <w:numId w:val="8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电子病历系统具备病案质量控制功能，满足医院病案基本信息采集、医疗质量指标数据统计与分析。</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3.落实信息安全管理制度。严格管理患者信息和诊疗数据，防控患者医疗信息泄露风险，做好医疗数据安全存储和容灾备份。</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现场查看电子病历系统，是否满足需要。</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3. </w:t>
            </w:r>
            <w:r>
              <w:rPr>
                <w:rFonts w:hint="default" w:ascii="Times New Roman" w:hAnsi="Times New Roman" w:eastAsia="方正仿宋_GBK" w:cs="Times New Roman"/>
                <w:color w:val="auto"/>
                <w:sz w:val="24"/>
                <w:szCs w:val="24"/>
                <w:highlight w:val="none"/>
                <w:lang w:val="en-US" w:eastAsia="zh-CN"/>
              </w:rPr>
              <w:t>现场查看及</w:t>
            </w:r>
            <w:r>
              <w:rPr>
                <w:rFonts w:hint="default" w:ascii="Times New Roman" w:hAnsi="Times New Roman" w:eastAsia="方正仿宋_GBK" w:cs="Times New Roman"/>
                <w:color w:val="auto"/>
                <w:sz w:val="24"/>
                <w:szCs w:val="24"/>
                <w:highlight w:val="none"/>
              </w:rPr>
              <w:t>查阅相关资料及执行记录。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电子病历应用水平分级评价达到 4 级</w:t>
            </w:r>
            <w:r>
              <w:rPr>
                <w:rFonts w:hint="default" w:ascii="Times New Roman" w:hAnsi="Times New Roman" w:eastAsia="方正仿宋_GBK" w:cs="Times New Roman"/>
                <w:color w:val="auto"/>
                <w:sz w:val="24"/>
                <w:szCs w:val="24"/>
                <w:highlight w:val="none"/>
                <w:lang w:val="en-US" w:eastAsia="zh-CN"/>
              </w:rPr>
              <w:t>以上</w:t>
            </w:r>
            <w:r>
              <w:rPr>
                <w:rFonts w:hint="default" w:ascii="Times New Roman" w:hAnsi="Times New Roman" w:eastAsia="方正仿宋_GBK" w:cs="Times New Roman"/>
                <w:color w:val="auto"/>
                <w:sz w:val="24"/>
                <w:szCs w:val="24"/>
                <w:highlight w:val="none"/>
              </w:rPr>
              <w:t>，医院信息互联互通标准化成熟度测评 4 级</w:t>
            </w:r>
            <w:r>
              <w:rPr>
                <w:rFonts w:hint="default" w:ascii="Times New Roman" w:hAnsi="Times New Roman" w:eastAsia="方正仿宋_GBK" w:cs="Times New Roman"/>
                <w:color w:val="auto"/>
                <w:sz w:val="24"/>
                <w:szCs w:val="24"/>
                <w:highlight w:val="none"/>
                <w:lang w:val="en-US" w:eastAsia="zh-CN"/>
              </w:rPr>
              <w:t>以上</w:t>
            </w:r>
            <w:r>
              <w:rPr>
                <w:rFonts w:hint="default" w:ascii="Times New Roman" w:hAnsi="Times New Roman" w:eastAsia="方正仿宋_GBK" w:cs="Times New Roman"/>
                <w:color w:val="auto"/>
                <w:sz w:val="24"/>
                <w:szCs w:val="24"/>
                <w:highlight w:val="none"/>
              </w:rPr>
              <w:t>。</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查阅相关证书。</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持续改进有成效，未发生与其有关的不良事件。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2.2.20建立抗菌药物分级管理制度。严格按照《抗菌药物临床应用管理办法》等有关规定，建立本院抗菌药物遴选、采购、处方、调剂、临床应用和药物评价的管理制度和具体操作流程，确定抗菌药物分级管理目录、医师抗菌药物处方权限和医师会诊权限，并定期调整。</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bookmarkStart w:id="191" w:name="_Hlk72386658"/>
            <w:r>
              <w:rPr>
                <w:rFonts w:hint="default" w:ascii="Times New Roman" w:hAnsi="Times New Roman" w:eastAsia="方正仿宋_GBK" w:cs="Times New Roman"/>
                <w:color w:val="auto"/>
                <w:sz w:val="24"/>
                <w:szCs w:val="24"/>
                <w:highlight w:val="none"/>
              </w:rPr>
              <w:t>2.2.20.1 依据《抗菌药物临床应用管理办法》、《抗菌药物临床用指导原则》等要求，建立抗菌药物临床合理应用的组织，制定相关制度，明确职责，规范管理抗菌药物临床应用。</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widowControl/>
              <w:numPr>
                <w:ilvl w:val="0"/>
                <w:numId w:val="8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医院药事管理</w:t>
            </w:r>
            <w:r>
              <w:rPr>
                <w:rFonts w:hint="default" w:ascii="Times New Roman" w:hAnsi="Times New Roman" w:eastAsia="方正仿宋_GBK" w:cs="Times New Roman"/>
                <w:color w:val="auto"/>
                <w:sz w:val="24"/>
                <w:szCs w:val="24"/>
                <w:highlight w:val="none"/>
                <w:lang w:val="en-US" w:eastAsia="zh-CN"/>
              </w:rPr>
              <w:t>委员会</w:t>
            </w:r>
            <w:r>
              <w:rPr>
                <w:rFonts w:hint="default" w:ascii="Times New Roman" w:hAnsi="Times New Roman" w:eastAsia="方正仿宋_GBK" w:cs="Times New Roman"/>
                <w:color w:val="auto"/>
                <w:sz w:val="24"/>
                <w:szCs w:val="24"/>
                <w:highlight w:val="none"/>
              </w:rPr>
              <w:t>设立抗菌药物管理工作组和临床应用管理专业技术团队，人员构成、职责任务和管理工作符合《抗菌药物临床应用管理办法》相关要求。</w:t>
            </w:r>
          </w:p>
          <w:p>
            <w:pPr>
              <w:pageBreakBefore w:val="0"/>
              <w:widowControl/>
              <w:numPr>
                <w:ilvl w:val="0"/>
                <w:numId w:val="8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有抗菌药物管理制度并落实执行。参加全国、省或市抗菌药物临床应用监测网。</w:t>
            </w:r>
          </w:p>
          <w:p>
            <w:pPr>
              <w:pageBreakBefore w:val="0"/>
              <w:widowControl/>
              <w:numPr>
                <w:ilvl w:val="0"/>
                <w:numId w:val="8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医院对临床科室抗菌药物的使用制定合理的管理指标，实行责任制管理。</w:t>
            </w:r>
          </w:p>
          <w:p>
            <w:pPr>
              <w:pageBreakBefore w:val="0"/>
              <w:widowControl/>
              <w:numPr>
                <w:ilvl w:val="0"/>
                <w:numId w:val="8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定期对医务人员进行抗菌药物合理应用相关知识培训、考核。</w:t>
            </w:r>
          </w:p>
        </w:tc>
        <w:tc>
          <w:tcPr>
            <w:tcW w:w="1269" w:type="pct"/>
            <w:tcMar>
              <w:top w:w="22" w:type="dxa"/>
              <w:left w:w="22" w:type="dxa"/>
              <w:bottom w:w="22" w:type="dxa"/>
              <w:right w:w="22" w:type="dxa"/>
            </w:tcMar>
            <w:vAlign w:val="center"/>
          </w:tcPr>
          <w:p>
            <w:pPr>
              <w:pageBreakBefore w:val="0"/>
              <w:numPr>
                <w:ilvl w:val="0"/>
                <w:numId w:val="8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8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8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8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numPr>
                <w:ilvl w:val="0"/>
                <w:numId w:val="9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临床科室对管理指标的执行情况有定期自查、分析、整改。</w:t>
            </w:r>
          </w:p>
          <w:p>
            <w:pPr>
              <w:pageBreakBefore w:val="0"/>
              <w:widowControl/>
              <w:numPr>
                <w:ilvl w:val="0"/>
                <w:numId w:val="9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9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9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1.抗菌药物使用指标符合：</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（1）门诊患者抗菌药物使用率≤20%；</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（2）急诊患者抗菌药物使用率≤40%；</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（3）住院患者抗菌药物使用率≤60%；</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（4）抗菌药物使用强度评审期内逐年下降。</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2.有干预前后分析报告，体现持续改进效果。</w:t>
            </w:r>
          </w:p>
        </w:tc>
        <w:tc>
          <w:tcPr>
            <w:tcW w:w="1269" w:type="pct"/>
            <w:tcMar>
              <w:top w:w="22" w:type="dxa"/>
              <w:left w:w="22" w:type="dxa"/>
              <w:bottom w:w="22" w:type="dxa"/>
              <w:right w:w="22" w:type="dxa"/>
            </w:tcMar>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查阅上报的有关指标及自查的有关数据是否符合要求。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2.2.20.2 结合本院实际情况制定抗菌药物</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临床应用和管理实施细则，对抗菌药物使用实施分级管理。</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widowControl/>
              <w:numPr>
                <w:ilvl w:val="0"/>
                <w:numId w:val="9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有抗菌药物临床应用和管理实施细则及抗菌药物分级管理制度，有明确的医师抗菌药物处方权限和医师会诊权限，有明确的特殊使用级抗菌药物临床应用程序。</w:t>
            </w:r>
          </w:p>
          <w:p>
            <w:pPr>
              <w:pageBreakBefore w:val="0"/>
              <w:widowControl/>
              <w:numPr>
                <w:ilvl w:val="0"/>
                <w:numId w:val="9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利用信息化管理手段落实抗菌药物分级管理。</w:t>
            </w:r>
          </w:p>
          <w:p>
            <w:pPr>
              <w:pageBreakBefore w:val="0"/>
              <w:widowControl/>
              <w:numPr>
                <w:ilvl w:val="0"/>
                <w:numId w:val="9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有抗菌药物临床应用的监测与评价制度，有评价标准；对不合理使用有检查、干预和改进措施。</w:t>
            </w:r>
          </w:p>
        </w:tc>
        <w:tc>
          <w:tcPr>
            <w:tcW w:w="1269" w:type="pct"/>
            <w:tcMar>
              <w:top w:w="22" w:type="dxa"/>
              <w:left w:w="22" w:type="dxa"/>
              <w:bottom w:w="22" w:type="dxa"/>
              <w:right w:w="22" w:type="dxa"/>
            </w:tcMar>
            <w:vAlign w:val="center"/>
          </w:tcPr>
          <w:p>
            <w:pPr>
              <w:pageBreakBefore w:val="0"/>
              <w:numPr>
                <w:ilvl w:val="0"/>
                <w:numId w:val="9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9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p>
            <w:pPr>
              <w:pageBreakBefore w:val="0"/>
              <w:numPr>
                <w:ilvl w:val="0"/>
                <w:numId w:val="9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numPr>
                <w:ilvl w:val="0"/>
                <w:numId w:val="9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有检验（临床微生物室）、院感、药学三方联合完成的细菌耐药情况分析与和通报机制，至少每半年一次。</w:t>
            </w:r>
          </w:p>
          <w:p>
            <w:pPr>
              <w:pageBreakBefore w:val="0"/>
              <w:widowControl/>
              <w:numPr>
                <w:ilvl w:val="0"/>
                <w:numId w:val="9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相关部门</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医务部、医保办、院感办、药学部、临床微生物室等</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对抗菌药物分级管理和使用情况进行全程联合监管，对存在问题有反馈，并检查科室整改落实情况，必要时予以干预。</w:t>
            </w:r>
          </w:p>
        </w:tc>
        <w:tc>
          <w:tcPr>
            <w:tcW w:w="1269" w:type="pct"/>
            <w:tcMar>
              <w:top w:w="22" w:type="dxa"/>
              <w:left w:w="22" w:type="dxa"/>
              <w:bottom w:w="22" w:type="dxa"/>
              <w:right w:w="22" w:type="dxa"/>
            </w:tcMar>
            <w:vAlign w:val="center"/>
          </w:tcPr>
          <w:p>
            <w:pPr>
              <w:pageBreakBefore w:val="0"/>
              <w:numPr>
                <w:ilvl w:val="0"/>
                <w:numId w:val="9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9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numPr>
                <w:ilvl w:val="0"/>
                <w:numId w:val="9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抗菌药物合理应用情况作为临床科室综合目标考核的重要指标。</w:t>
            </w:r>
          </w:p>
          <w:p>
            <w:pPr>
              <w:pageBreakBefore w:val="0"/>
              <w:widowControl/>
              <w:numPr>
                <w:ilvl w:val="0"/>
                <w:numId w:val="96"/>
              </w:numPr>
              <w:kinsoku/>
              <w:wordWrap/>
              <w:overflowPunct/>
              <w:topLinePunct w:val="0"/>
              <w:bidi w:val="0"/>
              <w:snapToGrid/>
              <w:spacing w:line="300" w:lineRule="exact"/>
              <w:ind w:left="0" w:lef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碳青霉烯及替加环素等抗菌药物的临床使用通过专档管理持续改进有成效。</w:t>
            </w:r>
          </w:p>
        </w:tc>
        <w:tc>
          <w:tcPr>
            <w:tcW w:w="1269" w:type="pct"/>
            <w:tcMar>
              <w:top w:w="22" w:type="dxa"/>
              <w:left w:w="22" w:type="dxa"/>
              <w:bottom w:w="22" w:type="dxa"/>
              <w:right w:w="22" w:type="dxa"/>
            </w:tcMar>
            <w:vAlign w:val="center"/>
          </w:tcPr>
          <w:p>
            <w:pPr>
              <w:pageBreakBefore w:val="0"/>
              <w:numPr>
                <w:ilvl w:val="0"/>
                <w:numId w:val="9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9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2.2.20.3 严格执行国家有关围手术期预防性应用抗菌药物管理的相关规定。</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9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w:t>
            </w:r>
            <w:r>
              <w:rPr>
                <w:rFonts w:hint="default" w:ascii="Times New Roman" w:hAnsi="Times New Roman" w:eastAsia="方正仿宋_GBK" w:cs="Times New Roman"/>
                <w:color w:val="auto"/>
                <w:sz w:val="24"/>
                <w:szCs w:val="24"/>
                <w:highlight w:val="none"/>
                <w:lang w:val="en-US" w:eastAsia="zh-CN"/>
              </w:rPr>
              <w:t>围</w:t>
            </w:r>
            <w:r>
              <w:rPr>
                <w:rFonts w:hint="default" w:ascii="Times New Roman" w:hAnsi="Times New Roman" w:eastAsia="方正仿宋_GBK" w:cs="Times New Roman"/>
                <w:color w:val="auto"/>
                <w:sz w:val="24"/>
                <w:szCs w:val="24"/>
                <w:highlight w:val="none"/>
              </w:rPr>
              <w:t>手术期预防性应用抗菌药物管理的相关制度，并落实。</w:t>
            </w:r>
          </w:p>
          <w:p>
            <w:pPr>
              <w:pageBreakBefore w:val="0"/>
              <w:numPr>
                <w:ilvl w:val="0"/>
                <w:numId w:val="9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相关临床科室有定期自查及改进。</w:t>
            </w:r>
          </w:p>
        </w:tc>
        <w:tc>
          <w:tcPr>
            <w:tcW w:w="1269" w:type="pct"/>
            <w:tcMar>
              <w:top w:w="22" w:type="dxa"/>
              <w:left w:w="22" w:type="dxa"/>
              <w:bottom w:w="22" w:type="dxa"/>
              <w:right w:w="22" w:type="dxa"/>
            </w:tcMar>
            <w:vAlign w:val="center"/>
          </w:tcPr>
          <w:p>
            <w:pPr>
              <w:pageBreakBefore w:val="0"/>
              <w:numPr>
                <w:ilvl w:val="0"/>
                <w:numId w:val="9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9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主管部门定期督导检查、分析、反馈，并检查科室整改落实情况。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持续改进有成效，监控数据持续向好。</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strike w:val="0"/>
                <w:color w:val="auto"/>
                <w:sz w:val="24"/>
                <w:szCs w:val="24"/>
                <w:highlight w:val="none"/>
              </w:rPr>
            </w:pPr>
            <w:r>
              <w:rPr>
                <w:rFonts w:hint="default" w:ascii="Times New Roman" w:hAnsi="Times New Roman" w:eastAsia="方正仿宋_GBK" w:cs="Times New Roman"/>
                <w:color w:val="auto"/>
                <w:sz w:val="24"/>
                <w:szCs w:val="24"/>
                <w:highlight w:val="none"/>
              </w:rPr>
              <w:t>2.2.20.4</w:t>
            </w:r>
            <w:r>
              <w:rPr>
                <w:rFonts w:hint="default" w:ascii="Times New Roman" w:hAnsi="Times New Roman" w:eastAsia="方正仿宋_GBK" w:cs="Times New Roman"/>
                <w:strike w:val="0"/>
                <w:dstrike w:val="0"/>
                <w:color w:val="auto"/>
                <w:sz w:val="24"/>
                <w:szCs w:val="24"/>
                <w:highlight w:val="none"/>
              </w:rPr>
              <w:t>建立本院抗菌药物遴选、采购、处方、调剂和药物评价的管理制度和具体操作流程。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widowControl/>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rPr>
              <w:t>医院</w:t>
            </w:r>
            <w:r>
              <w:rPr>
                <w:rFonts w:hint="default" w:ascii="Times New Roman" w:hAnsi="Times New Roman" w:eastAsia="方正仿宋_GBK" w:cs="Times New Roman"/>
                <w:strike w:val="0"/>
                <w:dstrike w:val="0"/>
                <w:color w:val="auto"/>
                <w:sz w:val="24"/>
                <w:szCs w:val="24"/>
                <w:highlight w:val="none"/>
                <w:lang w:val="en-US" w:eastAsia="zh-CN"/>
              </w:rPr>
              <w:t>有符合国家卫健委要求的相关制度及具体流程，并落实。</w:t>
            </w:r>
          </w:p>
        </w:tc>
        <w:tc>
          <w:tcPr>
            <w:tcW w:w="1269" w:type="pct"/>
            <w:tcMar>
              <w:top w:w="22" w:type="dxa"/>
              <w:left w:w="22" w:type="dxa"/>
              <w:bottom w:w="22" w:type="dxa"/>
              <w:right w:w="22" w:type="dxa"/>
            </w:tcMar>
            <w:vAlign w:val="center"/>
          </w:tcPr>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eastAsia" w:cs="Times New Roman"/>
                <w:color w:val="auto"/>
                <w:sz w:val="24"/>
                <w:szCs w:val="24"/>
                <w:highlight w:val="none"/>
                <w:lang w:val="en-US" w:eastAsia="zh-CN"/>
              </w:rPr>
              <w:t xml:space="preserve">  </w:t>
            </w: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药学部对抗菌药物购用情况有定期自查、总结分析、整改。</w:t>
            </w:r>
          </w:p>
        </w:tc>
        <w:tc>
          <w:tcPr>
            <w:tcW w:w="1269" w:type="pct"/>
            <w:tcMar>
              <w:top w:w="22" w:type="dxa"/>
              <w:left w:w="22" w:type="dxa"/>
              <w:bottom w:w="22" w:type="dxa"/>
              <w:right w:w="22" w:type="dxa"/>
            </w:tcMar>
            <w:vAlign w:val="center"/>
          </w:tcPr>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eastAsia" w:cs="Times New Roman"/>
                <w:color w:val="auto"/>
                <w:sz w:val="24"/>
                <w:szCs w:val="24"/>
                <w:highlight w:val="none"/>
                <w:lang w:val="en-US" w:eastAsia="zh-CN"/>
              </w:rPr>
              <w:t xml:space="preserve">  </w:t>
            </w: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964" w:hRule="exac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持续改进有成效，抗菌药物购用规范。</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bookmarkEnd w:id="191"/>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2.2.21建立临床用血审核制度。应当严格落实国家关于医疗机构临床用血的有关规定，设立临床用血管理委员会或工作组，制定本院临床合理用血管理制度，完善管理机制和具体流程。保障急救用血治疗需要。</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2.2.21.1 设立临床用血管理委员会，履行工作职能。</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widowControl/>
              <w:numPr>
                <w:ilvl w:val="0"/>
                <w:numId w:val="10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医院有临床用血管理委员会，主任委员由分管医疗的副院长担任，成员组成包括医疗管理、临床、输血、麻醉、护理等相关专业的负责人和专家</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符合《医疗机构临床用血管理办法》。</w:t>
            </w:r>
          </w:p>
          <w:p>
            <w:pPr>
              <w:pageBreakBefore w:val="0"/>
              <w:widowControl/>
              <w:numPr>
                <w:ilvl w:val="0"/>
                <w:numId w:val="10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医院有</w:t>
            </w:r>
            <w:r>
              <w:rPr>
                <w:rFonts w:hint="default" w:ascii="Times New Roman" w:hAnsi="Times New Roman" w:eastAsia="方正仿宋_GBK" w:cs="Times New Roman"/>
                <w:color w:val="auto"/>
                <w:sz w:val="24"/>
                <w:szCs w:val="24"/>
                <w:highlight w:val="none"/>
              </w:rPr>
              <w:t>临床合理用血管理制度和具体流程。</w:t>
            </w:r>
          </w:p>
          <w:p>
            <w:pPr>
              <w:pageBreakBefore w:val="0"/>
              <w:widowControl/>
              <w:numPr>
                <w:ilvl w:val="0"/>
                <w:numId w:val="10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医务、输血</w:t>
            </w:r>
            <w:r>
              <w:rPr>
                <w:rFonts w:hint="default" w:ascii="Times New Roman" w:hAnsi="Times New Roman" w:eastAsia="方正仿宋_GBK" w:cs="Times New Roman"/>
                <w:color w:val="auto"/>
                <w:sz w:val="24"/>
                <w:szCs w:val="24"/>
                <w:highlight w:val="none"/>
                <w:lang w:val="en-US" w:eastAsia="zh-CN"/>
              </w:rPr>
              <w:t>科</w:t>
            </w:r>
            <w:r>
              <w:rPr>
                <w:rFonts w:hint="default" w:ascii="Times New Roman" w:hAnsi="Times New Roman" w:eastAsia="方正仿宋_GBK" w:cs="Times New Roman"/>
                <w:color w:val="auto"/>
                <w:sz w:val="24"/>
                <w:szCs w:val="24"/>
                <w:highlight w:val="none"/>
              </w:rPr>
              <w:t>共同负责临床合理用血日常管理工作。</w:t>
            </w:r>
          </w:p>
        </w:tc>
        <w:tc>
          <w:tcPr>
            <w:tcW w:w="1269" w:type="pct"/>
            <w:tcMar>
              <w:top w:w="22" w:type="dxa"/>
              <w:left w:w="22" w:type="dxa"/>
              <w:bottom w:w="22" w:type="dxa"/>
              <w:right w:w="22" w:type="dxa"/>
            </w:tcMar>
            <w:vAlign w:val="center"/>
          </w:tcPr>
          <w:p>
            <w:pPr>
              <w:pageBreakBefore w:val="0"/>
              <w:numPr>
                <w:ilvl w:val="0"/>
                <w:numId w:val="10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0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0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tabs>
                <w:tab w:val="center" w:pos="1891"/>
              </w:tabs>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r>
              <w:rPr>
                <w:rFonts w:hint="default" w:ascii="Times New Roman" w:hAnsi="Times New Roman" w:eastAsia="方正仿宋_GBK" w:cs="Times New Roman"/>
                <w:color w:val="auto"/>
                <w:sz w:val="24"/>
                <w:szCs w:val="24"/>
                <w:highlight w:val="none"/>
              </w:rPr>
              <w:tab/>
            </w:r>
          </w:p>
          <w:p>
            <w:pPr>
              <w:pageBreakBefore w:val="0"/>
              <w:widowControl/>
              <w:numPr>
                <w:ilvl w:val="0"/>
                <w:numId w:val="10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临床用血管理委员会履行职责，定期召开专题会议</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每年不少于2次</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，对输血管理现状进行分析，对存在问题有反馈、整改。</w:t>
            </w:r>
          </w:p>
          <w:p>
            <w:pPr>
              <w:pageBreakBefore w:val="0"/>
              <w:widowControl/>
              <w:numPr>
                <w:ilvl w:val="0"/>
                <w:numId w:val="10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对卫生行政部门检查中发现的问题，及时整改，并调整完善工作计划和内容。</w:t>
            </w:r>
          </w:p>
        </w:tc>
        <w:tc>
          <w:tcPr>
            <w:tcW w:w="1269" w:type="pct"/>
            <w:tcMar>
              <w:top w:w="22" w:type="dxa"/>
              <w:left w:w="22" w:type="dxa"/>
              <w:bottom w:w="22" w:type="dxa"/>
              <w:right w:w="22" w:type="dxa"/>
            </w:tcMar>
            <w:vAlign w:val="center"/>
          </w:tcPr>
          <w:p>
            <w:pPr>
              <w:pageBreakBefore w:val="0"/>
              <w:numPr>
                <w:ilvl w:val="0"/>
                <w:numId w:val="10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0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持续改进有成效，有案例或数据体现成效。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1108" w:hRule="atLeast"/>
          <w:jc w:val="center"/>
        </w:trPr>
        <w:tc>
          <w:tcPr>
            <w:tcW w:w="927" w:type="pct"/>
            <w:vMerge w:val="restart"/>
            <w:vAlign w:val="center"/>
          </w:tcPr>
          <w:p>
            <w:pPr>
              <w:pageBreakBefore w:val="0"/>
              <w:widowControl/>
              <w:numPr>
                <w:ilvl w:val="-1"/>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2.2.21.2 落实临床用血申请、申请审核制度，履行用血报批</w:t>
            </w:r>
            <w:r>
              <w:rPr>
                <w:rFonts w:hint="default" w:ascii="Times New Roman" w:hAnsi="Times New Roman" w:eastAsia="方正仿宋_GBK" w:cs="Times New Roman"/>
                <w:color w:val="auto"/>
                <w:sz w:val="24"/>
                <w:szCs w:val="24"/>
                <w:highlight w:val="none"/>
                <w:lang w:eastAsia="zh-CN"/>
              </w:rPr>
              <w:t>手</w:t>
            </w:r>
            <w:r>
              <w:rPr>
                <w:rFonts w:hint="default" w:ascii="Times New Roman" w:hAnsi="Times New Roman" w:eastAsia="方正仿宋_GBK" w:cs="Times New Roman"/>
                <w:color w:val="auto"/>
                <w:sz w:val="24"/>
                <w:szCs w:val="24"/>
                <w:highlight w:val="none"/>
              </w:rPr>
              <w:t>续。</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widowControl/>
              <w:numPr>
                <w:ilvl w:val="0"/>
                <w:numId w:val="10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有临床用血申请和申请审核制度，包括：申请备血量和医师权限、适应症判断、审核程序及紧急用血报批手续等，并执行。</w:t>
            </w:r>
          </w:p>
          <w:p>
            <w:pPr>
              <w:pageBreakBefore w:val="0"/>
              <w:widowControl/>
              <w:numPr>
                <w:ilvl w:val="0"/>
                <w:numId w:val="10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用血的申请单格式规范，书写符合要求，信息记录完整。</w:t>
            </w:r>
          </w:p>
          <w:p>
            <w:pPr>
              <w:pageBreakBefore w:val="0"/>
              <w:widowControl/>
              <w:numPr>
                <w:ilvl w:val="0"/>
                <w:numId w:val="10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对临床单例患者一天用全血或红细胞超过 1600ml（8U）有主管部门审批。</w:t>
            </w:r>
          </w:p>
        </w:tc>
        <w:tc>
          <w:tcPr>
            <w:tcW w:w="1269" w:type="pct"/>
            <w:tcMar>
              <w:top w:w="22" w:type="dxa"/>
              <w:left w:w="22" w:type="dxa"/>
              <w:bottom w:w="22" w:type="dxa"/>
              <w:right w:w="22" w:type="dxa"/>
            </w:tcMar>
            <w:vAlign w:val="center"/>
          </w:tcPr>
          <w:p>
            <w:pPr>
              <w:pageBreakBefore w:val="0"/>
              <w:numPr>
                <w:ilvl w:val="0"/>
                <w:numId w:val="10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0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0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主管部门有督查、反馈，并督促科室整改。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持续改进有成效，有案例或数据体现成效。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2.2.22建立信息安全管理制度。明确医院主要负责人是患者诊疗信息安全管理第一责任人，依法依规建立覆盖患者诊疗信息管理全流程的制度和技术保障体系。</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2.2.22.1 有信息安全管理制度。明确医院主要负责人是信息安全管理第一责任人，有患者诊疗信息管理全流程的制度和技术保障体系。</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0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医疗机构主要负责人是医疗机构患者诊疗信息安全管理第一责任人。</w:t>
            </w:r>
          </w:p>
          <w:p>
            <w:pPr>
              <w:pageBreakBefore w:val="0"/>
              <w:numPr>
                <w:ilvl w:val="0"/>
                <w:numId w:val="10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严格执行国家信息安全等级保护制度，有信息安全管理制度和防护体系，分级管理；系统运行稳定，有防灾备份系统，实行网络运行监控。</w:t>
            </w:r>
          </w:p>
          <w:p>
            <w:pPr>
              <w:pageBreakBefore w:val="0"/>
              <w:numPr>
                <w:ilvl w:val="0"/>
                <w:numId w:val="10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医疗信息安全管理组织架构清晰，信息系统安全保护等级不低于第三级。</w:t>
            </w:r>
          </w:p>
          <w:p>
            <w:pPr>
              <w:pageBreakBefore w:val="0"/>
              <w:numPr>
                <w:ilvl w:val="0"/>
                <w:numId w:val="10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有患者诊疗信息安全风险评估和应急工作机制，制定应急预案，并定期演练。</w:t>
            </w:r>
          </w:p>
          <w:p>
            <w:pPr>
              <w:pageBreakBefore w:val="0"/>
              <w:numPr>
                <w:ilvl w:val="0"/>
                <w:numId w:val="10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pacing w:val="-11"/>
                <w:sz w:val="24"/>
                <w:szCs w:val="24"/>
                <w:highlight w:val="none"/>
              </w:rPr>
              <w:t>信息部门人员知晓各项制度并在日常工作中落实</w:t>
            </w:r>
            <w:r>
              <w:rPr>
                <w:rFonts w:hint="default" w:ascii="Times New Roman" w:hAnsi="Times New Roman" w:eastAsia="方正仿宋_GBK" w:cs="Times New Roman"/>
                <w:color w:val="auto"/>
                <w:sz w:val="24"/>
                <w:szCs w:val="24"/>
                <w:highlight w:val="none"/>
              </w:rPr>
              <w:t>。</w:t>
            </w:r>
          </w:p>
        </w:tc>
        <w:tc>
          <w:tcPr>
            <w:tcW w:w="1269" w:type="pct"/>
            <w:tcMar>
              <w:top w:w="22" w:type="dxa"/>
              <w:left w:w="22" w:type="dxa"/>
              <w:bottom w:w="22" w:type="dxa"/>
              <w:right w:w="22" w:type="dxa"/>
            </w:tcMar>
            <w:vAlign w:val="center"/>
          </w:tcPr>
          <w:p>
            <w:pPr>
              <w:pageBreakBefore w:val="0"/>
              <w:numPr>
                <w:ilvl w:val="0"/>
                <w:numId w:val="10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0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查阅相关资料及现场查看。</w:t>
            </w:r>
          </w:p>
          <w:p>
            <w:pPr>
              <w:pageBreakBefore w:val="0"/>
              <w:numPr>
                <w:ilvl w:val="0"/>
                <w:numId w:val="10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0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0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随机询问3名部门工作人员，了解其知晓程度，并现场查看制度的执行情况。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信息中心对日常使用信息系统及设备安全有定期自查、总结分析、整改。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持续改进有成效，有案例或数据体现成效。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2.2.23确保实现本院患者诊疗信息管理全流程的安全性、真实性、连续性、完整性、稳定性、时效性、溯源性。对员工使用患者诊疗信息实行授权管理，明晰权责，为员工使用患者诊疗信息提供便利和安全保障。</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2.2.23.1 有制度及措施确保医院患者诊疗信息管理全流程的安全性、真实性、连续性、完整性、稳定性、时效性、溯源性。</w:t>
            </w:r>
          </w:p>
        </w:tc>
        <w:tc>
          <w:tcPr>
            <w:tcW w:w="2802" w:type="pct"/>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widowControl/>
              <w:numPr>
                <w:ilvl w:val="0"/>
                <w:numId w:val="10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医院</w:t>
            </w:r>
            <w:r>
              <w:rPr>
                <w:rFonts w:hint="default" w:ascii="Times New Roman" w:hAnsi="Times New Roman" w:eastAsia="方正仿宋_GBK" w:cs="Times New Roman"/>
                <w:color w:val="auto"/>
                <w:sz w:val="24"/>
                <w:szCs w:val="24"/>
                <w:highlight w:val="none"/>
              </w:rPr>
              <w:t>有相关制度及措施保障患者诊疗信息管理全流程安全性、真实性、连续性、完整性、稳定性、时效性、溯源性；</w:t>
            </w:r>
          </w:p>
          <w:p>
            <w:pPr>
              <w:pageBreakBefore w:val="0"/>
              <w:widowControl/>
              <w:numPr>
                <w:ilvl w:val="0"/>
                <w:numId w:val="10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对不同数据资料制定不同的保护路径。</w:t>
            </w:r>
          </w:p>
          <w:p>
            <w:pPr>
              <w:pageBreakBefore w:val="0"/>
              <w:widowControl/>
              <w:numPr>
                <w:ilvl w:val="0"/>
                <w:numId w:val="10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有员工分级授权管理制度，并落实，保障网络信息安全和保护患者隐私。</w:t>
            </w:r>
          </w:p>
          <w:p>
            <w:pPr>
              <w:pageBreakBefore w:val="0"/>
              <w:widowControl/>
              <w:numPr>
                <w:ilvl w:val="0"/>
                <w:numId w:val="10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有患者诊疗信息系统安全事故责任管理、追溯机制。</w:t>
            </w:r>
          </w:p>
          <w:p>
            <w:pPr>
              <w:pageBreakBefore w:val="0"/>
              <w:widowControl/>
              <w:numPr>
                <w:ilvl w:val="0"/>
                <w:numId w:val="10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信息部门人员知晓相关制度。</w:t>
            </w:r>
          </w:p>
        </w:tc>
        <w:tc>
          <w:tcPr>
            <w:tcW w:w="1269" w:type="pct"/>
            <w:vAlign w:val="center"/>
          </w:tcPr>
          <w:p>
            <w:pPr>
              <w:pageBreakBefore w:val="0"/>
              <w:widowControl/>
              <w:numPr>
                <w:ilvl w:val="0"/>
                <w:numId w:val="10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widowControl/>
              <w:numPr>
                <w:ilvl w:val="0"/>
                <w:numId w:val="10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widowControl/>
              <w:numPr>
                <w:ilvl w:val="0"/>
                <w:numId w:val="10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查阅相关资料，现场抽查授权的执行情况。</w:t>
            </w:r>
          </w:p>
          <w:p>
            <w:pPr>
              <w:pageBreakBefore w:val="0"/>
              <w:widowControl/>
              <w:numPr>
                <w:ilvl w:val="0"/>
                <w:numId w:val="10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widowControl/>
              <w:numPr>
                <w:ilvl w:val="0"/>
                <w:numId w:val="10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随机询问3名工作人员，了解其对制度的熟悉情况，知晓率100%。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相关部门（信息中心、医务、护理等管理部门）有定期督查、总结分析、整改。</w:t>
            </w:r>
          </w:p>
        </w:tc>
        <w:tc>
          <w:tcPr>
            <w:tcW w:w="1269" w:type="pct"/>
            <w:vAlign w:val="center"/>
          </w:tcPr>
          <w:p>
            <w:pPr>
              <w:pageBreakBefore w:val="0"/>
              <w:widowControl/>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持续改进有成效，有案例或数据体现成效。</w:t>
            </w:r>
          </w:p>
        </w:tc>
        <w:tc>
          <w:tcPr>
            <w:tcW w:w="1269" w:type="pct"/>
            <w:vAlign w:val="center"/>
          </w:tcPr>
          <w:p>
            <w:pPr>
              <w:pageBreakBefore w:val="0"/>
              <w:widowControl/>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tcBorders>
              <w:left w:val="nil"/>
              <w:right w:val="nil"/>
            </w:tcBorders>
            <w:vAlign w:val="center"/>
          </w:tcPr>
          <w:p>
            <w:pPr>
              <w:pStyle w:val="4"/>
              <w:pageBreakBefore w:val="0"/>
              <w:kinsoku/>
              <w:wordWrap/>
              <w:overflowPunct/>
              <w:topLinePunct w:val="0"/>
              <w:bidi w:val="0"/>
              <w:snapToGrid/>
              <w:spacing w:before="0" w:beforeAutospacing="0" w:after="0" w:afterAutospacing="0" w:line="560" w:lineRule="exact"/>
              <w:ind w:left="0" w:leftChars="0" w:rightChars="0" w:firstLine="624" w:firstLineChars="200"/>
              <w:jc w:val="left"/>
              <w:textAlignment w:val="auto"/>
              <w:rPr>
                <w:rFonts w:hint="default" w:eastAsia="方正仿宋_GBK" w:cs="Times New Roman"/>
                <w:color w:val="auto"/>
                <w:sz w:val="24"/>
                <w:szCs w:val="24"/>
                <w:highlight w:val="none"/>
              </w:rPr>
            </w:pPr>
            <w:r>
              <w:rPr>
                <w:rFonts w:hint="default" w:eastAsia="方正黑体_GBK" w:cs="Times New Roman"/>
                <w:b w:val="0"/>
                <w:color w:val="auto"/>
                <w:szCs w:val="24"/>
                <w:highlight w:val="none"/>
              </w:rPr>
              <w:t>三、医疗技术临床应用管理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评审标准</w:t>
            </w:r>
          </w:p>
        </w:tc>
        <w:tc>
          <w:tcPr>
            <w:tcW w:w="2802" w:type="pct"/>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评审要点</w:t>
            </w:r>
          </w:p>
        </w:tc>
        <w:tc>
          <w:tcPr>
            <w:tcW w:w="1269" w:type="pct"/>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评审方法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tcMar>
              <w:top w:w="22" w:type="dxa"/>
              <w:left w:w="22" w:type="dxa"/>
              <w:bottom w:w="22" w:type="dxa"/>
              <w:right w:w="22" w:type="dxa"/>
            </w:tcMar>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2.3.1 医院开展医疗技术服务应当与其技术能力相适应。医疗技术临床应用应当遵循科学、安全、规范、有效、经济、符合伦理的原则。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bookmarkStart w:id="192" w:name="_Hlk72695391"/>
            <w:r>
              <w:rPr>
                <w:rFonts w:hint="default" w:ascii="Times New Roman" w:hAnsi="Times New Roman" w:eastAsia="方正仿宋_GBK" w:cs="Times New Roman"/>
                <w:color w:val="auto"/>
                <w:sz w:val="24"/>
                <w:szCs w:val="24"/>
                <w:highlight w:val="none"/>
              </w:rPr>
              <w:t>2.3.1.1 依据法律法规开展医疗技术服务，与医院功能任务相适应。</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1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医疗技术服务项目符合医院执业许可证中诊疗科目范围要求，与功能任务相适应。</w:t>
            </w:r>
          </w:p>
          <w:p>
            <w:pPr>
              <w:pageBreakBefore w:val="0"/>
              <w:numPr>
                <w:ilvl w:val="0"/>
                <w:numId w:val="11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有相关部门负责医疗技术管理工作，有统一的审批、管理流程。</w:t>
            </w:r>
          </w:p>
        </w:tc>
        <w:tc>
          <w:tcPr>
            <w:tcW w:w="1269" w:type="pct"/>
            <w:tcMar>
              <w:top w:w="22" w:type="dxa"/>
              <w:left w:w="22" w:type="dxa"/>
              <w:bottom w:w="22" w:type="dxa"/>
              <w:right w:w="22" w:type="dxa"/>
            </w:tcMar>
            <w:vAlign w:val="center"/>
          </w:tcPr>
          <w:p>
            <w:pPr>
              <w:pageBreakBefore w:val="0"/>
              <w:numPr>
                <w:ilvl w:val="0"/>
                <w:numId w:val="11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查阅相关资料，无超范围执业情况。</w:t>
            </w:r>
          </w:p>
          <w:p>
            <w:pPr>
              <w:pageBreakBefore w:val="0"/>
              <w:numPr>
                <w:ilvl w:val="0"/>
                <w:numId w:val="11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sz w:val="24"/>
              </w:rPr>
              <mc:AlternateContent>
                <mc:Choice Requires="wps">
                  <w:drawing>
                    <wp:anchor distT="0" distB="0" distL="114300" distR="114300" simplePos="0" relativeHeight="251686912" behindDoc="0" locked="0" layoutInCell="1" allowOverlap="1">
                      <wp:simplePos x="0" y="0"/>
                      <wp:positionH relativeFrom="column">
                        <wp:posOffset>-1063625</wp:posOffset>
                      </wp:positionH>
                      <wp:positionV relativeFrom="paragraph">
                        <wp:posOffset>-22860</wp:posOffset>
                      </wp:positionV>
                      <wp:extent cx="1108075" cy="126111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108075" cy="12611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00" w:lineRule="exact"/>
                                    <w:textAlignment w:val="auto"/>
                                  </w:pPr>
                                  <w:r>
                                    <w:rPr>
                                      <w:rFonts w:hint="default" w:ascii="Times New Roman" w:hAnsi="Times New Roman" w:eastAsia="方正仿宋_GBK" w:cs="Times New Roman"/>
                                      <w:color w:val="auto"/>
                                      <w:sz w:val="24"/>
                                      <w:szCs w:val="24"/>
                                      <w:highlight w:val="none"/>
                                    </w:rPr>
                                    <w:t>2.3.1.1 依据法律法规开展医疗技术服务，与医院功能任务相适应。</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3.75pt;margin-top:-1.8pt;height:99.3pt;width:87.25pt;z-index:251686912;mso-width-relative:page;mso-height-relative:page;" filled="f" stroked="f" coordsize="21600,21600" o:gfxdata="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&#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PGTzLaAAAACQEAAA8AAAAAAAAAAQAgAAAAIgAAAGRy&#10;cy9kb3ducmV2LnhtbFBLAQIUABQAAAAIAIdO4kCjCLsLPAIAAGkEAAAOAAAAAAAAAAEAIAAAACkB&#10;AABkcnMvZTJvRG9jLnhtbFBLBQYAAAAABgAGAFkBAADX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00" w:lineRule="exact"/>
                              <w:textAlignment w:val="auto"/>
                            </w:pPr>
                            <w:r>
                              <w:rPr>
                                <w:rFonts w:hint="default" w:ascii="Times New Roman" w:hAnsi="Times New Roman" w:eastAsia="方正仿宋_GBK" w:cs="Times New Roman"/>
                                <w:color w:val="auto"/>
                                <w:sz w:val="24"/>
                                <w:szCs w:val="24"/>
                                <w:highlight w:val="none"/>
                              </w:rPr>
                              <w:t>2.3.1.1 依据法律法规开展医疗技术服务，与医院功能任务相适应。</w:t>
                            </w:r>
                          </w:p>
                        </w:txbxContent>
                      </v:textbox>
                    </v:shape>
                  </w:pict>
                </mc:Fallback>
              </mc:AlternateContent>
            </w: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主管部门对医疗技术服务有监管。</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持续改进有成效，医院相关技术管理资料完整，均在有效期内。</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2.3.1.2 医学伦理委员会承担医疗技术伦理审核工作（GCP按照相关伦理委员会要求进行伦理审核）</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1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医学伦理管理委员会承担医疗技术伦理审核工作，重点是器官移植、限制类医疗技术与诊疗新技术等的审核。</w:t>
            </w:r>
          </w:p>
          <w:p>
            <w:pPr>
              <w:pageBreakBefore w:val="0"/>
              <w:numPr>
                <w:ilvl w:val="0"/>
                <w:numId w:val="11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有医学伦理审核的回避流程。</w:t>
            </w:r>
          </w:p>
        </w:tc>
        <w:tc>
          <w:tcPr>
            <w:tcW w:w="1269" w:type="pct"/>
            <w:tcMar>
              <w:top w:w="22" w:type="dxa"/>
              <w:left w:w="22" w:type="dxa"/>
              <w:bottom w:w="22" w:type="dxa"/>
              <w:right w:w="22" w:type="dxa"/>
            </w:tcMar>
            <w:vAlign w:val="center"/>
          </w:tcPr>
          <w:p>
            <w:pPr>
              <w:pageBreakBefore w:val="0"/>
              <w:numPr>
                <w:ilvl w:val="0"/>
                <w:numId w:val="11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查阅相关管理制度及流程。</w:t>
            </w:r>
          </w:p>
          <w:p>
            <w:pPr>
              <w:pageBreakBefore w:val="0"/>
              <w:numPr>
                <w:ilvl w:val="0"/>
                <w:numId w:val="11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查阅相关规定。</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主管部门和医学伦理管理委员对医疗技术的实施全程监管，对问题及时反馈。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持续改进有成效，医院开展的医疗技术经过伦理委员会讨论通过，无违规擅自开展医疗技术案例。</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bookmarkEnd w:id="192"/>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2.3.2医院在医疗质量管理委员会下设立医疗技术临床应用管理专门组织。人员组成和功能任务符合《医疗技术临床应用管理办法》要求。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2.3.2.1 设立医疗技术临床应用管理</w:t>
            </w:r>
            <w:r>
              <w:rPr>
                <w:rFonts w:hint="default" w:ascii="Times New Roman" w:hAnsi="Times New Roman" w:eastAsia="方正仿宋_GBK" w:cs="Times New Roman"/>
                <w:color w:val="auto"/>
                <w:sz w:val="24"/>
                <w:szCs w:val="24"/>
                <w:highlight w:val="none"/>
                <w:lang w:eastAsia="zh-CN"/>
              </w:rPr>
              <w:t>小组</w:t>
            </w:r>
            <w:r>
              <w:rPr>
                <w:rFonts w:hint="default" w:ascii="Times New Roman" w:hAnsi="Times New Roman" w:eastAsia="方正仿宋_GBK" w:cs="Times New Roman"/>
                <w:color w:val="auto"/>
                <w:sz w:val="24"/>
                <w:szCs w:val="24"/>
                <w:highlight w:val="none"/>
              </w:rPr>
              <w:t>，人员组成和功能任务符合《医疗技术临床应用管理办法》要求。</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医院有医疗质量管理委员会</w:t>
            </w:r>
            <w:r>
              <w:rPr>
                <w:rFonts w:hint="default" w:ascii="Times New Roman" w:hAnsi="Times New Roman" w:eastAsia="方正仿宋_GBK" w:cs="Times New Roman"/>
                <w:color w:val="auto"/>
                <w:sz w:val="24"/>
                <w:szCs w:val="24"/>
                <w:highlight w:val="none"/>
                <w:lang w:eastAsia="zh-CN"/>
              </w:rPr>
              <w:t>下的</w:t>
            </w:r>
            <w:r>
              <w:rPr>
                <w:rFonts w:hint="default" w:ascii="Times New Roman" w:hAnsi="Times New Roman" w:eastAsia="方正仿宋_GBK" w:cs="Times New Roman"/>
                <w:color w:val="auto"/>
                <w:sz w:val="24"/>
                <w:szCs w:val="24"/>
                <w:highlight w:val="none"/>
              </w:rPr>
              <w:t>医疗技术临床应用管理</w:t>
            </w:r>
            <w:r>
              <w:rPr>
                <w:rFonts w:hint="default" w:ascii="Times New Roman" w:hAnsi="Times New Roman" w:eastAsia="方正仿宋_GBK" w:cs="Times New Roman"/>
                <w:color w:val="auto"/>
                <w:sz w:val="24"/>
                <w:szCs w:val="24"/>
                <w:highlight w:val="none"/>
                <w:lang w:eastAsia="zh-CN"/>
              </w:rPr>
              <w:t>小组</w:t>
            </w:r>
            <w:r>
              <w:rPr>
                <w:rFonts w:hint="default" w:ascii="Times New Roman" w:hAnsi="Times New Roman" w:eastAsia="方正仿宋_GBK" w:cs="Times New Roman"/>
                <w:color w:val="auto"/>
                <w:sz w:val="24"/>
                <w:szCs w:val="24"/>
                <w:highlight w:val="none"/>
              </w:rPr>
              <w:t>，人员组成和职责符合《医疗技术临床应用管理办法》要求，并根据医院人事变动、政策变化等进行相应调整、更新。</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医疗技术临床应用</w:t>
            </w:r>
            <w:r>
              <w:rPr>
                <w:rFonts w:hint="default" w:ascii="Times New Roman" w:hAnsi="Times New Roman" w:eastAsia="方正仿宋_GBK" w:cs="Times New Roman"/>
                <w:color w:val="auto"/>
                <w:sz w:val="24"/>
                <w:szCs w:val="24"/>
                <w:highlight w:val="none"/>
                <w:lang w:eastAsia="zh-CN"/>
              </w:rPr>
              <w:t>小组</w:t>
            </w:r>
            <w:r>
              <w:rPr>
                <w:rFonts w:hint="default" w:ascii="Times New Roman" w:hAnsi="Times New Roman" w:eastAsia="方正仿宋_GBK" w:cs="Times New Roman"/>
                <w:color w:val="auto"/>
                <w:sz w:val="24"/>
                <w:szCs w:val="24"/>
                <w:highlight w:val="none"/>
              </w:rPr>
              <w:t>每年至少召开二次管理会议，审核、论证医院医疗技术临床应用各项工作开展情况并有相关决策，会议记录完整。</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医务部门负责医疗技术临床应用的日常管理工作，落实</w:t>
            </w:r>
            <w:r>
              <w:rPr>
                <w:rFonts w:hint="default" w:ascii="Times New Roman" w:hAnsi="Times New Roman" w:eastAsia="方正仿宋_GBK" w:cs="Times New Roman"/>
                <w:strike w:val="0"/>
                <w:dstrike w:val="0"/>
                <w:color w:val="auto"/>
                <w:sz w:val="24"/>
                <w:szCs w:val="24"/>
                <w:highlight w:val="none"/>
                <w:lang w:val="en-US" w:eastAsia="zh-CN"/>
              </w:rPr>
              <w:t>管理小组</w:t>
            </w:r>
            <w:r>
              <w:rPr>
                <w:rFonts w:hint="default" w:ascii="Times New Roman" w:hAnsi="Times New Roman" w:eastAsia="方正仿宋_GBK" w:cs="Times New Roman"/>
                <w:color w:val="auto"/>
                <w:sz w:val="24"/>
                <w:szCs w:val="24"/>
                <w:highlight w:val="none"/>
              </w:rPr>
              <w:t>作出的各项决策。</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医务部门有对医疗技术临床应用的日常管理工作情况进行总结，对存在问题进行分析、整改，并汇报管理</w:t>
            </w:r>
            <w:r>
              <w:rPr>
                <w:rFonts w:hint="default" w:ascii="Times New Roman" w:hAnsi="Times New Roman" w:eastAsia="方正仿宋_GBK" w:cs="Times New Roman"/>
                <w:color w:val="auto"/>
                <w:sz w:val="24"/>
                <w:szCs w:val="24"/>
                <w:highlight w:val="none"/>
                <w:lang w:eastAsia="zh-CN"/>
              </w:rPr>
              <w:t>小组</w:t>
            </w:r>
            <w:r>
              <w:rPr>
                <w:rFonts w:hint="default" w:ascii="Times New Roman" w:hAnsi="Times New Roman" w:eastAsia="方正仿宋_GBK" w:cs="Times New Roman"/>
                <w:color w:val="auto"/>
                <w:sz w:val="24"/>
                <w:szCs w:val="24"/>
                <w:highlight w:val="none"/>
              </w:rPr>
              <w:t>。</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2.3.3医院开展医疗技术临床应用应当具有符合要求的诊疗科目、人员、设备、设施和质量控制体系，并遵守相关技术临床应用管理规范。</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2.3.3.1 开展医疗技术需符合诊疗科目要求，有质量控制体系，并遵守临床应用管理规范。</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医院开展医疗技术符合诊疗科目范围要求，人员配置符合医疗技术开展要求并有相应资质，设备、设施统一由医院采购并符合国家要求。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所有在院开展的医疗技术均应有诊疗规范和操作流程，并根据国家相关规范及时更新、标明出处。</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医院有医疗技术开展情况的质量控制体系并落实。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医务部门对医院开展的医疗技术是否符合诊疗科目、质控情况有督查，整改存在问题。</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医院开展的每项医疗技术均有对应的诊疗科目、人员资质要求和质控指标，资料完整。</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持续改进有成效，质控指标依据管理需要更新。</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2.3.4医院开展限制类医疗技术，应当按照《医疗技术临床应用管理办法》履行自我评估和备案程序。</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2.3.4.1 按照《医疗技术临床应用管理办法》，开展限制类医疗技术，需履行自我评估和备案程序。</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开展限制类医疗技术的自我评估内容应包含且不限于基本要求、硬件条件、人员资质等是否符合要求、可能发生的风险、意外及处置预案等；评估流程应符合本院实际，科学、合理、可行、完整，且符合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符合条件开展的限制类医疗技术，应于开展首例临床应用之日起15 个工作日内，向核发本院《执业许可证》的卫生行政部门备案；备案材料符合《医疗技术临床应用管理办法》要求。</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随机询问管理人员及医护人员各2名，了解其对相关要求的知晓情况。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主管部门有对医院开展限制类技术的评估和备案情况进行自查、监管，对存在问题有总结、分析、反馈、整改。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无未经评估和备案开展的限制类技术。</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抽查1-2项在开展的相关技术资料，评价是否符合管理要求。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2.3.5 未经伦理委员会审查通过的医疗技术，特别是限制类医疗技术和存在重大伦理风险的医疗技术，不得应用于临床</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2.3.5.1 严格管理医疗技术临床应用，未经伦理委员会审查通过的医疗技术，不得应用于临床。</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医疗技术临床应用应符合伦理要求，医疗技术临床应用开展需经伦理委员会审查，审查包括医疗技术是否符合伦理要求、是否存在伦理问题、伦理风险等。</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医院有已开展和新开展的医疗技术目录，目录中需有医疗技术首例开展的日期；限制类技术目录需单列。</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新开展的医疗技术临床应用有医院审批批件，批件需包含伦理委员会审查通过意见。</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主管部门对全院医疗技术临床应用伦理审核情况有监管，对存在问题有处理、整改。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无未经伦理委员会审批通过就开展的医疗技术。</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抽查2项在开展的相关技术资料，评价是否符合管理要求。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2.3.6 制定本机构医疗技术临床应用管理目录并及时调整，对目录内的手术进行分级管理。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2.3.6.1 </w:t>
            </w:r>
            <w:r>
              <w:rPr>
                <w:rFonts w:hint="default" w:ascii="Times New Roman" w:hAnsi="Times New Roman" w:eastAsia="方正仿宋_GBK" w:cs="Times New Roman"/>
                <w:color w:val="auto"/>
                <w:sz w:val="24"/>
                <w:szCs w:val="24"/>
                <w:highlight w:val="none"/>
                <w:lang w:val="en-US" w:eastAsia="zh-CN"/>
              </w:rPr>
              <w:t>医院</w:t>
            </w:r>
            <w:r>
              <w:rPr>
                <w:rFonts w:hint="default" w:ascii="Times New Roman" w:hAnsi="Times New Roman" w:eastAsia="方正仿宋_GBK" w:cs="Times New Roman"/>
                <w:color w:val="auto"/>
                <w:sz w:val="24"/>
                <w:szCs w:val="24"/>
                <w:highlight w:val="none"/>
              </w:rPr>
              <w:t>有医疗技术临床应用管理目录并及时调整。</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医院有医疗技术临床应用管理目录，目录内的手术进行分级管理，动态管理目录。</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将医院医疗技术临床应用管理目录及动态调整情况纳入</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院务公开</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范围发布。</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现场查看医院网站相关内容。</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strike w:val="0"/>
                <w:dstrike w:val="0"/>
                <w:color w:val="auto"/>
                <w:sz w:val="24"/>
                <w:szCs w:val="24"/>
                <w:highlight w:val="none"/>
                <w:lang w:val="en-US" w:eastAsia="zh-CN"/>
              </w:rPr>
              <w:t>医务部</w:t>
            </w:r>
            <w:r>
              <w:rPr>
                <w:rFonts w:hint="default" w:ascii="Times New Roman" w:hAnsi="Times New Roman" w:eastAsia="方正仿宋_GBK" w:cs="Times New Roman"/>
                <w:color w:val="auto"/>
                <w:sz w:val="24"/>
                <w:szCs w:val="24"/>
                <w:highlight w:val="none"/>
              </w:rPr>
              <w:t>对医疗技术管理落实情况有监管、总结、反馈及整改。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管理目录完整并及时调整更新，无目录外医疗技术临床应用。</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2.3.7建立医师手术授权与动态管理制度，根据医师的专业能力、临床实践、手术质量安全和培训情况，授予或者取消相应的手术级别和具体手术项目权限。</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2.3.7.1 建立适合</w:t>
            </w:r>
            <w:r>
              <w:rPr>
                <w:rFonts w:hint="default" w:ascii="Times New Roman" w:hAnsi="Times New Roman" w:eastAsia="方正仿宋_GBK" w:cs="Times New Roman"/>
                <w:color w:val="auto"/>
                <w:sz w:val="24"/>
                <w:szCs w:val="24"/>
                <w:highlight w:val="none"/>
                <w:lang w:val="en-US" w:eastAsia="zh-CN"/>
              </w:rPr>
              <w:t>医院</w:t>
            </w:r>
            <w:r>
              <w:rPr>
                <w:rFonts w:hint="default" w:ascii="Times New Roman" w:hAnsi="Times New Roman" w:eastAsia="方正仿宋_GBK" w:cs="Times New Roman"/>
                <w:color w:val="auto"/>
                <w:sz w:val="24"/>
                <w:szCs w:val="24"/>
                <w:highlight w:val="none"/>
              </w:rPr>
              <w:t>的医师手术授权与动态管理制度。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有手术医师资质与授权管理制度，医师手术授权需明确到具体手术项目；有紧急状态下的越级手术审核制度，并建立周期性医师手术能力评价与再授权机制。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rPr>
              <w:t>2. 根据医师的专业能力、临床工作开展情况、手术质量与安全指标、专业技能培训等情况，结合本人技术职称、临床工作年限</w:t>
            </w:r>
            <w:r>
              <w:rPr>
                <w:rFonts w:hint="default" w:ascii="Times New Roman" w:hAnsi="Times New Roman" w:eastAsia="方正仿宋_GBK" w:cs="Times New Roman"/>
                <w:color w:val="auto"/>
                <w:sz w:val="24"/>
                <w:szCs w:val="24"/>
                <w:highlight w:val="none"/>
                <w:lang w:val="en-US" w:eastAsia="zh-CN"/>
              </w:rPr>
              <w:t>等</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进行手术授权及再授权动态管理，再授权周期不超</w:t>
            </w:r>
            <w:r>
              <w:rPr>
                <w:rFonts w:hint="default" w:ascii="Times New Roman" w:hAnsi="Times New Roman" w:eastAsia="方正仿宋_GBK" w:cs="Times New Roman"/>
                <w:color w:val="auto"/>
                <w:sz w:val="24"/>
                <w:szCs w:val="24"/>
                <w:highlight w:val="none"/>
                <w:lang w:val="en-US" w:eastAsia="zh-CN"/>
              </w:rPr>
              <w:t>过</w:t>
            </w:r>
            <w:r>
              <w:rPr>
                <w:rFonts w:hint="default" w:ascii="Times New Roman" w:hAnsi="Times New Roman" w:eastAsia="方正仿宋_GBK" w:cs="Times New Roman"/>
                <w:color w:val="auto"/>
                <w:sz w:val="24"/>
                <w:szCs w:val="24"/>
                <w:highlight w:val="none"/>
              </w:rPr>
              <w:t>2 年一次。</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对不符合要求的手术医师，有下调直至取消手术级别的动态管理。</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科室对医师手术授权进行有效管理，对存在问题及时整改。</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主管部门对医师手术授权与动态管理工作有督导，对存在问题有分析、总结、反馈，提出整改意见并检查整改落实情况。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医师手术授权与动态管理资料完整，无违规越级手术等情况。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2.3.8医院依法准予医务人员实施与其专业能力相适应的医疗技术，并为医务人员建立医疗技术临床应用管理档案，纳入个人专业技术档案管理。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2.3.8.1 医院依法准予</w:t>
            </w:r>
            <w:r>
              <w:rPr>
                <w:rFonts w:hint="default" w:ascii="Times New Roman" w:hAnsi="Times New Roman" w:eastAsia="方正仿宋_GBK" w:cs="Times New Roman"/>
                <w:color w:val="auto"/>
                <w:sz w:val="24"/>
                <w:szCs w:val="24"/>
                <w:highlight w:val="none"/>
                <w:lang w:val="en-US" w:eastAsia="zh-CN"/>
              </w:rPr>
              <w:t>医师</w:t>
            </w:r>
            <w:r>
              <w:rPr>
                <w:rFonts w:hint="default" w:ascii="Times New Roman" w:hAnsi="Times New Roman" w:eastAsia="方正仿宋_GBK" w:cs="Times New Roman"/>
                <w:color w:val="auto"/>
                <w:sz w:val="24"/>
                <w:szCs w:val="24"/>
                <w:highlight w:val="none"/>
              </w:rPr>
              <w:t>开展与其专业能力相适应的医疗技术，并建立医疗技术临床应用档案，纳入个人专业技术档案管理。</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1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医院依</w:t>
            </w:r>
            <w:r>
              <w:rPr>
                <w:rFonts w:hint="default" w:ascii="Times New Roman" w:hAnsi="Times New Roman" w:eastAsia="方正仿宋_GBK" w:cs="Times New Roman"/>
                <w:strike w:val="0"/>
                <w:dstrike w:val="0"/>
                <w:color w:val="auto"/>
                <w:sz w:val="24"/>
                <w:szCs w:val="24"/>
                <w:highlight w:val="none"/>
                <w:lang w:eastAsia="zh-CN"/>
              </w:rPr>
              <w:t>《</w:t>
            </w:r>
            <w:r>
              <w:rPr>
                <w:rFonts w:hint="default" w:ascii="Times New Roman" w:hAnsi="Times New Roman" w:eastAsia="方正仿宋_GBK" w:cs="Times New Roman"/>
                <w:strike w:val="0"/>
                <w:dstrike w:val="0"/>
                <w:color w:val="auto"/>
                <w:sz w:val="24"/>
                <w:szCs w:val="24"/>
                <w:highlight w:val="none"/>
                <w:lang w:val="en-US" w:eastAsia="zh-CN"/>
              </w:rPr>
              <w:t>中华人民共和国医师法</w:t>
            </w:r>
            <w:r>
              <w:rPr>
                <w:rFonts w:hint="default" w:ascii="Times New Roman" w:hAnsi="Times New Roman" w:eastAsia="方正仿宋_GBK" w:cs="Times New Roman"/>
                <w:strike w:val="0"/>
                <w:dstrike w:val="0"/>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等相关法律法规，制定</w:t>
            </w:r>
            <w:r>
              <w:rPr>
                <w:rFonts w:hint="default" w:ascii="Times New Roman" w:hAnsi="Times New Roman" w:eastAsia="方正仿宋_GBK" w:cs="Times New Roman"/>
                <w:color w:val="auto"/>
                <w:sz w:val="24"/>
                <w:szCs w:val="24"/>
                <w:highlight w:val="none"/>
                <w:lang w:val="en-US" w:eastAsia="zh-CN"/>
              </w:rPr>
              <w:t>医师</w:t>
            </w:r>
            <w:r>
              <w:rPr>
                <w:rFonts w:hint="default" w:ascii="Times New Roman" w:hAnsi="Times New Roman" w:eastAsia="方正仿宋_GBK" w:cs="Times New Roman"/>
                <w:color w:val="auto"/>
                <w:sz w:val="24"/>
                <w:szCs w:val="24"/>
                <w:highlight w:val="none"/>
              </w:rPr>
              <w:t>实施与其专业能力相适应的医疗技术管理制度、审批流程及考核机制。</w:t>
            </w:r>
          </w:p>
          <w:p>
            <w:pPr>
              <w:pageBreakBefore w:val="0"/>
              <w:numPr>
                <w:ilvl w:val="0"/>
                <w:numId w:val="11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主管部门负责为医师建立医疗技术临床应用管理档案，需明确依法授予的执业范围，并纳入个人专业技术档案管理。</w:t>
            </w:r>
          </w:p>
          <w:p>
            <w:pPr>
              <w:pageBreakBefore w:val="0"/>
              <w:numPr>
                <w:ilvl w:val="0"/>
                <w:numId w:val="11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个人专业技术档案包括：医师资格证、执业证、职称证、学历学位证、进修和培训证明、年度考核结果、执业范围等。</w:t>
            </w:r>
          </w:p>
        </w:tc>
        <w:tc>
          <w:tcPr>
            <w:tcW w:w="1269" w:type="pct"/>
            <w:tcMar>
              <w:top w:w="22" w:type="dxa"/>
              <w:left w:w="22" w:type="dxa"/>
              <w:bottom w:w="22" w:type="dxa"/>
              <w:right w:w="22" w:type="dxa"/>
            </w:tcMar>
            <w:vAlign w:val="center"/>
          </w:tcPr>
          <w:p>
            <w:pPr>
              <w:pageBreakBefore w:val="0"/>
              <w:numPr>
                <w:ilvl w:val="0"/>
                <w:numId w:val="11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1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抽查10名各级医师管理档案，评价是否符合要求。</w:t>
            </w:r>
          </w:p>
          <w:p>
            <w:pPr>
              <w:pageBreakBefore w:val="0"/>
              <w:numPr>
                <w:ilvl w:val="0"/>
                <w:numId w:val="11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抽查10名个人技术档案，核实内容是否符合要求。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11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科室对照医院相关制度每年进行一次医师实施与其专业能力相适应的医疗技术评估，及时动态调整。</w:t>
            </w:r>
          </w:p>
          <w:p>
            <w:pPr>
              <w:pageBreakBefore w:val="0"/>
              <w:numPr>
                <w:ilvl w:val="0"/>
                <w:numId w:val="11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主管部门定期督查，对存在问题进行分析、反馈，并落实整改。</w:t>
            </w:r>
          </w:p>
        </w:tc>
        <w:tc>
          <w:tcPr>
            <w:tcW w:w="1269" w:type="pct"/>
            <w:tcMar>
              <w:top w:w="22" w:type="dxa"/>
              <w:left w:w="22" w:type="dxa"/>
              <w:bottom w:w="22" w:type="dxa"/>
              <w:right w:w="22" w:type="dxa"/>
            </w:tcMar>
            <w:vAlign w:val="center"/>
          </w:tcPr>
          <w:p>
            <w:pPr>
              <w:pageBreakBefore w:val="0"/>
              <w:numPr>
                <w:ilvl w:val="0"/>
                <w:numId w:val="11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抽查内外科各2个科室相关资料。</w:t>
            </w:r>
          </w:p>
          <w:p>
            <w:pPr>
              <w:pageBreakBefore w:val="0"/>
              <w:numPr>
                <w:ilvl w:val="0"/>
                <w:numId w:val="11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规范动态管理，无超范围执业等情况。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查阅上级主管部门依法督查等相关资料。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2.3.9建立医疗技术临床应用论证制度。对已证明安全有效，但属本院首次应用的医疗技术，应当组织开展技术能力和安全保障能力论证并进行伦理审查。</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2.3.9.1 建立医疗技术临床应用论证制度。本院首次应用的医疗技术，按新技术开展规范进行论证，并伦理审查。</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1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医院建立医疗技术临床应用论证制度，明确准入、申报、审批、反馈、退出等流程，并针对可能存在的风险制定处置预案。</w:t>
            </w:r>
          </w:p>
          <w:p>
            <w:pPr>
              <w:pageBreakBefore w:val="0"/>
              <w:numPr>
                <w:ilvl w:val="0"/>
                <w:numId w:val="11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对本院首次临床应用的医疗技术，包括外院已证明安全有效，但属本院首次应用的医疗技术，需经本机构医疗技术管理委员会对技术能力和安全保障能力进行论证，并经伦理审查，通过论证的方可在临床开展。</w:t>
            </w:r>
          </w:p>
        </w:tc>
        <w:tc>
          <w:tcPr>
            <w:tcW w:w="1269" w:type="pct"/>
            <w:tcMar>
              <w:top w:w="22" w:type="dxa"/>
              <w:left w:w="22" w:type="dxa"/>
              <w:bottom w:w="22" w:type="dxa"/>
              <w:right w:w="22" w:type="dxa"/>
            </w:tcMar>
            <w:vAlign w:val="center"/>
          </w:tcPr>
          <w:p>
            <w:pPr>
              <w:pageBreakBefore w:val="0"/>
              <w:numPr>
                <w:ilvl w:val="0"/>
                <w:numId w:val="11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1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抽查2项在医院首次开展的技术，审核其是否符合管理要求。</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主管部门定期督查科室落实制度的情况，对存在问题进行总结、分析、反馈，提出整改意见并检查整改落实情况。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监管资料完整，无违规擅自开展医疗技术案例。</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2.3.10建立医疗技术临床应用评估制度，对限制类技术的质量安全和技术保证能力进行重点评估，并根据评估结果及时调整本院医疗技术临床应用管理目录、医师相关技术临床应用权限和有关管理要求。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2.3.10.1 建立医疗技术临床应用评估制度，根据评估结果及时动态调整医疗技术临床应用管理目录、医师相关技术临床应用权限等。</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2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医院建立医疗技术临床应用评估制度，对限制类技术的质量安全和技术保证能力进行重点评估。</w:t>
            </w:r>
          </w:p>
          <w:p>
            <w:pPr>
              <w:pageBreakBefore w:val="0"/>
              <w:numPr>
                <w:ilvl w:val="0"/>
                <w:numId w:val="12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根据评估结果动态调整本院医疗技术临床应用管理目录、医师相关技术临床应用权限。</w:t>
            </w:r>
          </w:p>
          <w:p>
            <w:pPr>
              <w:pageBreakBefore w:val="0"/>
              <w:numPr>
                <w:ilvl w:val="0"/>
                <w:numId w:val="12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对禁止类技术、存在严重质量安全问题或者不再符合有关技术管理要求的，立即停止临床应用，并有相关记录。</w:t>
            </w:r>
          </w:p>
        </w:tc>
        <w:tc>
          <w:tcPr>
            <w:tcW w:w="1269" w:type="pct"/>
            <w:tcMar>
              <w:top w:w="22" w:type="dxa"/>
              <w:left w:w="22" w:type="dxa"/>
              <w:bottom w:w="22" w:type="dxa"/>
              <w:right w:w="22" w:type="dxa"/>
            </w:tcMar>
            <w:vAlign w:val="center"/>
          </w:tcPr>
          <w:p>
            <w:pPr>
              <w:pageBreakBefore w:val="0"/>
              <w:numPr>
                <w:ilvl w:val="0"/>
                <w:numId w:val="12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2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2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12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科室有定期开展自查、分析、整改，并有记录。</w:t>
            </w:r>
          </w:p>
          <w:p>
            <w:pPr>
              <w:pageBreakBefore w:val="0"/>
              <w:numPr>
                <w:ilvl w:val="0"/>
                <w:numId w:val="122"/>
              </w:numPr>
              <w:kinsoku/>
              <w:wordWrap/>
              <w:overflowPunct/>
              <w:topLinePunct w:val="0"/>
              <w:bidi w:val="0"/>
              <w:snapToGrid/>
              <w:spacing w:line="300" w:lineRule="exact"/>
              <w:ind w:left="0" w:lef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主管部门履行监管职责，对医疗技术临床应用进行动态的全程追踪评估管理。</w:t>
            </w:r>
          </w:p>
        </w:tc>
        <w:tc>
          <w:tcPr>
            <w:tcW w:w="1269" w:type="pct"/>
            <w:tcMar>
              <w:top w:w="22" w:type="dxa"/>
              <w:left w:w="22" w:type="dxa"/>
              <w:bottom w:w="22" w:type="dxa"/>
              <w:right w:w="22" w:type="dxa"/>
            </w:tcMar>
            <w:vAlign w:val="center"/>
          </w:tcPr>
          <w:p>
            <w:pPr>
              <w:pageBreakBefore w:val="0"/>
              <w:numPr>
                <w:ilvl w:val="0"/>
                <w:numId w:val="12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抽查内、外科各2个科室相关资料。</w:t>
            </w:r>
          </w:p>
          <w:p>
            <w:pPr>
              <w:pageBreakBefore w:val="0"/>
              <w:numPr>
                <w:ilvl w:val="0"/>
                <w:numId w:val="12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持续改进有成效，管理资料完整，管理规范。</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2.3.11建立医疗技术临床应用质量控制制度，以限制类技术为重点，制定本院医疗技术质量控制指标，加强信息收集、分析与反馈，持续改进</w:t>
            </w:r>
            <w:r>
              <w:rPr>
                <w:rFonts w:hint="default" w:ascii="Times New Roman" w:hAnsi="Times New Roman" w:eastAsia="方正仿宋_GBK" w:cs="Times New Roman"/>
                <w:color w:val="auto"/>
                <w:sz w:val="24"/>
                <w:szCs w:val="24"/>
                <w:highlight w:val="none"/>
                <w:lang w:eastAsia="zh-CN"/>
              </w:rPr>
              <w:t>医疗</w:t>
            </w:r>
            <w:r>
              <w:rPr>
                <w:rFonts w:hint="default" w:ascii="Times New Roman" w:hAnsi="Times New Roman" w:eastAsia="方正仿宋_GBK" w:cs="Times New Roman"/>
                <w:color w:val="auto"/>
                <w:sz w:val="24"/>
                <w:szCs w:val="24"/>
                <w:highlight w:val="none"/>
              </w:rPr>
              <w:t>技术临床应用质量。</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2.3.11.1 建立医疗技术临床应用质量控制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制度，制定质量控制指标，持续改进</w:t>
            </w:r>
            <w:r>
              <w:rPr>
                <w:rFonts w:hint="default" w:ascii="Times New Roman" w:hAnsi="Times New Roman" w:eastAsia="方正仿宋_GBK" w:cs="Times New Roman"/>
                <w:color w:val="auto"/>
                <w:sz w:val="24"/>
                <w:szCs w:val="24"/>
                <w:highlight w:val="none"/>
                <w:lang w:eastAsia="zh-CN"/>
              </w:rPr>
              <w:t>医疗</w:t>
            </w:r>
            <w:r>
              <w:rPr>
                <w:rFonts w:hint="default" w:ascii="Times New Roman" w:hAnsi="Times New Roman" w:eastAsia="方正仿宋_GBK" w:cs="Times New Roman"/>
                <w:color w:val="auto"/>
                <w:sz w:val="24"/>
                <w:szCs w:val="24"/>
                <w:highlight w:val="none"/>
              </w:rPr>
              <w:t>技术临床应用质量。</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2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医院有医疗技术临床应用质量控制制度。</w:t>
            </w:r>
          </w:p>
          <w:p>
            <w:pPr>
              <w:pageBreakBefore w:val="0"/>
              <w:numPr>
                <w:ilvl w:val="0"/>
                <w:numId w:val="12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以限制类技术为重点，制定本院医疗技术质量控制指标。</w:t>
            </w:r>
          </w:p>
          <w:p>
            <w:pPr>
              <w:pageBreakBefore w:val="0"/>
              <w:numPr>
                <w:ilvl w:val="0"/>
                <w:numId w:val="12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有信息系统支持医疗技术质量控制指标数据分析。</w:t>
            </w:r>
          </w:p>
        </w:tc>
        <w:tc>
          <w:tcPr>
            <w:tcW w:w="1269" w:type="pct"/>
            <w:tcMar>
              <w:top w:w="22" w:type="dxa"/>
              <w:left w:w="22" w:type="dxa"/>
              <w:bottom w:w="22" w:type="dxa"/>
              <w:right w:w="22" w:type="dxa"/>
            </w:tcMar>
            <w:vAlign w:val="center"/>
          </w:tcPr>
          <w:p>
            <w:pPr>
              <w:pageBreakBefore w:val="0"/>
              <w:numPr>
                <w:ilvl w:val="0"/>
                <w:numId w:val="12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2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2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现场查看信息系统，查阅相关资料。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12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科室对本专业医疗技术临床应用质量控制开展自查、分析、整改，并有记录。</w:t>
            </w:r>
          </w:p>
          <w:p>
            <w:pPr>
              <w:pageBreakBefore w:val="0"/>
              <w:numPr>
                <w:ilvl w:val="0"/>
                <w:numId w:val="12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主管部门对医疗技术临床应用质量有督查、总结、分析、反馈，提出整改意见并检查整改落实情况。</w:t>
            </w:r>
          </w:p>
        </w:tc>
        <w:tc>
          <w:tcPr>
            <w:tcW w:w="1269" w:type="pct"/>
            <w:tcMar>
              <w:top w:w="22" w:type="dxa"/>
              <w:left w:w="22" w:type="dxa"/>
              <w:bottom w:w="22" w:type="dxa"/>
              <w:right w:w="22" w:type="dxa"/>
            </w:tcMar>
            <w:vAlign w:val="center"/>
          </w:tcPr>
          <w:p>
            <w:pPr>
              <w:pageBreakBefore w:val="0"/>
              <w:numPr>
                <w:ilvl w:val="0"/>
                <w:numId w:val="12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抽查内外科各2个科室相关资料。</w:t>
            </w:r>
          </w:p>
          <w:p>
            <w:pPr>
              <w:pageBreakBefore w:val="0"/>
              <w:numPr>
                <w:ilvl w:val="0"/>
                <w:numId w:val="12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持续改进有成效，质量控制指标向好。</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2.3.12 建立医疗技术临床应用规范化培训制度。重视医疗技术临床应用管理人才队伍的建设和培养。</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2.3.12.1 建立医疗技术临床应用规范化培</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训制度。加强医疗技术临床应用管理人才队伍的建设。</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2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医院有医疗技术临床应用规范化培训制度，尤其应加强首次在本医疗机构临床应用的医疗技术规范化培训。</w:t>
            </w:r>
          </w:p>
          <w:p>
            <w:pPr>
              <w:pageBreakBefore w:val="0"/>
              <w:numPr>
                <w:ilvl w:val="0"/>
                <w:numId w:val="12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相关医护人员按照《医疗技术临床应用管理办法》要求接受培训与考核。</w:t>
            </w:r>
          </w:p>
          <w:p>
            <w:pPr>
              <w:pageBreakBefore w:val="0"/>
              <w:numPr>
                <w:ilvl w:val="0"/>
                <w:numId w:val="12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有医疗技术临床应用管理人才队伍的建设方案和培养计划，并落实。</w:t>
            </w:r>
          </w:p>
        </w:tc>
        <w:tc>
          <w:tcPr>
            <w:tcW w:w="1269" w:type="pct"/>
            <w:tcMar>
              <w:top w:w="22" w:type="dxa"/>
              <w:left w:w="22" w:type="dxa"/>
              <w:bottom w:w="22" w:type="dxa"/>
              <w:right w:w="22" w:type="dxa"/>
            </w:tcMar>
            <w:vAlign w:val="center"/>
          </w:tcPr>
          <w:p>
            <w:pPr>
              <w:pageBreakBefore w:val="0"/>
              <w:numPr>
                <w:ilvl w:val="0"/>
                <w:numId w:val="12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2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2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主管部门定期对培训工作进行总结，分析存在问题，并落实整改。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有完整的培训和考核资料，培训考核工作持续改进。</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2.3.13医院开展的限制类技术目录、手术分级管理目录和限制类技术临床应用情况应当纳入医院院务公开范围，接受社会监督。</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2.3.13.1 医院将开展的限制类技术目录、手术分级管理目录和限制类技术临床应用情况纳入医院院务公开范围，接受社会监督。</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医院开展的限制类技术目录、手术分级管理目录和限制类技术临床应用情况纳入医院院务公开范围，有至少二种方式可方便查看，接受社会监督。</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现场查看公示情况。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主管部门对医院开展的限制类技术目录、手术分级管理目录和限制类技术临床应用院务公开情况进行督查、反馈并整改。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相关资料完整，公示符合要求。</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2.3.14 医院按照规定停止出现相关情形的医疗技术临床应用，并按规定履行报告程序。</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2.3.14.1</w:t>
            </w:r>
            <w:r>
              <w:rPr>
                <w:rFonts w:hint="default" w:ascii="Times New Roman" w:hAnsi="Times New Roman" w:eastAsia="方正仿宋_GBK" w:cs="Times New Roman"/>
                <w:color w:val="auto"/>
                <w:sz w:val="24"/>
                <w:szCs w:val="24"/>
                <w:highlight w:val="none"/>
                <w:lang w:val="en-US" w:eastAsia="zh-CN"/>
              </w:rPr>
              <w:t>医院</w:t>
            </w:r>
            <w:r>
              <w:rPr>
                <w:rFonts w:hint="default" w:ascii="Times New Roman" w:hAnsi="Times New Roman" w:eastAsia="方正仿宋_GBK" w:cs="Times New Roman"/>
                <w:color w:val="auto"/>
                <w:sz w:val="24"/>
                <w:szCs w:val="24"/>
                <w:highlight w:val="none"/>
              </w:rPr>
              <w:t>在医疗技术临床应用过程中出现《医疗技术临床应用管理办法》第二十五条规定情形的，应当即停止该项医疗技术的临床应用，并按规定履行报告程序。</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3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医院根据《医疗技术临床应用管理办法》，制定相关制度，并落实。</w:t>
            </w:r>
          </w:p>
          <w:p>
            <w:pPr>
              <w:pageBreakBefore w:val="0"/>
              <w:numPr>
                <w:ilvl w:val="0"/>
                <w:numId w:val="13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临床科室在医疗技术临床应用过程中出现不良事件应按规定及时报告及处置。</w:t>
            </w:r>
          </w:p>
          <w:p>
            <w:pPr>
              <w:pageBreakBefore w:val="0"/>
              <w:numPr>
                <w:ilvl w:val="0"/>
                <w:numId w:val="13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医院主管部门发现出现规定中需立即停止情形的，应立即要求临床科室停止该项医疗技术的临床应用，并立即向核发其《执业许可证》的卫生行政部门报告。</w:t>
            </w:r>
          </w:p>
        </w:tc>
        <w:tc>
          <w:tcPr>
            <w:tcW w:w="1269" w:type="pct"/>
            <w:tcMar>
              <w:top w:w="22" w:type="dxa"/>
              <w:left w:w="22" w:type="dxa"/>
              <w:bottom w:w="22" w:type="dxa"/>
              <w:right w:w="22" w:type="dxa"/>
            </w:tcMar>
            <w:vAlign w:val="center"/>
          </w:tcPr>
          <w:p>
            <w:pPr>
              <w:pageBreakBefore w:val="0"/>
              <w:numPr>
                <w:ilvl w:val="0"/>
                <w:numId w:val="13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3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查阅有关案例资料。</w:t>
            </w:r>
          </w:p>
          <w:p>
            <w:pPr>
              <w:pageBreakBefore w:val="0"/>
              <w:numPr>
                <w:ilvl w:val="0"/>
                <w:numId w:val="13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查阅有关案例资料。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主管部门对相关情况有督查、对存在问题有总结分析并及时整改。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无开展禁止类技术，无瞒报出现的重大医疗质量、医疗安全或伦理问题、或与技术相关的严重不良后果事件。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2.3.15 医院按照要求，及时、准确、完整地向全国和省级医疗技术临床应用信息化管理平台逐例报送限制类技术开展情况数据信息。</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2.3.15.1 按要求及时、准确、完整地向全国和省级医疗技术临床应用信息化管理平台逐例报送限制类技术开展情况数据信息。</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3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医院有向全国和省级医疗技术临床应用信息化管理平台报送限制类技术开展情况信息的制度与流程。</w:t>
            </w:r>
          </w:p>
          <w:p>
            <w:pPr>
              <w:pageBreakBefore w:val="0"/>
              <w:numPr>
                <w:ilvl w:val="0"/>
                <w:numId w:val="13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医院完成限制类技术《医疗机构执业许可证》副本备注后7 个工作日内，登录指定信息平台注册、登记。</w:t>
            </w:r>
          </w:p>
          <w:p>
            <w:pPr>
              <w:pageBreakBefore w:val="0"/>
              <w:numPr>
                <w:ilvl w:val="0"/>
                <w:numId w:val="13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按要求和时限完成国家级和省级限制类技术开展情况数据上报。</w:t>
            </w:r>
          </w:p>
        </w:tc>
        <w:tc>
          <w:tcPr>
            <w:tcW w:w="1269" w:type="pct"/>
            <w:tcMar>
              <w:top w:w="22" w:type="dxa"/>
              <w:left w:w="22" w:type="dxa"/>
              <w:bottom w:w="22" w:type="dxa"/>
              <w:right w:w="22" w:type="dxa"/>
            </w:tcMar>
            <w:vAlign w:val="center"/>
          </w:tcPr>
          <w:p>
            <w:pPr>
              <w:pageBreakBefore w:val="0"/>
              <w:numPr>
                <w:ilvl w:val="0"/>
                <w:numId w:val="13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3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现场查看注册、报送情况。</w:t>
            </w:r>
          </w:p>
          <w:p>
            <w:pPr>
              <w:pageBreakBefore w:val="0"/>
              <w:numPr>
                <w:ilvl w:val="255"/>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13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科室对信息上报工作有自查，信息报送前有审核，对存在问题有总结、分析、整改。</w:t>
            </w:r>
          </w:p>
          <w:p>
            <w:pPr>
              <w:pageBreakBefore w:val="0"/>
              <w:numPr>
                <w:ilvl w:val="0"/>
                <w:numId w:val="13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主管部门有督查科室上报信息情况，对存在问题有总结、分析、反馈，提出整改意见并检查整改落实情况</w:t>
            </w:r>
          </w:p>
        </w:tc>
        <w:tc>
          <w:tcPr>
            <w:tcW w:w="1269" w:type="pct"/>
            <w:tcMar>
              <w:top w:w="22" w:type="dxa"/>
              <w:left w:w="22" w:type="dxa"/>
              <w:bottom w:w="22" w:type="dxa"/>
              <w:right w:w="22" w:type="dxa"/>
            </w:tcMar>
            <w:vAlign w:val="center"/>
          </w:tcPr>
          <w:p>
            <w:pPr>
              <w:pageBreakBefore w:val="0"/>
              <w:numPr>
                <w:ilvl w:val="0"/>
                <w:numId w:val="13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3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按要求</w:t>
            </w:r>
            <w:r>
              <w:rPr>
                <w:rFonts w:hint="default" w:ascii="Times New Roman" w:hAnsi="Times New Roman" w:eastAsia="方正仿宋_GBK" w:cs="Times New Roman"/>
                <w:color w:val="auto"/>
                <w:spacing w:val="-11"/>
                <w:sz w:val="24"/>
                <w:szCs w:val="24"/>
                <w:highlight w:val="none"/>
              </w:rPr>
              <w:t>逐例完整报送限制类技术开展情况数据信息。</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查阅相关资料，核查是否符合要求。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2.3.16 医院承担限制类技术临床应用规范化培训工作的，应当达到国家和省级卫生健康行政部门规定的条件，制定培训方案并向社会公开，同时履行备案程序。</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2.3.16.1 承担限制类技术临床应用规范化培训的，需按规范制定培训方案并向社会公开，同时履行备案程序。</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3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医院承担限制类技术临床应用规范化培训工作的，应达到国家和省级卫生健康行政部门规定的条件；建立制度及流程。</w:t>
            </w:r>
          </w:p>
          <w:p>
            <w:pPr>
              <w:pageBreakBefore w:val="0"/>
              <w:numPr>
                <w:ilvl w:val="0"/>
                <w:numId w:val="13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有专门部门负责限制类技术临床应用规范化培训工作，明确岗位职责和管理要求；制定培训方案并按要求向社会公开，并于首次发布招生公告之日起3 个工作日内，向省级卫生行政部门备案，备案材料符合要求。</w:t>
            </w:r>
          </w:p>
        </w:tc>
        <w:tc>
          <w:tcPr>
            <w:tcW w:w="1269" w:type="pct"/>
            <w:tcMar>
              <w:top w:w="22" w:type="dxa"/>
              <w:left w:w="22" w:type="dxa"/>
              <w:bottom w:w="22" w:type="dxa"/>
              <w:right w:w="22" w:type="dxa"/>
            </w:tcMar>
            <w:vAlign w:val="center"/>
          </w:tcPr>
          <w:p>
            <w:pPr>
              <w:pageBreakBefore w:val="0"/>
              <w:numPr>
                <w:ilvl w:val="0"/>
                <w:numId w:val="13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3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主管部门对医院承担限制类技术临床应用规范化培训工作全程监管，对发现的问题及时分析、反馈，落实整改情况。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持续改进有成效，监管资料完整；有备案，可追踪。</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2.3.17 医院承担限制类技术临床应用规范化培训工作的，应当建立培训规章制度及流程，明确岗位职责和管理要求，加强学员管理，建立学员培训档案，按照培训方案和计划开展培训工作，保障培训质量。</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2.3.17.1 建立限制类技术临床应用规范化培训规章制度及流程，明确岗位职责和管理要求；建</w:t>
            </w:r>
            <w:r>
              <w:rPr>
                <w:rFonts w:hint="default" w:ascii="Times New Roman" w:hAnsi="Times New Roman" w:eastAsia="方正仿宋_GBK" w:cs="Times New Roman"/>
                <w:color w:val="auto"/>
                <w:sz w:val="24"/>
                <w:szCs w:val="24"/>
                <w:highlight w:val="none"/>
                <w:lang w:eastAsia="zh-CN"/>
              </w:rPr>
              <w:t>立</w:t>
            </w:r>
            <w:r>
              <w:rPr>
                <w:rFonts w:hint="default" w:ascii="Times New Roman" w:hAnsi="Times New Roman" w:eastAsia="方正仿宋_GBK" w:cs="Times New Roman"/>
                <w:color w:val="auto"/>
                <w:sz w:val="24"/>
                <w:szCs w:val="24"/>
                <w:highlight w:val="none"/>
              </w:rPr>
              <w:t>学员培训档案；培训方案和计划开展培训工作，保障培训质量。</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3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医院有限制类技术临床应用规范化培训制度、培训方案及计划，专人负责并明确岗位职责和管理要求。</w:t>
            </w:r>
          </w:p>
          <w:p>
            <w:pPr>
              <w:pageBreakBefore w:val="0"/>
              <w:numPr>
                <w:ilvl w:val="0"/>
                <w:numId w:val="13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加强对培训导师的管理，严格按统一的培训大纲和教材制定培训方案与计划开展培训工作，建立医师培训档案，制定保障培训质量的制度及具体措施，确保培训质量和效果。</w:t>
            </w:r>
          </w:p>
          <w:p>
            <w:pPr>
              <w:pageBreakBefore w:val="0"/>
              <w:numPr>
                <w:ilvl w:val="0"/>
                <w:numId w:val="13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有参加培训的学员管理制度并建立个人培训档案。参加培训的医师应符合相关医疗技术临床应用管理规范要求，完成培训后应接受考核，考核包括过程考核和结业考核。</w:t>
            </w:r>
          </w:p>
        </w:tc>
        <w:tc>
          <w:tcPr>
            <w:tcW w:w="1269" w:type="pct"/>
            <w:tcMar>
              <w:top w:w="22" w:type="dxa"/>
              <w:left w:w="22" w:type="dxa"/>
              <w:bottom w:w="22" w:type="dxa"/>
              <w:right w:w="22" w:type="dxa"/>
            </w:tcMar>
            <w:vAlign w:val="center"/>
          </w:tcPr>
          <w:p>
            <w:pPr>
              <w:pageBreakBefore w:val="0"/>
              <w:numPr>
                <w:ilvl w:val="0"/>
                <w:numId w:val="13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3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3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主管部门对培训制度、教学、效果及学员档案等有全程督查，对存在问题有总结、分析、反馈，并检查整改落实情况。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持续改进有成效，有数据体现培训质量提升（培训方案、效果等）。</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tcBorders>
              <w:left w:val="nil"/>
              <w:right w:val="nil"/>
            </w:tcBorders>
            <w:vAlign w:val="center"/>
          </w:tcPr>
          <w:p>
            <w:pPr>
              <w:pStyle w:val="4"/>
              <w:pageBreakBefore w:val="0"/>
              <w:kinsoku/>
              <w:wordWrap/>
              <w:overflowPunct/>
              <w:topLinePunct w:val="0"/>
              <w:bidi w:val="0"/>
              <w:snapToGrid/>
              <w:spacing w:before="0" w:beforeAutospacing="0" w:after="0" w:afterAutospacing="0" w:line="560" w:lineRule="exact"/>
              <w:ind w:left="0" w:leftChars="0" w:rightChars="0" w:firstLine="624" w:firstLineChars="200"/>
              <w:jc w:val="lef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黑体_GBK" w:cs="Times New Roman"/>
                <w:b w:val="0"/>
                <w:color w:val="auto"/>
                <w:szCs w:val="24"/>
                <w:highlight w:val="none"/>
              </w:rPr>
              <w:t>四、医疗安全风险防范</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评审标准</w:t>
            </w:r>
          </w:p>
        </w:tc>
        <w:tc>
          <w:tcPr>
            <w:tcW w:w="2802" w:type="pct"/>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评审要点</w:t>
            </w:r>
          </w:p>
        </w:tc>
        <w:tc>
          <w:tcPr>
            <w:tcW w:w="1269" w:type="pct"/>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评审方法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tcMar>
              <w:top w:w="22" w:type="dxa"/>
              <w:left w:w="22" w:type="dxa"/>
              <w:bottom w:w="22" w:type="dxa"/>
              <w:right w:w="22" w:type="dxa"/>
            </w:tcMar>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2.4.1以减少诊疗活动对患者的伤害为目标，建立医疗质量（安全）不良事件信息采集、记录和报告相关制度和激励机制。有对本院医疗质量（安全）不良事件及管理缺陷进行统计分析、信息共享和持续改进机制。</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2.4.1.1 建立健全医疗质量（安全）不良事件信息采集、记录和报告相关制度和激励机制并落实。</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4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医院有医疗质量（安全）不良事件信息采集、记录和报告相关制度和激励机制。</w:t>
            </w:r>
          </w:p>
          <w:p>
            <w:pPr>
              <w:pageBreakBefore w:val="0"/>
              <w:numPr>
                <w:ilvl w:val="0"/>
                <w:numId w:val="14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有途径便于相关人员报告医疗质量（安全）不良事件；有部门统一收集、核查医疗质量（安全）不良事件，并按要求向相关机构上报。</w:t>
            </w:r>
          </w:p>
          <w:p>
            <w:pPr>
              <w:pageBreakBefore w:val="0"/>
              <w:numPr>
                <w:ilvl w:val="0"/>
                <w:numId w:val="14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有不良事件报告制度及流程的培训，相关人员知晓基本要求并落实。</w:t>
            </w:r>
          </w:p>
        </w:tc>
        <w:tc>
          <w:tcPr>
            <w:tcW w:w="1269" w:type="pct"/>
            <w:tcMar>
              <w:top w:w="22" w:type="dxa"/>
              <w:left w:w="22" w:type="dxa"/>
              <w:bottom w:w="22" w:type="dxa"/>
              <w:right w:w="22" w:type="dxa"/>
            </w:tcMar>
            <w:vAlign w:val="center"/>
          </w:tcPr>
          <w:p>
            <w:pPr>
              <w:pageBreakBefore w:val="0"/>
              <w:numPr>
                <w:ilvl w:val="0"/>
                <w:numId w:val="14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4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4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随机询问5名医务人员，对制度及报告流程的知晓度，知晓率100%。</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14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有部门统一收集、核查医院安全（不良）事件，向相关机构上报。</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2.主管部门有检查、分析、反馈。</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3.每百张床位年报告≥10件。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14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持续改进有成效，建立医院安全（不良）事件直报系统及数据库。</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2.每百张床位年报告≥20件。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现场查看医疗安全</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不良</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事件网络直报系统。</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查阅相关统计资料。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2.4.1.2 定期分析医院安全（不良）事件信息，利用信息资源改进医院安全管理。</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4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对医疗质量安全不良事件实施分级、分类管理，定期分析医院安全（不良）事件信息。</w:t>
            </w:r>
          </w:p>
          <w:p>
            <w:pPr>
              <w:pageBreakBefore w:val="0"/>
              <w:numPr>
                <w:ilvl w:val="0"/>
                <w:numId w:val="14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主管部门结合全院共性及各科室特点，开展针对性的教育与培训。</w:t>
            </w:r>
          </w:p>
        </w:tc>
        <w:tc>
          <w:tcPr>
            <w:tcW w:w="1269" w:type="pct"/>
            <w:tcMar>
              <w:top w:w="22" w:type="dxa"/>
              <w:left w:w="22" w:type="dxa"/>
              <w:bottom w:w="22" w:type="dxa"/>
              <w:right w:w="22" w:type="dxa"/>
            </w:tcMar>
            <w:vAlign w:val="center"/>
          </w:tcPr>
          <w:p>
            <w:pPr>
              <w:pageBreakBefore w:val="0"/>
              <w:numPr>
                <w:ilvl w:val="0"/>
                <w:numId w:val="14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4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主管部门定期督导检查、分析、反馈，并检查科室整改落实情况。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2.4.2 落实《医疗纠纷预防和处理条例》，加强医疗风险管理，完善医疗风险的识别、评估和防控措施并定期检查落实情况，及时消除隐患。</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2.4.2.1 落实《医疗纠纷预防和处理条例》，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针对医疗风险制定相应制度、流程与医疗风险管理方案。</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4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医院有医疗风险管理的制度、方案及流程。包括医</w:t>
            </w:r>
            <w:r>
              <w:rPr>
                <w:rFonts w:hint="default" w:ascii="Times New Roman" w:hAnsi="Times New Roman" w:eastAsia="方正仿宋_GBK" w:cs="Times New Roman"/>
                <w:color w:val="auto"/>
                <w:spacing w:val="-6"/>
                <w:sz w:val="24"/>
                <w:szCs w:val="24"/>
                <w:highlight w:val="none"/>
              </w:rPr>
              <w:t>疗风险识别、评估、分析、处理和监控等内容。</w:t>
            </w:r>
          </w:p>
          <w:p>
            <w:pPr>
              <w:pageBreakBefore w:val="0"/>
              <w:numPr>
                <w:ilvl w:val="0"/>
                <w:numId w:val="14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有医疗风险防范培训的计划，能够针对共性及各科室专业特点制定相关培训内容。</w:t>
            </w:r>
          </w:p>
          <w:p>
            <w:pPr>
              <w:pageBreakBefore w:val="0"/>
              <w:numPr>
                <w:ilvl w:val="0"/>
                <w:numId w:val="14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相关人员知晓并落实。</w:t>
            </w:r>
          </w:p>
        </w:tc>
        <w:tc>
          <w:tcPr>
            <w:tcW w:w="1269" w:type="pct"/>
            <w:tcMar>
              <w:top w:w="22" w:type="dxa"/>
              <w:left w:w="22" w:type="dxa"/>
              <w:bottom w:w="22" w:type="dxa"/>
              <w:right w:w="22" w:type="dxa"/>
            </w:tcMar>
            <w:vAlign w:val="center"/>
          </w:tcPr>
          <w:p>
            <w:pPr>
              <w:pageBreakBefore w:val="0"/>
              <w:numPr>
                <w:ilvl w:val="0"/>
                <w:numId w:val="14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4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4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随机询问医护人员各5名，了解其知晓情况，知晓率100%。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14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科室有定期自查、总结分析与整改。</w:t>
            </w:r>
          </w:p>
          <w:p>
            <w:pPr>
              <w:pageBreakBefore w:val="0"/>
              <w:numPr>
                <w:ilvl w:val="0"/>
                <w:numId w:val="14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主管部门定期督查、分析、反馈，并检查科室整改落实情况。</w:t>
            </w:r>
          </w:p>
        </w:tc>
        <w:tc>
          <w:tcPr>
            <w:tcW w:w="1269" w:type="pct"/>
            <w:tcMar>
              <w:top w:w="22" w:type="dxa"/>
              <w:left w:w="22" w:type="dxa"/>
              <w:bottom w:w="22" w:type="dxa"/>
              <w:right w:w="22" w:type="dxa"/>
            </w:tcMar>
            <w:vAlign w:val="center"/>
          </w:tcPr>
          <w:p>
            <w:pPr>
              <w:pageBreakBefore w:val="0"/>
              <w:numPr>
                <w:ilvl w:val="0"/>
                <w:numId w:val="14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4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2.4.3落实《关于推进医院安全秩序管理工作的指导意见》，维护正常医疗秩序，保护医务人员人身安全，为医患双方营造良好诊疗环境。</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2.4.3.1落实《关于推进医院安全秩序管理工作的指导意见》等有关规定要求，维护正常医疗秩序，保护医务人员人身安全。</w:t>
            </w:r>
          </w:p>
        </w:tc>
        <w:tc>
          <w:tcPr>
            <w:tcW w:w="2802" w:type="pct"/>
            <w:vAlign w:val="center"/>
          </w:tcPr>
          <w:p>
            <w:pPr>
              <w:pageBreakBefore w:val="0"/>
              <w:widowControl/>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【C】</w:t>
            </w:r>
          </w:p>
          <w:p>
            <w:pPr>
              <w:pageBreakBefore w:val="0"/>
              <w:widowControl/>
              <w:numPr>
                <w:ilvl w:val="0"/>
                <w:numId w:val="15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医院有安全秩序管理组织机构，明确医院主要负责人是本院安全秩序管理的第一责任人。</w:t>
            </w:r>
          </w:p>
          <w:p>
            <w:pPr>
              <w:pageBreakBefore w:val="0"/>
              <w:widowControl/>
              <w:numPr>
                <w:ilvl w:val="0"/>
                <w:numId w:val="150"/>
              </w:numPr>
              <w:kinsoku/>
              <w:wordWrap/>
              <w:overflowPunct/>
              <w:topLinePunct w:val="0"/>
              <w:bidi w:val="0"/>
              <w:snapToGrid/>
              <w:spacing w:line="300" w:lineRule="exact"/>
              <w:ind w:left="0" w:leftChars="0" w:firstLine="0" w:firstLineChars="0"/>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制定落实风险排查、安全防控、守护巡查、应急处置、教育培训、定期检查等安全保卫工作制度。</w:t>
            </w:r>
          </w:p>
          <w:p>
            <w:pPr>
              <w:pageBreakBefore w:val="0"/>
              <w:widowControl/>
              <w:numPr>
                <w:ilvl w:val="0"/>
                <w:numId w:val="150"/>
              </w:numPr>
              <w:kinsoku/>
              <w:wordWrap/>
              <w:overflowPunct/>
              <w:topLinePunct w:val="0"/>
              <w:bidi w:val="0"/>
              <w:snapToGrid/>
              <w:spacing w:line="300" w:lineRule="exact"/>
              <w:ind w:left="0" w:leftChars="0" w:firstLine="0" w:firstLineChars="0"/>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有配备完善、训练有素的医院保安队伍。</w:t>
            </w:r>
          </w:p>
          <w:p>
            <w:pPr>
              <w:pageBreakBefore w:val="0"/>
              <w:widowControl/>
              <w:numPr>
                <w:ilvl w:val="0"/>
                <w:numId w:val="150"/>
              </w:numPr>
              <w:kinsoku/>
              <w:wordWrap/>
              <w:overflowPunct/>
              <w:topLinePunct w:val="0"/>
              <w:bidi w:val="0"/>
              <w:snapToGrid/>
              <w:spacing w:line="300" w:lineRule="exact"/>
              <w:ind w:left="0" w:leftChars="0" w:firstLine="0" w:firstLineChars="0"/>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医院物防设施完备。</w:t>
            </w:r>
          </w:p>
          <w:p>
            <w:pPr>
              <w:pageBreakBefore w:val="0"/>
              <w:widowControl/>
              <w:numPr>
                <w:ilvl w:val="0"/>
                <w:numId w:val="150"/>
              </w:numPr>
              <w:kinsoku/>
              <w:wordWrap/>
              <w:overflowPunct/>
              <w:topLinePunct w:val="0"/>
              <w:bidi w:val="0"/>
              <w:snapToGrid/>
              <w:spacing w:line="300" w:lineRule="exact"/>
              <w:ind w:left="0" w:leftChars="0" w:firstLine="0" w:firstLineChars="0"/>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医院技防系统完备。</w:t>
            </w:r>
          </w:p>
          <w:p>
            <w:pPr>
              <w:pageBreakBefore w:val="0"/>
              <w:widowControl/>
              <w:numPr>
                <w:ilvl w:val="0"/>
                <w:numId w:val="150"/>
              </w:numPr>
              <w:kinsoku/>
              <w:wordWrap/>
              <w:overflowPunct/>
              <w:topLinePunct w:val="0"/>
              <w:bidi w:val="0"/>
              <w:snapToGrid/>
              <w:spacing w:line="300" w:lineRule="exact"/>
              <w:ind w:left="0" w:lef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医院设立警务室。</w:t>
            </w:r>
          </w:p>
          <w:p>
            <w:pPr>
              <w:pageBreakBefore w:val="0"/>
              <w:widowControl/>
              <w:numPr>
                <w:ilvl w:val="0"/>
                <w:numId w:val="150"/>
              </w:numPr>
              <w:kinsoku/>
              <w:wordWrap/>
              <w:overflowPunct/>
              <w:topLinePunct w:val="0"/>
              <w:bidi w:val="0"/>
              <w:snapToGrid/>
              <w:spacing w:line="300" w:lineRule="exact"/>
              <w:ind w:left="0" w:lef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医院有序开展安检工作。</w:t>
            </w:r>
          </w:p>
        </w:tc>
        <w:tc>
          <w:tcPr>
            <w:tcW w:w="1269" w:type="pct"/>
            <w:vAlign w:val="center"/>
          </w:tcPr>
          <w:p>
            <w:pPr>
              <w:pageBreakBefore w:val="0"/>
              <w:widowControl/>
              <w:numPr>
                <w:ilvl w:val="0"/>
                <w:numId w:val="15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查阅相关资料。</w:t>
            </w:r>
          </w:p>
          <w:p>
            <w:pPr>
              <w:pageBreakBefore w:val="0"/>
              <w:widowControl/>
              <w:numPr>
                <w:ilvl w:val="0"/>
                <w:numId w:val="15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查阅相关资料（制度、预案、流程及培训、演练记录等）。</w:t>
            </w:r>
          </w:p>
          <w:p>
            <w:pPr>
              <w:pageBreakBefore w:val="0"/>
              <w:widowControl/>
              <w:numPr>
                <w:ilvl w:val="0"/>
                <w:numId w:val="15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查阅保安队伍花名册、相应配备及相关培训证件等。</w:t>
            </w:r>
          </w:p>
          <w:p>
            <w:pPr>
              <w:pageBreakBefore w:val="0"/>
              <w:widowControl/>
              <w:numPr>
                <w:ilvl w:val="0"/>
                <w:numId w:val="15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现场查看医院供水、供电、 易燃易爆物品存放、“毒、麻、精、放”药（物）品等重点要害部位按照相关规定或者标准安装安全防护设施并运行正常。</w:t>
            </w:r>
          </w:p>
          <w:p>
            <w:pPr>
              <w:pageBreakBefore w:val="0"/>
              <w:widowControl/>
              <w:numPr>
                <w:ilvl w:val="0"/>
                <w:numId w:val="15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现场查看医院安全监控中心、监控报警系统、出入口控制系统和电子巡查系统设置及运行是否符合要求。</w:t>
            </w:r>
          </w:p>
          <w:p>
            <w:pPr>
              <w:pageBreakBefore w:val="0"/>
              <w:widowControl/>
              <w:numPr>
                <w:ilvl w:val="0"/>
                <w:numId w:val="15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现场查看医院警务室设置及工作记录。</w:t>
            </w:r>
          </w:p>
          <w:p>
            <w:pPr>
              <w:pageBreakBefore w:val="0"/>
              <w:widowControl/>
              <w:numPr>
                <w:ilvl w:val="0"/>
                <w:numId w:val="15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现场查看安检配备（金属探测门、微量X射线安全检查设备、手持式金属探测器等安检设备）及安检工作是否符合要求。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numPr>
                <w:ilvl w:val="0"/>
                <w:numId w:val="15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医院定期组织相关自查、召开专题会议，总结、反馈工作，提出整改措施并落实。</w:t>
            </w:r>
          </w:p>
          <w:p>
            <w:pPr>
              <w:pageBreakBefore w:val="0"/>
              <w:widowControl/>
              <w:numPr>
                <w:ilvl w:val="0"/>
                <w:numId w:val="15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安全保卫人员按照不低于在岗医务人员总数的3％或者20张病床1名保安或日均门诊量3‰的标准配备。</w:t>
            </w:r>
          </w:p>
        </w:tc>
        <w:tc>
          <w:tcPr>
            <w:tcW w:w="1269" w:type="pct"/>
            <w:vAlign w:val="center"/>
          </w:tcPr>
          <w:p>
            <w:pPr>
              <w:pageBreakBefore w:val="0"/>
              <w:widowControl/>
              <w:numPr>
                <w:ilvl w:val="0"/>
                <w:numId w:val="15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查阅相关资料。</w:t>
            </w:r>
          </w:p>
          <w:p>
            <w:pPr>
              <w:pageBreakBefore w:val="0"/>
              <w:widowControl/>
              <w:numPr>
                <w:ilvl w:val="0"/>
                <w:numId w:val="15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查阅保安队伍花名册，是否符合要求。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医院按照有关国家标准和行业标准，布建智能安防系统，实现医院智慧安防。</w:t>
            </w:r>
          </w:p>
        </w:tc>
        <w:tc>
          <w:tcPr>
            <w:tcW w:w="1269" w:type="pct"/>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现场查看。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2.4.</w:t>
            </w:r>
            <w:r>
              <w:rPr>
                <w:rFonts w:hint="default" w:ascii="Times New Roman" w:hAnsi="Times New Roman" w:eastAsia="方正仿宋_GBK"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rPr>
              <w:t xml:space="preserve"> 建立健全医患沟通机制和投诉管理制度。实行</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首诉负责制</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。投诉相关信息用于医疗质量管理的持续改进。</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2.4.</w:t>
            </w:r>
            <w:r>
              <w:rPr>
                <w:rFonts w:hint="default" w:ascii="Times New Roman" w:hAnsi="Times New Roman" w:eastAsia="方正仿宋_GBK"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rPr>
              <w:t>.1 建立健全医患沟通机制和投诉管理制度。实行</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首诉负责制</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。投诉相关信息用于医疗质量管理的持续改进。</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numPr>
                <w:ilvl w:val="0"/>
                <w:numId w:val="154"/>
              </w:numPr>
              <w:suppressLineNumbers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医院按照《医疗机构投诉管理办法》制度相关制度及工作流程，实行“首诉负责制”。</w:t>
            </w:r>
          </w:p>
          <w:p>
            <w:pPr>
              <w:keepNext w:val="0"/>
              <w:keepLines w:val="0"/>
              <w:pageBreakBefore w:val="0"/>
              <w:widowControl/>
              <w:numPr>
                <w:ilvl w:val="0"/>
                <w:numId w:val="154"/>
              </w:numPr>
              <w:suppressLineNumbers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医院设置投诉管理部门，并向社会公开。</w:t>
            </w:r>
          </w:p>
          <w:p>
            <w:pPr>
              <w:pageBreakBefore w:val="0"/>
              <w:numPr>
                <w:ilvl w:val="0"/>
                <w:numId w:val="154"/>
              </w:numPr>
              <w:kinsoku/>
              <w:wordWrap/>
              <w:overflowPunct/>
              <w:topLinePunct w:val="0"/>
              <w:bidi w:val="0"/>
              <w:snapToGrid/>
              <w:spacing w:line="300" w:lineRule="exact"/>
              <w:ind w:left="0" w:lef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对投诉处置有明确时限规定，告知患者投诉处置结果。</w:t>
            </w:r>
          </w:p>
        </w:tc>
        <w:tc>
          <w:tcPr>
            <w:tcW w:w="1269" w:type="pct"/>
            <w:tcMar>
              <w:top w:w="22" w:type="dxa"/>
              <w:left w:w="22" w:type="dxa"/>
              <w:bottom w:w="22" w:type="dxa"/>
              <w:right w:w="22" w:type="dxa"/>
            </w:tcMar>
            <w:vAlign w:val="center"/>
          </w:tcPr>
          <w:p>
            <w:pPr>
              <w:keepNext w:val="0"/>
              <w:keepLines w:val="0"/>
              <w:pageBreakBefore w:val="0"/>
              <w:widowControl/>
              <w:numPr>
                <w:ilvl w:val="0"/>
                <w:numId w:val="155"/>
              </w:numPr>
              <w:suppressLineNumbers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查阅相关资料。</w:t>
            </w:r>
          </w:p>
          <w:p>
            <w:pPr>
              <w:keepNext w:val="0"/>
              <w:keepLines w:val="0"/>
              <w:pageBreakBefore w:val="0"/>
              <w:widowControl/>
              <w:numPr>
                <w:ilvl w:val="0"/>
                <w:numId w:val="155"/>
              </w:numPr>
              <w:suppressLineNumbers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现场查看相关部门，查阅相关公示情况。</w:t>
            </w:r>
          </w:p>
          <w:p>
            <w:pPr>
              <w:pageBreakBefore w:val="0"/>
              <w:numPr>
                <w:ilvl w:val="0"/>
                <w:numId w:val="155"/>
              </w:numPr>
              <w:kinsoku/>
              <w:wordWrap/>
              <w:overflowPunct/>
              <w:topLinePunct w:val="0"/>
              <w:bidi w:val="0"/>
              <w:snapToGrid/>
              <w:spacing w:line="300" w:lineRule="exact"/>
              <w:ind w:left="0" w:lef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抽查10份投诉处理档案，是否符合要求。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strike/>
                <w:dstrike w:val="0"/>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1.主管部门定期分析相关投诉信息，总结、反馈。</w:t>
            </w:r>
          </w:p>
          <w:p>
            <w:pPr>
              <w:pageBreakBefore w:val="0"/>
              <w:widowControl/>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strike/>
                <w:dstrike w:val="0"/>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2.以投诉案例开展警示教育、制定防范措施并落实。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 xml:space="preserve">1. </w:t>
            </w: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strike/>
                <w:dstrike w:val="0"/>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有数据或案例体现投诉管理促进医疗质量安全持续改进。</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2.4.</w:t>
            </w:r>
            <w:r>
              <w:rPr>
                <w:rFonts w:hint="default" w:ascii="Times New Roman" w:hAnsi="Times New Roman" w:eastAsia="方正仿宋_GBK" w:cs="Times New Roman"/>
                <w:color w:val="auto"/>
                <w:sz w:val="24"/>
                <w:szCs w:val="24"/>
                <w:highlight w:val="none"/>
                <w:lang w:val="en-US" w:eastAsia="zh-CN"/>
              </w:rPr>
              <w:t>5</w:t>
            </w:r>
            <w:r>
              <w:rPr>
                <w:rFonts w:hint="default" w:ascii="Times New Roman" w:hAnsi="Times New Roman" w:eastAsia="方正仿宋_GBK" w:cs="Times New Roman"/>
                <w:color w:val="auto"/>
                <w:sz w:val="24"/>
                <w:szCs w:val="24"/>
                <w:highlight w:val="none"/>
              </w:rPr>
              <w:t xml:space="preserve"> 建立药品不良反应、药品损害事件和医疗器械不良事件监测报告制度，定期评估相关事件并及时反馈临床，按照国家有关规定向相关部门报告。</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cs="Times New Roman"/>
                <w:color w:val="auto"/>
                <w:sz w:val="24"/>
                <w:szCs w:val="24"/>
                <w:highlight w:val="none"/>
              </w:rPr>
            </w:pPr>
            <w:r>
              <w:rPr>
                <w:rFonts w:hint="default" w:ascii="Times New Roman" w:hAnsi="Times New Roman" w:eastAsia="方正仿宋_GBK" w:cs="Times New Roman"/>
                <w:color w:val="auto"/>
                <w:sz w:val="24"/>
                <w:szCs w:val="24"/>
                <w:highlight w:val="none"/>
              </w:rPr>
              <w:t>2.4.</w:t>
            </w:r>
            <w:r>
              <w:rPr>
                <w:rFonts w:hint="default" w:ascii="Times New Roman" w:hAnsi="Times New Roman" w:eastAsia="方正仿宋_GBK" w:cs="Times New Roman"/>
                <w:color w:val="auto"/>
                <w:sz w:val="24"/>
                <w:szCs w:val="24"/>
                <w:highlight w:val="none"/>
                <w:lang w:val="en-US" w:eastAsia="zh-CN"/>
              </w:rPr>
              <w:t>5</w:t>
            </w:r>
            <w:r>
              <w:rPr>
                <w:rFonts w:hint="default" w:ascii="Times New Roman" w:hAnsi="Times New Roman" w:eastAsia="方正仿宋_GBK" w:cs="Times New Roman"/>
                <w:color w:val="auto"/>
                <w:sz w:val="24"/>
                <w:szCs w:val="24"/>
                <w:highlight w:val="none"/>
              </w:rPr>
              <w:t>.1 建立全院药品不良反应与药品损</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害事件监测体系、报告制度及药害事件调查处理程序。（医疗器械不良事件监测报告详见3.5.3）</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5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医院有药品不良反应与药害事件监测报告管理的制度与程序，有鼓励药品不良反应与药害事件报告的措施。</w:t>
            </w:r>
          </w:p>
          <w:p>
            <w:pPr>
              <w:pageBreakBefore w:val="0"/>
              <w:numPr>
                <w:ilvl w:val="0"/>
                <w:numId w:val="15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建立药品不良事件报告信息平台，药学部为药品不良事件报告汇总部门，与医疗安全（不良）事件统一管理，每月对全院药物不良事件进行初步调查、分析、总结，并按国家有关规定向相关部门报告。</w:t>
            </w:r>
          </w:p>
          <w:p>
            <w:pPr>
              <w:pageBreakBefore w:val="0"/>
              <w:numPr>
                <w:ilvl w:val="0"/>
                <w:numId w:val="15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有药物不良反应、药害事件上报流程培训，相关人员熟练掌握并落实执行。</w:t>
            </w:r>
          </w:p>
        </w:tc>
        <w:tc>
          <w:tcPr>
            <w:tcW w:w="1269" w:type="pct"/>
            <w:tcMar>
              <w:top w:w="22" w:type="dxa"/>
              <w:left w:w="22" w:type="dxa"/>
              <w:bottom w:w="22" w:type="dxa"/>
              <w:right w:w="22" w:type="dxa"/>
            </w:tcMar>
            <w:vAlign w:val="center"/>
          </w:tcPr>
          <w:p>
            <w:pPr>
              <w:pageBreakBefore w:val="0"/>
              <w:numPr>
                <w:ilvl w:val="0"/>
                <w:numId w:val="15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5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5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查阅相关资料，随机询问药学部人员、医师及护士各2名，了解其知晓情况，知晓率100%。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15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对产生后果的不良事件及时</w:t>
            </w:r>
            <w:r>
              <w:rPr>
                <w:rFonts w:hint="default" w:ascii="Times New Roman" w:hAnsi="Times New Roman" w:eastAsia="方正仿宋_GBK" w:cs="Times New Roman"/>
                <w:color w:val="auto"/>
                <w:sz w:val="24"/>
                <w:szCs w:val="24"/>
                <w:highlight w:val="none"/>
              </w:rPr>
              <w:t>开展根本原因分析</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提出改进措施</w:t>
            </w:r>
            <w:r>
              <w:rPr>
                <w:rFonts w:hint="default" w:ascii="Times New Roman" w:hAnsi="Times New Roman" w:eastAsia="方正仿宋_GBK" w:cs="Times New Roman"/>
                <w:color w:val="auto"/>
                <w:sz w:val="24"/>
                <w:szCs w:val="24"/>
                <w:highlight w:val="none"/>
                <w:lang w:eastAsia="zh-CN"/>
              </w:rPr>
              <w:t>。</w:t>
            </w:r>
          </w:p>
          <w:p>
            <w:pPr>
              <w:pageBreakBefore w:val="0"/>
              <w:numPr>
                <w:ilvl w:val="0"/>
                <w:numId w:val="15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主管部门定期检查</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总结、反馈</w:t>
            </w:r>
            <w:r>
              <w:rPr>
                <w:rFonts w:hint="default" w:ascii="Times New Roman" w:hAnsi="Times New Roman" w:eastAsia="方正仿宋_GBK" w:cs="Times New Roman"/>
                <w:color w:val="auto"/>
                <w:sz w:val="24"/>
                <w:szCs w:val="24"/>
                <w:highlight w:val="none"/>
              </w:rPr>
              <w:t>整改落实情况。</w:t>
            </w:r>
          </w:p>
        </w:tc>
        <w:tc>
          <w:tcPr>
            <w:tcW w:w="1269" w:type="pct"/>
            <w:tcMar>
              <w:top w:w="22" w:type="dxa"/>
              <w:left w:w="22" w:type="dxa"/>
              <w:bottom w:w="22" w:type="dxa"/>
              <w:right w:w="22" w:type="dxa"/>
            </w:tcMar>
            <w:vAlign w:val="center"/>
          </w:tcPr>
          <w:p>
            <w:pPr>
              <w:pageBreakBefore w:val="0"/>
              <w:numPr>
                <w:ilvl w:val="0"/>
                <w:numId w:val="15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5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2.4.</w:t>
            </w:r>
            <w:r>
              <w:rPr>
                <w:rFonts w:hint="default" w:ascii="Times New Roman" w:hAnsi="Times New Roman" w:eastAsia="方正仿宋_GBK" w:cs="Times New Roman"/>
                <w:color w:val="auto"/>
                <w:sz w:val="24"/>
                <w:szCs w:val="24"/>
                <w:highlight w:val="none"/>
                <w:lang w:val="en-US" w:eastAsia="zh-CN"/>
              </w:rPr>
              <w:t>6</w:t>
            </w:r>
            <w:r>
              <w:rPr>
                <w:rFonts w:hint="default" w:ascii="Times New Roman" w:hAnsi="Times New Roman" w:eastAsia="方正仿宋_GBK" w:cs="Times New Roman"/>
                <w:color w:val="auto"/>
                <w:sz w:val="24"/>
                <w:szCs w:val="24"/>
                <w:highlight w:val="none"/>
              </w:rPr>
              <w:t xml:space="preserve"> 有对深静脉血栓中高危患者评估、识别、预防、诊断和处置的制度和流程并开展全员培训。</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2.4.</w:t>
            </w:r>
            <w:r>
              <w:rPr>
                <w:rFonts w:hint="default" w:ascii="Times New Roman" w:hAnsi="Times New Roman" w:eastAsia="方正仿宋_GBK" w:cs="Times New Roman"/>
                <w:color w:val="auto"/>
                <w:sz w:val="24"/>
                <w:szCs w:val="24"/>
                <w:highlight w:val="none"/>
                <w:lang w:val="en-US" w:eastAsia="zh-CN"/>
              </w:rPr>
              <w:t>6</w:t>
            </w:r>
            <w:r>
              <w:rPr>
                <w:rFonts w:hint="default" w:ascii="Times New Roman" w:hAnsi="Times New Roman" w:eastAsia="方正仿宋_GBK" w:cs="Times New Roman"/>
                <w:color w:val="auto"/>
                <w:sz w:val="24"/>
                <w:szCs w:val="24"/>
                <w:highlight w:val="none"/>
              </w:rPr>
              <w:t>.1 有深静脉血栓中高危患者评估、识</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别、预防、诊断和处置的制度和流程。</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6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医院有深静脉血栓防治管理制度或防治手册</w:t>
            </w:r>
            <w:r>
              <w:rPr>
                <w:rFonts w:hint="default" w:ascii="Times New Roman" w:hAnsi="Times New Roman" w:eastAsia="方正仿宋_GBK" w:cs="Times New Roman"/>
                <w:color w:val="auto"/>
                <w:sz w:val="24"/>
                <w:szCs w:val="24"/>
                <w:highlight w:val="none"/>
                <w:lang w:val="en-US" w:eastAsia="zh-CN"/>
              </w:rPr>
              <w:t>并培训</w:t>
            </w:r>
            <w:r>
              <w:rPr>
                <w:rFonts w:hint="default" w:ascii="Times New Roman" w:hAnsi="Times New Roman" w:eastAsia="方正仿宋_GBK" w:cs="Times New Roman"/>
                <w:color w:val="auto"/>
                <w:sz w:val="24"/>
                <w:szCs w:val="24"/>
                <w:highlight w:val="none"/>
              </w:rPr>
              <w:t>。</w:t>
            </w:r>
          </w:p>
          <w:p>
            <w:pPr>
              <w:pageBreakBefore w:val="0"/>
              <w:numPr>
                <w:ilvl w:val="0"/>
                <w:numId w:val="16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有深静脉血栓评估、识别、预防、诊断和处置流程及评估表并能落实。</w:t>
            </w:r>
          </w:p>
          <w:p>
            <w:pPr>
              <w:pageBreakBefore w:val="0"/>
              <w:numPr>
                <w:ilvl w:val="0"/>
                <w:numId w:val="16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医院</w:t>
            </w:r>
            <w:r>
              <w:rPr>
                <w:rFonts w:hint="default" w:ascii="Times New Roman" w:hAnsi="Times New Roman" w:eastAsia="方正仿宋_GBK" w:cs="Times New Roman"/>
                <w:color w:val="auto"/>
                <w:sz w:val="24"/>
                <w:szCs w:val="24"/>
                <w:highlight w:val="none"/>
              </w:rPr>
              <w:t>有深静脉血栓快速反应团队或专家会诊团队。</w:t>
            </w:r>
          </w:p>
        </w:tc>
        <w:tc>
          <w:tcPr>
            <w:tcW w:w="1269" w:type="pct"/>
            <w:tcMar>
              <w:top w:w="22" w:type="dxa"/>
              <w:left w:w="22" w:type="dxa"/>
              <w:bottom w:w="22" w:type="dxa"/>
              <w:right w:w="22" w:type="dxa"/>
            </w:tcMar>
            <w:vAlign w:val="center"/>
          </w:tcPr>
          <w:p>
            <w:pPr>
              <w:pageBreakBefore w:val="0"/>
              <w:numPr>
                <w:ilvl w:val="0"/>
                <w:numId w:val="16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6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查阅相关资料，抽查在院相关病历5份，评价执行情况，执行率100%。</w:t>
            </w:r>
          </w:p>
          <w:p>
            <w:pPr>
              <w:pageBreakBefore w:val="0"/>
              <w:numPr>
                <w:ilvl w:val="0"/>
                <w:numId w:val="16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查阅相关资料（包括工作记录）</w:t>
            </w:r>
            <w:r>
              <w:rPr>
                <w:rFonts w:hint="default" w:ascii="Times New Roman" w:hAnsi="Times New Roman" w:eastAsia="方正仿宋_GBK" w:cs="Times New Roman"/>
                <w:color w:val="auto"/>
                <w:sz w:val="24"/>
                <w:szCs w:val="24"/>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16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科室有定期自查、总结分析与整改。</w:t>
            </w:r>
          </w:p>
          <w:p>
            <w:pPr>
              <w:pageBreakBefore w:val="0"/>
              <w:numPr>
                <w:ilvl w:val="0"/>
                <w:numId w:val="16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医务部、护理部</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定期督查、分析、反馈，并检查科室整改落实情况。</w:t>
            </w:r>
          </w:p>
        </w:tc>
        <w:tc>
          <w:tcPr>
            <w:tcW w:w="1269" w:type="pct"/>
            <w:tcMar>
              <w:top w:w="22" w:type="dxa"/>
              <w:left w:w="22" w:type="dxa"/>
              <w:bottom w:w="22" w:type="dxa"/>
              <w:right w:w="22" w:type="dxa"/>
            </w:tcMar>
            <w:vAlign w:val="center"/>
          </w:tcPr>
          <w:p>
            <w:pPr>
              <w:pageBreakBefore w:val="0"/>
              <w:numPr>
                <w:ilvl w:val="0"/>
                <w:numId w:val="16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抽查2个临床科室的相关资料。</w:t>
            </w:r>
          </w:p>
          <w:p>
            <w:pPr>
              <w:pageBreakBefore w:val="0"/>
              <w:numPr>
                <w:ilvl w:val="0"/>
                <w:numId w:val="16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2.4.</w:t>
            </w:r>
            <w:r>
              <w:rPr>
                <w:rFonts w:hint="default" w:ascii="Times New Roman" w:hAnsi="Times New Roman" w:eastAsia="方正仿宋_GBK" w:cs="Times New Roman"/>
                <w:color w:val="auto"/>
                <w:sz w:val="24"/>
                <w:szCs w:val="24"/>
                <w:highlight w:val="none"/>
                <w:lang w:val="en-US" w:eastAsia="zh-CN"/>
              </w:rPr>
              <w:t>7</w:t>
            </w:r>
            <w:r>
              <w:rPr>
                <w:rFonts w:hint="default" w:ascii="Times New Roman" w:hAnsi="Times New Roman" w:eastAsia="方正仿宋_GBK" w:cs="Times New Roman"/>
                <w:color w:val="auto"/>
                <w:sz w:val="24"/>
                <w:szCs w:val="24"/>
                <w:highlight w:val="none"/>
              </w:rPr>
              <w:t xml:space="preserve"> 关注院内安全，有针对心跳骤停、昏迷、跌倒等高风险意外事件的应急措施和救护机制，保障全院任何区域内均能及时提供紧急救治和生命支持服务。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2.4.</w:t>
            </w:r>
            <w:r>
              <w:rPr>
                <w:rFonts w:hint="default" w:ascii="Times New Roman" w:hAnsi="Times New Roman" w:eastAsia="方正仿宋_GBK" w:cs="Times New Roman"/>
                <w:color w:val="auto"/>
                <w:sz w:val="24"/>
                <w:szCs w:val="24"/>
                <w:highlight w:val="none"/>
                <w:lang w:val="en-US" w:eastAsia="zh-CN"/>
              </w:rPr>
              <w:t>7</w:t>
            </w:r>
            <w:r>
              <w:rPr>
                <w:rFonts w:hint="default" w:ascii="Times New Roman" w:hAnsi="Times New Roman" w:eastAsia="方正仿宋_GBK" w:cs="Times New Roman"/>
                <w:color w:val="auto"/>
                <w:sz w:val="24"/>
                <w:szCs w:val="24"/>
                <w:highlight w:val="none"/>
              </w:rPr>
              <w:t>.1 完善院内安全制度和应急抢救规范、流程，有各种紧急预案，保障全院任何区域内均能及时提供紧急救治和生命支持服务。</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6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医院有保障院内安全的相关制度及各种紧急预案，包括心跳骤停、昏迷、跌倒等高风险意外事件；职责明确、流程清晰，有多部门协调机制。</w:t>
            </w:r>
          </w:p>
          <w:p>
            <w:pPr>
              <w:pageBreakBefore w:val="0"/>
              <w:numPr>
                <w:ilvl w:val="0"/>
                <w:numId w:val="16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急救布局覆盖全院，含急救设施配置、提供紧急救治和高级生命支持的相关科室、呼救方式等，有明晰的分布图并在相关区域粘贴，便于现场人员第一时间有效呼救。</w:t>
            </w:r>
          </w:p>
          <w:p>
            <w:pPr>
              <w:pageBreakBefore w:val="0"/>
              <w:numPr>
                <w:ilvl w:val="0"/>
                <w:numId w:val="16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有定期对全院员工心肺复苏的培训及考核。</w:t>
            </w:r>
          </w:p>
          <w:p>
            <w:pPr>
              <w:pageBreakBefore w:val="0"/>
              <w:numPr>
                <w:ilvl w:val="0"/>
                <w:numId w:val="16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相关流程有演练，资料完整。</w:t>
            </w:r>
          </w:p>
        </w:tc>
        <w:tc>
          <w:tcPr>
            <w:tcW w:w="1269" w:type="pct"/>
            <w:tcMar>
              <w:top w:w="22" w:type="dxa"/>
              <w:left w:w="22" w:type="dxa"/>
              <w:bottom w:w="22" w:type="dxa"/>
              <w:right w:w="22" w:type="dxa"/>
            </w:tcMar>
            <w:vAlign w:val="center"/>
          </w:tcPr>
          <w:p>
            <w:pPr>
              <w:pageBreakBefore w:val="0"/>
              <w:numPr>
                <w:ilvl w:val="0"/>
                <w:numId w:val="16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6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现场查看，并在2个区域模拟呼救，评价整个救治过程是否符合要求，符合率100%。</w:t>
            </w:r>
          </w:p>
          <w:p>
            <w:pPr>
              <w:pageBreakBefore w:val="0"/>
              <w:numPr>
                <w:ilvl w:val="0"/>
                <w:numId w:val="16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6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16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全院各科室对心跳骤停、昏迷、跌倒等高风险意外事件的处置预案等有演练、自查、总结分析整改。</w:t>
            </w:r>
          </w:p>
          <w:p>
            <w:pPr>
              <w:pageBreakBefore w:val="0"/>
              <w:numPr>
                <w:ilvl w:val="0"/>
                <w:numId w:val="16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主管部门对相关工作有督查、总结、反馈，有改进措施。</w:t>
            </w:r>
          </w:p>
          <w:p>
            <w:pPr>
              <w:pageBreakBefore w:val="0"/>
              <w:numPr>
                <w:ilvl w:val="0"/>
                <w:numId w:val="16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全院员工心肺复苏的培训率100%。</w:t>
            </w:r>
          </w:p>
        </w:tc>
        <w:tc>
          <w:tcPr>
            <w:tcW w:w="1269" w:type="pct"/>
            <w:tcMar>
              <w:top w:w="22" w:type="dxa"/>
              <w:left w:w="22" w:type="dxa"/>
              <w:bottom w:w="22" w:type="dxa"/>
              <w:right w:w="22" w:type="dxa"/>
            </w:tcMar>
            <w:vAlign w:val="center"/>
          </w:tcPr>
          <w:p>
            <w:pPr>
              <w:pageBreakBefore w:val="0"/>
              <w:numPr>
                <w:ilvl w:val="0"/>
                <w:numId w:val="16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抽查3个科室的相关资料（内、外科及医技科室各1个）。</w:t>
            </w:r>
          </w:p>
          <w:p>
            <w:pPr>
              <w:pageBreakBefore w:val="0"/>
              <w:numPr>
                <w:ilvl w:val="0"/>
                <w:numId w:val="16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6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907" w:hRule="exac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907" w:hRule="exact"/>
          <w:jc w:val="center"/>
        </w:trPr>
        <w:tc>
          <w:tcPr>
            <w:tcW w:w="5000" w:type="pct"/>
            <w:gridSpan w:val="3"/>
            <w:tcBorders>
              <w:bottom w:val="single" w:color="000000" w:sz="4" w:space="0"/>
            </w:tcBorders>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2.4.</w:t>
            </w:r>
            <w:r>
              <w:rPr>
                <w:rFonts w:hint="default" w:ascii="Times New Roman" w:hAnsi="Times New Roman" w:eastAsia="方正仿宋_GBK" w:cs="Times New Roman"/>
                <w:color w:val="auto"/>
                <w:sz w:val="24"/>
                <w:szCs w:val="24"/>
                <w:highlight w:val="none"/>
                <w:lang w:val="en-US" w:eastAsia="zh-CN"/>
              </w:rPr>
              <w:t>8</w:t>
            </w:r>
            <w:r>
              <w:rPr>
                <w:rFonts w:hint="default" w:ascii="Times New Roman" w:hAnsi="Times New Roman" w:eastAsia="方正仿宋_GBK" w:cs="Times New Roman"/>
                <w:color w:val="auto"/>
                <w:sz w:val="24"/>
                <w:szCs w:val="24"/>
                <w:highlight w:val="none"/>
              </w:rPr>
              <w:t xml:space="preserve"> 关注分娩安全，有控制分娩疼痛和减少分娩损伤的制度、技术规范和流程。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tcBorders>
              <w:top w:val="single" w:color="000000" w:sz="4" w:space="0"/>
              <w:bottom w:val="single" w:color="000000" w:sz="4" w:space="0"/>
            </w:tcBorders>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2.4.</w:t>
            </w:r>
            <w:r>
              <w:rPr>
                <w:rFonts w:hint="default" w:ascii="Times New Roman" w:hAnsi="Times New Roman" w:eastAsia="方正仿宋_GBK" w:cs="Times New Roman"/>
                <w:color w:val="auto"/>
                <w:sz w:val="24"/>
                <w:szCs w:val="24"/>
                <w:highlight w:val="none"/>
                <w:lang w:val="en-US" w:eastAsia="zh-CN"/>
              </w:rPr>
              <w:t>8</w:t>
            </w:r>
            <w:r>
              <w:rPr>
                <w:rFonts w:hint="default" w:ascii="Times New Roman" w:hAnsi="Times New Roman" w:eastAsia="方正仿宋_GBK" w:cs="Times New Roman"/>
                <w:color w:val="auto"/>
                <w:sz w:val="24"/>
                <w:szCs w:val="24"/>
                <w:highlight w:val="none"/>
              </w:rPr>
              <w:t>.1 建立控制分娩疼痛和减少分娩损伤的制度、技术规范和流程，保障分娩安全。</w:t>
            </w:r>
          </w:p>
        </w:tc>
        <w:tc>
          <w:tcPr>
            <w:tcW w:w="2802" w:type="pct"/>
            <w:tcBorders>
              <w:top w:val="single" w:color="000000" w:sz="4" w:space="0"/>
              <w:bottom w:val="single" w:color="000000" w:sz="4" w:space="0"/>
            </w:tcBorders>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6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医院有控制分娩疼痛和减少分娩损伤的制度、技术规范和流程，并及时更新。</w:t>
            </w:r>
          </w:p>
          <w:p>
            <w:pPr>
              <w:pageBreakBefore w:val="0"/>
              <w:numPr>
                <w:ilvl w:val="0"/>
                <w:numId w:val="16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对相关人员进行</w:t>
            </w:r>
            <w:r>
              <w:rPr>
                <w:rFonts w:hint="default" w:ascii="Times New Roman" w:hAnsi="Times New Roman" w:eastAsia="方正仿宋_GBK" w:cs="Times New Roman"/>
                <w:color w:val="auto"/>
                <w:sz w:val="24"/>
                <w:szCs w:val="24"/>
                <w:highlight w:val="none"/>
              </w:rPr>
              <w:t>制度、技术规范和流程的培训。</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strike w:val="0"/>
                <w:dstrike w:val="0"/>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lang w:val="en-US" w:eastAsia="zh-CN"/>
              </w:rPr>
              <w:t>医院有控制分娩疼痛与减少分娩损伤的质控指标。</w:t>
            </w:r>
          </w:p>
        </w:tc>
        <w:tc>
          <w:tcPr>
            <w:tcW w:w="1269" w:type="pct"/>
            <w:tcBorders>
              <w:top w:val="single" w:color="000000" w:sz="4" w:space="0"/>
              <w:bottom w:val="single" w:color="000000" w:sz="4" w:space="0"/>
            </w:tcBorders>
            <w:tcMar>
              <w:top w:w="22" w:type="dxa"/>
              <w:left w:w="22" w:type="dxa"/>
              <w:bottom w:w="22" w:type="dxa"/>
              <w:right w:w="22" w:type="dxa"/>
            </w:tcMar>
            <w:vAlign w:val="center"/>
          </w:tcPr>
          <w:p>
            <w:pPr>
              <w:pageBreakBefore w:val="0"/>
              <w:numPr>
                <w:ilvl w:val="0"/>
                <w:numId w:val="16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6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6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1134" w:hRule="exact"/>
          <w:jc w:val="center"/>
        </w:trPr>
        <w:tc>
          <w:tcPr>
            <w:tcW w:w="927" w:type="pct"/>
            <w:vMerge w:val="continue"/>
            <w:tcBorders>
              <w:top w:val="single" w:color="000000" w:sz="4" w:space="0"/>
              <w:bottom w:val="single" w:color="auto" w:sz="4" w:space="0"/>
            </w:tcBorders>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Borders>
              <w:top w:val="single" w:color="000000" w:sz="4" w:space="0"/>
              <w:bottom w:val="single" w:color="000000" w:sz="4" w:space="0"/>
            </w:tcBorders>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定期</w:t>
            </w:r>
            <w:r>
              <w:rPr>
                <w:rFonts w:hint="default" w:ascii="Times New Roman" w:hAnsi="Times New Roman" w:eastAsia="方正仿宋_GBK" w:cs="Times New Roman"/>
                <w:strike w:val="0"/>
                <w:dstrike w:val="0"/>
                <w:color w:val="auto"/>
                <w:sz w:val="24"/>
                <w:szCs w:val="24"/>
                <w:highlight w:val="none"/>
                <w:lang w:val="en-US" w:eastAsia="zh-CN"/>
              </w:rPr>
              <w:t>对质控指标进行分析，提出改进措施。</w:t>
            </w:r>
          </w:p>
        </w:tc>
        <w:tc>
          <w:tcPr>
            <w:tcW w:w="1269" w:type="pct"/>
            <w:tcBorders>
              <w:top w:val="single" w:color="000000" w:sz="4" w:space="0"/>
              <w:bottom w:val="single" w:color="000000" w:sz="4" w:space="0"/>
            </w:tcBorders>
            <w:tcMar>
              <w:top w:w="22" w:type="dxa"/>
              <w:left w:w="22" w:type="dxa"/>
              <w:bottom w:w="22" w:type="dxa"/>
              <w:right w:w="22" w:type="dxa"/>
            </w:tcMar>
            <w:vAlign w:val="center"/>
          </w:tcPr>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1134" w:hRule="exact"/>
          <w:jc w:val="center"/>
        </w:trPr>
        <w:tc>
          <w:tcPr>
            <w:tcW w:w="927" w:type="pct"/>
            <w:vMerge w:val="continue"/>
            <w:tcBorders>
              <w:top w:val="single" w:color="auto" w:sz="4" w:space="0"/>
              <w:bottom w:val="single" w:color="auto" w:sz="4" w:space="0"/>
            </w:tcBorders>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Borders>
              <w:top w:val="single" w:color="auto" w:sz="4" w:space="0"/>
              <w:bottom w:val="single" w:color="auto" w:sz="4" w:space="0"/>
            </w:tcBorders>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Borders>
              <w:top w:val="single" w:color="000000" w:sz="4" w:space="0"/>
              <w:bottom w:val="single" w:color="auto" w:sz="4" w:space="0"/>
            </w:tcBorders>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tcBorders>
              <w:top w:val="nil"/>
              <w:left w:val="nil"/>
              <w:right w:val="nil"/>
            </w:tcBorders>
            <w:vAlign w:val="center"/>
          </w:tcPr>
          <w:p>
            <w:pPr>
              <w:pStyle w:val="4"/>
              <w:pageBreakBefore w:val="0"/>
              <w:kinsoku/>
              <w:wordWrap/>
              <w:overflowPunct/>
              <w:topLinePunct w:val="0"/>
              <w:bidi w:val="0"/>
              <w:snapToGrid/>
              <w:spacing w:before="0" w:beforeAutospacing="0" w:after="0" w:afterAutospacing="0" w:line="560" w:lineRule="exact"/>
              <w:ind w:left="0" w:leftChars="0" w:rightChars="0" w:firstLine="624" w:firstLineChars="200"/>
              <w:jc w:val="left"/>
              <w:textAlignment w:val="auto"/>
              <w:rPr>
                <w:rFonts w:hint="default" w:eastAsia="方正仿宋_GBK" w:cs="Times New Roman"/>
                <w:color w:val="auto"/>
                <w:sz w:val="24"/>
                <w:szCs w:val="24"/>
                <w:highlight w:val="none"/>
              </w:rPr>
            </w:pPr>
            <w:r>
              <w:rPr>
                <w:rFonts w:hint="default" w:eastAsia="方正黑体_GBK" w:cs="Times New Roman"/>
                <w:b w:val="0"/>
                <w:color w:val="auto"/>
                <w:szCs w:val="24"/>
                <w:highlight w:val="none"/>
              </w:rPr>
              <w:t>五、诊疗质量保障与持续改进</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评审标准</w:t>
            </w:r>
          </w:p>
        </w:tc>
        <w:tc>
          <w:tcPr>
            <w:tcW w:w="2802" w:type="pct"/>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评审要点</w:t>
            </w:r>
          </w:p>
        </w:tc>
        <w:tc>
          <w:tcPr>
            <w:tcW w:w="1269" w:type="pct"/>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评审方法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cantSplit/>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 门、急诊（含发热、肠道门诊，下同）布局符合相关规定，能满足临床管理工作。建立门、急诊管理制度和工作流程、突发应急事件处置预案并组织实施。</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cantSplit/>
          <w:trHeight w:val="2338" w:hRule="atLeast"/>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2.5.1.1 门诊布局符合相关规定，满足临床工作</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建立门诊管理制度和工作流程、突发应急事件处置预案并组织实施。</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7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门诊布局合理，</w:t>
            </w:r>
            <w:r>
              <w:rPr>
                <w:rFonts w:hint="default" w:ascii="Times New Roman" w:hAnsi="Times New Roman" w:eastAsia="方正仿宋_GBK" w:cs="Times New Roman"/>
                <w:color w:val="auto"/>
                <w:sz w:val="24"/>
                <w:szCs w:val="24"/>
                <w:highlight w:val="none"/>
                <w:lang w:val="en-US" w:eastAsia="zh-CN"/>
              </w:rPr>
              <w:t>符合相关要求。</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strike/>
                <w:dstrike w:val="0"/>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有门诊管理制度</w:t>
            </w:r>
            <w:r>
              <w:rPr>
                <w:rFonts w:hint="default" w:ascii="Times New Roman" w:hAnsi="Times New Roman" w:eastAsia="方正仿宋_GBK" w:cs="Times New Roman"/>
                <w:color w:val="auto"/>
                <w:sz w:val="24"/>
                <w:szCs w:val="24"/>
                <w:highlight w:val="none"/>
                <w:lang w:val="en-US" w:eastAsia="zh-CN"/>
              </w:rPr>
              <w:t>和工作流程，</w:t>
            </w:r>
            <w:r>
              <w:rPr>
                <w:rFonts w:hint="default" w:ascii="Times New Roman" w:hAnsi="Times New Roman" w:eastAsia="方正仿宋_GBK" w:cs="Times New Roman"/>
                <w:color w:val="auto"/>
                <w:sz w:val="24"/>
                <w:szCs w:val="24"/>
                <w:highlight w:val="none"/>
              </w:rPr>
              <w:t>保障门诊</w:t>
            </w:r>
            <w:r>
              <w:rPr>
                <w:rFonts w:hint="default" w:ascii="Times New Roman" w:hAnsi="Times New Roman" w:eastAsia="方正仿宋_GBK" w:cs="Times New Roman"/>
                <w:color w:val="auto"/>
                <w:sz w:val="24"/>
                <w:szCs w:val="24"/>
                <w:highlight w:val="none"/>
                <w:lang w:val="en-US" w:eastAsia="zh-CN"/>
              </w:rPr>
              <w:t>诊疗工作</w:t>
            </w:r>
            <w:r>
              <w:rPr>
                <w:rFonts w:hint="default" w:ascii="Times New Roman" w:hAnsi="Times New Roman" w:eastAsia="方正仿宋_GBK" w:cs="Times New Roman"/>
                <w:color w:val="auto"/>
                <w:sz w:val="24"/>
                <w:szCs w:val="24"/>
                <w:highlight w:val="none"/>
              </w:rPr>
              <w:t>的秩序和连贯性，</w:t>
            </w:r>
            <w:r>
              <w:rPr>
                <w:rFonts w:hint="default" w:ascii="Times New Roman" w:hAnsi="Times New Roman" w:eastAsia="方正仿宋_GBK" w:cs="Times New Roman"/>
                <w:strike w:val="0"/>
                <w:dstrike w:val="0"/>
                <w:color w:val="auto"/>
                <w:sz w:val="24"/>
                <w:szCs w:val="24"/>
                <w:highlight w:val="none"/>
                <w:lang w:val="en-US" w:eastAsia="zh-CN"/>
              </w:rPr>
              <w:t>体现以“患者为中心”的理念。</w:t>
            </w:r>
          </w:p>
          <w:p>
            <w:pPr>
              <w:pageBreakBefore w:val="0"/>
              <w:numPr>
                <w:ilvl w:val="0"/>
                <w:numId w:val="17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有信息系统支持门诊分层挂号、缴费或自助挂号、缴费等服务。</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有根据门诊就诊患者流量，调配医疗资源的方案并落实。</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 有门诊突发事件应急处置预案，包括：人员职责、处理流程、通讯方式、保障措施等。</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现场查看。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查阅相关资料及现场查看。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现场查看。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门诊部对出诊等门诊工作有监管与检查、反馈及督促整改。</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有定期进行应急预案的演练、总结及改进。</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2.5.1.2 急诊小区布局符合要求，有急诊管理制度和工作流程，有突发应急事件处置预案。</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7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急诊小区按照相关要求独立设置，其功能、布局、人员和设备配备、及药品配置符合要求。并符合医院感染防控相关规定，设隔离应急抢救室、应急隔离留观室。</w:t>
            </w:r>
          </w:p>
          <w:p>
            <w:pPr>
              <w:pageBreakBefore w:val="0"/>
              <w:numPr>
                <w:ilvl w:val="0"/>
                <w:numId w:val="17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急诊小区与辅助检查、药房、收费等区域的距离利于急诊抢救。</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有急诊小区管理制度和工作流程，对急诊留观时间超过72 小时的患者有管理协调机制，及时妥善处置。</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有急诊小区突发事件应急处置预案，包括：人员职责、处理流程、通讯方式、保障措施等。</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1.2.  现场查看。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主管部门对急诊工作有监管与检查、反馈及督促整改。</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有定期进行应急预案的演练、总结及改进。</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持续改进有成效，有案例或数据体现成效。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2.5.2 加强门、急诊专业人员和技术力量配备，根据门、急诊就诊患者流量和突发事件调配医疗资源，做好资源调配。对门、急诊医务人员开展技术和技能专业培训。</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2.5.2.1急诊科应当配备足够数量，受过专门训练，掌握急诊医学的基本理论、基础知识和基本操作技能，具备独立工作能力的医护人员。</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1.急诊科固定的急诊医师、急诊护理人员分别不少于在岗相应人员的 75%。</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2.急诊科主任由副主任医师及以上专业技术职务任职资格的医师担任；急诊科护士长由主管护师及以上任职资格和 5 年以上急诊临床护理工作经验的护理人员担任。</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856" w:hRule="atLeas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1.急诊医师以主治以上职称为主体（在岗≥70%）。</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2.急诊护理人员以护师以上职称为主体（在岗≥70%）。</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856" w:hRule="atLeas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1.急诊医师以主治以上职称为主体（在岗≥75%）。</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2.急诊护理人员以护师以上职称为主体（在岗≥75%）。</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2.5.2.2 仪器设备及药品配置符合急诊科建设与管理的基本标准。急救设备处于应急备用状态，有应急调配机制。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1.仪器设备及药品配置符合急诊科建设与管理的基本标准，满足急救需要。</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2.各种抢救设备操作规程随设备存放，方便使用。急救设备有专人保养维护，急救药品有专人管理，急救设备处于应急备用状态。</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3.医院有应急调配制度并落实。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查阅相关资料及现场查看。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现场查看。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w:t>
            </w:r>
            <w:r>
              <w:rPr>
                <w:rFonts w:hint="default" w:ascii="Times New Roman" w:hAnsi="Times New Roman" w:eastAsia="方正仿宋_GBK" w:cs="Times New Roman"/>
                <w:color w:val="auto"/>
                <w:spacing w:val="-6"/>
                <w:sz w:val="24"/>
                <w:szCs w:val="24"/>
                <w:highlight w:val="none"/>
              </w:rPr>
              <w:t>科室对应急设备状态有自查，</w:t>
            </w:r>
            <w:r>
              <w:rPr>
                <w:rFonts w:hint="default" w:ascii="Times New Roman" w:hAnsi="Times New Roman" w:eastAsia="方正仿宋_GBK" w:cs="Times New Roman"/>
                <w:color w:val="auto"/>
                <w:spacing w:val="-6"/>
                <w:sz w:val="24"/>
                <w:szCs w:val="24"/>
                <w:highlight w:val="none"/>
                <w:lang w:val="en-US" w:eastAsia="zh-CN"/>
              </w:rPr>
              <w:t>发现</w:t>
            </w:r>
            <w:r>
              <w:rPr>
                <w:rFonts w:hint="default" w:ascii="Times New Roman" w:hAnsi="Times New Roman" w:eastAsia="方正仿宋_GBK" w:cs="Times New Roman"/>
                <w:color w:val="auto"/>
                <w:spacing w:val="-6"/>
                <w:sz w:val="24"/>
                <w:szCs w:val="24"/>
                <w:highlight w:val="none"/>
              </w:rPr>
              <w:t>问题及时整改。</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2.主管部门对急诊设备药品配置和维护情况有检查与监管。</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持续改进有成效，应急设备使用、维护和管理规范。</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2.5.2.3 急诊医护人员经过专业培训，考核达到</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急诊医师、护理人员技术和技能</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要求。</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1.有急诊医护人员技术和技能的年度培训计划。</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急诊医护人员全部经过急诊专业培训，考核达到</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急诊医师、护理人员技术和技能要求</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，有考核记录。</w:t>
            </w:r>
          </w:p>
        </w:tc>
        <w:tc>
          <w:tcPr>
            <w:tcW w:w="1269" w:type="pct"/>
            <w:tcMar>
              <w:top w:w="22" w:type="dxa"/>
              <w:left w:w="22" w:type="dxa"/>
              <w:bottom w:w="22" w:type="dxa"/>
              <w:right w:w="22" w:type="dxa"/>
            </w:tcMar>
            <w:vAlign w:val="center"/>
          </w:tcPr>
          <w:p>
            <w:pPr>
              <w:pageBreakBefore w:val="0"/>
              <w:numPr>
                <w:ilvl w:val="0"/>
                <w:numId w:val="17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7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主管部门（医务、护理）对培训效果有检查与监管。</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持续改进有成效，有数据体现急诊人员诊疗水平不断提高。</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2.5.3 实行预检分诊制度，门、急诊规范设置预检分诊场所，完善预检分诊流程。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2.5.3.1 实行预检分诊制度，门、急诊规范设置预检分诊场所，完善预检分诊流程。</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7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医院有预检分诊制度和流程，并执行。</w:t>
            </w:r>
          </w:p>
          <w:p>
            <w:pPr>
              <w:pageBreakBefore w:val="0"/>
              <w:numPr>
                <w:ilvl w:val="0"/>
                <w:numId w:val="17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预检分诊点设立在门、急诊醒目位置，标识清楚，相对独立，通风良好，流程合理。备有发热患者用的口罩、体温表、手卫生设施、医疗废物桶、疑似患者基本情况登记表等。</w:t>
            </w:r>
          </w:p>
          <w:p>
            <w:pPr>
              <w:pageBreakBefore w:val="0"/>
              <w:numPr>
                <w:ilvl w:val="0"/>
                <w:numId w:val="17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有专人负责24 小时预检分诊，预检分诊人员个人防护符合要求。</w:t>
            </w:r>
          </w:p>
          <w:p>
            <w:pPr>
              <w:pageBreakBefore w:val="0"/>
              <w:numPr>
                <w:ilvl w:val="0"/>
                <w:numId w:val="17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预检分诊人员接受岗前和在岗相关制度、流程的培训并考核，考核合格方可上岗。</w:t>
            </w:r>
          </w:p>
        </w:tc>
        <w:tc>
          <w:tcPr>
            <w:tcW w:w="1269" w:type="pct"/>
            <w:tcMar>
              <w:top w:w="22" w:type="dxa"/>
              <w:left w:w="22" w:type="dxa"/>
              <w:bottom w:w="22" w:type="dxa"/>
              <w:right w:w="22" w:type="dxa"/>
            </w:tcMar>
            <w:vAlign w:val="center"/>
          </w:tcPr>
          <w:p>
            <w:pPr>
              <w:pageBreakBefore w:val="0"/>
              <w:numPr>
                <w:ilvl w:val="0"/>
                <w:numId w:val="17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7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p>
            <w:pPr>
              <w:pageBreakBefore w:val="0"/>
              <w:numPr>
                <w:ilvl w:val="0"/>
                <w:numId w:val="17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现场查看及查看排班表。</w:t>
            </w:r>
          </w:p>
          <w:p>
            <w:pPr>
              <w:pageBreakBefore w:val="0"/>
              <w:numPr>
                <w:ilvl w:val="0"/>
                <w:numId w:val="17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主管部门定期督查、分析、反馈，并检查整改落实情况。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持续改进有成效，有案例或数据体现成效。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2.5.4 把门、急诊工作质量纳入临床各科室质量管理范围，作为考核科室和医务人员的重要内容。</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2.5.4.1建立门、急诊工作质量考核体系，明确目标，不断提升工作质量。</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7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医院有门、急诊工作质量考核</w:t>
            </w:r>
            <w:r>
              <w:rPr>
                <w:rFonts w:hint="default" w:ascii="Times New Roman" w:hAnsi="Times New Roman" w:eastAsia="方正仿宋_GBK" w:cs="Times New Roman"/>
                <w:color w:val="auto"/>
                <w:sz w:val="24"/>
                <w:szCs w:val="24"/>
                <w:highlight w:val="none"/>
                <w:lang w:val="en-US" w:eastAsia="zh-CN"/>
              </w:rPr>
              <w:t>指标</w:t>
            </w:r>
            <w:r>
              <w:rPr>
                <w:rFonts w:hint="default" w:ascii="Times New Roman" w:hAnsi="Times New Roman" w:eastAsia="方正仿宋_GBK" w:cs="Times New Roman"/>
                <w:color w:val="auto"/>
                <w:sz w:val="24"/>
                <w:szCs w:val="24"/>
                <w:highlight w:val="none"/>
              </w:rPr>
              <w:t>。</w:t>
            </w:r>
          </w:p>
          <w:p>
            <w:pPr>
              <w:pageBreakBefore w:val="0"/>
              <w:numPr>
                <w:ilvl w:val="0"/>
                <w:numId w:val="17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医院将门、急诊工作质量</w:t>
            </w:r>
            <w:r>
              <w:rPr>
                <w:rFonts w:hint="default" w:ascii="Times New Roman" w:hAnsi="Times New Roman" w:eastAsia="方正仿宋_GBK" w:cs="Times New Roman"/>
                <w:color w:val="auto"/>
                <w:sz w:val="24"/>
                <w:szCs w:val="24"/>
                <w:highlight w:val="none"/>
                <w:lang w:val="en-US" w:eastAsia="zh-CN"/>
              </w:rPr>
              <w:t>作为</w:t>
            </w:r>
            <w:r>
              <w:rPr>
                <w:rFonts w:hint="default" w:ascii="Times New Roman" w:hAnsi="Times New Roman" w:eastAsia="方正仿宋_GBK" w:cs="Times New Roman"/>
                <w:color w:val="auto"/>
                <w:sz w:val="24"/>
                <w:szCs w:val="24"/>
                <w:highlight w:val="none"/>
              </w:rPr>
              <w:t>科室及医</w:t>
            </w:r>
            <w:r>
              <w:rPr>
                <w:rFonts w:hint="default" w:ascii="Times New Roman" w:hAnsi="Times New Roman" w:eastAsia="方正仿宋_GBK" w:cs="Times New Roman"/>
                <w:color w:val="auto"/>
                <w:sz w:val="24"/>
                <w:szCs w:val="24"/>
                <w:highlight w:val="none"/>
                <w:lang w:val="en-US" w:eastAsia="zh-CN"/>
              </w:rPr>
              <w:t>护</w:t>
            </w:r>
            <w:r>
              <w:rPr>
                <w:rFonts w:hint="default" w:ascii="Times New Roman" w:hAnsi="Times New Roman" w:eastAsia="方正仿宋_GBK" w:cs="Times New Roman"/>
                <w:color w:val="auto"/>
                <w:sz w:val="24"/>
                <w:szCs w:val="24"/>
                <w:highlight w:val="none"/>
              </w:rPr>
              <w:t>人员年度考核内容。</w:t>
            </w:r>
          </w:p>
        </w:tc>
        <w:tc>
          <w:tcPr>
            <w:tcW w:w="1269" w:type="pct"/>
            <w:tcMar>
              <w:top w:w="22" w:type="dxa"/>
              <w:left w:w="22" w:type="dxa"/>
              <w:bottom w:w="22" w:type="dxa"/>
              <w:right w:w="22" w:type="dxa"/>
            </w:tcMar>
            <w:vAlign w:val="center"/>
          </w:tcPr>
          <w:p>
            <w:pPr>
              <w:pageBreakBefore w:val="0"/>
              <w:numPr>
                <w:ilvl w:val="0"/>
                <w:numId w:val="17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7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17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科室有定期自查、总结分析与整改。</w:t>
            </w:r>
          </w:p>
          <w:p>
            <w:pPr>
              <w:pageBreakBefore w:val="0"/>
              <w:numPr>
                <w:ilvl w:val="0"/>
                <w:numId w:val="17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主管部门定期督查、分析、反馈，并检查科室整改落实情况。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抽查临床科室</w:t>
            </w:r>
            <w:r>
              <w:rPr>
                <w:rFonts w:hint="default" w:ascii="Times New Roman" w:hAnsi="Times New Roman" w:eastAsia="方正仿宋_GBK" w:cs="Times New Roman"/>
                <w:color w:val="auto"/>
                <w:sz w:val="24"/>
                <w:szCs w:val="24"/>
                <w:highlight w:val="none"/>
                <w:lang w:val="en-US" w:eastAsia="zh-CN"/>
              </w:rPr>
              <w:t>及医技科室各2个</w:t>
            </w:r>
            <w:r>
              <w:rPr>
                <w:rFonts w:hint="default" w:ascii="Times New Roman" w:hAnsi="Times New Roman" w:eastAsia="方正仿宋_GBK" w:cs="Times New Roman"/>
                <w:color w:val="auto"/>
                <w:sz w:val="24"/>
                <w:szCs w:val="24"/>
                <w:highlight w:val="none"/>
              </w:rPr>
              <w:t>的相关资料。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持续改进有成效，有案例或数据体现成效。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2.5.5 有急危重症患者</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绿色通道</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。建立院前急救、院内急诊与住院或转诊的连贯性医疗服务流程，并定期进行评价和持续改进。</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2.5.5.1 建立急危重症患者</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绿色通道</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，保证院前急救、院内救治的连贯医疗服务，并持续改进。</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7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w:t>
            </w:r>
            <w:r>
              <w:rPr>
                <w:rFonts w:hint="default" w:ascii="Times New Roman" w:hAnsi="Times New Roman" w:eastAsia="方正仿宋_GBK" w:cs="Times New Roman"/>
                <w:color w:val="auto"/>
                <w:sz w:val="24"/>
                <w:szCs w:val="24"/>
                <w:highlight w:val="none"/>
                <w:lang w:val="en-US" w:eastAsia="zh-CN"/>
              </w:rPr>
              <w:t>保障</w:t>
            </w:r>
            <w:r>
              <w:rPr>
                <w:rFonts w:hint="default" w:ascii="Times New Roman" w:hAnsi="Times New Roman" w:eastAsia="方正仿宋_GBK" w:cs="Times New Roman"/>
                <w:color w:val="auto"/>
                <w:sz w:val="24"/>
                <w:szCs w:val="24"/>
                <w:highlight w:val="none"/>
              </w:rPr>
              <w:t>急危重症患者</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绿色通道</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的相关</w:t>
            </w:r>
            <w:r>
              <w:rPr>
                <w:rFonts w:hint="default" w:ascii="Times New Roman" w:hAnsi="Times New Roman" w:eastAsia="方正仿宋_GBK" w:cs="Times New Roman"/>
                <w:color w:val="auto"/>
                <w:sz w:val="24"/>
                <w:szCs w:val="24"/>
                <w:highlight w:val="none"/>
              </w:rPr>
              <w:t>制度，明确</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绿色通道</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的</w:t>
            </w:r>
            <w:r>
              <w:rPr>
                <w:rFonts w:hint="default" w:ascii="Times New Roman" w:hAnsi="Times New Roman" w:eastAsia="方正仿宋_GBK" w:cs="Times New Roman"/>
                <w:color w:val="auto"/>
                <w:sz w:val="24"/>
                <w:szCs w:val="24"/>
                <w:highlight w:val="none"/>
              </w:rPr>
              <w:t>流程，及进入</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绿色通道</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的急危重症范围</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实行优先住院、先抢救后付费</w:t>
            </w:r>
            <w:r>
              <w:rPr>
                <w:rFonts w:hint="default" w:ascii="Times New Roman" w:hAnsi="Times New Roman" w:eastAsia="方正仿宋_GBK" w:cs="Times New Roman"/>
                <w:color w:val="auto"/>
                <w:sz w:val="24"/>
                <w:szCs w:val="24"/>
                <w:highlight w:val="none"/>
                <w:lang w:val="en-US" w:eastAsia="zh-CN"/>
              </w:rPr>
              <w:t>等内容</w:t>
            </w:r>
            <w:r>
              <w:rPr>
                <w:rFonts w:hint="default" w:ascii="Times New Roman" w:hAnsi="Times New Roman" w:eastAsia="方正仿宋_GBK" w:cs="Times New Roman"/>
                <w:color w:val="auto"/>
                <w:sz w:val="24"/>
                <w:szCs w:val="24"/>
                <w:highlight w:val="none"/>
              </w:rPr>
              <w:t>。</w:t>
            </w:r>
          </w:p>
          <w:p>
            <w:pPr>
              <w:pageBreakBefore w:val="0"/>
              <w:numPr>
                <w:ilvl w:val="0"/>
                <w:numId w:val="17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建立进入</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绿色通道</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患者的交接制度，根据首诊负责制责任主体要求，保证患者在院前急救、院内急诊、住院或转诊的医疗服务过程中有交接、连贯完整。</w:t>
            </w:r>
          </w:p>
          <w:p>
            <w:pPr>
              <w:pageBreakBefore w:val="0"/>
              <w:numPr>
                <w:ilvl w:val="0"/>
                <w:numId w:val="17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各相关科室人员知晓</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绿色通道</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相关制度并在日常工作中落实执行。</w:t>
            </w:r>
          </w:p>
        </w:tc>
        <w:tc>
          <w:tcPr>
            <w:tcW w:w="1269" w:type="pct"/>
            <w:tcMar>
              <w:top w:w="22" w:type="dxa"/>
              <w:left w:w="22" w:type="dxa"/>
              <w:bottom w:w="22" w:type="dxa"/>
              <w:right w:w="22" w:type="dxa"/>
            </w:tcMar>
            <w:vAlign w:val="center"/>
          </w:tcPr>
          <w:p>
            <w:pPr>
              <w:pageBreakBefore w:val="0"/>
              <w:numPr>
                <w:ilvl w:val="0"/>
                <w:numId w:val="17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7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7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随机询问现场医护人员4名，了解其知晓情况。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color w:val="auto"/>
                <w:sz w:val="24"/>
                <w:szCs w:val="24"/>
                <w:highlight w:val="none"/>
                <w:lang w:val="en-US" w:eastAsia="zh-CN"/>
              </w:rPr>
              <w:t>主管部门</w:t>
            </w:r>
            <w:r>
              <w:rPr>
                <w:rFonts w:hint="default" w:ascii="Times New Roman" w:hAnsi="Times New Roman" w:eastAsia="方正仿宋_GBK" w:cs="Times New Roman"/>
                <w:color w:val="auto"/>
                <w:sz w:val="24"/>
                <w:szCs w:val="24"/>
                <w:highlight w:val="none"/>
              </w:rPr>
              <w:t>定期对</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绿色通道</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和医疗服务流程的连贯性、时效性进行汇总、分析，反馈并持续改进</w:t>
            </w:r>
            <w:r>
              <w:rPr>
                <w:rFonts w:hint="default" w:ascii="Times New Roman" w:hAnsi="Times New Roman" w:eastAsia="方正仿宋_GBK" w:cs="Times New Roman"/>
                <w:color w:val="auto"/>
                <w:sz w:val="24"/>
                <w:szCs w:val="24"/>
                <w:highlight w:val="none"/>
                <w:lang w:eastAsia="zh-CN"/>
              </w:rPr>
              <w:t>。</w:t>
            </w:r>
          </w:p>
        </w:tc>
        <w:tc>
          <w:tcPr>
            <w:tcW w:w="1269" w:type="pct"/>
            <w:tcMar>
              <w:top w:w="22" w:type="dxa"/>
              <w:left w:w="22" w:type="dxa"/>
              <w:bottom w:w="22" w:type="dxa"/>
              <w:right w:w="22" w:type="dxa"/>
            </w:tcMar>
            <w:vAlign w:val="center"/>
          </w:tcPr>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医院有信息系统支持</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绿色通道</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建设，并不断优化满足急诊急救需要。</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现场查看，评价是否满足需要。</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2.5.6 有创伤、脑卒中、急性心肌梗死、高危孕产妇及新生儿等急危重症病种和重点人群服务规范和流程。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2.5.6.1 对创伤、脑卒中、急性心肌梗死、高危孕产妇及新生儿等急危重症病种和重点人群建立服务规范和流程。</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8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医院根据</w:t>
            </w:r>
            <w:r>
              <w:rPr>
                <w:rFonts w:hint="default" w:ascii="Times New Roman" w:hAnsi="Times New Roman" w:eastAsia="方正仿宋_GBK" w:cs="Times New Roman"/>
                <w:color w:val="auto"/>
                <w:sz w:val="24"/>
                <w:szCs w:val="24"/>
                <w:highlight w:val="none"/>
                <w:lang w:val="en-US" w:eastAsia="zh-CN"/>
              </w:rPr>
              <w:t>救治需要</w:t>
            </w:r>
            <w:r>
              <w:rPr>
                <w:rFonts w:hint="default" w:ascii="Times New Roman" w:hAnsi="Times New Roman" w:eastAsia="方正仿宋_GBK" w:cs="Times New Roman"/>
                <w:color w:val="auto"/>
                <w:sz w:val="24"/>
                <w:szCs w:val="24"/>
                <w:highlight w:val="none"/>
              </w:rPr>
              <w:t>，建立包括急性创伤、急性心肌梗死、急性心力衰竭、急性脑卒中、急性颅脑损伤、急性呼吸衰竭、高危孕产妇及新生儿等重点病种和重点人群目录，制定重点病种、重点人群服务规范和流程</w:t>
            </w:r>
            <w:r>
              <w:rPr>
                <w:rFonts w:hint="default" w:ascii="Times New Roman" w:hAnsi="Times New Roman" w:eastAsia="方正仿宋_GBK" w:cs="Times New Roman"/>
                <w:color w:val="auto"/>
                <w:sz w:val="24"/>
                <w:szCs w:val="24"/>
                <w:highlight w:val="none"/>
                <w:lang w:eastAsia="zh-CN"/>
              </w:rPr>
              <w:t>，并落实</w:t>
            </w:r>
            <w:r>
              <w:rPr>
                <w:rFonts w:hint="default" w:ascii="Times New Roman" w:hAnsi="Times New Roman" w:eastAsia="方正仿宋_GBK" w:cs="Times New Roman"/>
                <w:color w:val="auto"/>
                <w:sz w:val="24"/>
                <w:szCs w:val="24"/>
                <w:highlight w:val="none"/>
              </w:rPr>
              <w:t>。</w:t>
            </w:r>
          </w:p>
          <w:p>
            <w:pPr>
              <w:pageBreakBefore w:val="0"/>
              <w:numPr>
                <w:ilvl w:val="0"/>
                <w:numId w:val="18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strike w:val="0"/>
                <w:dstrike w:val="0"/>
                <w:color w:val="auto"/>
                <w:sz w:val="24"/>
                <w:szCs w:val="24"/>
                <w:highlight w:val="none"/>
              </w:rPr>
              <w:t>医院</w:t>
            </w:r>
            <w:r>
              <w:rPr>
                <w:rFonts w:hint="default" w:ascii="Times New Roman" w:hAnsi="Times New Roman" w:eastAsia="方正仿宋_GBK" w:cs="Times New Roman"/>
                <w:color w:val="auto"/>
                <w:sz w:val="24"/>
                <w:szCs w:val="24"/>
                <w:highlight w:val="none"/>
              </w:rPr>
              <w:t>对规范和流程进行培训，保证相关人员知晓并落实执行。</w:t>
            </w:r>
          </w:p>
        </w:tc>
        <w:tc>
          <w:tcPr>
            <w:tcW w:w="1269" w:type="pct"/>
            <w:tcMar>
              <w:top w:w="22" w:type="dxa"/>
              <w:left w:w="22" w:type="dxa"/>
              <w:bottom w:w="22" w:type="dxa"/>
              <w:right w:w="22" w:type="dxa"/>
            </w:tcMar>
            <w:vAlign w:val="center"/>
          </w:tcPr>
          <w:p>
            <w:pPr>
              <w:pageBreakBefore w:val="0"/>
              <w:numPr>
                <w:ilvl w:val="0"/>
                <w:numId w:val="18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r>
              <w:rPr>
                <w:rFonts w:hint="default" w:ascii="Times New Roman" w:hAnsi="Times New Roman" w:eastAsia="方正仿宋_GBK" w:cs="Times New Roman"/>
                <w:color w:val="auto"/>
                <w:sz w:val="24"/>
                <w:szCs w:val="24"/>
                <w:highlight w:val="none"/>
                <w:lang w:val="en-US" w:eastAsia="zh-CN"/>
              </w:rPr>
              <w:t>及现场查看</w:t>
            </w:r>
            <w:r>
              <w:rPr>
                <w:rFonts w:hint="default" w:ascii="Times New Roman" w:hAnsi="Times New Roman" w:eastAsia="方正仿宋_GBK" w:cs="Times New Roman"/>
                <w:color w:val="auto"/>
                <w:sz w:val="24"/>
                <w:szCs w:val="24"/>
                <w:highlight w:val="none"/>
              </w:rPr>
              <w:t>。</w:t>
            </w:r>
          </w:p>
          <w:p>
            <w:pPr>
              <w:pageBreakBefore w:val="0"/>
              <w:numPr>
                <w:ilvl w:val="0"/>
                <w:numId w:val="18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查阅相关资料，并现场询问</w:t>
            </w:r>
            <w:r>
              <w:rPr>
                <w:rFonts w:hint="default" w:ascii="Times New Roman" w:hAnsi="Times New Roman" w:eastAsia="方正仿宋_GBK" w:cs="Times New Roman"/>
                <w:color w:val="auto"/>
                <w:sz w:val="24"/>
                <w:szCs w:val="24"/>
                <w:highlight w:val="none"/>
                <w:lang w:val="en-US" w:eastAsia="zh-CN"/>
              </w:rPr>
              <w:t>5</w:t>
            </w:r>
            <w:r>
              <w:rPr>
                <w:rFonts w:hint="default" w:ascii="Times New Roman" w:hAnsi="Times New Roman" w:eastAsia="方正仿宋_GBK" w:cs="Times New Roman"/>
                <w:color w:val="auto"/>
                <w:sz w:val="24"/>
                <w:szCs w:val="24"/>
                <w:highlight w:val="none"/>
              </w:rPr>
              <w:t>名医护人员，了解其知晓情况。</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1.相关</w:t>
            </w:r>
            <w:r>
              <w:rPr>
                <w:rFonts w:hint="default" w:ascii="Times New Roman" w:hAnsi="Times New Roman" w:eastAsia="方正仿宋_GBK" w:cs="Times New Roman"/>
                <w:color w:val="auto"/>
                <w:sz w:val="24"/>
                <w:szCs w:val="24"/>
                <w:highlight w:val="none"/>
              </w:rPr>
              <w:t>科室质控小组有定期对执行情况自查，对存在问题及时分析整改。</w:t>
            </w:r>
          </w:p>
          <w:p>
            <w:pPr>
              <w:pageBreakBefore w:val="0"/>
              <w:numPr>
                <w:ilvl w:val="0"/>
                <w:numId w:val="0"/>
              </w:numPr>
              <w:kinsoku/>
              <w:wordWrap/>
              <w:overflowPunct/>
              <w:topLinePunct w:val="0"/>
              <w:bidi w:val="0"/>
              <w:snapToGrid/>
              <w:spacing w:line="300" w:lineRule="exact"/>
              <w:ind w:left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 xml:space="preserve">2. </w:t>
            </w:r>
            <w:r>
              <w:rPr>
                <w:rFonts w:hint="default" w:ascii="Times New Roman" w:hAnsi="Times New Roman" w:eastAsia="方正仿宋_GBK" w:cs="Times New Roman"/>
                <w:color w:val="auto"/>
                <w:sz w:val="24"/>
                <w:szCs w:val="24"/>
                <w:highlight w:val="none"/>
              </w:rPr>
              <w:t>医院和相关科室有针对重点病种和重点人群定期开展演练，发现存在问题并整改。</w:t>
            </w:r>
          </w:p>
        </w:tc>
        <w:tc>
          <w:tcPr>
            <w:tcW w:w="1269" w:type="pct"/>
            <w:tcMar>
              <w:top w:w="22" w:type="dxa"/>
              <w:left w:w="22" w:type="dxa"/>
              <w:bottom w:w="22" w:type="dxa"/>
              <w:right w:w="22" w:type="dxa"/>
            </w:tcMar>
            <w:vAlign w:val="center"/>
          </w:tcPr>
          <w:p>
            <w:pPr>
              <w:pageBreakBefore w:val="0"/>
              <w:numPr>
                <w:ilvl w:val="0"/>
                <w:numId w:val="18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8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医院信息系统支持救治流程，并不断优化满足急诊急救需要。</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现场查看，评价是否满足需要。</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2.5.7 优化门、急诊服务，实施多种形式的预约诊疗服务，逐步提高患者预约就诊比例。及时公开出诊信息。开展多学科诊疗，方便患者就医。</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2.5.7.1公开出诊信息。提供咨询服务，帮助患者有效就诊。</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8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以多种方式向患者提供出诊信息，及时更新</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并提供咨询服务</w:t>
            </w:r>
            <w:r>
              <w:rPr>
                <w:rFonts w:hint="default" w:ascii="Times New Roman" w:hAnsi="Times New Roman" w:eastAsia="方正仿宋_GBK" w:cs="Times New Roman"/>
                <w:color w:val="auto"/>
                <w:sz w:val="24"/>
                <w:szCs w:val="24"/>
                <w:highlight w:val="none"/>
              </w:rPr>
              <w:t>。</w:t>
            </w:r>
          </w:p>
          <w:p>
            <w:pPr>
              <w:pageBreakBefore w:val="0"/>
              <w:numPr>
                <w:ilvl w:val="0"/>
                <w:numId w:val="18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医生</w:t>
            </w:r>
            <w:r>
              <w:rPr>
                <w:rFonts w:hint="default" w:ascii="Times New Roman" w:hAnsi="Times New Roman" w:eastAsia="方正仿宋_GBK" w:cs="Times New Roman"/>
                <w:color w:val="auto"/>
                <w:sz w:val="24"/>
                <w:szCs w:val="24"/>
                <w:highlight w:val="none"/>
              </w:rPr>
              <w:t>按时出诊，特殊情况无法出诊应有替代方案并及时告知患者。</w:t>
            </w:r>
          </w:p>
        </w:tc>
        <w:tc>
          <w:tcPr>
            <w:tcW w:w="1269" w:type="pct"/>
            <w:tcMar>
              <w:top w:w="22" w:type="dxa"/>
              <w:left w:w="22" w:type="dxa"/>
              <w:bottom w:w="22" w:type="dxa"/>
              <w:right w:w="22" w:type="dxa"/>
            </w:tcMar>
            <w:vAlign w:val="center"/>
          </w:tcPr>
          <w:p>
            <w:pPr>
              <w:pageBreakBefore w:val="0"/>
              <w:numPr>
                <w:ilvl w:val="0"/>
                <w:numId w:val="18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8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门诊管理部门有定期自查、总结分析与整改。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2.5.7.2 开展多学科综合门诊，方便患者就医。</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8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医院有开展多学科综合门诊的相关制度与流程。</w:t>
            </w:r>
          </w:p>
          <w:p>
            <w:pPr>
              <w:pageBreakBefore w:val="0"/>
              <w:numPr>
                <w:ilvl w:val="0"/>
                <w:numId w:val="18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有专人负责相关工作落实的部门，有完整的管理资料。</w:t>
            </w:r>
          </w:p>
        </w:tc>
        <w:tc>
          <w:tcPr>
            <w:tcW w:w="1269" w:type="pct"/>
            <w:tcMar>
              <w:top w:w="22" w:type="dxa"/>
              <w:left w:w="22" w:type="dxa"/>
              <w:bottom w:w="22" w:type="dxa"/>
              <w:right w:w="22" w:type="dxa"/>
            </w:tcMar>
            <w:vAlign w:val="center"/>
          </w:tcPr>
          <w:p>
            <w:pPr>
              <w:pageBreakBefore w:val="0"/>
              <w:numPr>
                <w:ilvl w:val="0"/>
                <w:numId w:val="18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8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主管部门定期对多学科综合门诊工作有</w:t>
            </w:r>
            <w:r>
              <w:rPr>
                <w:rFonts w:hint="default" w:ascii="Times New Roman" w:hAnsi="Times New Roman" w:eastAsia="方正仿宋_GBK" w:cs="Times New Roman"/>
                <w:color w:val="auto"/>
                <w:sz w:val="24"/>
                <w:szCs w:val="24"/>
                <w:highlight w:val="none"/>
                <w:lang w:val="en-US" w:eastAsia="zh-CN"/>
              </w:rPr>
              <w:t>总结</w:t>
            </w:r>
            <w:r>
              <w:rPr>
                <w:rFonts w:hint="default" w:ascii="Times New Roman" w:hAnsi="Times New Roman" w:eastAsia="方正仿宋_GBK" w:cs="Times New Roman"/>
                <w:color w:val="auto"/>
                <w:sz w:val="24"/>
                <w:szCs w:val="24"/>
                <w:highlight w:val="none"/>
              </w:rPr>
              <w:t>与</w:t>
            </w:r>
            <w:r>
              <w:rPr>
                <w:rFonts w:hint="default" w:ascii="Times New Roman" w:hAnsi="Times New Roman" w:eastAsia="方正仿宋_GBK" w:cs="Times New Roman"/>
                <w:color w:val="auto"/>
                <w:sz w:val="24"/>
                <w:szCs w:val="24"/>
                <w:highlight w:val="none"/>
                <w:lang w:val="en-US" w:eastAsia="zh-CN"/>
              </w:rPr>
              <w:t>改进</w:t>
            </w:r>
            <w:r>
              <w:rPr>
                <w:rFonts w:hint="default" w:ascii="Times New Roman" w:hAnsi="Times New Roman" w:eastAsia="方正仿宋_GBK" w:cs="Times New Roman"/>
                <w:color w:val="auto"/>
                <w:sz w:val="24"/>
                <w:szCs w:val="24"/>
                <w:highlight w:val="none"/>
              </w:rPr>
              <w:t>。</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持续改进有成效，多学科综合门诊数量及质量不断提升。</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2.5.7.3 有预约诊疗工作制度和规范，实施多种形式的预约诊疗服务，采取有效手段逐步提高患者预约就诊比例。</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8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医院有预约诊疗工作制度和流程，门诊部负责统一预约管理和协调工作。</w:t>
            </w:r>
          </w:p>
          <w:p>
            <w:pPr>
              <w:pageBreakBefore w:val="0"/>
              <w:numPr>
                <w:ilvl w:val="0"/>
                <w:numId w:val="18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医院至少提供两种以上形式预约诊疗服务，如网络、现场、诊间预约等，并方便患者及时获取预约诊疗信息，对变动出诊时间提前公告。</w:t>
            </w:r>
          </w:p>
          <w:p>
            <w:pPr>
              <w:pageBreakBefore w:val="0"/>
              <w:numPr>
                <w:ilvl w:val="0"/>
                <w:numId w:val="18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专家、专科、普通门诊均开展预约诊疗服务，并实行分时段预约。</w:t>
            </w:r>
          </w:p>
          <w:p>
            <w:pPr>
              <w:pageBreakBefore w:val="0"/>
              <w:numPr>
                <w:ilvl w:val="0"/>
                <w:numId w:val="18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有信息化预约管理平台，实现预约号源统一管理与动态调配。</w:t>
            </w:r>
          </w:p>
        </w:tc>
        <w:tc>
          <w:tcPr>
            <w:tcW w:w="1269" w:type="pct"/>
            <w:tcMar>
              <w:top w:w="22" w:type="dxa"/>
              <w:left w:w="22" w:type="dxa"/>
              <w:bottom w:w="22" w:type="dxa"/>
              <w:right w:w="22" w:type="dxa"/>
            </w:tcMar>
            <w:vAlign w:val="center"/>
          </w:tcPr>
          <w:p>
            <w:pPr>
              <w:pageBreakBefore w:val="0"/>
              <w:numPr>
                <w:ilvl w:val="0"/>
                <w:numId w:val="18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8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4.  现场查看预约形式、平台及相关信息获取情况，评价是否符合要求。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门诊管理部门有定期自查、总结分析与整改。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不断提高预约就诊比例，门诊预约率达到门诊量50%以上。</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2.5.8 优化就诊环境。就诊环境清洁、舒适、安全。为患者提供就诊接待、引导、咨询服务。急诊与门诊候诊区、医技部门等均有清晰、规范、醒目、易懂的标识。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2.5.8.1诊疗环境清洁、舒适、安全。</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8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医院建筑布局符合患者就诊流程要求、符合医院安全规范要求和医院感染管理需要。</w:t>
            </w:r>
          </w:p>
          <w:p>
            <w:pPr>
              <w:pageBreakBefore w:val="0"/>
              <w:numPr>
                <w:ilvl w:val="0"/>
                <w:numId w:val="18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门诊满足患者就诊需要，有配备适宜座椅的等候休息区，有候诊排队提示系统。卫生间清洁、无味、防滑，包括专供残疾人使用的卫生设施。环境整洁、安静，卫生。</w:t>
            </w:r>
          </w:p>
        </w:tc>
        <w:tc>
          <w:tcPr>
            <w:tcW w:w="1269" w:type="pct"/>
            <w:tcMar>
              <w:top w:w="22" w:type="dxa"/>
              <w:left w:w="22" w:type="dxa"/>
              <w:bottom w:w="22" w:type="dxa"/>
              <w:right w:w="22" w:type="dxa"/>
            </w:tcMar>
            <w:vAlign w:val="center"/>
          </w:tcPr>
          <w:p>
            <w:pPr>
              <w:pageBreakBefore w:val="0"/>
              <w:numPr>
                <w:ilvl w:val="0"/>
                <w:numId w:val="19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p>
            <w:pPr>
              <w:pageBreakBefore w:val="0"/>
              <w:numPr>
                <w:ilvl w:val="0"/>
                <w:numId w:val="19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主管部门定期督查、分析、反馈，并检查科室整改落实情况。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pacing w:val="-11"/>
                <w:sz w:val="24"/>
                <w:szCs w:val="24"/>
                <w:highlight w:val="none"/>
              </w:rPr>
              <w:t>持续改进有成效，有案例体现门诊就诊环境不断改善。</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2.5.8.2 提供就诊接待引导、咨询服务；标识清晰、规范、醒目、易懂。</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9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医院有就诊指南、建筑平面图、患者权益说明、价格公示等；有专人为患者提供咨询服务，佩戴标识规范，便于患者识别，相关人员熟知各项业务指引和服务流程。</w:t>
            </w:r>
          </w:p>
          <w:p>
            <w:pPr>
              <w:pageBreakBefore w:val="0"/>
              <w:numPr>
                <w:ilvl w:val="0"/>
                <w:numId w:val="19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有各种便民措施与服务，如为老年人、有困难的患者提供帮助，提供饮水、电话、健康教育宣传等；有适宜的供患者停放车辆的区域。</w:t>
            </w:r>
          </w:p>
          <w:p>
            <w:pPr>
              <w:pageBreakBefore w:val="0"/>
              <w:numPr>
                <w:ilvl w:val="0"/>
                <w:numId w:val="19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有清晰、规范、醒目、易懂的标识，尤其与急救相关的科室与路径；标识与服务区域功能或路径相符；有预防意外事件的警示标识与措施；</w:t>
            </w:r>
          </w:p>
        </w:tc>
        <w:tc>
          <w:tcPr>
            <w:tcW w:w="1269" w:type="pct"/>
            <w:tcMar>
              <w:top w:w="22" w:type="dxa"/>
              <w:left w:w="22" w:type="dxa"/>
              <w:bottom w:w="22" w:type="dxa"/>
              <w:right w:w="22" w:type="dxa"/>
            </w:tcMar>
            <w:vAlign w:val="center"/>
          </w:tcPr>
          <w:p>
            <w:pPr>
              <w:pageBreakBefore w:val="0"/>
              <w:numPr>
                <w:ilvl w:val="0"/>
                <w:numId w:val="19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3. 现场查看，并随机询问相关工作人员2名，了解其对门诊相关的诊疗服务及服务流程的知晓情况。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门诊部有定期检查、总结，对存在问题提出整改措施，并落实。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持续改进有成效，有案例或数据体现成效。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2.5.9 完善患者入院、出院、转科、转院服务管理工作制度和标准，为急诊患者入院制定合理、便捷的相关</w:t>
            </w:r>
            <w:r>
              <w:rPr>
                <w:rFonts w:hint="default" w:ascii="Times New Roman" w:hAnsi="Times New Roman" w:eastAsia="方正仿宋_GBK" w:cs="Times New Roman"/>
                <w:strike w:val="0"/>
                <w:dstrike w:val="0"/>
                <w:color w:val="auto"/>
                <w:sz w:val="24"/>
                <w:szCs w:val="24"/>
                <w:highlight w:val="none"/>
              </w:rPr>
              <w:t>制度与</w:t>
            </w:r>
            <w:r>
              <w:rPr>
                <w:rFonts w:hint="default" w:ascii="Times New Roman" w:hAnsi="Times New Roman" w:eastAsia="方正仿宋_GBK" w:cs="Times New Roman"/>
                <w:color w:val="auto"/>
                <w:sz w:val="24"/>
                <w:szCs w:val="24"/>
                <w:highlight w:val="none"/>
              </w:rPr>
              <w:t>流程。加强转科、转院患者的交接管理。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2.5.9.1完善患者入院、出院、转科、转院服务管理工作制度和标准，改进服务流程，方便患者。</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9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医院有入院、出（转）院、转科管理制度与流程，并落实。</w:t>
            </w:r>
          </w:p>
          <w:p>
            <w:pPr>
              <w:pageBreakBefore w:val="0"/>
              <w:numPr>
                <w:ilvl w:val="0"/>
                <w:numId w:val="19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能分时段或床边办理出（转）院。</w:t>
            </w:r>
          </w:p>
          <w:p>
            <w:pPr>
              <w:pageBreakBefore w:val="0"/>
              <w:numPr>
                <w:ilvl w:val="0"/>
                <w:numId w:val="19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能为特殊患者（如残疾患者、无近亲属陪护、行动不便患者等）提供多种服务及便民措施。</w:t>
            </w:r>
          </w:p>
          <w:p>
            <w:pPr>
              <w:pageBreakBefore w:val="0"/>
              <w:numPr>
                <w:ilvl w:val="0"/>
                <w:numId w:val="19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有部门或专人负责协调全院床位。体现</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以患者为中心</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，增加入院患者管理的透明度。</w:t>
            </w:r>
          </w:p>
        </w:tc>
        <w:tc>
          <w:tcPr>
            <w:tcW w:w="1269" w:type="pct"/>
            <w:tcMar>
              <w:top w:w="22" w:type="dxa"/>
              <w:left w:w="22" w:type="dxa"/>
              <w:bottom w:w="22" w:type="dxa"/>
              <w:right w:w="22" w:type="dxa"/>
            </w:tcMar>
            <w:vAlign w:val="center"/>
          </w:tcPr>
          <w:p>
            <w:pPr>
              <w:pageBreakBefore w:val="0"/>
              <w:numPr>
                <w:ilvl w:val="0"/>
                <w:numId w:val="19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9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9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19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主管部门对入院、出院、转科、转院工作有检查与监管。</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持续改进有成效，有信息化系统支持全院床位统一调配管理。</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2.5.9.2 有保证急诊患者能及时、快捷入院的制度与流程，危重患者应先抢救并及时办理入院手续。</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有急诊患者合理，便捷的入院制度与流程，内容包括危重患者应先抢救并及时办理入院手续等。</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职能部门有督查、总结、反馈及改进措施。</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持续改进有成效，有案例或数据体现成效。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2.5.9.3 加强转诊、转科患者的交接，及时传递患者病历与相关信息，为患者提供连续医疗服务。</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医院有转科、转院流程，实施患者评估，履行知情同意。有病情和病历等资料交接。</w:t>
            </w:r>
          </w:p>
        </w:tc>
        <w:tc>
          <w:tcPr>
            <w:tcW w:w="1269" w:type="pct"/>
            <w:tcMar>
              <w:top w:w="22" w:type="dxa"/>
              <w:left w:w="22" w:type="dxa"/>
              <w:bottom w:w="22" w:type="dxa"/>
              <w:right w:w="22" w:type="dxa"/>
            </w:tcMar>
            <w:vAlign w:val="center"/>
          </w:tcPr>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查阅相关资料，并抽查2份在院有转科的病历，是否执行相关流程。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职能部门有督查、总结、反馈及改进措施，并落实。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持续改进有成效，有案例或数据体现成效。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2.5.10 有为老年人就医提供方便，对老年人就医予以优先的举措。</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2.5.10 .1有为老年人就医提供方便，对老年人就医予以优先的举措。</w:t>
            </w:r>
          </w:p>
        </w:tc>
        <w:tc>
          <w:tcPr>
            <w:tcW w:w="2802" w:type="pct"/>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widowControl/>
              <w:numPr>
                <w:ilvl w:val="0"/>
                <w:numId w:val="19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医院有方便老年人就医的相关流程，并落实。</w:t>
            </w:r>
          </w:p>
          <w:p>
            <w:pPr>
              <w:pageBreakBefore w:val="0"/>
              <w:widowControl/>
              <w:numPr>
                <w:ilvl w:val="0"/>
                <w:numId w:val="19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各诊区分诊台及预约窗口有提供优先服务的相关告知。</w:t>
            </w:r>
          </w:p>
          <w:p>
            <w:pPr>
              <w:pageBreakBefore w:val="0"/>
              <w:widowControl/>
              <w:numPr>
                <w:ilvl w:val="0"/>
                <w:numId w:val="19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提供多渠道预约挂号服务，提供方便老年人预约挂号的方式。</w:t>
            </w:r>
          </w:p>
        </w:tc>
        <w:tc>
          <w:tcPr>
            <w:tcW w:w="1269" w:type="pct"/>
            <w:vAlign w:val="center"/>
          </w:tcPr>
          <w:p>
            <w:pPr>
              <w:pageBreakBefore w:val="0"/>
              <w:widowControl/>
              <w:numPr>
                <w:ilvl w:val="0"/>
                <w:numId w:val="19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查阅相关资料。</w:t>
            </w:r>
          </w:p>
          <w:p>
            <w:pPr>
              <w:pageBreakBefore w:val="0"/>
              <w:widowControl/>
              <w:numPr>
                <w:ilvl w:val="0"/>
                <w:numId w:val="19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3.现场查看。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门急诊管理部门定期督查、总结，提出改建措施并落实。</w:t>
            </w:r>
          </w:p>
        </w:tc>
        <w:tc>
          <w:tcPr>
            <w:tcW w:w="1269" w:type="pct"/>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持续改进有成效，有案例体现成效。</w:t>
            </w:r>
          </w:p>
        </w:tc>
        <w:tc>
          <w:tcPr>
            <w:tcW w:w="1269" w:type="pct"/>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2.5.1</w:t>
            </w:r>
            <w:r>
              <w:rPr>
                <w:rFonts w:hint="default" w:ascii="Times New Roman" w:hAnsi="Times New Roman" w:eastAsia="方正仿宋_GBK"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rPr>
              <w:t xml:space="preserve"> 加强出院患者健康教育，为出院患者提供规范的出院医嘱和康复指导意见，建立出院患者随访制度并组织实施。</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w:t>
            </w:r>
            <w:r>
              <w:rPr>
                <w:rFonts w:hint="default" w:ascii="Times New Roman" w:hAnsi="Times New Roman" w:eastAsia="方正仿宋_GBK"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rPr>
              <w:t>.1加强出院患者健康教育和随访预约管理，提高患者健康知识水平和出院后医疗、护理及康复措施的知晓度。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医院有出院患者健康教育相关制度并落实。</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利用电话、电子邮件、互联网+护理服务等多种形式开展随访。</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科室对相关工作有检查、分析及整改。</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主管部门有督查、总结、反馈及改进措施。</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抽查内、外科各1个科室，查阅相关资料。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持续改进有成效，出院患者随访率不断提高。</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w:t>
            </w:r>
            <w:r>
              <w:rPr>
                <w:rFonts w:hint="default" w:ascii="Times New Roman" w:hAnsi="Times New Roman" w:eastAsia="方正仿宋_GBK"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rPr>
              <w:t>.2 出院患者有出院记录，主要内容记录完整，与住院病历记录内容保持一致；为出院患者提供规范的出院医嘱和康复指导意见。</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患者出院记录内容完整，与住院病历记录内容一致；有规范的出院医嘱；有向出院患者提供康复指导意见，并有记录并有签名。</w:t>
            </w:r>
          </w:p>
        </w:tc>
        <w:tc>
          <w:tcPr>
            <w:tcW w:w="1269" w:type="pct"/>
            <w:tcMar>
              <w:top w:w="22" w:type="dxa"/>
              <w:left w:w="22" w:type="dxa"/>
              <w:bottom w:w="22" w:type="dxa"/>
              <w:right w:w="22" w:type="dxa"/>
            </w:tcMar>
            <w:vAlign w:val="center"/>
          </w:tcPr>
          <w:p>
            <w:pPr>
              <w:pageBreakBefore w:val="0"/>
              <w:numPr>
                <w:ilvl w:val="255"/>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抽查内、外科出院电子病历各5份，评价是否符合要求。合格率≥80%。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19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科室有自查、总结、分析，对存在问题有整改。</w:t>
            </w:r>
          </w:p>
          <w:p>
            <w:pPr>
              <w:pageBreakBefore w:val="0"/>
              <w:numPr>
                <w:ilvl w:val="0"/>
                <w:numId w:val="19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主管部门有定期督查、反馈，并检查科室落实整改情况。</w:t>
            </w:r>
          </w:p>
        </w:tc>
        <w:tc>
          <w:tcPr>
            <w:tcW w:w="1269" w:type="pct"/>
            <w:tcMar>
              <w:top w:w="22" w:type="dxa"/>
              <w:left w:w="22" w:type="dxa"/>
              <w:bottom w:w="22" w:type="dxa"/>
              <w:right w:w="22" w:type="dxa"/>
            </w:tcMar>
            <w:vAlign w:val="center"/>
          </w:tcPr>
          <w:p>
            <w:pPr>
              <w:pageBreakBefore w:val="0"/>
              <w:numPr>
                <w:ilvl w:val="0"/>
                <w:numId w:val="19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抽查内、外科各1个科室，查阅相关资料。</w:t>
            </w:r>
          </w:p>
          <w:p>
            <w:pPr>
              <w:pageBreakBefore w:val="0"/>
              <w:numPr>
                <w:ilvl w:val="0"/>
                <w:numId w:val="19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持续改进有成效，有案例或数据体现成效。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2.5.1</w:t>
            </w: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 xml:space="preserve"> 建立各专科常见疾病的临床诊疗规范和技术操作流程，由具有法定资质的医务人员按照制度、程序、规范和流程对患者进行疾病诊断、评估并制定诊疗计划。对疑难危重患者、恶性肿瘤患者，实施必要的多学科评估和综合诊疗。</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w:t>
            </w: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.1各专科建立本专业疾病临床诊疗规范和技术操作流程各级医师按照规范和流程开展诊疗活动。</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19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医院有各临床科室根据国家相关指南建立本专业各疾病临床诊疗规范和技术操作流程，并定期培训、更新。</w:t>
            </w:r>
          </w:p>
          <w:p>
            <w:pPr>
              <w:pageBreakBefore w:val="0"/>
              <w:numPr>
                <w:ilvl w:val="0"/>
                <w:numId w:val="19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由具有法定资质的医师按照制度、程序、规范和流程对患者进行疾病诊断、评估并制定诊疗计划，并按规范进行病历书写。</w:t>
            </w:r>
          </w:p>
        </w:tc>
        <w:tc>
          <w:tcPr>
            <w:tcW w:w="1269" w:type="pct"/>
            <w:tcMar>
              <w:top w:w="22" w:type="dxa"/>
              <w:left w:w="22" w:type="dxa"/>
              <w:bottom w:w="22" w:type="dxa"/>
              <w:right w:w="22" w:type="dxa"/>
            </w:tcMar>
            <w:vAlign w:val="center"/>
          </w:tcPr>
          <w:p>
            <w:pPr>
              <w:pageBreakBefore w:val="0"/>
              <w:numPr>
                <w:ilvl w:val="0"/>
                <w:numId w:val="20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0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抽查内、外科在院电子病历各5份，评价执行情况。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0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科室对落实诊疗规范和技术操作流程有自查，存在问题有改进。</w:t>
            </w:r>
          </w:p>
          <w:p>
            <w:pPr>
              <w:pageBreakBefore w:val="0"/>
              <w:numPr>
                <w:ilvl w:val="0"/>
                <w:numId w:val="20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主管部门定期有督查、分析、反馈。</w:t>
            </w:r>
          </w:p>
        </w:tc>
        <w:tc>
          <w:tcPr>
            <w:tcW w:w="1269" w:type="pct"/>
            <w:tcMar>
              <w:top w:w="22" w:type="dxa"/>
              <w:left w:w="22" w:type="dxa"/>
              <w:bottom w:w="22" w:type="dxa"/>
              <w:right w:w="22" w:type="dxa"/>
            </w:tcMar>
            <w:vAlign w:val="center"/>
          </w:tcPr>
          <w:p>
            <w:pPr>
              <w:pageBreakBefore w:val="0"/>
              <w:numPr>
                <w:ilvl w:val="0"/>
                <w:numId w:val="20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抽查内、外科各1个科室，查阅相关资料。</w:t>
            </w:r>
          </w:p>
          <w:p>
            <w:pPr>
              <w:pageBreakBefore w:val="0"/>
              <w:numPr>
                <w:ilvl w:val="0"/>
                <w:numId w:val="20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w:t>
            </w: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.2建立疑难危重患者、恶性肿瘤患者多学科评估和综合诊疗制度，并落实。</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0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医院有明确疑难危重患者范围，根据本院实际情况制定包括疑难危重患者、恶性肿瘤患者的多学科评估和综合诊疗制度与流程。</w:t>
            </w:r>
          </w:p>
          <w:p>
            <w:pPr>
              <w:pageBreakBefore w:val="0"/>
              <w:numPr>
                <w:ilvl w:val="0"/>
                <w:numId w:val="20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临床科室在日常医疗工作中落实执行。</w:t>
            </w:r>
          </w:p>
        </w:tc>
        <w:tc>
          <w:tcPr>
            <w:tcW w:w="1269" w:type="pct"/>
            <w:tcMar>
              <w:top w:w="22" w:type="dxa"/>
              <w:left w:w="22" w:type="dxa"/>
              <w:bottom w:w="22" w:type="dxa"/>
              <w:right w:w="22" w:type="dxa"/>
            </w:tcMar>
            <w:vAlign w:val="center"/>
          </w:tcPr>
          <w:p>
            <w:pPr>
              <w:pageBreakBefore w:val="0"/>
              <w:numPr>
                <w:ilvl w:val="0"/>
                <w:numId w:val="20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0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抽查内、外科各1个科室</w:t>
            </w:r>
            <w:r>
              <w:rPr>
                <w:rFonts w:hint="default" w:ascii="Times New Roman" w:hAnsi="Times New Roman" w:eastAsia="方正仿宋_GBK" w:cs="Times New Roman"/>
                <w:strike w:val="0"/>
                <w:dstrike w:val="0"/>
                <w:color w:val="auto"/>
                <w:sz w:val="24"/>
                <w:szCs w:val="24"/>
                <w:highlight w:val="none"/>
                <w:lang w:eastAsia="zh-CN"/>
              </w:rPr>
              <w:t>，</w:t>
            </w:r>
            <w:r>
              <w:rPr>
                <w:rFonts w:hint="default" w:ascii="Times New Roman" w:hAnsi="Times New Roman" w:eastAsia="方正仿宋_GBK" w:cs="Times New Roman"/>
                <w:strike w:val="0"/>
                <w:dstrike w:val="0"/>
                <w:color w:val="auto"/>
                <w:sz w:val="24"/>
                <w:szCs w:val="24"/>
                <w:highlight w:val="none"/>
                <w:lang w:val="en-US" w:eastAsia="zh-CN"/>
              </w:rPr>
              <w:t>抽查相关病历3份，评价执行情况。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主管部门有定期督查、分析、反馈，并参与、组织多学科综合诊疗工作。</w:t>
            </w:r>
          </w:p>
        </w:tc>
        <w:tc>
          <w:tcPr>
            <w:tcW w:w="1269" w:type="pct"/>
            <w:tcMar>
              <w:top w:w="22" w:type="dxa"/>
              <w:left w:w="22" w:type="dxa"/>
              <w:bottom w:w="22" w:type="dxa"/>
              <w:right w:w="22" w:type="dxa"/>
            </w:tcMar>
            <w:vAlign w:val="center"/>
          </w:tcPr>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625" w:hRule="atLeast"/>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2.5.1</w:t>
            </w:r>
            <w:r>
              <w:rPr>
                <w:rFonts w:hint="default" w:ascii="Times New Roman" w:hAnsi="Times New Roman"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rPr>
              <w:t>对住院患者实施营养筛查与评估，为患者提供营养膳食指导，提供营养配餐和治疗饮食，满足患者治疗需要。对特殊、疑难、危重及大手术患者提供营养会诊，按需提供营养支持方案，并记入病历。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w:t>
            </w:r>
            <w:r>
              <w:rPr>
                <w:rFonts w:hint="default" w:ascii="Times New Roman" w:hAnsi="Times New Roman"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rPr>
              <w:t>.1设置临床营养科（室），并配备与其规模相适应的医、护、技营养专业人员，开展临床营养工作。</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0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医院设置临床营养科，有各级各类人员岗位职责。</w:t>
            </w:r>
          </w:p>
          <w:p>
            <w:pPr>
              <w:pageBreakBefore w:val="0"/>
              <w:numPr>
                <w:ilvl w:val="0"/>
                <w:numId w:val="205"/>
              </w:numPr>
              <w:kinsoku/>
              <w:wordWrap/>
              <w:overflowPunct/>
              <w:topLinePunct w:val="0"/>
              <w:bidi w:val="0"/>
              <w:snapToGrid/>
              <w:spacing w:line="300" w:lineRule="exact"/>
              <w:ind w:left="0" w:lef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临床营养科负责人应具备卫生专业技术资格高级职称且从事临床营养工作两年以上。</w:t>
            </w:r>
          </w:p>
        </w:tc>
        <w:tc>
          <w:tcPr>
            <w:tcW w:w="1269" w:type="pct"/>
            <w:tcMar>
              <w:top w:w="22" w:type="dxa"/>
              <w:left w:w="22" w:type="dxa"/>
              <w:bottom w:w="22" w:type="dxa"/>
              <w:right w:w="22" w:type="dxa"/>
            </w:tcMar>
            <w:vAlign w:val="center"/>
          </w:tcPr>
          <w:p>
            <w:pPr>
              <w:pageBreakBefore w:val="0"/>
              <w:numPr>
                <w:ilvl w:val="0"/>
                <w:numId w:val="20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0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营养门诊每周不少于3 个。</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查看门诊排班及抽查门诊病历。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0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有临床营养科病房，床位不少于15张。</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营养治疗产品（包括特殊医学用途配方食品）的应用种类不少于10 种。</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cs="Times New Roman"/>
                <w:color w:val="auto"/>
                <w:sz w:val="24"/>
                <w:szCs w:val="24"/>
                <w:highlight w:val="none"/>
              </w:rPr>
            </w:pPr>
            <w:r>
              <w:rPr>
                <w:rFonts w:hint="default" w:ascii="Times New Roman" w:hAnsi="Times New Roman" w:eastAsia="方正仿宋_GBK" w:cs="Times New Roman"/>
                <w:color w:val="auto"/>
                <w:sz w:val="24"/>
                <w:szCs w:val="24"/>
                <w:highlight w:val="none"/>
              </w:rPr>
              <w:t>1. 现场查看。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现场查看。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466" w:hRule="atLeast"/>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w:t>
            </w:r>
            <w:r>
              <w:rPr>
                <w:rFonts w:hint="default" w:ascii="Times New Roman" w:hAnsi="Times New Roman"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rPr>
              <w:t>.2有临床营养工作管理制度和诊疗技术规范，并落实。</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0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临床营养科工作管理制度健全，制定营养筛查与评估管理规范，建立标准化临床营养诊疗流程，防治营养不良及营养代谢病诊疗相关并发症。</w:t>
            </w:r>
          </w:p>
          <w:p>
            <w:pPr>
              <w:pageBreakBefore w:val="0"/>
              <w:numPr>
                <w:ilvl w:val="0"/>
                <w:numId w:val="20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遵循住院患者各类膳食的适应证和膳食应用原则要求，有膳食医嘱执行路径。</w:t>
            </w:r>
          </w:p>
          <w:p>
            <w:pPr>
              <w:pageBreakBefore w:val="0"/>
              <w:numPr>
                <w:ilvl w:val="0"/>
                <w:numId w:val="20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有临床营养科诊疗质量与服务监管指标和要求。</w:t>
            </w:r>
          </w:p>
        </w:tc>
        <w:tc>
          <w:tcPr>
            <w:tcW w:w="1269" w:type="pct"/>
            <w:tcMar>
              <w:top w:w="22" w:type="dxa"/>
              <w:left w:w="22" w:type="dxa"/>
              <w:bottom w:w="22" w:type="dxa"/>
              <w:right w:w="22" w:type="dxa"/>
            </w:tcMar>
            <w:vAlign w:val="center"/>
          </w:tcPr>
          <w:p>
            <w:pPr>
              <w:pageBreakBefore w:val="0"/>
              <w:numPr>
                <w:ilvl w:val="0"/>
                <w:numId w:val="209"/>
              </w:numPr>
              <w:kinsoku/>
              <w:wordWrap/>
              <w:overflowPunct/>
              <w:topLinePunct w:val="0"/>
              <w:bidi w:val="0"/>
              <w:snapToGrid/>
              <w:spacing w:line="300" w:lineRule="exact"/>
              <w:jc w:val="both"/>
              <w:textAlignment w:val="auto"/>
              <w:rPr>
                <w:rFonts w:hint="default"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查阅相关资料（包括相关制度、流程等，抽查在院患者电子病历5份，查阅营养筛查的相关记录）。</w:t>
            </w:r>
          </w:p>
          <w:p>
            <w:pPr>
              <w:pageBreakBefore w:val="0"/>
              <w:numPr>
                <w:ilvl w:val="0"/>
                <w:numId w:val="20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抽查在院患者电子病历5份，是否符合要求。</w:t>
            </w:r>
          </w:p>
          <w:p>
            <w:pPr>
              <w:pageBreakBefore w:val="0"/>
              <w:numPr>
                <w:ilvl w:val="0"/>
                <w:numId w:val="20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1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科室对制度、规范执行情况有自查，对问题有分析及改进措施。</w:t>
            </w:r>
          </w:p>
          <w:p>
            <w:pPr>
              <w:pageBreakBefore w:val="0"/>
              <w:numPr>
                <w:ilvl w:val="0"/>
                <w:numId w:val="21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主管部门对相关工作有督查、反馈，对整改问题有检查落实情况。</w:t>
            </w:r>
          </w:p>
        </w:tc>
        <w:tc>
          <w:tcPr>
            <w:tcW w:w="1269" w:type="pct"/>
            <w:tcMar>
              <w:top w:w="22" w:type="dxa"/>
              <w:left w:w="22" w:type="dxa"/>
              <w:bottom w:w="22" w:type="dxa"/>
              <w:right w:w="22" w:type="dxa"/>
            </w:tcMar>
            <w:vAlign w:val="center"/>
          </w:tcPr>
          <w:p>
            <w:pPr>
              <w:pageBreakBefore w:val="0"/>
              <w:numPr>
                <w:ilvl w:val="0"/>
                <w:numId w:val="21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1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持续改进有成效，有数据体现营养诊疗质量与服务质量指标不断改进。</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w:t>
            </w:r>
            <w:r>
              <w:rPr>
                <w:rFonts w:hint="default" w:ascii="Times New Roman" w:hAnsi="Times New Roman" w:eastAsia="方正仿宋_GBK" w:cs="Times New Roman"/>
                <w:color w:val="auto"/>
                <w:sz w:val="24"/>
                <w:szCs w:val="24"/>
                <w:highlight w:val="none"/>
                <w:lang w:val="en-US" w:eastAsia="zh-CN"/>
              </w:rPr>
              <w:t>13</w:t>
            </w:r>
            <w:r>
              <w:rPr>
                <w:rFonts w:hint="default" w:ascii="Times New Roman" w:hAnsi="Times New Roman" w:eastAsia="方正仿宋_GBK" w:cs="Times New Roman"/>
                <w:color w:val="auto"/>
                <w:sz w:val="24"/>
                <w:szCs w:val="24"/>
                <w:highlight w:val="none"/>
              </w:rPr>
              <w:t>.3开展规范化临床营养诊疗工作和营养健康宣传教育服务，对特殊、疑难、危重及大手术患者提供营养会诊，并按规范完成记录。</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1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临床</w:t>
            </w:r>
            <w:r>
              <w:rPr>
                <w:rFonts w:hint="default" w:ascii="Times New Roman" w:hAnsi="Times New Roman" w:eastAsia="方正仿宋_GBK" w:cs="Times New Roman"/>
                <w:color w:val="auto"/>
                <w:sz w:val="24"/>
                <w:szCs w:val="24"/>
                <w:highlight w:val="none"/>
              </w:rPr>
              <w:t>营养医师根据规范开展营养查房，对有需要的患者制定营养支持治疗计划、开具营养处方及随访、监测效果，并按规范书写查房记录。</w:t>
            </w:r>
          </w:p>
          <w:p>
            <w:pPr>
              <w:pageBreakBefore w:val="0"/>
              <w:numPr>
                <w:ilvl w:val="0"/>
                <w:numId w:val="21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参与特殊、疑难、危重及大手术患者的临床病历讨论和营养会诊，会诊意见、营养治疗方案和膳食方案按要求在病程记录中有体现。</w:t>
            </w:r>
          </w:p>
        </w:tc>
        <w:tc>
          <w:tcPr>
            <w:tcW w:w="1269" w:type="pct"/>
            <w:tcMar>
              <w:top w:w="22" w:type="dxa"/>
              <w:left w:w="22" w:type="dxa"/>
              <w:bottom w:w="22" w:type="dxa"/>
              <w:right w:w="22" w:type="dxa"/>
            </w:tcMar>
            <w:vAlign w:val="center"/>
          </w:tcPr>
          <w:p>
            <w:pPr>
              <w:pageBreakBefore w:val="0"/>
              <w:numPr>
                <w:ilvl w:val="0"/>
                <w:numId w:val="21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 抽查相关病历5份，评价是否符合要求。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1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科室对重点病人治疗膳食医嘱有效果评价。</w:t>
            </w:r>
          </w:p>
          <w:p>
            <w:pPr>
              <w:pageBreakBefore w:val="0"/>
              <w:numPr>
                <w:ilvl w:val="0"/>
                <w:numId w:val="21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主管部门有督查、反馈，并检查科室落实整改情况。</w:t>
            </w:r>
          </w:p>
        </w:tc>
        <w:tc>
          <w:tcPr>
            <w:tcW w:w="1269" w:type="pct"/>
            <w:tcMar>
              <w:top w:w="22" w:type="dxa"/>
              <w:left w:w="22" w:type="dxa"/>
              <w:bottom w:w="22" w:type="dxa"/>
              <w:right w:w="22" w:type="dxa"/>
            </w:tcMar>
            <w:vAlign w:val="center"/>
          </w:tcPr>
          <w:p>
            <w:pPr>
              <w:pageBreakBefore w:val="0"/>
              <w:numPr>
                <w:ilvl w:val="0"/>
                <w:numId w:val="21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1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Style w:val="17"/>
              <w:pageBreakBefore w:val="0"/>
              <w:kinsoku/>
              <w:wordWrap/>
              <w:overflowPunct/>
              <w:topLinePunct w:val="0"/>
              <w:bidi w:val="0"/>
              <w:snapToGrid/>
              <w:spacing w:line="300" w:lineRule="exact"/>
              <w:ind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临床营养科配备与医院HIS、LIS、医院膳食订餐系统等信息系统相链接的临床营养诊疗系统。</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现场查看及查阅相关资料。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trHeight w:val="625" w:hRule="atLeast"/>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w:t>
            </w:r>
            <w:r>
              <w:rPr>
                <w:rFonts w:hint="default" w:ascii="Times New Roman" w:hAnsi="Times New Roman" w:eastAsia="方正仿宋_GBK"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rPr>
              <w:t>实施手术患者评估制度，合理制订诊疗和手术方案。建立重大手术报告审批制度，有急诊手术管理措施，保障急诊手术安全。</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bookmarkStart w:id="193" w:name="_Hlk72387739"/>
            <w:r>
              <w:rPr>
                <w:rFonts w:hint="default" w:ascii="Times New Roman" w:hAnsi="Times New Roman" w:eastAsia="方正仿宋_GBK" w:cs="Times New Roman"/>
                <w:color w:val="auto"/>
                <w:sz w:val="24"/>
                <w:szCs w:val="24"/>
                <w:highlight w:val="none"/>
              </w:rPr>
              <w:t>2.5.1</w:t>
            </w:r>
            <w:r>
              <w:rPr>
                <w:rFonts w:hint="default" w:ascii="Times New Roman" w:hAnsi="Times New Roman" w:eastAsia="方正仿宋_GBK"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rPr>
              <w:t>.1建立手术患者评估制度和重大手术报告审批制度。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1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医院有手术患者评估制度。</w:t>
            </w:r>
          </w:p>
          <w:p>
            <w:pPr>
              <w:pageBreakBefore w:val="0"/>
              <w:numPr>
                <w:ilvl w:val="0"/>
                <w:numId w:val="21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有重大手术（包括急诊情况下）报告审批制度与流程及目录。</w:t>
            </w:r>
          </w:p>
        </w:tc>
        <w:tc>
          <w:tcPr>
            <w:tcW w:w="1269" w:type="pct"/>
            <w:tcMar>
              <w:top w:w="22" w:type="dxa"/>
              <w:left w:w="22" w:type="dxa"/>
              <w:bottom w:w="22" w:type="dxa"/>
              <w:right w:w="22" w:type="dxa"/>
            </w:tcMar>
            <w:vAlign w:val="center"/>
          </w:tcPr>
          <w:p>
            <w:pPr>
              <w:pageBreakBefore w:val="0"/>
              <w:numPr>
                <w:ilvl w:val="0"/>
                <w:numId w:val="21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包括在院手术患者病历，检查有无相关记录</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w:t>
            </w:r>
          </w:p>
          <w:p>
            <w:pPr>
              <w:pageBreakBefore w:val="0"/>
              <w:numPr>
                <w:ilvl w:val="0"/>
                <w:numId w:val="21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1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科室有自查、分析、整改。</w:t>
            </w:r>
          </w:p>
          <w:p>
            <w:pPr>
              <w:pageBreakBefore w:val="0"/>
              <w:numPr>
                <w:ilvl w:val="0"/>
                <w:numId w:val="21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w:t>
            </w:r>
            <w:r>
              <w:rPr>
                <w:rFonts w:hint="default" w:ascii="Times New Roman" w:hAnsi="Times New Roman" w:eastAsia="方正仿宋_GBK" w:cs="Times New Roman"/>
                <w:color w:val="auto"/>
                <w:sz w:val="24"/>
                <w:szCs w:val="24"/>
                <w:highlight w:val="none"/>
                <w:lang w:val="en-US" w:eastAsia="zh-CN"/>
              </w:rPr>
              <w:t>督查、反馈</w:t>
            </w:r>
            <w:r>
              <w:rPr>
                <w:rFonts w:hint="default" w:ascii="Times New Roman" w:hAnsi="Times New Roman" w:eastAsia="方正仿宋_GBK" w:cs="Times New Roman"/>
                <w:color w:val="auto"/>
                <w:sz w:val="24"/>
                <w:szCs w:val="24"/>
                <w:highlight w:val="none"/>
              </w:rPr>
              <w:t>。</w:t>
            </w:r>
          </w:p>
        </w:tc>
        <w:tc>
          <w:tcPr>
            <w:tcW w:w="1269" w:type="pct"/>
            <w:tcMar>
              <w:top w:w="22" w:type="dxa"/>
              <w:left w:w="22" w:type="dxa"/>
              <w:bottom w:w="22" w:type="dxa"/>
              <w:right w:w="22" w:type="dxa"/>
            </w:tcMar>
            <w:vAlign w:val="center"/>
          </w:tcPr>
          <w:p>
            <w:pPr>
              <w:pageBreakBefore w:val="0"/>
              <w:numPr>
                <w:ilvl w:val="0"/>
                <w:numId w:val="21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抽查外科2个科室，查阅相关资料。</w:t>
            </w:r>
          </w:p>
          <w:p>
            <w:pPr>
              <w:pageBreakBefore w:val="0"/>
              <w:numPr>
                <w:ilvl w:val="0"/>
                <w:numId w:val="21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bookmarkEnd w:id="193"/>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w:t>
            </w:r>
            <w:r>
              <w:rPr>
                <w:rFonts w:hint="default" w:ascii="Times New Roman" w:hAnsi="Times New Roman" w:eastAsia="方正仿宋_GBK" w:cs="Times New Roman"/>
                <w:color w:val="auto"/>
                <w:sz w:val="24"/>
                <w:szCs w:val="24"/>
                <w:highlight w:val="none"/>
                <w:lang w:val="en-US" w:eastAsia="zh-CN"/>
              </w:rPr>
              <w:t>14</w:t>
            </w:r>
            <w:r>
              <w:rPr>
                <w:rFonts w:hint="default" w:ascii="Times New Roman" w:hAnsi="Times New Roman" w:eastAsia="方正仿宋_GBK" w:cs="Times New Roman"/>
                <w:color w:val="auto"/>
                <w:sz w:val="24"/>
                <w:szCs w:val="24"/>
                <w:highlight w:val="none"/>
              </w:rPr>
              <w:t>.2 有急诊手术管理制度及流程，保障手术安全。</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医院有急诊手术管理制度及急诊手术绿色通道的保障措施和协调机制。</w:t>
            </w:r>
          </w:p>
        </w:tc>
        <w:tc>
          <w:tcPr>
            <w:tcW w:w="1269" w:type="pct"/>
            <w:tcMar>
              <w:top w:w="22" w:type="dxa"/>
              <w:left w:w="22" w:type="dxa"/>
              <w:bottom w:w="22" w:type="dxa"/>
              <w:right w:w="22" w:type="dxa"/>
            </w:tcMar>
            <w:vAlign w:val="center"/>
          </w:tcPr>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2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科室有自查、分析、整改。</w:t>
            </w:r>
          </w:p>
          <w:p>
            <w:pPr>
              <w:pageBreakBefore w:val="0"/>
              <w:numPr>
                <w:ilvl w:val="0"/>
                <w:numId w:val="22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主管部门有督查、反馈。</w:t>
            </w:r>
          </w:p>
        </w:tc>
        <w:tc>
          <w:tcPr>
            <w:tcW w:w="1269" w:type="pct"/>
            <w:tcMar>
              <w:top w:w="22" w:type="dxa"/>
              <w:left w:w="22" w:type="dxa"/>
              <w:bottom w:w="22" w:type="dxa"/>
              <w:right w:w="22" w:type="dxa"/>
            </w:tcMar>
            <w:vAlign w:val="center"/>
          </w:tcPr>
          <w:p>
            <w:pPr>
              <w:pageBreakBefore w:val="0"/>
              <w:numPr>
                <w:ilvl w:val="0"/>
                <w:numId w:val="22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抽查外科2个科室，查阅相关资料。</w:t>
            </w:r>
          </w:p>
          <w:p>
            <w:pPr>
              <w:pageBreakBefore w:val="0"/>
              <w:numPr>
                <w:ilvl w:val="0"/>
                <w:numId w:val="22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形成标准化急诊手术流程，未发生与流程不畅有关的不良事件。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2.5.1</w:t>
            </w:r>
            <w:r>
              <w:rPr>
                <w:rFonts w:hint="default" w:ascii="Times New Roman" w:hAnsi="Times New Roman" w:eastAsia="方正仿宋_GBK" w:cs="Times New Roman"/>
                <w:color w:val="auto"/>
                <w:sz w:val="24"/>
                <w:szCs w:val="24"/>
                <w:highlight w:val="none"/>
                <w:lang w:val="en-US" w:eastAsia="zh-CN"/>
              </w:rPr>
              <w:t>5</w:t>
            </w:r>
            <w:r>
              <w:rPr>
                <w:rFonts w:hint="default" w:ascii="Times New Roman" w:hAnsi="Times New Roman" w:eastAsia="方正仿宋_GBK" w:cs="Times New Roman"/>
                <w:color w:val="auto"/>
                <w:sz w:val="24"/>
                <w:szCs w:val="24"/>
                <w:highlight w:val="none"/>
              </w:rPr>
              <w:t>手术的全过程情况，术后注意事项，手术后治疗、观察与护理情况及时、准确地记入病历；手术的离体组织必须做病理学检查，明确术后诊断。</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w:t>
            </w:r>
            <w:r>
              <w:rPr>
                <w:rFonts w:hint="default" w:ascii="Times New Roman" w:hAnsi="Times New Roman" w:eastAsia="方正仿宋_GBK" w:cs="Times New Roman"/>
                <w:color w:val="auto"/>
                <w:sz w:val="24"/>
                <w:szCs w:val="24"/>
                <w:highlight w:val="none"/>
                <w:lang w:val="en-US" w:eastAsia="zh-CN"/>
              </w:rPr>
              <w:t>5</w:t>
            </w:r>
            <w:r>
              <w:rPr>
                <w:rFonts w:hint="default" w:ascii="Times New Roman" w:hAnsi="Times New Roman" w:eastAsia="方正仿宋_GBK" w:cs="Times New Roman"/>
                <w:color w:val="auto"/>
                <w:sz w:val="24"/>
                <w:szCs w:val="24"/>
                <w:highlight w:val="none"/>
              </w:rPr>
              <w:t>.1手术病人的手术全过程、术后治疗、病情变化及护理情况及时、准确、完整地记入病历。</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按病历书写规范，医师及护士为手术患者及时、完整完成相关记录。包括有参加手术的医师在术后即时完成术后首次病程记录，并记录术后处理措施、术后观察注意事项等；手术主刀医师在术后24 小时内完成手术记录（特殊情况下，由一助书写，主刀签名），内容包括反映手术的一般情况、手术经过、术中发现及处理情况等。术后患者生命指标监测结果等护理记录。</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抽查在院手术患者电子病历，评价记录内容是否符合规范要求。合格率≥80%。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2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科室有自查、分析及整改。</w:t>
            </w:r>
          </w:p>
          <w:p>
            <w:pPr>
              <w:pageBreakBefore w:val="0"/>
              <w:numPr>
                <w:ilvl w:val="0"/>
                <w:numId w:val="22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主管部门对上述工作有定期督查、分析反馈，并检查科室落实整改情况。</w:t>
            </w:r>
          </w:p>
        </w:tc>
        <w:tc>
          <w:tcPr>
            <w:tcW w:w="1269" w:type="pct"/>
            <w:tcMar>
              <w:top w:w="22" w:type="dxa"/>
              <w:left w:w="22" w:type="dxa"/>
              <w:bottom w:w="22" w:type="dxa"/>
              <w:right w:w="22" w:type="dxa"/>
            </w:tcMar>
            <w:vAlign w:val="center"/>
          </w:tcPr>
          <w:p>
            <w:pPr>
              <w:pageBreakBefore w:val="0"/>
              <w:numPr>
                <w:ilvl w:val="0"/>
                <w:numId w:val="22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2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w:t>
            </w:r>
            <w:r>
              <w:rPr>
                <w:rFonts w:hint="default" w:ascii="Times New Roman" w:hAnsi="Times New Roman" w:eastAsia="方正仿宋_GBK" w:cs="Times New Roman"/>
                <w:color w:val="auto"/>
                <w:sz w:val="24"/>
                <w:szCs w:val="24"/>
                <w:highlight w:val="none"/>
                <w:lang w:val="en-US" w:eastAsia="zh-CN"/>
              </w:rPr>
              <w:t>15</w:t>
            </w:r>
            <w:r>
              <w:rPr>
                <w:rFonts w:hint="default" w:ascii="Times New Roman" w:hAnsi="Times New Roman" w:eastAsia="方正仿宋_GBK" w:cs="Times New Roman"/>
                <w:color w:val="auto"/>
                <w:sz w:val="24"/>
                <w:szCs w:val="24"/>
                <w:highlight w:val="none"/>
              </w:rPr>
              <w:t>.2手术离体组织送病理学检查，明确术后诊断。</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2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医院有手术后离体组织送病理学检查的规定、流程，并执行。</w:t>
            </w:r>
          </w:p>
          <w:p>
            <w:pPr>
              <w:pageBreakBefore w:val="0"/>
              <w:numPr>
                <w:ilvl w:val="0"/>
                <w:numId w:val="22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对病理报告与术中快速冰冻切片检查及术后诊断不一致时，有追踪与讨论的规定与流程，其结果有记录。</w:t>
            </w:r>
          </w:p>
        </w:tc>
        <w:tc>
          <w:tcPr>
            <w:tcW w:w="1269" w:type="pct"/>
            <w:tcMar>
              <w:top w:w="22" w:type="dxa"/>
              <w:left w:w="22" w:type="dxa"/>
              <w:bottom w:w="22" w:type="dxa"/>
              <w:right w:w="22" w:type="dxa"/>
            </w:tcMar>
            <w:vAlign w:val="center"/>
          </w:tcPr>
          <w:p>
            <w:pPr>
              <w:pageBreakBefore w:val="0"/>
              <w:numPr>
                <w:ilvl w:val="0"/>
                <w:numId w:val="22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2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w:t>
            </w:r>
            <w:r>
              <w:rPr>
                <w:rFonts w:hint="default" w:ascii="Times New Roman" w:hAnsi="Times New Roman" w:eastAsia="方正仿宋_GBK" w:cs="Times New Roman"/>
                <w:color w:val="auto"/>
                <w:sz w:val="24"/>
                <w:szCs w:val="24"/>
                <w:highlight w:val="none"/>
                <w:lang w:val="en-US" w:eastAsia="zh-CN"/>
              </w:rPr>
              <w:t>定期总结分析相关工作，提出整改意见并督促落实</w:t>
            </w:r>
            <w:r>
              <w:rPr>
                <w:rFonts w:hint="default" w:ascii="Times New Roman" w:hAnsi="Times New Roman" w:eastAsia="方正仿宋_GBK" w:cs="Times New Roman"/>
                <w:color w:val="auto"/>
                <w:sz w:val="24"/>
                <w:szCs w:val="24"/>
                <w:highlight w:val="none"/>
              </w:rPr>
              <w:t>。</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2.5.1</w:t>
            </w:r>
            <w:r>
              <w:rPr>
                <w:rFonts w:hint="default" w:ascii="Times New Roman" w:hAnsi="Times New Roman" w:eastAsia="方正仿宋_GBK" w:cs="Times New Roman"/>
                <w:color w:val="auto"/>
                <w:sz w:val="24"/>
                <w:szCs w:val="24"/>
                <w:highlight w:val="none"/>
                <w:lang w:val="en-US" w:eastAsia="zh-CN"/>
              </w:rPr>
              <w:t>6</w:t>
            </w:r>
            <w:r>
              <w:rPr>
                <w:rFonts w:hint="default" w:ascii="Times New Roman" w:hAnsi="Times New Roman" w:eastAsia="方正仿宋_GBK" w:cs="Times New Roman"/>
                <w:color w:val="auto"/>
                <w:sz w:val="24"/>
                <w:szCs w:val="24"/>
                <w:highlight w:val="none"/>
              </w:rPr>
              <w:t>完善日间手术质量安全管理制度和评估工作机制。制定并向社会公开本院日间手术病种和技术目录，明确手术适应证范围、麻醉方式、主要风险。加强日间手术病历管理，重视日间手术患者宣教和随访。</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w:t>
            </w:r>
            <w:r>
              <w:rPr>
                <w:rFonts w:hint="default" w:ascii="Times New Roman" w:hAnsi="Times New Roman" w:eastAsia="方正仿宋_GBK" w:cs="Times New Roman"/>
                <w:color w:val="auto"/>
                <w:sz w:val="24"/>
                <w:szCs w:val="24"/>
                <w:highlight w:val="none"/>
                <w:lang w:val="en-US" w:eastAsia="zh-CN"/>
              </w:rPr>
              <w:t>16</w:t>
            </w:r>
            <w:r>
              <w:rPr>
                <w:rFonts w:hint="default" w:ascii="Times New Roman" w:hAnsi="Times New Roman" w:eastAsia="方正仿宋_GBK" w:cs="Times New Roman"/>
                <w:color w:val="auto"/>
                <w:sz w:val="24"/>
                <w:szCs w:val="24"/>
                <w:highlight w:val="none"/>
              </w:rPr>
              <w:t>.1有日间手术质量安全管理制度和评估工作机制。开展日间手术，缩短住院患者等待时间。</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2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医院有日间手术</w:t>
            </w:r>
            <w:r>
              <w:rPr>
                <w:rFonts w:hint="default" w:ascii="Times New Roman" w:hAnsi="Times New Roman" w:eastAsia="方正仿宋_GBK" w:cs="Times New Roman"/>
                <w:strike w:val="0"/>
                <w:dstrike w:val="0"/>
                <w:color w:val="auto"/>
                <w:sz w:val="24"/>
                <w:szCs w:val="24"/>
                <w:highlight w:val="none"/>
              </w:rPr>
              <w:t>质量安全</w:t>
            </w:r>
            <w:r>
              <w:rPr>
                <w:rFonts w:hint="default" w:ascii="Times New Roman" w:hAnsi="Times New Roman" w:eastAsia="方正仿宋_GBK" w:cs="Times New Roman"/>
                <w:color w:val="auto"/>
                <w:sz w:val="24"/>
                <w:szCs w:val="24"/>
                <w:highlight w:val="none"/>
              </w:rPr>
              <w:t>管理</w:t>
            </w:r>
            <w:r>
              <w:rPr>
                <w:rFonts w:hint="default" w:ascii="Times New Roman" w:hAnsi="Times New Roman" w:eastAsia="方正仿宋_GBK" w:cs="Times New Roman"/>
                <w:color w:val="auto"/>
                <w:sz w:val="24"/>
                <w:szCs w:val="24"/>
                <w:highlight w:val="none"/>
                <w:lang w:val="en-US" w:eastAsia="zh-CN"/>
              </w:rPr>
              <w:t>相关</w:t>
            </w:r>
            <w:r>
              <w:rPr>
                <w:rFonts w:hint="default" w:ascii="Times New Roman" w:hAnsi="Times New Roman" w:eastAsia="方正仿宋_GBK" w:cs="Times New Roman"/>
                <w:color w:val="auto"/>
                <w:sz w:val="24"/>
                <w:szCs w:val="24"/>
                <w:highlight w:val="none"/>
              </w:rPr>
              <w:t>制度</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包括准入、评估、病历管理、宣教及随访等</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、评估工作机制并落实。</w:t>
            </w:r>
          </w:p>
          <w:p>
            <w:pPr>
              <w:pageBreakBefore w:val="0"/>
              <w:numPr>
                <w:ilvl w:val="0"/>
                <w:numId w:val="22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pacing w:val="-6"/>
                <w:sz w:val="24"/>
                <w:szCs w:val="24"/>
                <w:highlight w:val="none"/>
              </w:rPr>
              <w:t>制定并向社会公开本院日间手术病种和技术目录，明确手术适应证范围、麻醉方式、主要风险。</w:t>
            </w:r>
          </w:p>
        </w:tc>
        <w:tc>
          <w:tcPr>
            <w:tcW w:w="1269" w:type="pct"/>
            <w:tcMar>
              <w:top w:w="22" w:type="dxa"/>
              <w:left w:w="22" w:type="dxa"/>
              <w:bottom w:w="22" w:type="dxa"/>
              <w:right w:w="22" w:type="dxa"/>
            </w:tcMar>
            <w:vAlign w:val="center"/>
          </w:tcPr>
          <w:p>
            <w:pPr>
              <w:pageBreakBefore w:val="0"/>
              <w:numPr>
                <w:ilvl w:val="0"/>
                <w:numId w:val="22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2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查阅相关资料及查看公示情况。</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2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科室有定期自查、总结分析与整改。</w:t>
            </w:r>
          </w:p>
          <w:p>
            <w:pPr>
              <w:pageBreakBefore w:val="0"/>
              <w:numPr>
                <w:ilvl w:val="0"/>
                <w:numId w:val="22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22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抽查外科2个科室，查阅相关资料。</w:t>
            </w:r>
          </w:p>
          <w:p>
            <w:pPr>
              <w:pageBreakBefore w:val="0"/>
              <w:numPr>
                <w:ilvl w:val="0"/>
                <w:numId w:val="22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2.5.1</w:t>
            </w:r>
            <w:r>
              <w:rPr>
                <w:rFonts w:hint="default" w:ascii="Times New Roman" w:hAnsi="Times New Roman" w:eastAsia="方正仿宋_GBK" w:cs="Times New Roman"/>
                <w:color w:val="auto"/>
                <w:sz w:val="24"/>
                <w:szCs w:val="24"/>
                <w:highlight w:val="none"/>
                <w:lang w:val="en-US" w:eastAsia="zh-CN"/>
              </w:rPr>
              <w:t>7</w:t>
            </w:r>
            <w:r>
              <w:rPr>
                <w:rFonts w:hint="default" w:ascii="Times New Roman" w:hAnsi="Times New Roman" w:eastAsia="方正仿宋_GBK" w:cs="Times New Roman"/>
                <w:color w:val="auto"/>
                <w:sz w:val="24"/>
                <w:szCs w:val="24"/>
                <w:highlight w:val="none"/>
              </w:rPr>
              <w:t>手术麻醉人员配置合理。实行患者麻醉前病情评估制度。有麻醉后复苏室，规范全程监测并记录麻醉后患者恢复状态，防范麻醉并发症的措施到位。制定术后镇痛治疗管理规范和流程并严格执行。</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w:t>
            </w:r>
            <w:r>
              <w:rPr>
                <w:rFonts w:hint="default" w:ascii="Times New Roman" w:hAnsi="Times New Roman" w:eastAsia="方正仿宋_GBK" w:cs="Times New Roman"/>
                <w:color w:val="auto"/>
                <w:sz w:val="24"/>
                <w:szCs w:val="24"/>
                <w:highlight w:val="none"/>
                <w:lang w:val="en-US" w:eastAsia="zh-CN"/>
              </w:rPr>
              <w:t>7</w:t>
            </w:r>
            <w:r>
              <w:rPr>
                <w:rFonts w:hint="default" w:ascii="Times New Roman" w:hAnsi="Times New Roman" w:eastAsia="方正仿宋_GBK" w:cs="Times New Roman"/>
                <w:color w:val="auto"/>
                <w:sz w:val="24"/>
                <w:szCs w:val="24"/>
                <w:highlight w:val="none"/>
              </w:rPr>
              <w:t>.1手术麻醉人员配置合理。麻醉医师经过严格的专业理论和技能培训，完成继续教育。</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3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麻醉科主任具有副高级及以上、护士长具有中级及以上专业技术职务任职资格。</w:t>
            </w:r>
          </w:p>
          <w:p>
            <w:pPr>
              <w:pageBreakBefore w:val="0"/>
              <w:numPr>
                <w:ilvl w:val="0"/>
                <w:numId w:val="23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麻醉医师人数与手术台（含无痛诊疗手术台）比例应不低于2∶1（大学附属医院满足教学需要，人员增加10%）。麻醉科医师与护士比例不低于3:1.</w:t>
            </w:r>
          </w:p>
          <w:p>
            <w:pPr>
              <w:pageBreakBefore w:val="0"/>
              <w:numPr>
                <w:ilvl w:val="0"/>
                <w:numId w:val="23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麻醉医师经过严格的专业理论和技能培训，考核合格。定期（至少每年1次）接受继续教育知识更新。</w:t>
            </w:r>
          </w:p>
        </w:tc>
        <w:tc>
          <w:tcPr>
            <w:tcW w:w="1269" w:type="pct"/>
            <w:tcMar>
              <w:top w:w="22" w:type="dxa"/>
              <w:left w:w="22" w:type="dxa"/>
              <w:bottom w:w="22" w:type="dxa"/>
              <w:right w:w="22" w:type="dxa"/>
            </w:tcMar>
            <w:vAlign w:val="center"/>
          </w:tcPr>
          <w:p>
            <w:pPr>
              <w:pageBreakBefore w:val="0"/>
              <w:numPr>
                <w:ilvl w:val="0"/>
                <w:numId w:val="23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3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3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每张手术台配备一名麻醉住院医师及一名主治及以上的麻醉医师。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持续改进有成效，定期培训考核合格率100%。</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w:t>
            </w:r>
            <w:r>
              <w:rPr>
                <w:rFonts w:hint="default" w:ascii="Times New Roman" w:hAnsi="Times New Roman" w:eastAsia="方正仿宋_GBK" w:cs="Times New Roman"/>
                <w:color w:val="auto"/>
                <w:sz w:val="24"/>
                <w:szCs w:val="24"/>
                <w:highlight w:val="none"/>
                <w:lang w:val="en-US" w:eastAsia="zh-CN"/>
              </w:rPr>
              <w:t>7</w:t>
            </w:r>
            <w:r>
              <w:rPr>
                <w:rFonts w:hint="default" w:ascii="Times New Roman" w:hAnsi="Times New Roman" w:eastAsia="方正仿宋_GBK" w:cs="Times New Roman"/>
                <w:color w:val="auto"/>
                <w:sz w:val="24"/>
                <w:szCs w:val="24"/>
                <w:highlight w:val="none"/>
              </w:rPr>
              <w:t>.2有麻醉意外与并发症处理规范，有麻醉效果评价。</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3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医院有麻醉意外与并发症处理、麻醉效果评价的规范与流程。</w:t>
            </w:r>
          </w:p>
          <w:p>
            <w:pPr>
              <w:pageBreakBefore w:val="0"/>
              <w:numPr>
                <w:ilvl w:val="0"/>
                <w:numId w:val="23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有麻醉意外与并发症处理、麻醉效果评价制度的培训，相关人员知晓并落实。</w:t>
            </w:r>
          </w:p>
        </w:tc>
        <w:tc>
          <w:tcPr>
            <w:tcW w:w="1269" w:type="pct"/>
            <w:tcMar>
              <w:top w:w="22" w:type="dxa"/>
              <w:left w:w="22" w:type="dxa"/>
              <w:bottom w:w="22" w:type="dxa"/>
              <w:right w:w="22" w:type="dxa"/>
            </w:tcMar>
            <w:vAlign w:val="center"/>
          </w:tcPr>
          <w:p>
            <w:pPr>
              <w:pageBreakBefore w:val="0"/>
              <w:numPr>
                <w:ilvl w:val="0"/>
                <w:numId w:val="23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3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查阅相关资料，并抽查2名麻醉科医师，了解其知晓情况。知晓率100%。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3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科室有定期自查、总结分析与整改。</w:t>
            </w:r>
          </w:p>
          <w:p>
            <w:pPr>
              <w:pageBreakBefore w:val="0"/>
              <w:numPr>
                <w:ilvl w:val="0"/>
                <w:numId w:val="23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主管部门定期督查、分析、反馈，并检查科室整改落实情况。</w:t>
            </w:r>
          </w:p>
        </w:tc>
        <w:tc>
          <w:tcPr>
            <w:tcW w:w="1269" w:type="pct"/>
            <w:tcMar>
              <w:top w:w="22" w:type="dxa"/>
              <w:left w:w="22" w:type="dxa"/>
              <w:bottom w:w="22" w:type="dxa"/>
              <w:right w:w="22" w:type="dxa"/>
            </w:tcMar>
            <w:vAlign w:val="center"/>
          </w:tcPr>
          <w:p>
            <w:pPr>
              <w:pageBreakBefore w:val="0"/>
              <w:numPr>
                <w:ilvl w:val="0"/>
                <w:numId w:val="23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3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w:t>
            </w:r>
            <w:r>
              <w:rPr>
                <w:rFonts w:hint="default" w:ascii="Times New Roman" w:hAnsi="Times New Roman" w:eastAsia="方正仿宋_GBK" w:cs="Times New Roman"/>
                <w:color w:val="auto"/>
                <w:sz w:val="24"/>
                <w:szCs w:val="24"/>
                <w:highlight w:val="none"/>
                <w:lang w:val="en-US" w:eastAsia="zh-CN"/>
              </w:rPr>
              <w:t>7</w:t>
            </w:r>
            <w:r>
              <w:rPr>
                <w:rFonts w:hint="default" w:ascii="Times New Roman" w:hAnsi="Times New Roman" w:eastAsia="方正仿宋_GBK" w:cs="Times New Roman"/>
                <w:color w:val="auto"/>
                <w:sz w:val="24"/>
                <w:szCs w:val="24"/>
                <w:highlight w:val="none"/>
              </w:rPr>
              <w:t>.3麻醉的全过程在病历/麻醉单上得到充分体现。</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3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医院有麻醉全过程书写标准与规范。</w:t>
            </w:r>
          </w:p>
          <w:p>
            <w:pPr>
              <w:pageBreakBefore w:val="0"/>
              <w:numPr>
                <w:ilvl w:val="0"/>
                <w:numId w:val="23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麻醉医师按规范记录麻醉单，麻醉全过程在病历/麻醉记录单上得到充分体现。</w:t>
            </w:r>
          </w:p>
        </w:tc>
        <w:tc>
          <w:tcPr>
            <w:tcW w:w="1269" w:type="pct"/>
            <w:tcMar>
              <w:top w:w="22" w:type="dxa"/>
              <w:left w:w="22" w:type="dxa"/>
              <w:bottom w:w="22" w:type="dxa"/>
              <w:right w:w="22" w:type="dxa"/>
            </w:tcMar>
            <w:vAlign w:val="center"/>
          </w:tcPr>
          <w:p>
            <w:pPr>
              <w:pageBreakBefore w:val="0"/>
              <w:numPr>
                <w:ilvl w:val="0"/>
                <w:numId w:val="23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3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抽查在院手术患者病历5份，评价记录是否规范。合格率≥80%。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3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科室有定期自查、总结分析与整改。</w:t>
            </w:r>
          </w:p>
          <w:p>
            <w:pPr>
              <w:pageBreakBefore w:val="0"/>
              <w:numPr>
                <w:ilvl w:val="0"/>
                <w:numId w:val="23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23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3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w:t>
            </w:r>
            <w:r>
              <w:rPr>
                <w:rFonts w:hint="default" w:ascii="Times New Roman" w:hAnsi="Times New Roman" w:eastAsia="方正仿宋_GBK" w:cs="Times New Roman"/>
                <w:color w:val="auto"/>
                <w:sz w:val="24"/>
                <w:szCs w:val="24"/>
                <w:highlight w:val="none"/>
                <w:lang w:val="en-US" w:eastAsia="zh-CN"/>
              </w:rPr>
              <w:t>7</w:t>
            </w:r>
            <w:r>
              <w:rPr>
                <w:rFonts w:hint="default" w:ascii="Times New Roman" w:hAnsi="Times New Roman" w:eastAsia="方正仿宋_GBK" w:cs="Times New Roman"/>
                <w:color w:val="auto"/>
                <w:sz w:val="24"/>
                <w:szCs w:val="24"/>
                <w:highlight w:val="none"/>
              </w:rPr>
              <w:t>.4麻醉后复苏室合理配置，管理措施到位。有麻醉复苏室患者转入、转出标准与流程。</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4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医院麻醉复苏室床位与手术台比不低于1∶3，医护人员配备满足临床需要，麻醉复苏室设专科护理单元，设护士长1名。护士人数与监护床位之比不少于1:1，至少有一位能独立实施麻醉的麻醉医师。</w:t>
            </w:r>
          </w:p>
          <w:p>
            <w:pPr>
              <w:pageBreakBefore w:val="0"/>
              <w:numPr>
                <w:ilvl w:val="0"/>
                <w:numId w:val="24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复苏室每床配备吸氧设备、无创血压和血氧饱和度等监护设备，配备呼吸机、除颤仪等抢救设备，定期维护设施设备，有维护记录。</w:t>
            </w:r>
          </w:p>
          <w:p>
            <w:pPr>
              <w:pageBreakBefore w:val="0"/>
              <w:numPr>
                <w:ilvl w:val="0"/>
                <w:numId w:val="24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有麻醉复苏室患者转入、转出标准与管理流程。有患者进入、转出麻醉术后复苏室的记录。</w:t>
            </w:r>
          </w:p>
          <w:p>
            <w:pPr>
              <w:pageBreakBefore w:val="0"/>
              <w:numPr>
                <w:ilvl w:val="0"/>
                <w:numId w:val="24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转出的患者有评价标准（Steward 评分或Aldrete 评分等），评价结果有记录。</w:t>
            </w:r>
          </w:p>
        </w:tc>
        <w:tc>
          <w:tcPr>
            <w:tcW w:w="1269" w:type="pct"/>
            <w:tcMar>
              <w:top w:w="22" w:type="dxa"/>
              <w:left w:w="22" w:type="dxa"/>
              <w:bottom w:w="22" w:type="dxa"/>
              <w:right w:w="22" w:type="dxa"/>
            </w:tcMar>
            <w:vAlign w:val="center"/>
          </w:tcPr>
          <w:p>
            <w:pPr>
              <w:pageBreakBefore w:val="0"/>
              <w:numPr>
                <w:ilvl w:val="0"/>
                <w:numId w:val="24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现场查看，并查看排班表及人员资质。</w:t>
            </w:r>
          </w:p>
          <w:p>
            <w:pPr>
              <w:pageBreakBefore w:val="0"/>
              <w:numPr>
                <w:ilvl w:val="0"/>
                <w:numId w:val="24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现场查看相关配置是否满足需要及维护记录。</w:t>
            </w:r>
          </w:p>
          <w:p>
            <w:pPr>
              <w:pageBreakBefore w:val="0"/>
              <w:numPr>
                <w:ilvl w:val="0"/>
                <w:numId w:val="24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现场查阅相关流程及标准，并抽查5份相关记录，评价是否符合要求，合格率100%。</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4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科室有定期自查、总结分析与整改。</w:t>
            </w:r>
          </w:p>
          <w:p>
            <w:pPr>
              <w:pageBreakBefore w:val="0"/>
              <w:numPr>
                <w:ilvl w:val="0"/>
                <w:numId w:val="24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24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4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w:t>
            </w:r>
            <w:r>
              <w:rPr>
                <w:rFonts w:hint="default" w:ascii="Times New Roman" w:hAnsi="Times New Roman" w:eastAsia="方正仿宋_GBK" w:cs="Times New Roman"/>
                <w:color w:val="auto"/>
                <w:sz w:val="24"/>
                <w:szCs w:val="24"/>
                <w:highlight w:val="none"/>
                <w:lang w:val="en-US" w:eastAsia="zh-CN"/>
              </w:rPr>
              <w:t>7</w:t>
            </w:r>
            <w:r>
              <w:rPr>
                <w:rFonts w:hint="default" w:ascii="Times New Roman" w:hAnsi="Times New Roman" w:eastAsia="方正仿宋_GBK" w:cs="Times New Roman"/>
                <w:color w:val="auto"/>
                <w:sz w:val="24"/>
                <w:szCs w:val="24"/>
                <w:highlight w:val="none"/>
              </w:rPr>
              <w:t>.5建立术后镇痛治疗管理的规范与流程，能有效地执行。</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4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医院有术后疼痛患者的镇痛治疗规范。</w:t>
            </w:r>
          </w:p>
          <w:p>
            <w:pPr>
              <w:pageBreakBefore w:val="0"/>
              <w:numPr>
                <w:ilvl w:val="0"/>
                <w:numId w:val="24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麻醉前麻醉医师向患者、近亲属或授权委托人说明术后镇痛风险、益处和其他可供选择的方案。</w:t>
            </w:r>
          </w:p>
          <w:p>
            <w:pPr>
              <w:pageBreakBefore w:val="0"/>
              <w:numPr>
                <w:ilvl w:val="0"/>
                <w:numId w:val="24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麻醉医师掌握术后镇痛治疗规范与流程，镇痛治疗效果有评价，有记录。</w:t>
            </w:r>
          </w:p>
        </w:tc>
        <w:tc>
          <w:tcPr>
            <w:tcW w:w="1269" w:type="pct"/>
            <w:tcMar>
              <w:top w:w="22" w:type="dxa"/>
              <w:left w:w="22" w:type="dxa"/>
              <w:bottom w:w="22" w:type="dxa"/>
              <w:right w:w="22" w:type="dxa"/>
            </w:tcMar>
            <w:vAlign w:val="center"/>
          </w:tcPr>
          <w:p>
            <w:pPr>
              <w:pageBreakBefore w:val="0"/>
              <w:numPr>
                <w:ilvl w:val="0"/>
                <w:numId w:val="24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4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抽查在院手术患者病历5份，查看知情同意是否符合要求。</w:t>
            </w:r>
          </w:p>
          <w:p>
            <w:pPr>
              <w:pageBreakBefore w:val="0"/>
              <w:numPr>
                <w:ilvl w:val="0"/>
                <w:numId w:val="24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抽查在院手术患者病历5份，查看术后镇痛治疗、治疗效果评价及记录是否符合要求，合格率≥80%。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4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科室有定期自查、总结分析与整改。</w:t>
            </w:r>
          </w:p>
          <w:p>
            <w:pPr>
              <w:pageBreakBefore w:val="0"/>
              <w:numPr>
                <w:ilvl w:val="0"/>
                <w:numId w:val="24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24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4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2.5.1</w:t>
            </w:r>
            <w:r>
              <w:rPr>
                <w:rFonts w:hint="default" w:ascii="Times New Roman" w:hAnsi="Times New Roman" w:eastAsia="方正仿宋_GBK" w:cs="Times New Roman"/>
                <w:color w:val="auto"/>
                <w:sz w:val="24"/>
                <w:szCs w:val="24"/>
                <w:highlight w:val="none"/>
                <w:lang w:val="en-US" w:eastAsia="zh-CN"/>
              </w:rPr>
              <w:t>8</w:t>
            </w:r>
            <w:r>
              <w:rPr>
                <w:rFonts w:hint="default" w:ascii="Times New Roman" w:hAnsi="Times New Roman" w:eastAsia="方正仿宋_GBK" w:cs="Times New Roman"/>
                <w:color w:val="auto"/>
                <w:sz w:val="24"/>
                <w:szCs w:val="24"/>
                <w:highlight w:val="none"/>
              </w:rPr>
              <w:t>根据《</w:t>
            </w:r>
            <w:r>
              <w:rPr>
                <w:rFonts w:hint="default" w:ascii="Times New Roman" w:hAnsi="Times New Roman" w:eastAsia="方正仿宋_GBK" w:cs="Times New Roman"/>
                <w:color w:val="auto"/>
                <w:sz w:val="24"/>
                <w:szCs w:val="24"/>
                <w:highlight w:val="none"/>
                <w:lang w:eastAsia="zh-CN"/>
              </w:rPr>
              <w:t>中华人民共和国</w:t>
            </w:r>
            <w:r>
              <w:rPr>
                <w:rFonts w:hint="default" w:ascii="Times New Roman" w:hAnsi="Times New Roman" w:eastAsia="方正仿宋_GBK" w:cs="Times New Roman"/>
                <w:color w:val="auto"/>
                <w:sz w:val="24"/>
                <w:szCs w:val="24"/>
                <w:highlight w:val="none"/>
              </w:rPr>
              <w:t>传染病防治法》等相关法律、法规要求设置感染性疾病科、发热门诊、肠道门诊，其建筑规范、医疗设备和设施、人员符合规定。按计划对工作人员进行相关培训。</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w:t>
            </w:r>
            <w:r>
              <w:rPr>
                <w:rFonts w:hint="default" w:ascii="Times New Roman" w:hAnsi="Times New Roman" w:eastAsia="方正仿宋_GBK" w:cs="Times New Roman"/>
                <w:color w:val="auto"/>
                <w:sz w:val="24"/>
                <w:szCs w:val="24"/>
                <w:highlight w:val="none"/>
                <w:lang w:val="en-US" w:eastAsia="zh-CN"/>
              </w:rPr>
              <w:t>8</w:t>
            </w:r>
            <w:r>
              <w:rPr>
                <w:rFonts w:hint="default" w:ascii="Times New Roman" w:hAnsi="Times New Roman" w:eastAsia="方正仿宋_GBK" w:cs="Times New Roman"/>
                <w:color w:val="auto"/>
                <w:sz w:val="24"/>
                <w:szCs w:val="24"/>
                <w:highlight w:val="none"/>
              </w:rPr>
              <w:t>.1根据相</w:t>
            </w:r>
            <w:r>
              <w:rPr>
                <w:rFonts w:hint="default" w:ascii="Times New Roman" w:hAnsi="Times New Roman" w:eastAsia="方正仿宋_GBK" w:cs="Times New Roman"/>
                <w:color w:val="auto"/>
                <w:spacing w:val="-6"/>
                <w:sz w:val="24"/>
                <w:szCs w:val="24"/>
                <w:highlight w:val="none"/>
              </w:rPr>
              <w:t>关法律、法规及《发热门诊设置管理规范》（联防联控医疗发【2021】80号）要求设置发热门诊，其布局、流程、医疗设备和设施、人员符合相关规定。</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【C】</w:t>
            </w:r>
          </w:p>
          <w:p>
            <w:pPr>
              <w:pageBreakBefore w:val="0"/>
              <w:numPr>
                <w:ilvl w:val="0"/>
                <w:numId w:val="24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医院有独立设置的发热门诊。其选址、面积、布局、流程符合要求。</w:t>
            </w:r>
          </w:p>
          <w:p>
            <w:pPr>
              <w:pageBreakBefore w:val="0"/>
              <w:numPr>
                <w:ilvl w:val="0"/>
                <w:numId w:val="24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有相关管理制度、应急预案、岗位职责。</w:t>
            </w:r>
          </w:p>
          <w:p>
            <w:pPr>
              <w:pageBreakBefore w:val="0"/>
              <w:numPr>
                <w:ilvl w:val="0"/>
                <w:numId w:val="24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医疗设备、设施配置符合要求。</w:t>
            </w:r>
          </w:p>
          <w:p>
            <w:pPr>
              <w:pageBreakBefore w:val="0"/>
              <w:numPr>
                <w:ilvl w:val="0"/>
                <w:numId w:val="24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人员配置满足诊疗需求，排班符合规范要求。</w:t>
            </w:r>
          </w:p>
          <w:p>
            <w:pPr>
              <w:pageBreakBefore w:val="0"/>
              <w:numPr>
                <w:ilvl w:val="0"/>
                <w:numId w:val="24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有岗前及在岗培训计划，内容包括标准预防、职业暴露后处置、新颁布或修订诊疗规范等并落实。</w:t>
            </w:r>
          </w:p>
          <w:p>
            <w:pPr>
              <w:pageBreakBefore w:val="0"/>
              <w:numPr>
                <w:ilvl w:val="0"/>
                <w:numId w:val="24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pacing w:val="-6"/>
                <w:sz w:val="21"/>
                <w:szCs w:val="21"/>
                <w:highlight w:val="none"/>
              </w:rPr>
              <w:t>有医务人员健康监测（包括心理健康）相关规定并落实。</w:t>
            </w:r>
          </w:p>
          <w:p>
            <w:pPr>
              <w:pageBreakBefore w:val="0"/>
              <w:numPr>
                <w:ilvl w:val="0"/>
                <w:numId w:val="248"/>
              </w:numPr>
              <w:kinsoku/>
              <w:wordWrap/>
              <w:overflowPunct/>
              <w:topLinePunct w:val="0"/>
              <w:bidi w:val="0"/>
              <w:snapToGrid/>
              <w:spacing w:line="300" w:lineRule="exact"/>
              <w:ind w:left="0" w:leftChars="0" w:firstLine="0" w:firstLineChars="0"/>
              <w:jc w:val="both"/>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发热门诊的管理由分管医疗工作的副院长负责。</w:t>
            </w:r>
          </w:p>
        </w:tc>
        <w:tc>
          <w:tcPr>
            <w:tcW w:w="1269" w:type="pct"/>
            <w:tcMar>
              <w:top w:w="22" w:type="dxa"/>
              <w:left w:w="22" w:type="dxa"/>
              <w:bottom w:w="22" w:type="dxa"/>
              <w:right w:w="22" w:type="dxa"/>
            </w:tcMar>
            <w:vAlign w:val="center"/>
          </w:tcPr>
          <w:p>
            <w:pPr>
              <w:keepNext w:val="0"/>
              <w:keepLines w:val="0"/>
              <w:pageBreakBefore w:val="0"/>
              <w:widowControl w:val="0"/>
              <w:numPr>
                <w:ilvl w:val="-1"/>
                <w:numId w:val="0"/>
              </w:numPr>
              <w:kinsoku/>
              <w:wordWrap/>
              <w:overflowPunct/>
              <w:topLinePunct w:val="0"/>
              <w:autoSpaceDE/>
              <w:autoSpaceDN/>
              <w:bidi w:val="0"/>
              <w:adjustRightInd/>
              <w:snapToGrid/>
              <w:spacing w:line="260" w:lineRule="exact"/>
              <w:jc w:val="both"/>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lang w:val="en-US" w:eastAsia="zh-CN"/>
              </w:rPr>
              <w:t>1.</w:t>
            </w:r>
            <w:r>
              <w:rPr>
                <w:rFonts w:hint="default" w:ascii="Times New Roman" w:hAnsi="Times New Roman" w:eastAsia="方正仿宋_GBK" w:cs="Times New Roman"/>
                <w:color w:val="auto"/>
                <w:sz w:val="21"/>
                <w:szCs w:val="21"/>
                <w:highlight w:val="none"/>
              </w:rPr>
              <w:t>现场查看。</w:t>
            </w:r>
          </w:p>
          <w:p>
            <w:pPr>
              <w:keepNext w:val="0"/>
              <w:keepLines w:val="0"/>
              <w:pageBreakBefore w:val="0"/>
              <w:widowControl w:val="0"/>
              <w:numPr>
                <w:ilvl w:val="-1"/>
                <w:numId w:val="0"/>
              </w:numPr>
              <w:kinsoku/>
              <w:wordWrap/>
              <w:overflowPunct/>
              <w:topLinePunct w:val="0"/>
              <w:autoSpaceDE/>
              <w:autoSpaceDN/>
              <w:bidi w:val="0"/>
              <w:adjustRightInd/>
              <w:snapToGrid/>
              <w:spacing w:line="260" w:lineRule="exact"/>
              <w:jc w:val="both"/>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lang w:val="en-US" w:eastAsia="zh-CN"/>
              </w:rPr>
              <w:t>2.</w:t>
            </w:r>
            <w:r>
              <w:rPr>
                <w:rFonts w:hint="default" w:ascii="Times New Roman" w:hAnsi="Times New Roman" w:eastAsia="方正仿宋_GBK" w:cs="Times New Roman"/>
                <w:color w:val="auto"/>
                <w:sz w:val="21"/>
                <w:szCs w:val="21"/>
                <w:highlight w:val="none"/>
              </w:rPr>
              <w:t>查阅相关资料。</w:t>
            </w:r>
          </w:p>
          <w:p>
            <w:pPr>
              <w:keepNext w:val="0"/>
              <w:keepLines w:val="0"/>
              <w:pageBreakBefore w:val="0"/>
              <w:widowControl w:val="0"/>
              <w:numPr>
                <w:ilvl w:val="-1"/>
                <w:numId w:val="0"/>
              </w:numPr>
              <w:kinsoku/>
              <w:wordWrap/>
              <w:overflowPunct/>
              <w:topLinePunct w:val="0"/>
              <w:autoSpaceDE/>
              <w:autoSpaceDN/>
              <w:bidi w:val="0"/>
              <w:adjustRightInd/>
              <w:snapToGrid/>
              <w:spacing w:line="260" w:lineRule="exact"/>
              <w:jc w:val="both"/>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lang w:val="en-US" w:eastAsia="zh-CN"/>
              </w:rPr>
              <w:t>3.4.</w:t>
            </w:r>
            <w:r>
              <w:rPr>
                <w:rFonts w:hint="default" w:ascii="Times New Roman" w:hAnsi="Times New Roman" w:eastAsia="方正仿宋_GBK" w:cs="Times New Roman"/>
                <w:color w:val="auto"/>
                <w:sz w:val="21"/>
                <w:szCs w:val="21"/>
                <w:highlight w:val="none"/>
              </w:rPr>
              <w:t xml:space="preserve"> 查阅配置清单、排班表并现场查看。</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 xml:space="preserve">5. </w:t>
            </w:r>
            <w:r>
              <w:rPr>
                <w:rFonts w:hint="default" w:ascii="Times New Roman" w:hAnsi="Times New Roman" w:eastAsia="方正仿宋_GBK" w:cs="Times New Roman"/>
                <w:color w:val="auto"/>
                <w:spacing w:val="-6"/>
                <w:sz w:val="21"/>
                <w:szCs w:val="21"/>
                <w:highlight w:val="none"/>
              </w:rPr>
              <w:t>查阅相关资料，现场查看3名医务人员防护是否符合规范并询问相关知识的知晓情况，知晓率100%。</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6. 查阅相关资料。</w:t>
            </w:r>
          </w:p>
          <w:p>
            <w:pPr>
              <w:keepNext w:val="0"/>
              <w:keepLines w:val="0"/>
              <w:pageBreakBefore w:val="0"/>
              <w:widowControl w:val="0"/>
              <w:numPr>
                <w:ilvl w:val="-1"/>
                <w:numId w:val="0"/>
              </w:numPr>
              <w:kinsoku/>
              <w:wordWrap/>
              <w:overflowPunct/>
              <w:topLinePunct w:val="0"/>
              <w:autoSpaceDE/>
              <w:autoSpaceDN/>
              <w:bidi w:val="0"/>
              <w:adjustRightInd/>
              <w:snapToGrid/>
              <w:spacing w:line="260" w:lineRule="exact"/>
              <w:jc w:val="both"/>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7. 查阅相关文件及相关工作记录（如会议记录、现场工作照片等）。</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依据相关疫情防控需要，及时制定、修订相关制度与流程，符合防控要求。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医务部、护理部、医院感染管理部门等部门定期督查、反馈并落实整改。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ind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持续改进有成效，有数据及案例体现成效。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w:t>
            </w:r>
            <w:r>
              <w:rPr>
                <w:rFonts w:hint="default" w:ascii="Times New Roman" w:hAnsi="Times New Roman" w:eastAsia="方正仿宋_GBK" w:cs="Times New Roman"/>
                <w:color w:val="auto"/>
                <w:sz w:val="24"/>
                <w:szCs w:val="24"/>
                <w:highlight w:val="none"/>
                <w:lang w:val="en-US" w:eastAsia="zh-CN"/>
              </w:rPr>
              <w:t>18</w:t>
            </w:r>
            <w:r>
              <w:rPr>
                <w:rFonts w:hint="default" w:ascii="Times New Roman" w:hAnsi="Times New Roman" w:eastAsia="方正仿宋_GBK" w:cs="Times New Roman"/>
                <w:color w:val="auto"/>
                <w:sz w:val="24"/>
                <w:szCs w:val="24"/>
                <w:highlight w:val="none"/>
              </w:rPr>
              <w:t>.2根据相关法律、法规要求设置感染性疾病科（含门诊）、肠道门诊，其建筑规范，医疗设备和设施、人员应符合国家有关规定。。</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医院感染性疾病科（含门诊）、肠道门诊建筑规范，布局合理，分区清楚，设备设施符合相关规范要求，便于患者就诊，满足医院感染防控要求。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有感染性疾病科（含门诊）、肠道门诊相关管理制度与流程、岗位职责。</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人员配置符合要求。</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现场查看。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p>
            <w:pPr>
              <w:pageBreakBefore w:val="0"/>
              <w:kinsoku/>
              <w:wordWrap/>
              <w:overflowPunct/>
              <w:topLinePunct w:val="0"/>
              <w:bidi w:val="0"/>
              <w:snapToGrid/>
              <w:spacing w:line="300" w:lineRule="exact"/>
              <w:jc w:val="both"/>
              <w:textAlignment w:val="auto"/>
              <w:rPr>
                <w:rFonts w:hint="default" w:cs="Times New Roman"/>
                <w:color w:val="auto"/>
                <w:sz w:val="24"/>
                <w:szCs w:val="24"/>
                <w:highlight w:val="none"/>
              </w:rPr>
            </w:pP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医务部、护理部、医院感染管理部门等部门定期督查、反馈并落实整改。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持续改进有成效，有数据及案例体现成效。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w:t>
            </w:r>
            <w:r>
              <w:rPr>
                <w:rFonts w:hint="default" w:ascii="Times New Roman" w:hAnsi="Times New Roman" w:eastAsia="方正仿宋_GBK" w:cs="Times New Roman"/>
                <w:color w:val="auto"/>
                <w:sz w:val="24"/>
                <w:szCs w:val="24"/>
                <w:highlight w:val="none"/>
                <w:lang w:val="en-US" w:eastAsia="zh-CN"/>
              </w:rPr>
              <w:t>18</w:t>
            </w:r>
            <w:r>
              <w:rPr>
                <w:rFonts w:hint="default" w:ascii="Times New Roman" w:hAnsi="Times New Roman" w:eastAsia="方正仿宋_GBK" w:cs="Times New Roman"/>
                <w:color w:val="auto"/>
                <w:sz w:val="24"/>
                <w:szCs w:val="24"/>
                <w:highlight w:val="none"/>
              </w:rPr>
              <w:t>.3对感染性疾病科（含门诊）、肠道门诊工作人员进行岗前及在岗培训。</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4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医院有对感染性疾病科（含门诊）、肠道门诊工作人员有岗前及在岗培训计划，内容包括标准预防、职业暴露后处置等。</w:t>
            </w:r>
          </w:p>
          <w:p>
            <w:pPr>
              <w:pageBreakBefore w:val="0"/>
              <w:numPr>
                <w:ilvl w:val="0"/>
                <w:numId w:val="249"/>
              </w:numPr>
              <w:kinsoku/>
              <w:wordWrap/>
              <w:overflowPunct/>
              <w:topLinePunct w:val="0"/>
              <w:bidi w:val="0"/>
              <w:snapToGrid/>
              <w:spacing w:line="300" w:lineRule="exact"/>
              <w:ind w:left="0" w:lef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针对新颁布或修订的规范及新发传染病，能及时组织相关工作人员进行培训。</w:t>
            </w:r>
          </w:p>
        </w:tc>
        <w:tc>
          <w:tcPr>
            <w:tcW w:w="1269" w:type="pct"/>
            <w:tcMar>
              <w:top w:w="22" w:type="dxa"/>
              <w:left w:w="22" w:type="dxa"/>
              <w:bottom w:w="22" w:type="dxa"/>
              <w:right w:w="22" w:type="dxa"/>
            </w:tcMar>
            <w:vAlign w:val="center"/>
          </w:tcPr>
          <w:p>
            <w:pPr>
              <w:pageBreakBefore w:val="0"/>
              <w:numPr>
                <w:ilvl w:val="0"/>
                <w:numId w:val="25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5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考核合格后方可上岗，对不合格人员实行离岗再培训。</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持续改进有成效，培训考核合格率100%。</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2.5.1</w:t>
            </w:r>
            <w:r>
              <w:rPr>
                <w:rFonts w:hint="default" w:ascii="Times New Roman" w:hAnsi="Times New Roman" w:eastAsia="方正仿宋_GBK" w:cs="Times New Roman"/>
                <w:color w:val="auto"/>
                <w:sz w:val="24"/>
                <w:szCs w:val="24"/>
                <w:highlight w:val="none"/>
                <w:lang w:val="en-US" w:eastAsia="zh-CN"/>
              </w:rPr>
              <w:t>9</w:t>
            </w:r>
            <w:r>
              <w:rPr>
                <w:rFonts w:hint="default" w:ascii="Times New Roman" w:hAnsi="Times New Roman" w:eastAsia="方正仿宋_GBK" w:cs="Times New Roman"/>
                <w:color w:val="auto"/>
                <w:sz w:val="24"/>
                <w:szCs w:val="24"/>
                <w:highlight w:val="none"/>
              </w:rPr>
              <w:t>实施精神类疾病治疗的医院与医师需具备卫生健康行政部门规定的诊疗科目及医师资质；医院明确精神类治疗服务范围并为患者提供适当的医疗保护措施，向近亲属或授权委托人提供医疗保护措施的知情同意和教育。</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w:t>
            </w:r>
            <w:r>
              <w:rPr>
                <w:rFonts w:hint="default" w:ascii="Times New Roman" w:hAnsi="Times New Roman" w:eastAsia="方正仿宋_GBK" w:cs="Times New Roman"/>
                <w:color w:val="auto"/>
                <w:sz w:val="24"/>
                <w:szCs w:val="24"/>
                <w:highlight w:val="none"/>
                <w:lang w:val="en-US" w:eastAsia="zh-CN"/>
              </w:rPr>
              <w:t>9</w:t>
            </w:r>
            <w:r>
              <w:rPr>
                <w:rFonts w:hint="default" w:ascii="Times New Roman" w:hAnsi="Times New Roman" w:eastAsia="方正仿宋_GBK" w:cs="Times New Roman"/>
                <w:color w:val="auto"/>
                <w:sz w:val="24"/>
                <w:szCs w:val="24"/>
                <w:highlight w:val="none"/>
              </w:rPr>
              <w:t>.1实施精神类疾病治疗的医院与医</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师需具备卫生健康行政部门规定的诊疗科目及医师资质。有明确的精神类治疗服务范围。</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5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医院具有精神专科执业资质，设有精神科，承担精神疾病防治任务。</w:t>
            </w:r>
          </w:p>
          <w:p>
            <w:pPr>
              <w:pageBreakBefore w:val="0"/>
              <w:numPr>
                <w:ilvl w:val="0"/>
                <w:numId w:val="25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医师具备精神科执业资质，精神科护士等专业人员相对固定。临床科室（每个病区）至少具有高级职称精神科医师和中级以上职称护士各1 名。</w:t>
            </w:r>
          </w:p>
          <w:p>
            <w:pPr>
              <w:pageBreakBefore w:val="0"/>
              <w:numPr>
                <w:ilvl w:val="0"/>
                <w:numId w:val="25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医院精神专科有明确的诊疗范围。</w:t>
            </w:r>
          </w:p>
        </w:tc>
        <w:tc>
          <w:tcPr>
            <w:tcW w:w="1269" w:type="pct"/>
            <w:tcMar>
              <w:top w:w="22" w:type="dxa"/>
              <w:left w:w="22" w:type="dxa"/>
              <w:bottom w:w="22" w:type="dxa"/>
              <w:right w:w="22" w:type="dxa"/>
            </w:tcMar>
            <w:vAlign w:val="center"/>
          </w:tcPr>
          <w:p>
            <w:pPr>
              <w:pageBreakBefore w:val="0"/>
              <w:numPr>
                <w:ilvl w:val="0"/>
                <w:numId w:val="25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5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5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精神科卫生技术人员与实际开放床位之比应不低于0.55:1，病房护士与实际开放床位之比应不低于0.35:1。</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w:t>
            </w:r>
            <w:r>
              <w:rPr>
                <w:rFonts w:hint="default" w:ascii="Times New Roman" w:hAnsi="Times New Roman" w:eastAsia="方正仿宋_GBK" w:cs="Times New Roman"/>
                <w:color w:val="auto"/>
                <w:sz w:val="24"/>
                <w:szCs w:val="24"/>
                <w:highlight w:val="none"/>
                <w:lang w:val="en-US" w:eastAsia="zh-CN"/>
              </w:rPr>
              <w:t>9</w:t>
            </w:r>
            <w:r>
              <w:rPr>
                <w:rFonts w:hint="default" w:ascii="Times New Roman" w:hAnsi="Times New Roman" w:eastAsia="方正仿宋_GBK" w:cs="Times New Roman"/>
                <w:color w:val="auto"/>
                <w:sz w:val="24"/>
                <w:szCs w:val="24"/>
                <w:highlight w:val="none"/>
              </w:rPr>
              <w:t>.2建立患者入院评估、住院说明、诊疗规范、疗效评估以及病历书写等相关制度。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5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医院有精神病患者入院评估、住院说明、诊疗规范、疗效评估和病历书写等相关制度、工作规范和流程。</w:t>
            </w:r>
          </w:p>
          <w:p>
            <w:pPr>
              <w:pageBreakBefore w:val="0"/>
              <w:numPr>
                <w:ilvl w:val="0"/>
                <w:numId w:val="25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有精神医学行为能力评估、住院说明、疗效评估等均记录在病历中。</w:t>
            </w:r>
          </w:p>
          <w:p>
            <w:pPr>
              <w:pageBreakBefore w:val="0"/>
              <w:numPr>
                <w:ilvl w:val="0"/>
                <w:numId w:val="25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向患者的监护人或授权委托人充分说明并履行书面知情同意手续。</w:t>
            </w:r>
          </w:p>
        </w:tc>
        <w:tc>
          <w:tcPr>
            <w:tcW w:w="1269" w:type="pct"/>
            <w:tcMar>
              <w:top w:w="22" w:type="dxa"/>
              <w:left w:w="22" w:type="dxa"/>
              <w:bottom w:w="22" w:type="dxa"/>
              <w:right w:w="22" w:type="dxa"/>
            </w:tcMar>
            <w:vAlign w:val="center"/>
          </w:tcPr>
          <w:p>
            <w:pPr>
              <w:pageBreakBefore w:val="0"/>
              <w:numPr>
                <w:ilvl w:val="0"/>
                <w:numId w:val="25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5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抽查在院患者病历5份，评价是否符合要求。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5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科室有定期总结分析与整改。</w:t>
            </w:r>
          </w:p>
          <w:p>
            <w:pPr>
              <w:pageBreakBefore w:val="0"/>
              <w:numPr>
                <w:ilvl w:val="0"/>
                <w:numId w:val="25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25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5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w:t>
            </w:r>
            <w:r>
              <w:rPr>
                <w:rFonts w:hint="default" w:ascii="Times New Roman" w:hAnsi="Times New Roman" w:eastAsia="方正仿宋_GBK" w:cs="Times New Roman"/>
                <w:color w:val="auto"/>
                <w:sz w:val="24"/>
                <w:szCs w:val="24"/>
                <w:highlight w:val="none"/>
                <w:lang w:val="en-US" w:eastAsia="zh-CN"/>
              </w:rPr>
              <w:t>9</w:t>
            </w:r>
            <w:r>
              <w:rPr>
                <w:rFonts w:hint="default" w:ascii="Times New Roman" w:hAnsi="Times New Roman" w:eastAsia="方正仿宋_GBK" w:cs="Times New Roman"/>
                <w:color w:val="auto"/>
                <w:sz w:val="24"/>
                <w:szCs w:val="24"/>
                <w:highlight w:val="none"/>
              </w:rPr>
              <w:t>.3依据服务的范围，为患者提供适当的医疗保护措施，向监护人或授权委托人提供医疗保护措施的知情同意和教育。</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5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医院有患者住院医疗保护措施、使用物理约束及隔离的制度与流程。</w:t>
            </w:r>
          </w:p>
          <w:p>
            <w:pPr>
              <w:pageBreakBefore w:val="0"/>
              <w:numPr>
                <w:ilvl w:val="0"/>
                <w:numId w:val="25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医院有非自愿住院患者医疗措施的适用条件与住院流程，有入院后诊断复核程序并遵照执行。</w:t>
            </w:r>
          </w:p>
          <w:p>
            <w:pPr>
              <w:pageBreakBefore w:val="0"/>
              <w:numPr>
                <w:ilvl w:val="0"/>
                <w:numId w:val="25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w:t>
            </w:r>
            <w:r>
              <w:rPr>
                <w:rFonts w:hint="default" w:ascii="Times New Roman" w:hAnsi="Times New Roman" w:eastAsia="方正仿宋_GBK" w:cs="Times New Roman"/>
                <w:color w:val="auto"/>
                <w:spacing w:val="-6"/>
                <w:sz w:val="24"/>
                <w:szCs w:val="24"/>
                <w:highlight w:val="none"/>
              </w:rPr>
              <w:t>院有向患者监护人就实施医疗保护措施可能发生的意外情况告知的相关管理规定，并履行书面知情同意签字，患者监护人身份应符合法律</w:t>
            </w:r>
            <w:r>
              <w:rPr>
                <w:rFonts w:hint="default" w:ascii="Times New Roman" w:hAnsi="Times New Roman" w:eastAsia="方正仿宋_GBK" w:cs="Times New Roman"/>
                <w:strike w:val="0"/>
                <w:dstrike w:val="0"/>
                <w:color w:val="auto"/>
                <w:spacing w:val="-6"/>
                <w:sz w:val="24"/>
                <w:szCs w:val="24"/>
                <w:highlight w:val="none"/>
                <w:lang w:val="en-US" w:eastAsia="zh-CN"/>
              </w:rPr>
              <w:t>规定</w:t>
            </w:r>
            <w:r>
              <w:rPr>
                <w:rFonts w:hint="default" w:ascii="Times New Roman" w:hAnsi="Times New Roman" w:eastAsia="方正仿宋_GBK" w:cs="Times New Roman"/>
                <w:color w:val="auto"/>
                <w:spacing w:val="-6"/>
                <w:sz w:val="24"/>
                <w:szCs w:val="24"/>
                <w:highlight w:val="none"/>
              </w:rPr>
              <w:t>。</w:t>
            </w:r>
          </w:p>
          <w:p>
            <w:pPr>
              <w:pageBreakBefore w:val="0"/>
              <w:numPr>
                <w:ilvl w:val="0"/>
                <w:numId w:val="25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有上述制度及流程的培训及考核。</w:t>
            </w:r>
          </w:p>
        </w:tc>
        <w:tc>
          <w:tcPr>
            <w:tcW w:w="1269" w:type="pct"/>
            <w:tcMar>
              <w:top w:w="22" w:type="dxa"/>
              <w:left w:w="22" w:type="dxa"/>
              <w:bottom w:w="22" w:type="dxa"/>
              <w:right w:w="22" w:type="dxa"/>
            </w:tcMar>
            <w:vAlign w:val="center"/>
          </w:tcPr>
          <w:p>
            <w:pPr>
              <w:pageBreakBefore w:val="0"/>
              <w:numPr>
                <w:ilvl w:val="0"/>
                <w:numId w:val="25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5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查阅相关资料及抽查在院患者病历5份，评价是否符合要求。</w:t>
            </w:r>
          </w:p>
          <w:p>
            <w:pPr>
              <w:pageBreakBefore w:val="0"/>
              <w:numPr>
                <w:ilvl w:val="255"/>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5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科室有定期自查、总结分析与整改。</w:t>
            </w:r>
          </w:p>
          <w:p>
            <w:pPr>
              <w:pageBreakBefore w:val="0"/>
              <w:numPr>
                <w:ilvl w:val="0"/>
                <w:numId w:val="25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26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6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2.5.1</w:t>
            </w:r>
            <w:r>
              <w:rPr>
                <w:rFonts w:hint="default" w:ascii="Times New Roman" w:hAnsi="Times New Roman" w:eastAsia="方正仿宋_GBK" w:cs="Times New Roman"/>
                <w:color w:val="auto"/>
                <w:sz w:val="24"/>
                <w:szCs w:val="24"/>
                <w:highlight w:val="none"/>
                <w:lang w:val="en-US" w:eastAsia="zh-CN"/>
              </w:rPr>
              <w:t>9</w:t>
            </w:r>
            <w:r>
              <w:rPr>
                <w:rFonts w:hint="default" w:ascii="Times New Roman" w:hAnsi="Times New Roman" w:eastAsia="方正仿宋_GBK" w:cs="Times New Roman"/>
                <w:color w:val="auto"/>
                <w:sz w:val="24"/>
                <w:szCs w:val="24"/>
                <w:highlight w:val="none"/>
              </w:rPr>
              <w:t>.4执行精神疾病司法鉴定技术标准</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和操作规范，实行质量控制、定期质量评价。</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6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医院有开展司法精神医学鉴定的，需有国家认证的执业许可证书，并可从国家认可的合法渠道查询许可证书。</w:t>
            </w:r>
          </w:p>
          <w:p>
            <w:pPr>
              <w:pageBreakBefore w:val="0"/>
              <w:numPr>
                <w:ilvl w:val="0"/>
                <w:numId w:val="26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按照中华医学会司法精神病鉴定学组和司法部司法鉴定管理局规定的有关技术标准和操作规范实施鉴定。</w:t>
            </w:r>
          </w:p>
          <w:p>
            <w:pPr>
              <w:pageBreakBefore w:val="0"/>
              <w:numPr>
                <w:ilvl w:val="0"/>
                <w:numId w:val="26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鉴定人员资质符合国家相关法规，并定期参加相关法律法规和专业技能培训、考核，培训、考核记录完整。</w:t>
            </w:r>
          </w:p>
          <w:p>
            <w:pPr>
              <w:pageBreakBefore w:val="0"/>
              <w:numPr>
                <w:ilvl w:val="0"/>
                <w:numId w:val="26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有符合法律规定的司法鉴定流程和质量安全标准，有统一规范的鉴定记录要求和各类档案格式，每一例鉴定记录完整、数据真实。</w:t>
            </w:r>
          </w:p>
        </w:tc>
        <w:tc>
          <w:tcPr>
            <w:tcW w:w="1269" w:type="pct"/>
            <w:tcMar>
              <w:top w:w="22" w:type="dxa"/>
              <w:left w:w="22" w:type="dxa"/>
              <w:bottom w:w="22" w:type="dxa"/>
              <w:right w:w="22" w:type="dxa"/>
            </w:tcMar>
            <w:vAlign w:val="center"/>
          </w:tcPr>
          <w:p>
            <w:pPr>
              <w:pageBreakBefore w:val="0"/>
              <w:numPr>
                <w:ilvl w:val="0"/>
                <w:numId w:val="26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6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6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6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医院有定期质量评价，提出改进措施，并落实。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w:t>
            </w:r>
            <w:r>
              <w:rPr>
                <w:rFonts w:hint="default" w:ascii="Times New Roman" w:hAnsi="Times New Roman" w:eastAsia="方正仿宋_GBK" w:cs="Times New Roman"/>
                <w:color w:val="auto"/>
                <w:sz w:val="24"/>
                <w:szCs w:val="24"/>
                <w:highlight w:val="none"/>
                <w:lang w:val="en-US" w:eastAsia="zh-CN"/>
              </w:rPr>
              <w:t>20</w:t>
            </w:r>
            <w:r>
              <w:rPr>
                <w:rFonts w:hint="default" w:ascii="Times New Roman" w:hAnsi="Times New Roman" w:eastAsia="方正仿宋_GBK" w:cs="Times New Roman"/>
                <w:color w:val="auto"/>
                <w:sz w:val="24"/>
                <w:szCs w:val="24"/>
                <w:highlight w:val="none"/>
              </w:rPr>
              <w:t>实施精神类疾病治疗的医院为精神残障者的其他躯体疾患提供多学科联合诊疗服务，有常见并发症的预防规范与风险防范流程，有相关培训教育。为精神残障者提供出院康复指导与随访。</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w:t>
            </w:r>
            <w:r>
              <w:rPr>
                <w:rFonts w:hint="default" w:ascii="Times New Roman" w:hAnsi="Times New Roman" w:eastAsia="方正仿宋_GBK" w:cs="Times New Roman"/>
                <w:color w:val="auto"/>
                <w:sz w:val="24"/>
                <w:szCs w:val="24"/>
                <w:highlight w:val="none"/>
                <w:lang w:val="en-US" w:eastAsia="zh-CN"/>
              </w:rPr>
              <w:t>20</w:t>
            </w:r>
            <w:r>
              <w:rPr>
                <w:rFonts w:hint="default" w:ascii="Times New Roman" w:hAnsi="Times New Roman" w:eastAsia="方正仿宋_GBK" w:cs="Times New Roman"/>
                <w:color w:val="auto"/>
                <w:sz w:val="24"/>
                <w:szCs w:val="24"/>
                <w:highlight w:val="none"/>
              </w:rPr>
              <w:t>.1为精神残障者的其他躯体疾患提</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供多学科联合诊疗服务。</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6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医院有为精神残障者的其他躯体疾患提供多学科联合诊疗服务的管理制度及流程。</w:t>
            </w:r>
          </w:p>
          <w:p>
            <w:pPr>
              <w:pageBreakBefore w:val="0"/>
              <w:numPr>
                <w:ilvl w:val="0"/>
                <w:numId w:val="26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有上述制度及流程的培训及考核。</w:t>
            </w:r>
          </w:p>
          <w:p>
            <w:pPr>
              <w:pageBreakBefore w:val="0"/>
              <w:numPr>
                <w:ilvl w:val="0"/>
                <w:numId w:val="26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多学科联合诊疗服务实施情况在病历中记录。</w:t>
            </w:r>
          </w:p>
        </w:tc>
        <w:tc>
          <w:tcPr>
            <w:tcW w:w="1269" w:type="pct"/>
            <w:tcMar>
              <w:top w:w="22" w:type="dxa"/>
              <w:left w:w="22" w:type="dxa"/>
              <w:bottom w:w="22" w:type="dxa"/>
              <w:right w:w="22" w:type="dxa"/>
            </w:tcMar>
            <w:vAlign w:val="center"/>
          </w:tcPr>
          <w:p>
            <w:pPr>
              <w:pageBreakBefore w:val="0"/>
              <w:numPr>
                <w:ilvl w:val="0"/>
                <w:numId w:val="26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6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6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抽查在院患者病历5份，评价是否符合要求。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主管部门定期总结、反馈，提出整改措施，并落实。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w:t>
            </w:r>
            <w:r>
              <w:rPr>
                <w:rFonts w:hint="default" w:ascii="Times New Roman" w:hAnsi="Times New Roman" w:eastAsia="方正仿宋_GBK" w:cs="Times New Roman"/>
                <w:color w:val="auto"/>
                <w:sz w:val="24"/>
                <w:szCs w:val="24"/>
                <w:highlight w:val="none"/>
                <w:lang w:val="en-US" w:eastAsia="zh-CN"/>
              </w:rPr>
              <w:t>20</w:t>
            </w:r>
            <w:r>
              <w:rPr>
                <w:rFonts w:hint="default" w:ascii="Times New Roman" w:hAnsi="Times New Roman" w:eastAsia="方正仿宋_GBK" w:cs="Times New Roman"/>
                <w:color w:val="auto"/>
                <w:sz w:val="24"/>
                <w:szCs w:val="24"/>
                <w:highlight w:val="none"/>
              </w:rPr>
              <w:t>.2有常见并发症的预防规范与风险</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防范流程，有相关培训教育。</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6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医院有常见并发症的诊疗规范、预防和处理措施、风险防范预案与流程等。</w:t>
            </w:r>
          </w:p>
          <w:p>
            <w:pPr>
              <w:pageBreakBefore w:val="0"/>
              <w:numPr>
                <w:ilvl w:val="0"/>
                <w:numId w:val="26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有上述规范、预案及流程的培训及演练。</w:t>
            </w:r>
          </w:p>
        </w:tc>
        <w:tc>
          <w:tcPr>
            <w:tcW w:w="1269" w:type="pct"/>
            <w:tcMar>
              <w:top w:w="22" w:type="dxa"/>
              <w:left w:w="22" w:type="dxa"/>
              <w:bottom w:w="22" w:type="dxa"/>
              <w:right w:w="22" w:type="dxa"/>
            </w:tcMar>
            <w:vAlign w:val="center"/>
          </w:tcPr>
          <w:p>
            <w:pPr>
              <w:pageBreakBefore w:val="0"/>
              <w:numPr>
                <w:ilvl w:val="0"/>
                <w:numId w:val="26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6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根据执行中发现问题，及时修订相关规范与流程，并落实。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持续改进有成效，有案例或数据体现成效。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w:t>
            </w:r>
            <w:r>
              <w:rPr>
                <w:rFonts w:hint="default" w:ascii="Times New Roman" w:hAnsi="Times New Roman" w:eastAsia="方正仿宋_GBK" w:cs="Times New Roman"/>
                <w:color w:val="auto"/>
                <w:sz w:val="24"/>
                <w:szCs w:val="24"/>
                <w:highlight w:val="none"/>
                <w:lang w:val="en-US" w:eastAsia="zh-CN"/>
              </w:rPr>
              <w:t>20</w:t>
            </w:r>
            <w:r>
              <w:rPr>
                <w:rFonts w:hint="default" w:ascii="Times New Roman" w:hAnsi="Times New Roman" w:eastAsia="方正仿宋_GBK" w:cs="Times New Roman"/>
                <w:color w:val="auto"/>
                <w:sz w:val="24"/>
                <w:szCs w:val="24"/>
                <w:highlight w:val="none"/>
              </w:rPr>
              <w:t>.3无抽搐电休克治疗科（室）布局、</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流程合理，分区明确，标识清晰。工作人员配备合理，有各项规章制度、岗位职责及操作常规。</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6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医院有无抽搐电休克治疗科（室）的，治疗室布局符合院感、消防等相关规范，各功能分区明确、标识清晰；</w:t>
            </w:r>
          </w:p>
          <w:p>
            <w:pPr>
              <w:pageBreakBefore w:val="0"/>
              <w:numPr>
                <w:ilvl w:val="0"/>
                <w:numId w:val="26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有医师和护理人员资质要求，根据工作量及需要配备护理人员，医生与护理人员之比≥1:2；护理人员经过专业技能培训考核合格后方能上岗。</w:t>
            </w:r>
          </w:p>
          <w:p>
            <w:pPr>
              <w:pageBreakBefore w:val="0"/>
              <w:numPr>
                <w:ilvl w:val="0"/>
                <w:numId w:val="26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有无抽搐电休克治疗室各项制度、岗位职责和操作规范，有各类人员培训方案和计划，并在日常工作中按规范开展各项工作。</w:t>
            </w:r>
          </w:p>
          <w:p>
            <w:pPr>
              <w:pageBreakBefore w:val="0"/>
              <w:numPr>
                <w:ilvl w:val="0"/>
                <w:numId w:val="26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对患者治疗前有评估，有知情告知并签署同意书，知情告知符合法律相关要求，同意书随病历归档。</w:t>
            </w:r>
          </w:p>
          <w:p>
            <w:pPr>
              <w:pageBreakBefore w:val="0"/>
              <w:numPr>
                <w:ilvl w:val="0"/>
                <w:numId w:val="26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有治疗过程及治疗后病情观察与记录，病人返回病房与临床科室护士有病情交接及交接记录；定期征求临床科室意见，改进工作。</w:t>
            </w:r>
          </w:p>
          <w:p>
            <w:pPr>
              <w:pageBreakBefore w:val="0"/>
              <w:numPr>
                <w:ilvl w:val="0"/>
                <w:numId w:val="26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有无抽搐电休克治疗科（室）突发事件应急预案，并定期演练。</w:t>
            </w:r>
          </w:p>
        </w:tc>
        <w:tc>
          <w:tcPr>
            <w:tcW w:w="1269" w:type="pct"/>
            <w:tcMar>
              <w:top w:w="22" w:type="dxa"/>
              <w:left w:w="22" w:type="dxa"/>
              <w:bottom w:w="22" w:type="dxa"/>
              <w:right w:w="22" w:type="dxa"/>
            </w:tcMar>
            <w:vAlign w:val="center"/>
          </w:tcPr>
          <w:p>
            <w:pPr>
              <w:pageBreakBefore w:val="0"/>
              <w:numPr>
                <w:ilvl w:val="0"/>
                <w:numId w:val="26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p>
            <w:pPr>
              <w:pageBreakBefore w:val="0"/>
              <w:numPr>
                <w:ilvl w:val="0"/>
                <w:numId w:val="26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6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5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抽查在院患者病历5份，评价是否符合要求。</w:t>
            </w:r>
          </w:p>
          <w:p>
            <w:pPr>
              <w:pageBreakBefore w:val="0"/>
              <w:numPr>
                <w:ilvl w:val="0"/>
                <w:numId w:val="25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5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5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6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科室对执行制度及诊疗活动情况定期自查、总结分析与整改，有追踪病人治疗后效果评价并记录。</w:t>
            </w:r>
          </w:p>
          <w:p>
            <w:pPr>
              <w:pageBreakBefore w:val="0"/>
              <w:numPr>
                <w:ilvl w:val="0"/>
                <w:numId w:val="26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27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7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w:t>
            </w:r>
            <w:r>
              <w:rPr>
                <w:rFonts w:hint="default" w:ascii="Times New Roman" w:hAnsi="Times New Roman" w:eastAsia="方正仿宋_GBK" w:cs="Times New Roman"/>
                <w:color w:val="auto"/>
                <w:sz w:val="24"/>
                <w:szCs w:val="24"/>
                <w:highlight w:val="none"/>
                <w:lang w:val="en-US" w:eastAsia="zh-CN"/>
              </w:rPr>
              <w:t>20</w:t>
            </w:r>
            <w:r>
              <w:rPr>
                <w:rFonts w:hint="default" w:ascii="Times New Roman" w:hAnsi="Times New Roman" w:eastAsia="方正仿宋_GBK" w:cs="Times New Roman"/>
                <w:color w:val="auto"/>
                <w:sz w:val="24"/>
                <w:szCs w:val="24"/>
                <w:highlight w:val="none"/>
              </w:rPr>
              <w:t>.4为精神残障者提供出院康复指导与随访，有记录，可追溯。</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rPr>
              <w:t>医院有为精神残障者提供出院康复指导、出院后随访制度。</w:t>
            </w:r>
          </w:p>
          <w:p>
            <w:pPr>
              <w:pageBreakBefore w:val="0"/>
              <w:numPr>
                <w:ilvl w:val="0"/>
                <w:numId w:val="0"/>
              </w:numPr>
              <w:kinsoku/>
              <w:wordWrap/>
              <w:overflowPunct/>
              <w:topLinePunct w:val="0"/>
              <w:bidi w:val="0"/>
              <w:snapToGrid/>
              <w:spacing w:line="300" w:lineRule="exact"/>
              <w:ind w:leftChars="0"/>
              <w:jc w:val="both"/>
              <w:textAlignment w:val="auto"/>
              <w:rPr>
                <w:rFonts w:hint="default" w:ascii="Times New Roman" w:hAnsi="Times New Roman" w:eastAsia="方正仿宋_GBK" w:cs="Times New Roman"/>
                <w:strike/>
                <w:dstrike w:val="0"/>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有开展心理热线的各项制度、服务流程</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rPr>
              <w:t>心理热线接线员具有心理专业知识背景，接受上岗前培训。</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rPr>
              <w:t>有出院康复指导及随访的相关记录。</w:t>
            </w:r>
          </w:p>
        </w:tc>
        <w:tc>
          <w:tcPr>
            <w:tcW w:w="1269" w:type="pct"/>
            <w:tcMar>
              <w:top w:w="22" w:type="dxa"/>
              <w:left w:w="22" w:type="dxa"/>
              <w:bottom w:w="22" w:type="dxa"/>
              <w:right w:w="22" w:type="dxa"/>
            </w:tcMar>
            <w:vAlign w:val="center"/>
          </w:tcPr>
          <w:p>
            <w:pPr>
              <w:pageBreakBefore w:val="0"/>
              <w:numPr>
                <w:ilvl w:val="0"/>
                <w:numId w:val="27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7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7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7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医院有定期总结工作情况，提出改进措施，并落实。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2.5.2</w:t>
            </w:r>
            <w:r>
              <w:rPr>
                <w:rFonts w:hint="default" w:ascii="Times New Roman" w:hAnsi="Times New Roman" w:eastAsia="方正仿宋_GBK"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rPr>
              <w:t>医院开展介入诊疗技术，专业设置、人员配备及其设备、设施符合《放射诊疗管理规定》和相关介入诊疗技术管理规范要求。按照技术适应证规范技术操作并开展质量控制。有介入诊疗器械登记制度，保证器械来源可追溯。</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rPr>
              <w:t>.1医院开展介入诊疗技术，专业设</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置、人员配备及其设备、设施符合《放射诊疗管理规定》和相关介入诊疗技术管理规范要求。</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7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专业设置、人员配备及其设备、设施符合《放射诊疗管理规定》，包括有多功能监护系统和心、肺、脑抢救复苏设施、急救药品等保障措施。</w:t>
            </w:r>
          </w:p>
          <w:p>
            <w:pPr>
              <w:pageBreakBefore w:val="0"/>
              <w:numPr>
                <w:ilvl w:val="0"/>
                <w:numId w:val="27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根据卫生行政部门制定的介入诊疗技术管理规范，制定实施细则与流程。</w:t>
            </w:r>
          </w:p>
          <w:p>
            <w:pPr>
              <w:pageBreakBefore w:val="0"/>
              <w:numPr>
                <w:ilvl w:val="0"/>
                <w:numId w:val="27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医院有相关人员培训计划、培训方案并考核。</w:t>
            </w:r>
          </w:p>
        </w:tc>
        <w:tc>
          <w:tcPr>
            <w:tcW w:w="1269" w:type="pct"/>
            <w:tcMar>
              <w:top w:w="22" w:type="dxa"/>
              <w:left w:w="22" w:type="dxa"/>
              <w:bottom w:w="22" w:type="dxa"/>
              <w:right w:w="22" w:type="dxa"/>
            </w:tcMar>
            <w:vAlign w:val="center"/>
          </w:tcPr>
          <w:p>
            <w:pPr>
              <w:pageBreakBefore w:val="0"/>
              <w:numPr>
                <w:ilvl w:val="0"/>
                <w:numId w:val="27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查阅相关资料及现场查看设备、设施。</w:t>
            </w:r>
          </w:p>
          <w:p>
            <w:pPr>
              <w:pageBreakBefore w:val="0"/>
              <w:numPr>
                <w:ilvl w:val="0"/>
                <w:numId w:val="27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7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7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科室有自查，对存在问题有分析、整改。</w:t>
            </w:r>
          </w:p>
          <w:p>
            <w:pPr>
              <w:pageBreakBefore w:val="0"/>
              <w:numPr>
                <w:ilvl w:val="0"/>
                <w:numId w:val="27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主管部门对相关工作督查、反馈，并检查整改落实情况。</w:t>
            </w:r>
          </w:p>
        </w:tc>
        <w:tc>
          <w:tcPr>
            <w:tcW w:w="1269" w:type="pct"/>
            <w:tcMar>
              <w:top w:w="22" w:type="dxa"/>
              <w:left w:w="22" w:type="dxa"/>
              <w:bottom w:w="22" w:type="dxa"/>
              <w:right w:w="22" w:type="dxa"/>
            </w:tcMar>
            <w:vAlign w:val="center"/>
          </w:tcPr>
          <w:p>
            <w:pPr>
              <w:pageBreakBefore w:val="0"/>
              <w:numPr>
                <w:ilvl w:val="0"/>
                <w:numId w:val="27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7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相关人员无违规操作事件发生。</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rPr>
              <w:t>.2有介入诊疗工作制度和技术操作</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常规，按照技术适应证规范技术操作并开展质量控制。</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7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医院有介入诊疗管理、术后随访和质量评价工作制度与规范、技术操作常规和介入诊疗各级各类人员岗位职责等。</w:t>
            </w:r>
          </w:p>
          <w:p>
            <w:pPr>
              <w:pageBreakBefore w:val="0"/>
              <w:numPr>
                <w:ilvl w:val="0"/>
                <w:numId w:val="27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有定</w:t>
            </w:r>
            <w:r>
              <w:rPr>
                <w:rFonts w:hint="default" w:ascii="Times New Roman" w:hAnsi="Times New Roman" w:eastAsia="方正仿宋_GBK" w:cs="Times New Roman"/>
                <w:color w:val="auto"/>
                <w:spacing w:val="-6"/>
                <w:sz w:val="24"/>
                <w:szCs w:val="24"/>
                <w:highlight w:val="none"/>
              </w:rPr>
              <w:t>期质量评价并有记录，每季度不少于1次。</w:t>
            </w:r>
          </w:p>
          <w:p>
            <w:pPr>
              <w:pageBreakBefore w:val="0"/>
              <w:numPr>
                <w:ilvl w:val="0"/>
                <w:numId w:val="27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介入诊疗科室与相关科室共同制定介入诊疗应急预案与流程。</w:t>
            </w:r>
          </w:p>
        </w:tc>
        <w:tc>
          <w:tcPr>
            <w:tcW w:w="1269" w:type="pct"/>
            <w:tcMar>
              <w:top w:w="22" w:type="dxa"/>
              <w:left w:w="22" w:type="dxa"/>
              <w:bottom w:w="22" w:type="dxa"/>
              <w:right w:w="22" w:type="dxa"/>
            </w:tcMar>
            <w:vAlign w:val="center"/>
          </w:tcPr>
          <w:p>
            <w:pPr>
              <w:pageBreakBefore w:val="0"/>
              <w:numPr>
                <w:ilvl w:val="0"/>
                <w:numId w:val="27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7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7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主管部门对介入诊疗全程管理和介入诊疗技术适应证有定期督查、反馈，并检查整改落实情况。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rPr>
              <w:t>.3有介入诊疗高值耗材管理制度，保证耗材来源可追溯。</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7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医院有介入诊疗高值耗材管理制度，保证耗材来源可追溯。</w:t>
            </w:r>
          </w:p>
          <w:p>
            <w:pPr>
              <w:pageBreakBefore w:val="0"/>
              <w:numPr>
                <w:ilvl w:val="0"/>
                <w:numId w:val="27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每例介入诊疗耗材使用者的病历中均有耗材使用的识别标志的记录。</w:t>
            </w:r>
          </w:p>
          <w:p>
            <w:pPr>
              <w:pageBreakBefore w:val="0"/>
              <w:numPr>
                <w:ilvl w:val="0"/>
                <w:numId w:val="27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对一次性介入诊疗耗材使用流程有明确规定，使用数量与出库数量相符。</w:t>
            </w:r>
          </w:p>
          <w:p>
            <w:pPr>
              <w:pageBreakBefore w:val="0"/>
              <w:numPr>
                <w:ilvl w:val="0"/>
                <w:numId w:val="27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用后一次性耗材按医疗废物管理规定规范处理并有记录。</w:t>
            </w:r>
          </w:p>
        </w:tc>
        <w:tc>
          <w:tcPr>
            <w:tcW w:w="1269" w:type="pct"/>
            <w:tcMar>
              <w:top w:w="22" w:type="dxa"/>
              <w:left w:w="22" w:type="dxa"/>
              <w:bottom w:w="22" w:type="dxa"/>
              <w:right w:w="22" w:type="dxa"/>
            </w:tcMar>
            <w:vAlign w:val="center"/>
          </w:tcPr>
          <w:p>
            <w:pPr>
              <w:pageBreakBefore w:val="0"/>
              <w:numPr>
                <w:ilvl w:val="0"/>
                <w:numId w:val="27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7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抽查相关在院电子病历5份，评价是否符合要求。</w:t>
            </w:r>
          </w:p>
          <w:p>
            <w:pPr>
              <w:pageBreakBefore w:val="0"/>
              <w:numPr>
                <w:ilvl w:val="0"/>
                <w:numId w:val="27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7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8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科室对耗材管理有自查，对存在问题有分析、整改。</w:t>
            </w:r>
          </w:p>
          <w:p>
            <w:pPr>
              <w:pageBreakBefore w:val="0"/>
              <w:numPr>
                <w:ilvl w:val="0"/>
                <w:numId w:val="28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主管部门对耗材管理制度落实情况有监管，定期督查、反馈，并检查整改落实情况。</w:t>
            </w:r>
          </w:p>
        </w:tc>
        <w:tc>
          <w:tcPr>
            <w:tcW w:w="1269" w:type="pct"/>
            <w:tcMar>
              <w:top w:w="22" w:type="dxa"/>
              <w:left w:w="22" w:type="dxa"/>
              <w:bottom w:w="22" w:type="dxa"/>
              <w:right w:w="22" w:type="dxa"/>
            </w:tcMar>
            <w:vAlign w:val="center"/>
          </w:tcPr>
          <w:p>
            <w:pPr>
              <w:pageBreakBefore w:val="0"/>
              <w:numPr>
                <w:ilvl w:val="0"/>
                <w:numId w:val="28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8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介入耗材管理规范，可追溯，无违规采购、使用情况。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现场查看及查阅相关资料。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2.5.2</w:t>
            </w: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开展血液净化技术应当符合相关法律、法规及行业管理要求。有质量管理制度、安全保障措施和紧急处理预案。</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w:t>
            </w:r>
            <w:r>
              <w:rPr>
                <w:rFonts w:hint="default" w:ascii="Times New Roman" w:hAnsi="Times New Roman" w:eastAsia="方正仿宋_GBK" w:cs="Times New Roman"/>
                <w:color w:val="auto"/>
                <w:sz w:val="24"/>
                <w:szCs w:val="24"/>
                <w:highlight w:val="none"/>
                <w:lang w:val="en-US" w:eastAsia="zh-CN"/>
              </w:rPr>
              <w:t>22</w:t>
            </w:r>
            <w:r>
              <w:rPr>
                <w:rFonts w:hint="default" w:ascii="Times New Roman" w:hAnsi="Times New Roman" w:eastAsia="方正仿宋_GBK" w:cs="Times New Roman"/>
                <w:color w:val="auto"/>
                <w:sz w:val="24"/>
                <w:szCs w:val="24"/>
                <w:highlight w:val="none"/>
              </w:rPr>
              <w:t>.1血液透析室分区布局、设施设备符合国家法律法规及行业规范要求。有各项质量管理制度。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8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血液透析室分区布局符合院感染控制要求，流程合理；每个透析单元使用面积不少于3.2 平方米，水处理间使用面积不低于水处理机占地面积的1.5 倍。</w:t>
            </w:r>
          </w:p>
          <w:p>
            <w:pPr>
              <w:pageBreakBefore w:val="0"/>
              <w:numPr>
                <w:ilvl w:val="0"/>
                <w:numId w:val="28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配备满足工作需要的血液透析机、水处理设备、供氧装置、负压吸引装置等基本设备；急救设备齐全；有必要的职业防护物品；开展透析器复用的，应当配备相应的设备。</w:t>
            </w:r>
          </w:p>
          <w:p>
            <w:pPr>
              <w:pageBreakBefore w:val="0"/>
              <w:numPr>
                <w:ilvl w:val="0"/>
                <w:numId w:val="28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有血透室各项管理制度及质量安全指标要求，按照血液净化标准操作规程开展血液透析质量及相关工作，建立合理、规范的血液透析治疗流程。</w:t>
            </w:r>
          </w:p>
          <w:p>
            <w:pPr>
              <w:pageBreakBefore w:val="0"/>
              <w:numPr>
                <w:ilvl w:val="0"/>
                <w:numId w:val="28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定期对全体人员开展各项管理制度和技术规范的培训及考核。</w:t>
            </w:r>
          </w:p>
        </w:tc>
        <w:tc>
          <w:tcPr>
            <w:tcW w:w="1269" w:type="pct"/>
            <w:tcMar>
              <w:top w:w="22" w:type="dxa"/>
              <w:left w:w="22" w:type="dxa"/>
              <w:bottom w:w="22" w:type="dxa"/>
              <w:right w:w="22" w:type="dxa"/>
            </w:tcMar>
            <w:vAlign w:val="center"/>
          </w:tcPr>
          <w:p>
            <w:pPr>
              <w:pageBreakBefore w:val="0"/>
              <w:numPr>
                <w:ilvl w:val="0"/>
                <w:numId w:val="28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现场查看分区、布局等。</w:t>
            </w:r>
          </w:p>
          <w:p>
            <w:pPr>
              <w:pageBreakBefore w:val="0"/>
              <w:numPr>
                <w:ilvl w:val="0"/>
                <w:numId w:val="28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p>
            <w:pPr>
              <w:pageBreakBefore w:val="0"/>
              <w:numPr>
                <w:ilvl w:val="0"/>
                <w:numId w:val="28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8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8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科室有定期自查，对存在问题有整改。</w:t>
            </w:r>
          </w:p>
          <w:p>
            <w:pPr>
              <w:pageBreakBefore w:val="0"/>
              <w:numPr>
                <w:ilvl w:val="0"/>
                <w:numId w:val="28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w:t>
            </w:r>
            <w:r>
              <w:rPr>
                <w:rFonts w:hint="default" w:ascii="Times New Roman" w:hAnsi="Times New Roman" w:eastAsia="方正仿宋_GBK" w:cs="Times New Roman"/>
                <w:color w:val="auto"/>
                <w:spacing w:val="-6"/>
                <w:sz w:val="24"/>
                <w:szCs w:val="24"/>
                <w:highlight w:val="none"/>
              </w:rPr>
              <w:t>管部门定期督查、反馈，并检查整改落实情况。</w:t>
            </w:r>
          </w:p>
        </w:tc>
        <w:tc>
          <w:tcPr>
            <w:tcW w:w="1269" w:type="pct"/>
            <w:tcMar>
              <w:top w:w="22" w:type="dxa"/>
              <w:left w:w="22" w:type="dxa"/>
              <w:bottom w:w="22" w:type="dxa"/>
              <w:right w:w="22" w:type="dxa"/>
            </w:tcMar>
            <w:vAlign w:val="center"/>
          </w:tcPr>
          <w:p>
            <w:pPr>
              <w:pageBreakBefore w:val="0"/>
              <w:numPr>
                <w:ilvl w:val="0"/>
                <w:numId w:val="28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8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信息系统实现对血液透析全程质量监测、追踪和分析相关数据。</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.2血透室医、护、技岗位专业设置满足医院功能与任务要求，有明确的岗位职责。</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8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至少有2名执业医师，其中至少1 名具有肾脏病学中级以上专业技术职称。</w:t>
            </w:r>
          </w:p>
          <w:p>
            <w:pPr>
              <w:pageBreakBefore w:val="0"/>
              <w:numPr>
                <w:ilvl w:val="0"/>
                <w:numId w:val="28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每台血透机至少配备0.4 名护士；血透室护士长或护理组长由具备透析护理工作经验的中级以上职称的护士担任。</w:t>
            </w:r>
          </w:p>
          <w:p>
            <w:pPr>
              <w:pageBreakBefore w:val="0"/>
              <w:numPr>
                <w:ilvl w:val="0"/>
                <w:numId w:val="28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至少配备1 名熟悉血液透析机和水处理设备性能结构、工作原理和维修技术的技师。</w:t>
            </w:r>
          </w:p>
          <w:p>
            <w:pPr>
              <w:pageBreakBefore w:val="0"/>
              <w:numPr>
                <w:ilvl w:val="0"/>
                <w:numId w:val="28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各岗位有明确的岗位职责，各级各类人员熟知职责并按要求开展各项工作。</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1.2.3. 现场查阅相关资料。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随机询问3名不同岗位的人员，了解其知晓情况，知晓率100%。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8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血透室负责人由肾脏病学副高以上职称执业医师担任。</w:t>
            </w:r>
          </w:p>
          <w:p>
            <w:pPr>
              <w:pageBreakBefore w:val="0"/>
              <w:numPr>
                <w:ilvl w:val="0"/>
                <w:numId w:val="28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20台血液透析机以上的血透中心，每新增10 台血液透析机至少新增1 名执业医师。</w:t>
            </w:r>
          </w:p>
        </w:tc>
        <w:tc>
          <w:tcPr>
            <w:tcW w:w="1269" w:type="pct"/>
            <w:tcMar>
              <w:top w:w="22" w:type="dxa"/>
              <w:left w:w="22" w:type="dxa"/>
              <w:bottom w:w="22" w:type="dxa"/>
              <w:right w:w="22" w:type="dxa"/>
            </w:tcMar>
            <w:vAlign w:val="center"/>
          </w:tcPr>
          <w:p>
            <w:pPr>
              <w:pageBreakBefore w:val="0"/>
              <w:numPr>
                <w:ilvl w:val="0"/>
                <w:numId w:val="28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8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持续改进有成效，各岗位人员满足要求。</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.3执行医院感染管理的相关制度与</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流程。</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8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有针对血液透析的医院感染管理的相关制度及流程。</w:t>
            </w:r>
          </w:p>
          <w:p>
            <w:pPr>
              <w:pageBreakBefore w:val="0"/>
              <w:numPr>
                <w:ilvl w:val="0"/>
                <w:numId w:val="28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有医院感染风险紧急情况的处理预案，并定期演练。</w:t>
            </w:r>
          </w:p>
          <w:p>
            <w:pPr>
              <w:pageBreakBefore w:val="0"/>
              <w:numPr>
                <w:ilvl w:val="0"/>
                <w:numId w:val="28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有传染病患者隔离制度与具体措施，明确分区布局、专机使用。</w:t>
            </w:r>
          </w:p>
          <w:p>
            <w:pPr>
              <w:pageBreakBefore w:val="0"/>
              <w:numPr>
                <w:ilvl w:val="0"/>
                <w:numId w:val="28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血液透析机和透析管路的消毒符合要求，相关监测指标合格。</w:t>
            </w:r>
          </w:p>
        </w:tc>
        <w:tc>
          <w:tcPr>
            <w:tcW w:w="1269" w:type="pct"/>
            <w:tcMar>
              <w:top w:w="22" w:type="dxa"/>
              <w:left w:w="22" w:type="dxa"/>
              <w:bottom w:w="22" w:type="dxa"/>
              <w:right w:w="22" w:type="dxa"/>
            </w:tcMar>
            <w:vAlign w:val="center"/>
          </w:tcPr>
          <w:p>
            <w:pPr>
              <w:pageBreakBefore w:val="0"/>
              <w:numPr>
                <w:ilvl w:val="0"/>
                <w:numId w:val="29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9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9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查阅相关资料及现场查看。</w:t>
            </w:r>
          </w:p>
          <w:p>
            <w:pPr>
              <w:pageBreakBefore w:val="0"/>
              <w:numPr>
                <w:ilvl w:val="0"/>
                <w:numId w:val="29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现场查看及查阅监测结果。</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9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科室对院感相关制度落实情况有自查，对存在问题有分析、整改。</w:t>
            </w:r>
          </w:p>
          <w:p>
            <w:pPr>
              <w:pageBreakBefore w:val="0"/>
              <w:numPr>
                <w:ilvl w:val="0"/>
                <w:numId w:val="29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主管部门对科室院感管理情况有定期督查、反馈，并检查整改落实情况。</w:t>
            </w:r>
          </w:p>
        </w:tc>
        <w:tc>
          <w:tcPr>
            <w:tcW w:w="1269" w:type="pct"/>
            <w:tcMar>
              <w:top w:w="22" w:type="dxa"/>
              <w:left w:w="22" w:type="dxa"/>
              <w:bottom w:w="22" w:type="dxa"/>
              <w:right w:w="22" w:type="dxa"/>
            </w:tcMar>
            <w:vAlign w:val="center"/>
          </w:tcPr>
          <w:p>
            <w:pPr>
              <w:pageBreakBefore w:val="0"/>
              <w:numPr>
                <w:ilvl w:val="0"/>
                <w:numId w:val="29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9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持续改进有成效，有案例或数据体现成效。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.4有血液透析病例登记及管理制度。有血传播传染病筛查和管理。建立与完善数据库，实时记录。定期分析质量与安全管理指标，保障血液透析患者的安全。</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9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医院有血液透析患者接诊、登记相关制度，实施患者实名制管理。有运行数据收集的制度及流程。</w:t>
            </w:r>
          </w:p>
          <w:p>
            <w:pPr>
              <w:pageBreakBefore w:val="0"/>
              <w:numPr>
                <w:ilvl w:val="0"/>
                <w:numId w:val="29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血液透析记录等医疗文书书写符合病历书写规范要求。</w:t>
            </w:r>
          </w:p>
          <w:p>
            <w:pPr>
              <w:pageBreakBefore w:val="0"/>
              <w:numPr>
                <w:ilvl w:val="0"/>
                <w:numId w:val="29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有血透患者血传播传染病筛查和管理制度并实施。</w:t>
            </w:r>
          </w:p>
          <w:p>
            <w:pPr>
              <w:pageBreakBefore w:val="0"/>
              <w:numPr>
                <w:ilvl w:val="0"/>
                <w:numId w:val="29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建立血液透析质量的基础数据库，内容涵盖血液透析的全过程。建立维持性血液透析患者质量监测指标体系，定期进行统计分析。</w:t>
            </w:r>
          </w:p>
        </w:tc>
        <w:tc>
          <w:tcPr>
            <w:tcW w:w="1269" w:type="pct"/>
            <w:tcMar>
              <w:top w:w="22" w:type="dxa"/>
              <w:left w:w="22" w:type="dxa"/>
              <w:bottom w:w="22" w:type="dxa"/>
              <w:right w:w="22" w:type="dxa"/>
            </w:tcMar>
            <w:vAlign w:val="center"/>
          </w:tcPr>
          <w:p>
            <w:pPr>
              <w:pageBreakBefore w:val="0"/>
              <w:numPr>
                <w:ilvl w:val="0"/>
                <w:numId w:val="29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9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抽查5份血透患者病历，评价是否符合要求。</w:t>
            </w:r>
          </w:p>
          <w:p>
            <w:pPr>
              <w:pageBreakBefore w:val="0"/>
              <w:numPr>
                <w:ilvl w:val="0"/>
                <w:numId w:val="29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查阅相关资料，抽查5份血透患者病历，评价执行情况。</w:t>
            </w:r>
          </w:p>
          <w:p>
            <w:pPr>
              <w:pageBreakBefore w:val="0"/>
              <w:numPr>
                <w:ilvl w:val="0"/>
                <w:numId w:val="29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现场查看数据库，评价是否符合要求。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9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科室对制度落实情况、数据库运行情况和质量监测指标体系有自查，定期对质量管理指标进行分析评价，对存在问题有整改。</w:t>
            </w:r>
          </w:p>
          <w:p>
            <w:pPr>
              <w:pageBreakBefore w:val="0"/>
              <w:numPr>
                <w:ilvl w:val="0"/>
                <w:numId w:val="29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主管部门有督查、反馈，并检查整改落实情况。</w:t>
            </w:r>
          </w:p>
        </w:tc>
        <w:tc>
          <w:tcPr>
            <w:tcW w:w="1269" w:type="pct"/>
            <w:tcMar>
              <w:top w:w="22" w:type="dxa"/>
              <w:left w:w="22" w:type="dxa"/>
              <w:bottom w:w="22" w:type="dxa"/>
              <w:right w:w="22" w:type="dxa"/>
            </w:tcMar>
            <w:vAlign w:val="center"/>
          </w:tcPr>
          <w:p>
            <w:pPr>
              <w:pageBreakBefore w:val="0"/>
              <w:numPr>
                <w:ilvl w:val="0"/>
                <w:numId w:val="29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9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持续改进有成效，质量监控指标持续向好。</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.5有紧急意外情况与并发症的紧急</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处理预案。</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29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医院有常见并发症的紧急处理流程和上报制度。</w:t>
            </w:r>
          </w:p>
          <w:p>
            <w:pPr>
              <w:pageBreakBefore w:val="0"/>
              <w:numPr>
                <w:ilvl w:val="0"/>
                <w:numId w:val="29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对紧急意外情况处置有培训，相关人员均能熟练掌握。</w:t>
            </w:r>
          </w:p>
          <w:p>
            <w:pPr>
              <w:pageBreakBefore w:val="0"/>
              <w:numPr>
                <w:ilvl w:val="0"/>
                <w:numId w:val="29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对应急预案与处理流程有演练（至少每半年一次），有记录，有讨论与评价。</w:t>
            </w:r>
          </w:p>
        </w:tc>
        <w:tc>
          <w:tcPr>
            <w:tcW w:w="1269" w:type="pct"/>
            <w:tcMar>
              <w:top w:w="22" w:type="dxa"/>
              <w:left w:w="22" w:type="dxa"/>
              <w:bottom w:w="22" w:type="dxa"/>
              <w:right w:w="22" w:type="dxa"/>
            </w:tcMar>
            <w:vAlign w:val="center"/>
          </w:tcPr>
          <w:p>
            <w:pPr>
              <w:pageBreakBefore w:val="0"/>
              <w:numPr>
                <w:ilvl w:val="0"/>
                <w:numId w:val="29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29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查阅相关资料，现场询问3名医护人员，了解其知晓情况，知晓率100%。</w:t>
            </w:r>
          </w:p>
          <w:p>
            <w:pPr>
              <w:pageBreakBefore w:val="0"/>
              <w:numPr>
                <w:ilvl w:val="0"/>
                <w:numId w:val="29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29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科室对意外情况处置流程落实及并发症登记情况有自查，对存在问题有分析、整改。</w:t>
            </w:r>
          </w:p>
          <w:p>
            <w:pPr>
              <w:pageBreakBefore w:val="0"/>
              <w:numPr>
                <w:ilvl w:val="0"/>
                <w:numId w:val="29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主管部门有定期督查、反馈，并检查整改落实情况。</w:t>
            </w:r>
          </w:p>
        </w:tc>
        <w:tc>
          <w:tcPr>
            <w:tcW w:w="1269" w:type="pct"/>
            <w:tcMar>
              <w:top w:w="22" w:type="dxa"/>
              <w:left w:w="22" w:type="dxa"/>
              <w:bottom w:w="22" w:type="dxa"/>
              <w:right w:w="22" w:type="dxa"/>
            </w:tcMar>
            <w:vAlign w:val="center"/>
          </w:tcPr>
          <w:p>
            <w:pPr>
              <w:pageBreakBefore w:val="0"/>
              <w:numPr>
                <w:ilvl w:val="0"/>
                <w:numId w:val="30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0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制度执行到位，未发生相关不良事件。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2.5.2</w:t>
            </w:r>
            <w:r>
              <w:rPr>
                <w:rFonts w:hint="default" w:ascii="Times New Roman" w:hAnsi="Times New Roman"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rPr>
              <w:t>血液透析机与水处理设备符合要求。透析液的配制符合要求，透析用水化学污染物、透析液细菌及内毒素检测达标。血液透析器复用执行《血液透析器复用操作规范》。</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rPr>
              <w:t>.1有透析液和透析用水质量监测制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度与执行的流程，有完整的水质量监测记录。</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0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医院有透析液和透析用水质量监测制度与执行的流程。</w:t>
            </w:r>
          </w:p>
          <w:p>
            <w:pPr>
              <w:pageBreakBefore w:val="0"/>
              <w:numPr>
                <w:ilvl w:val="0"/>
                <w:numId w:val="30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透析用水定期进行残余氯及硬度检测及电导率监测（前处理系统），化学污染物、透析液细菌及内毒素检测合格。</w:t>
            </w:r>
          </w:p>
          <w:p>
            <w:pPr>
              <w:pageBreakBefore w:val="0"/>
              <w:numPr>
                <w:ilvl w:val="0"/>
                <w:numId w:val="30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相关人员熟知要求并在工作中落实。</w:t>
            </w:r>
          </w:p>
        </w:tc>
        <w:tc>
          <w:tcPr>
            <w:tcW w:w="1269" w:type="pct"/>
            <w:tcMar>
              <w:top w:w="22" w:type="dxa"/>
              <w:left w:w="22" w:type="dxa"/>
              <w:bottom w:w="22" w:type="dxa"/>
              <w:right w:w="22" w:type="dxa"/>
            </w:tcMar>
            <w:vAlign w:val="center"/>
          </w:tcPr>
          <w:p>
            <w:pPr>
              <w:pageBreakBefore w:val="0"/>
              <w:numPr>
                <w:ilvl w:val="0"/>
                <w:numId w:val="30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0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0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现场询问2名相关人员，了解其知晓情况，知晓率100%。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30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科室有自查，对存在问题有分析、整改。</w:t>
            </w:r>
          </w:p>
          <w:p>
            <w:pPr>
              <w:pageBreakBefore w:val="0"/>
              <w:numPr>
                <w:ilvl w:val="0"/>
                <w:numId w:val="30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主管部门有督查，反馈，并检查整改落实情况。</w:t>
            </w:r>
          </w:p>
        </w:tc>
        <w:tc>
          <w:tcPr>
            <w:tcW w:w="1269" w:type="pct"/>
            <w:tcMar>
              <w:top w:w="22" w:type="dxa"/>
              <w:left w:w="22" w:type="dxa"/>
              <w:bottom w:w="22" w:type="dxa"/>
              <w:right w:w="22" w:type="dxa"/>
            </w:tcMar>
            <w:vAlign w:val="center"/>
          </w:tcPr>
          <w:p>
            <w:pPr>
              <w:pageBreakBefore w:val="0"/>
              <w:numPr>
                <w:ilvl w:val="0"/>
                <w:numId w:val="30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0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rPr>
              <w:t>.2透析液配制符合要求。</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0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有透析液配制规范的操作流程，并落实。</w:t>
            </w:r>
          </w:p>
          <w:p>
            <w:pPr>
              <w:pageBreakBefore w:val="0"/>
              <w:numPr>
                <w:ilvl w:val="0"/>
                <w:numId w:val="30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透析液和透析粉符合国家标准，透析液配制符合要求。</w:t>
            </w:r>
          </w:p>
        </w:tc>
        <w:tc>
          <w:tcPr>
            <w:tcW w:w="1269" w:type="pct"/>
            <w:tcMar>
              <w:top w:w="22" w:type="dxa"/>
              <w:left w:w="22" w:type="dxa"/>
              <w:bottom w:w="22" w:type="dxa"/>
              <w:right w:w="22" w:type="dxa"/>
            </w:tcMar>
            <w:vAlign w:val="center"/>
          </w:tcPr>
          <w:p>
            <w:pPr>
              <w:pageBreakBefore w:val="0"/>
              <w:numPr>
                <w:ilvl w:val="0"/>
                <w:numId w:val="30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现场查看流程及工作人员操作情况。</w:t>
            </w:r>
          </w:p>
          <w:p>
            <w:pPr>
              <w:pageBreakBefore w:val="0"/>
              <w:numPr>
                <w:ilvl w:val="0"/>
                <w:numId w:val="30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30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科室对透析液配制流程落实情况有自查，对存在问题有分析、整改。</w:t>
            </w:r>
          </w:p>
          <w:p>
            <w:pPr>
              <w:pageBreakBefore w:val="0"/>
              <w:numPr>
                <w:ilvl w:val="0"/>
                <w:numId w:val="30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主管部门对透析液配制规程执行情况有督查、反馈，并检查整改落实情况。</w:t>
            </w:r>
          </w:p>
        </w:tc>
        <w:tc>
          <w:tcPr>
            <w:tcW w:w="1269" w:type="pct"/>
            <w:tcMar>
              <w:top w:w="22" w:type="dxa"/>
              <w:left w:w="22" w:type="dxa"/>
              <w:bottom w:w="22" w:type="dxa"/>
              <w:right w:w="22" w:type="dxa"/>
            </w:tcMar>
            <w:vAlign w:val="center"/>
          </w:tcPr>
          <w:p>
            <w:pPr>
              <w:pageBreakBefore w:val="0"/>
              <w:numPr>
                <w:ilvl w:val="0"/>
                <w:numId w:val="30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0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无透析液相关不良事件发生。</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rPr>
              <w:t>.3医院对透析器复用有管理制度和</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流程。对从事血液透析器复用的人员资质有规定。</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0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医院有透析器复用有明确的管理制度和流程，复用流程设计合理，并定期对复用设备进行保养和维护。</w:t>
            </w:r>
          </w:p>
          <w:p>
            <w:pPr>
              <w:pageBreakBefore w:val="0"/>
              <w:numPr>
                <w:ilvl w:val="0"/>
                <w:numId w:val="30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从事血液透析器复用的人员必须经过专门培训，符合复用技术资格要求。</w:t>
            </w:r>
          </w:p>
          <w:p>
            <w:pPr>
              <w:pageBreakBefore w:val="0"/>
              <w:numPr>
                <w:ilvl w:val="0"/>
                <w:numId w:val="30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可复用血液透析器复用次数符合规范要求。复用透析器只能使用于同一个患者。血传播传染病患者使用过的透析器不复用，复用过程中对消毒剂过敏的患者使用过的透析器不能复用。复用登记记录完整，复用病例与透析器可追溯。</w:t>
            </w:r>
          </w:p>
          <w:p>
            <w:pPr>
              <w:pageBreakBefore w:val="0"/>
              <w:numPr>
                <w:ilvl w:val="0"/>
                <w:numId w:val="30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废弃血液透析器规范处置，有完整的记录。</w:t>
            </w:r>
          </w:p>
        </w:tc>
        <w:tc>
          <w:tcPr>
            <w:tcW w:w="1269" w:type="pct"/>
            <w:tcMar>
              <w:top w:w="22" w:type="dxa"/>
              <w:left w:w="22" w:type="dxa"/>
              <w:bottom w:w="22" w:type="dxa"/>
              <w:right w:w="22" w:type="dxa"/>
            </w:tcMar>
            <w:vAlign w:val="center"/>
          </w:tcPr>
          <w:p>
            <w:pPr>
              <w:pageBreakBefore w:val="0"/>
              <w:numPr>
                <w:ilvl w:val="0"/>
                <w:numId w:val="31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查阅相关资料及现场查看。</w:t>
            </w:r>
          </w:p>
          <w:p>
            <w:pPr>
              <w:pageBreakBefore w:val="0"/>
              <w:numPr>
                <w:ilvl w:val="0"/>
                <w:numId w:val="31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1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现场查看相关资料。</w:t>
            </w:r>
          </w:p>
          <w:p>
            <w:pPr>
              <w:pageBreakBefore w:val="0"/>
              <w:numPr>
                <w:ilvl w:val="0"/>
                <w:numId w:val="31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现场查看并查阅相关资料。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31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科室有自查，对存在问题有分析、整改。</w:t>
            </w:r>
          </w:p>
          <w:p>
            <w:pPr>
              <w:pageBreakBefore w:val="0"/>
              <w:numPr>
                <w:ilvl w:val="0"/>
                <w:numId w:val="31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主管部门有督查、反馈，并检查整改落实情况。</w:t>
            </w:r>
          </w:p>
        </w:tc>
        <w:tc>
          <w:tcPr>
            <w:tcW w:w="1269" w:type="pct"/>
            <w:tcMar>
              <w:top w:w="22" w:type="dxa"/>
              <w:left w:w="22" w:type="dxa"/>
              <w:bottom w:w="22" w:type="dxa"/>
              <w:right w:w="22" w:type="dxa"/>
            </w:tcMar>
            <w:vAlign w:val="center"/>
          </w:tcPr>
          <w:p>
            <w:pPr>
              <w:pageBreakBefore w:val="0"/>
              <w:numPr>
                <w:ilvl w:val="0"/>
                <w:numId w:val="31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1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透析器复用管理规范，无因透析器复用发生感染事件。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2.5.2</w:t>
            </w:r>
            <w:r>
              <w:rPr>
                <w:rFonts w:hint="default" w:ascii="Times New Roman" w:hAnsi="Times New Roman" w:eastAsia="方正仿宋_GBK"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rPr>
              <w:t>开展放射治疗技术应当依法取得《放射诊疗许可证》与《大型医用设备配置许可证》，布局、设备设施符合《放射诊疗管理规定》和国家相关标准。有放射治疗装置操作和维护维修制度、质量保证和检测制度和放射防护制度，并严格执行。</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rPr>
              <w:t>.1开展放射治疗技术应当依法取得</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《放射诊疗许可证》与《大型医用设备配置许可证》，布局、设备设施符合《放射诊疗管理规定》和国家相关标准。</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1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医院有卫生行政部门核准的</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放射治疗</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诊疗科目，相关执业文件核准与校验均在有效期内。机房建筑取得国家的合格证书。</w:t>
            </w:r>
          </w:p>
          <w:p>
            <w:pPr>
              <w:pageBreakBefore w:val="0"/>
              <w:numPr>
                <w:ilvl w:val="0"/>
                <w:numId w:val="31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具备开展放射治疗的基本设备（直线加速器或钴-60 治疗机=1台、后装治疗机≥1 台、模拟定位机=1 台、三维计划治疗系统≥1 台、验证设备）。</w:t>
            </w:r>
          </w:p>
          <w:p>
            <w:pPr>
              <w:pageBreakBefore w:val="0"/>
              <w:numPr>
                <w:ilvl w:val="0"/>
                <w:numId w:val="31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放射治疗设备有《放射诊疗许可证》与《大型医用设备配置许可证》。</w:t>
            </w:r>
          </w:p>
        </w:tc>
        <w:tc>
          <w:tcPr>
            <w:tcW w:w="1269" w:type="pct"/>
            <w:tcMar>
              <w:top w:w="22" w:type="dxa"/>
              <w:left w:w="22" w:type="dxa"/>
              <w:bottom w:w="22" w:type="dxa"/>
              <w:right w:w="22" w:type="dxa"/>
            </w:tcMar>
            <w:vAlign w:val="center"/>
          </w:tcPr>
          <w:p>
            <w:pPr>
              <w:pageBreakBefore w:val="0"/>
              <w:numPr>
                <w:ilvl w:val="0"/>
                <w:numId w:val="31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1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现场查看及核查相关证件。</w:t>
            </w:r>
          </w:p>
          <w:p>
            <w:pPr>
              <w:pageBreakBefore w:val="0"/>
              <w:numPr>
                <w:ilvl w:val="0"/>
                <w:numId w:val="31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管理规范，有完整的定期核准与校验的管理档案。</w:t>
            </w:r>
          </w:p>
        </w:tc>
        <w:tc>
          <w:tcPr>
            <w:tcW w:w="1269" w:type="pct"/>
            <w:tcMar>
              <w:top w:w="22" w:type="dxa"/>
              <w:left w:w="22" w:type="dxa"/>
              <w:bottom w:w="22" w:type="dxa"/>
              <w:right w:w="22" w:type="dxa"/>
            </w:tcMar>
            <w:vAlign w:val="center"/>
          </w:tcPr>
          <w:p>
            <w:pPr>
              <w:pageBreakBefore w:val="0"/>
              <w:tabs>
                <w:tab w:val="left" w:pos="312"/>
              </w:tabs>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tabs>
                <w:tab w:val="left" w:pos="312"/>
              </w:tabs>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设备使用完全符合国家规范要求，无上级主管部门依法督查处罚记录。</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rPr>
              <w:t>.2有放射治疗装置操作和维护维修</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制度、质量保证和检测制度和放射防护制度，并严格执行。</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1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医院有放射治疗装置操作、维护维修和检测制度。</w:t>
            </w:r>
          </w:p>
          <w:p>
            <w:pPr>
              <w:pageBreakBefore w:val="0"/>
              <w:numPr>
                <w:ilvl w:val="0"/>
                <w:numId w:val="31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有放射治疗设备使用操作指南及必要的联动设置。</w:t>
            </w:r>
          </w:p>
          <w:p>
            <w:pPr>
              <w:pageBreakBefore w:val="0"/>
              <w:numPr>
                <w:ilvl w:val="0"/>
                <w:numId w:val="31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有患者及工作人员放射防护制度。相关放射场所设置明显警示标识、配备防护用品，并规范使用。</w:t>
            </w:r>
          </w:p>
          <w:p>
            <w:pPr>
              <w:pageBreakBefore w:val="0"/>
              <w:numPr>
                <w:ilvl w:val="0"/>
                <w:numId w:val="31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工作人员规范佩戴个人放射剂量计。</w:t>
            </w:r>
          </w:p>
        </w:tc>
        <w:tc>
          <w:tcPr>
            <w:tcW w:w="1269" w:type="pct"/>
            <w:tcMar>
              <w:top w:w="22" w:type="dxa"/>
              <w:left w:w="22" w:type="dxa"/>
              <w:bottom w:w="22" w:type="dxa"/>
              <w:right w:w="22" w:type="dxa"/>
            </w:tcMar>
            <w:vAlign w:val="center"/>
          </w:tcPr>
          <w:p>
            <w:pPr>
              <w:pageBreakBefore w:val="0"/>
              <w:numPr>
                <w:ilvl w:val="0"/>
                <w:numId w:val="31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1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p>
            <w:pPr>
              <w:pageBreakBefore w:val="0"/>
              <w:numPr>
                <w:ilvl w:val="0"/>
                <w:numId w:val="31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查阅相关资料及现场查看。</w:t>
            </w:r>
          </w:p>
          <w:p>
            <w:pPr>
              <w:pageBreakBefore w:val="0"/>
              <w:numPr>
                <w:ilvl w:val="0"/>
                <w:numId w:val="31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31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使用、维护、检测与维修记录完整。</w:t>
            </w:r>
          </w:p>
          <w:p>
            <w:pPr>
              <w:pageBreakBefore w:val="0"/>
              <w:numPr>
                <w:ilvl w:val="0"/>
                <w:numId w:val="31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个人放射剂量计按规定送检资料完整。</w:t>
            </w:r>
          </w:p>
        </w:tc>
        <w:tc>
          <w:tcPr>
            <w:tcW w:w="1269" w:type="pct"/>
            <w:tcMar>
              <w:top w:w="22" w:type="dxa"/>
              <w:left w:w="22" w:type="dxa"/>
              <w:bottom w:w="22" w:type="dxa"/>
              <w:right w:w="22" w:type="dxa"/>
            </w:tcMar>
            <w:vAlign w:val="center"/>
          </w:tcPr>
          <w:p>
            <w:pPr>
              <w:pageBreakBefore w:val="0"/>
              <w:numPr>
                <w:ilvl w:val="0"/>
                <w:numId w:val="31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1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持续改进有成效，有案例或数据体现成效。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2.5.2</w:t>
            </w:r>
            <w:r>
              <w:rPr>
                <w:rFonts w:hint="default" w:ascii="Times New Roman" w:hAnsi="Times New Roman" w:eastAsia="方正仿宋_GBK" w:cs="Times New Roman"/>
                <w:color w:val="auto"/>
                <w:sz w:val="24"/>
                <w:szCs w:val="24"/>
                <w:highlight w:val="none"/>
                <w:lang w:val="en-US" w:eastAsia="zh-CN"/>
              </w:rPr>
              <w:t>5</w:t>
            </w:r>
            <w:r>
              <w:rPr>
                <w:rFonts w:hint="default" w:ascii="Times New Roman" w:hAnsi="Times New Roman" w:eastAsia="方正仿宋_GBK" w:cs="Times New Roman"/>
                <w:color w:val="auto"/>
                <w:sz w:val="24"/>
                <w:szCs w:val="24"/>
                <w:highlight w:val="none"/>
              </w:rPr>
              <w:t>实施放射治疗应当有明确的规范与流程，有医学物理人员参与制订治疗计划，保证放射治疗定位精确与计量准确。有放射治疗意外应急预案及处置措施。</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5</w:t>
            </w:r>
            <w:r>
              <w:rPr>
                <w:rFonts w:hint="default" w:ascii="Times New Roman" w:hAnsi="Times New Roman" w:eastAsia="方正仿宋_GBK" w:cs="Times New Roman"/>
                <w:color w:val="auto"/>
                <w:sz w:val="24"/>
                <w:szCs w:val="24"/>
                <w:highlight w:val="none"/>
              </w:rPr>
              <w:t>.1实施放射治疗应当有明确的规范</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与流程，有医学物理人员参与制订治疗计划，保证放射治疗定位精确与计量准确。</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1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医院有放射治疗的规范与流程。有确保放射治疗定位精确与计量准确的相关程序。</w:t>
            </w:r>
          </w:p>
          <w:p>
            <w:pPr>
              <w:pageBreakBefore w:val="0"/>
              <w:numPr>
                <w:ilvl w:val="0"/>
                <w:numId w:val="31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有放射治疗计划讨论制度并有讨论记录；有根据患者放射治疗过程中情况及时调整放疗计划的相关流程。</w:t>
            </w:r>
          </w:p>
          <w:p>
            <w:pPr>
              <w:pageBreakBefore w:val="0"/>
              <w:numPr>
                <w:ilvl w:val="0"/>
                <w:numId w:val="31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有对放射治疗效果和毒副作用的评价制度，有防范毒副作用、改善放疗效果的措施。</w:t>
            </w:r>
          </w:p>
        </w:tc>
        <w:tc>
          <w:tcPr>
            <w:tcW w:w="1269" w:type="pct"/>
            <w:tcMar>
              <w:top w:w="22" w:type="dxa"/>
              <w:left w:w="22" w:type="dxa"/>
              <w:bottom w:w="22" w:type="dxa"/>
              <w:right w:w="22" w:type="dxa"/>
            </w:tcMar>
            <w:vAlign w:val="center"/>
          </w:tcPr>
          <w:p>
            <w:pPr>
              <w:pageBreakBefore w:val="0"/>
              <w:numPr>
                <w:ilvl w:val="0"/>
                <w:numId w:val="32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查阅相关资料及现场查看。</w:t>
            </w:r>
          </w:p>
          <w:p>
            <w:pPr>
              <w:pageBreakBefore w:val="0"/>
              <w:numPr>
                <w:ilvl w:val="0"/>
                <w:numId w:val="32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2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32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科室有定期总结分析与整改。</w:t>
            </w:r>
          </w:p>
          <w:p>
            <w:pPr>
              <w:pageBreakBefore w:val="0"/>
              <w:numPr>
                <w:ilvl w:val="0"/>
                <w:numId w:val="32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32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2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持续改进有成效，有案例或数据体现成效。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5</w:t>
            </w:r>
            <w:r>
              <w:rPr>
                <w:rFonts w:hint="default" w:ascii="Times New Roman" w:hAnsi="Times New Roman" w:eastAsia="方正仿宋_GBK" w:cs="Times New Roman"/>
                <w:color w:val="auto"/>
                <w:sz w:val="24"/>
                <w:szCs w:val="24"/>
                <w:highlight w:val="none"/>
              </w:rPr>
              <w:t>.2有放射治疗意外应急预案及处置</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措施。</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2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医院有放射诊疗、放射性同位素储存工作场所安全管理制度并落实。</w:t>
            </w:r>
          </w:p>
          <w:p>
            <w:pPr>
              <w:pageBreakBefore w:val="0"/>
              <w:numPr>
                <w:ilvl w:val="0"/>
                <w:numId w:val="32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有预防放射治疗意外应急预案、处置措施。</w:t>
            </w:r>
          </w:p>
          <w:p>
            <w:pPr>
              <w:pageBreakBefore w:val="0"/>
              <w:numPr>
                <w:ilvl w:val="0"/>
                <w:numId w:val="32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sz w:val="24"/>
              </w:rPr>
              <mc:AlternateContent>
                <mc:Choice Requires="wps">
                  <w:drawing>
                    <wp:anchor distT="0" distB="0" distL="114300" distR="114300" simplePos="0" relativeHeight="251687936" behindDoc="0" locked="0" layoutInCell="1" allowOverlap="1">
                      <wp:simplePos x="0" y="0"/>
                      <wp:positionH relativeFrom="column">
                        <wp:posOffset>-1039495</wp:posOffset>
                      </wp:positionH>
                      <wp:positionV relativeFrom="paragraph">
                        <wp:posOffset>244475</wp:posOffset>
                      </wp:positionV>
                      <wp:extent cx="952500" cy="1167130"/>
                      <wp:effectExtent l="0" t="0" r="0" b="0"/>
                      <wp:wrapNone/>
                      <wp:docPr id="35" name="文本框 35"/>
                      <wp:cNvGraphicFramePr/>
                      <a:graphic xmlns:a="http://schemas.openxmlformats.org/drawingml/2006/main">
                        <a:graphicData uri="http://schemas.microsoft.com/office/word/2010/wordprocessingShape">
                          <wps:wsp>
                            <wps:cNvSpPr txBox="1"/>
                            <wps:spPr>
                              <a:xfrm>
                                <a:off x="1024890" y="1129030"/>
                                <a:ext cx="952500" cy="1167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00" w:lineRule="exact"/>
                                    <w:jc w:val="both"/>
                                    <w:textAlignment w:val="auto"/>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5</w:t>
                                  </w:r>
                                  <w:r>
                                    <w:rPr>
                                      <w:rFonts w:hint="default" w:ascii="Times New Roman" w:hAnsi="Times New Roman" w:eastAsia="方正仿宋_GBK" w:cs="Times New Roman"/>
                                      <w:color w:val="auto"/>
                                      <w:sz w:val="24"/>
                                      <w:szCs w:val="24"/>
                                      <w:highlight w:val="none"/>
                                    </w:rPr>
                                    <w:t>.2有放</w:t>
                                  </w:r>
                                  <w:r>
                                    <w:rPr>
                                      <w:rFonts w:hint="default" w:ascii="Times New Roman" w:hAnsi="Times New Roman" w:eastAsia="方正仿宋_GBK" w:cs="Times New Roman"/>
                                      <w:color w:val="auto"/>
                                      <w:spacing w:val="-6"/>
                                      <w:sz w:val="24"/>
                                      <w:szCs w:val="24"/>
                                      <w:highlight w:val="none"/>
                                    </w:rPr>
                                    <w:t>射治疗意外应急预案及处置措施。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1.85pt;margin-top:19.25pt;height:91.9pt;width:75pt;z-index:251687936;mso-width-relative:page;mso-height-relative:page;" filled="f" stroked="f" coordsize="21600,21600" o:gfxdata="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nOTzU2wAAAAsBAAAPAAAAAAAAAAEA&#10;IAAAACIAAABkcnMvZG93bnJldi54bWxQSwECFAAUAAAACACHTuJARcpkMUUCAAB0BAAADgAAAAAA&#10;AAABACAAAAAqAQAAZHJzL2Uyb0RvYy54bWxQSwUGAAAAAAYABgBZAQAA4Q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00" w:lineRule="exact"/>
                              <w:jc w:val="both"/>
                              <w:textAlignment w:val="auto"/>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5</w:t>
                            </w:r>
                            <w:r>
                              <w:rPr>
                                <w:rFonts w:hint="default" w:ascii="Times New Roman" w:hAnsi="Times New Roman" w:eastAsia="方正仿宋_GBK" w:cs="Times New Roman"/>
                                <w:color w:val="auto"/>
                                <w:sz w:val="24"/>
                                <w:szCs w:val="24"/>
                                <w:highlight w:val="none"/>
                              </w:rPr>
                              <w:t>.2有放</w:t>
                            </w:r>
                            <w:r>
                              <w:rPr>
                                <w:rFonts w:hint="default" w:ascii="Times New Roman" w:hAnsi="Times New Roman" w:eastAsia="方正仿宋_GBK" w:cs="Times New Roman"/>
                                <w:color w:val="auto"/>
                                <w:spacing w:val="-6"/>
                                <w:sz w:val="24"/>
                                <w:szCs w:val="24"/>
                                <w:highlight w:val="none"/>
                              </w:rPr>
                              <w:t>射治疗意外应急预案及处置措施。</w:t>
                            </w:r>
                          </w:p>
                        </w:txbxContent>
                      </v:textbox>
                    </v:shape>
                  </w:pict>
                </mc:Fallback>
              </mc:AlternateContent>
            </w:r>
            <w:r>
              <w:rPr>
                <w:rFonts w:hint="default" w:ascii="Times New Roman" w:hAnsi="Times New Roman" w:eastAsia="方正仿宋_GBK" w:cs="Times New Roman"/>
                <w:color w:val="auto"/>
                <w:sz w:val="24"/>
                <w:szCs w:val="24"/>
                <w:highlight w:val="none"/>
              </w:rPr>
              <w:t>工作区域配置有可及的相关抢救药品、器材与氧气等。</w:t>
            </w:r>
          </w:p>
          <w:p>
            <w:pPr>
              <w:pageBreakBefore w:val="0"/>
              <w:numPr>
                <w:ilvl w:val="0"/>
                <w:numId w:val="32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有上述制度、预案与措施的培训及演练，相关人员知晓基本要求并落实。</w:t>
            </w:r>
          </w:p>
        </w:tc>
        <w:tc>
          <w:tcPr>
            <w:tcW w:w="1269" w:type="pct"/>
            <w:tcMar>
              <w:top w:w="22" w:type="dxa"/>
              <w:left w:w="22" w:type="dxa"/>
              <w:bottom w:w="22" w:type="dxa"/>
              <w:right w:w="22" w:type="dxa"/>
            </w:tcMar>
            <w:vAlign w:val="center"/>
          </w:tcPr>
          <w:p>
            <w:pPr>
              <w:pageBreakBefore w:val="0"/>
              <w:numPr>
                <w:ilvl w:val="0"/>
                <w:numId w:val="32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查阅相关资料及现场查看。</w:t>
            </w:r>
          </w:p>
          <w:p>
            <w:pPr>
              <w:pageBreakBefore w:val="0"/>
              <w:numPr>
                <w:ilvl w:val="0"/>
                <w:numId w:val="32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2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p>
            <w:pPr>
              <w:pageBreakBefore w:val="0"/>
              <w:numPr>
                <w:ilvl w:val="0"/>
                <w:numId w:val="32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查阅相关资料，随机询问3名工作人员，了解其知晓情况，知晓率100%。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numPr>
                <w:ilvl w:val="-1"/>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1"/>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w:t>
            </w:r>
            <w:r>
              <w:rPr>
                <w:rFonts w:hint="default" w:ascii="Times New Roman" w:hAnsi="Times New Roman" w:eastAsia="方正仿宋_GBK" w:cs="Times New Roman"/>
                <w:color w:val="auto"/>
                <w:sz w:val="24"/>
                <w:szCs w:val="24"/>
                <w:highlight w:val="none"/>
                <w:lang w:eastAsia="zh-CN"/>
              </w:rPr>
              <w:t>对预案及演练</w:t>
            </w:r>
            <w:r>
              <w:rPr>
                <w:rFonts w:hint="default" w:ascii="Times New Roman" w:hAnsi="Times New Roman" w:eastAsia="方正仿宋_GBK" w:cs="Times New Roman"/>
                <w:color w:val="auto"/>
                <w:sz w:val="24"/>
                <w:szCs w:val="24"/>
                <w:highlight w:val="none"/>
              </w:rPr>
              <w:t>有定期自查、总结分析</w:t>
            </w:r>
            <w:r>
              <w:rPr>
                <w:rFonts w:hint="default" w:ascii="Times New Roman" w:hAnsi="Times New Roman" w:eastAsia="方正仿宋_GBK" w:cs="Times New Roman"/>
                <w:color w:val="auto"/>
                <w:sz w:val="24"/>
                <w:szCs w:val="24"/>
                <w:highlight w:val="none"/>
                <w:lang w:eastAsia="zh-CN"/>
              </w:rPr>
              <w:t>，对存在问题及时整改并有记录</w:t>
            </w:r>
            <w:r>
              <w:rPr>
                <w:rFonts w:hint="default" w:ascii="Times New Roman" w:hAnsi="Times New Roman" w:eastAsia="方正仿宋_GBK" w:cs="Times New Roman"/>
                <w:color w:val="auto"/>
                <w:sz w:val="24"/>
                <w:szCs w:val="24"/>
                <w:highlight w:val="none"/>
              </w:rPr>
              <w:t>。</w:t>
            </w:r>
          </w:p>
        </w:tc>
        <w:tc>
          <w:tcPr>
            <w:tcW w:w="1269" w:type="pct"/>
            <w:tcMar>
              <w:top w:w="22" w:type="dxa"/>
              <w:left w:w="22" w:type="dxa"/>
              <w:bottom w:w="22" w:type="dxa"/>
              <w:right w:w="22" w:type="dxa"/>
            </w:tcMar>
            <w:vAlign w:val="center"/>
          </w:tcPr>
          <w:p>
            <w:pPr>
              <w:pageBreakBefore w:val="0"/>
              <w:numPr>
                <w:ilvl w:val="-1"/>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1"/>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相关制度规范落实，无相关不良事件发生。</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2.5.2</w:t>
            </w:r>
            <w:r>
              <w:rPr>
                <w:rFonts w:hint="default" w:ascii="Times New Roman" w:hAnsi="Times New Roman" w:eastAsia="方正仿宋_GBK" w:cs="Times New Roman"/>
                <w:color w:val="auto"/>
                <w:sz w:val="24"/>
                <w:szCs w:val="24"/>
                <w:highlight w:val="none"/>
                <w:lang w:val="en-US" w:eastAsia="zh-CN"/>
              </w:rPr>
              <w:t>6</w:t>
            </w:r>
            <w:r>
              <w:rPr>
                <w:rFonts w:hint="default" w:ascii="Times New Roman" w:hAnsi="Times New Roman" w:eastAsia="方正仿宋_GBK" w:cs="Times New Roman"/>
                <w:color w:val="auto"/>
                <w:sz w:val="24"/>
                <w:szCs w:val="24"/>
                <w:highlight w:val="none"/>
              </w:rPr>
              <w:t>医院开展诊断核医学、脑电图、肌电图等特殊诊疗技术，应当符合国家法律、法规及卫生健康行政部门规章标准的要求。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6</w:t>
            </w:r>
            <w:r>
              <w:rPr>
                <w:rFonts w:hint="default" w:ascii="Times New Roman" w:hAnsi="Times New Roman" w:eastAsia="方正仿宋_GBK" w:cs="Times New Roman"/>
                <w:color w:val="auto"/>
                <w:sz w:val="24"/>
                <w:szCs w:val="24"/>
                <w:highlight w:val="none"/>
              </w:rPr>
              <w:t>.1开展诊断核医学特殊诊疗技术应符合医疗机构诊疗科目，有独立场所，人员资质符合要求，有管理制度和诊疗规范，保证临床诊疗需求。</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2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医院开展诊断核医学特殊诊疗技术，应与执业许可证诊疗科目一致，有独立场所，场所环境防护等符合国家要求。</w:t>
            </w:r>
          </w:p>
          <w:p>
            <w:pPr>
              <w:pageBreakBefore w:val="0"/>
              <w:numPr>
                <w:ilvl w:val="0"/>
                <w:numId w:val="32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有特殊诊疗技术管理制度和诊疗规范，明确诊疗技术报告时限，有与临床沟通机制，有落实并有记录。</w:t>
            </w:r>
          </w:p>
          <w:p>
            <w:pPr>
              <w:pageBreakBefore w:val="0"/>
              <w:numPr>
                <w:ilvl w:val="0"/>
                <w:numId w:val="32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所有人员均接受特殊检查专业技能培训，依法取得执业资格；</w:t>
            </w:r>
          </w:p>
          <w:p>
            <w:pPr>
              <w:pageBreakBefore w:val="0"/>
              <w:numPr>
                <w:ilvl w:val="0"/>
                <w:numId w:val="32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诊断报告规范，出具报告由经过授权、具备执业医师资质的人员，报告签发由副主任医师及以上职称人员担任。</w:t>
            </w:r>
          </w:p>
        </w:tc>
        <w:tc>
          <w:tcPr>
            <w:tcW w:w="1269" w:type="pct"/>
            <w:tcMar>
              <w:top w:w="22" w:type="dxa"/>
              <w:left w:w="22" w:type="dxa"/>
              <w:bottom w:w="22" w:type="dxa"/>
              <w:right w:w="22" w:type="dxa"/>
            </w:tcMar>
            <w:vAlign w:val="center"/>
          </w:tcPr>
          <w:p>
            <w:pPr>
              <w:pageBreakBefore w:val="0"/>
              <w:numPr>
                <w:ilvl w:val="0"/>
                <w:numId w:val="32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2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2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2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抽查5份报告，评价是否符合要求。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32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科室对制度落实情况有定期自查、总结分析与整改。</w:t>
            </w:r>
          </w:p>
          <w:p>
            <w:pPr>
              <w:pageBreakBefore w:val="0"/>
              <w:numPr>
                <w:ilvl w:val="0"/>
                <w:numId w:val="32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32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2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6</w:t>
            </w:r>
            <w:r>
              <w:rPr>
                <w:rFonts w:hint="default" w:ascii="Times New Roman" w:hAnsi="Times New Roman" w:eastAsia="方正仿宋_GBK" w:cs="Times New Roman"/>
                <w:color w:val="auto"/>
                <w:sz w:val="24"/>
                <w:szCs w:val="24"/>
                <w:highlight w:val="none"/>
              </w:rPr>
              <w:t>.2开展诊断核医学活动应符合ＧＢＺ120-2006《临床核医学卫生防护标准》要求，有制度流程保证设备实施性能与诊断质量，有事故应急预案，防护符合要求。</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2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医院开展诊断核医学特殊诊疗项目符合临床核医学卫生防护国家标准要求，且经省级卫生行政部门核准。</w:t>
            </w:r>
          </w:p>
          <w:p>
            <w:pPr>
              <w:pageBreakBefore w:val="0"/>
              <w:numPr>
                <w:ilvl w:val="0"/>
                <w:numId w:val="32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有放射性分析程序、书面质量控制流程、防护管理制度。</w:t>
            </w:r>
          </w:p>
          <w:p>
            <w:pPr>
              <w:pageBreakBefore w:val="0"/>
              <w:numPr>
                <w:ilvl w:val="0"/>
                <w:numId w:val="32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有放射事故应急预案，责任分工明确，相关人员有培训及演练（每年不少于1次）。</w:t>
            </w:r>
          </w:p>
        </w:tc>
        <w:tc>
          <w:tcPr>
            <w:tcW w:w="1269" w:type="pct"/>
            <w:tcMar>
              <w:top w:w="22" w:type="dxa"/>
              <w:left w:w="22" w:type="dxa"/>
              <w:bottom w:w="22" w:type="dxa"/>
              <w:right w:w="22" w:type="dxa"/>
            </w:tcMar>
            <w:vAlign w:val="center"/>
          </w:tcPr>
          <w:p>
            <w:pPr>
              <w:pageBreakBefore w:val="0"/>
              <w:numPr>
                <w:ilvl w:val="0"/>
                <w:numId w:val="33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3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3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33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科室有定期自查、总结分析与整改。</w:t>
            </w:r>
          </w:p>
          <w:p>
            <w:pPr>
              <w:pageBreakBefore w:val="0"/>
              <w:numPr>
                <w:ilvl w:val="0"/>
                <w:numId w:val="33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33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3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6</w:t>
            </w:r>
            <w:r>
              <w:rPr>
                <w:rFonts w:hint="default" w:ascii="Times New Roman" w:hAnsi="Times New Roman" w:eastAsia="方正仿宋_GBK" w:cs="Times New Roman"/>
                <w:color w:val="auto"/>
                <w:sz w:val="24"/>
                <w:szCs w:val="24"/>
                <w:highlight w:val="none"/>
              </w:rPr>
              <w:t>.3开展脑电图、肌电图等特殊诊疗技术应符合医疗机构诊疗科目，有独立场所，人员资质符合要求，有管理制度和诊疗规范，保证临床诊疗需</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求。</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3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医院开展脑电图、肌电图等特殊诊疗技术，应与执业许可证诊疗科目一致，有独立场所，场所环境防护等符合国家要求。</w:t>
            </w:r>
          </w:p>
          <w:p>
            <w:pPr>
              <w:pageBreakBefore w:val="0"/>
              <w:numPr>
                <w:ilvl w:val="0"/>
                <w:numId w:val="33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有特殊诊疗技术管理制度和诊疗规范，明确诊疗技术报告时限，有与临床沟通机制，有落实并有记录。</w:t>
            </w:r>
          </w:p>
          <w:p>
            <w:pPr>
              <w:pageBreakBefore w:val="0"/>
              <w:numPr>
                <w:ilvl w:val="0"/>
                <w:numId w:val="33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所有人员均接受特殊检查专业技能培训，依法取得执业资格。</w:t>
            </w:r>
          </w:p>
          <w:p>
            <w:pPr>
              <w:pageBreakBefore w:val="0"/>
              <w:numPr>
                <w:ilvl w:val="0"/>
                <w:numId w:val="33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诊断报告规范，出具报告由经过授权、具备执业医师资质的人员，报告签发由副主任医师及以上职称人员担任。</w:t>
            </w:r>
          </w:p>
        </w:tc>
        <w:tc>
          <w:tcPr>
            <w:tcW w:w="1269" w:type="pct"/>
            <w:tcMar>
              <w:top w:w="22" w:type="dxa"/>
              <w:left w:w="22" w:type="dxa"/>
              <w:bottom w:w="22" w:type="dxa"/>
              <w:right w:w="22" w:type="dxa"/>
            </w:tcMar>
            <w:vAlign w:val="center"/>
          </w:tcPr>
          <w:p>
            <w:pPr>
              <w:pageBreakBefore w:val="0"/>
              <w:numPr>
                <w:ilvl w:val="0"/>
                <w:numId w:val="33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查阅相关资料及现场查看。</w:t>
            </w:r>
          </w:p>
          <w:p>
            <w:pPr>
              <w:pageBreakBefore w:val="0"/>
              <w:numPr>
                <w:ilvl w:val="0"/>
                <w:numId w:val="33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3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3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抽查5份报告，评价是否符合要求。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33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科室有定期自查、总结分析与整改。</w:t>
            </w:r>
          </w:p>
          <w:p>
            <w:pPr>
              <w:pageBreakBefore w:val="0"/>
              <w:numPr>
                <w:ilvl w:val="0"/>
                <w:numId w:val="33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33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3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2.5.2</w:t>
            </w:r>
            <w:r>
              <w:rPr>
                <w:rFonts w:hint="default" w:ascii="Times New Roman" w:hAnsi="Times New Roman" w:eastAsia="方正仿宋_GBK" w:cs="Times New Roman"/>
                <w:color w:val="auto"/>
                <w:sz w:val="24"/>
                <w:szCs w:val="24"/>
                <w:highlight w:val="none"/>
                <w:lang w:val="en-US" w:eastAsia="zh-CN"/>
              </w:rPr>
              <w:t>7</w:t>
            </w:r>
            <w:r>
              <w:rPr>
                <w:rFonts w:hint="default" w:ascii="Times New Roman" w:hAnsi="Times New Roman" w:eastAsia="方正仿宋_GBK" w:cs="Times New Roman"/>
                <w:color w:val="auto"/>
                <w:sz w:val="24"/>
                <w:szCs w:val="24"/>
                <w:highlight w:val="none"/>
              </w:rPr>
              <w:t>特殊检查室设计及空间区域划分应符合特殊检查需求。能将有害光、射线、磁场限制在检查患者所需的范围，避免医务人员及其他人员接触有害物质。有突发意外事故管理规范与应急预案并严格执行。</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7</w:t>
            </w:r>
            <w:r>
              <w:rPr>
                <w:rFonts w:hint="default" w:ascii="Times New Roman" w:hAnsi="Times New Roman" w:eastAsia="方正仿宋_GBK" w:cs="Times New Roman"/>
                <w:color w:val="auto"/>
                <w:sz w:val="24"/>
                <w:szCs w:val="24"/>
                <w:highlight w:val="none"/>
              </w:rPr>
              <w:t>.1特殊检查室（放射、介入、放疗、核医学等</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机房环境安全技术指标、安全和防护性能符合要求，区域划分符合规范要求，有效避免医务人员及其他人员接触有害物质。</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3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医院放射、介入、放疗、核医学等机房设计、建设及设施符合安全、环保、职业病防护等规范要求并验收合格；实时监测环境剂量。</w:t>
            </w:r>
          </w:p>
          <w:p>
            <w:pPr>
              <w:pageBreakBefore w:val="0"/>
              <w:numPr>
                <w:ilvl w:val="0"/>
                <w:numId w:val="33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布局、流程符合规范要求；机房显著位置有规范的警示标识。</w:t>
            </w:r>
          </w:p>
          <w:p>
            <w:pPr>
              <w:pageBreakBefore w:val="0"/>
              <w:numPr>
                <w:ilvl w:val="0"/>
                <w:numId w:val="33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所有设备、仪器、药品符合国家相关标准，定期检测；所有证书均在有期内；放射诊疗许可证、辐射安全许可证与现有设备相符。</w:t>
            </w:r>
          </w:p>
          <w:p>
            <w:pPr>
              <w:pageBreakBefore w:val="0"/>
              <w:numPr>
                <w:ilvl w:val="0"/>
                <w:numId w:val="33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防护用具齐全、有效。</w:t>
            </w:r>
          </w:p>
        </w:tc>
        <w:tc>
          <w:tcPr>
            <w:tcW w:w="1269" w:type="pct"/>
            <w:tcMar>
              <w:top w:w="22" w:type="dxa"/>
              <w:left w:w="22" w:type="dxa"/>
              <w:bottom w:w="22" w:type="dxa"/>
              <w:right w:w="22" w:type="dxa"/>
            </w:tcMar>
            <w:vAlign w:val="center"/>
          </w:tcPr>
          <w:p>
            <w:pPr>
              <w:pageBreakBefore w:val="0"/>
              <w:numPr>
                <w:ilvl w:val="0"/>
                <w:numId w:val="33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现场查看及查阅相关验收、监测报告。</w:t>
            </w:r>
          </w:p>
          <w:p>
            <w:pPr>
              <w:pageBreakBefore w:val="0"/>
              <w:numPr>
                <w:ilvl w:val="0"/>
                <w:numId w:val="33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p>
            <w:pPr>
              <w:pageBreakBefore w:val="0"/>
              <w:numPr>
                <w:ilvl w:val="0"/>
                <w:numId w:val="33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现场抽查相关资料。</w:t>
            </w:r>
          </w:p>
          <w:p>
            <w:pPr>
              <w:pageBreakBefore w:val="0"/>
              <w:numPr>
                <w:ilvl w:val="0"/>
                <w:numId w:val="33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管理规范，有完整的符合上述管理要求的资料。</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无上级主管部门依法督查处罚记录。无医务人员及其他人员接触有害物质的不良事件发生。</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7</w:t>
            </w:r>
            <w:r>
              <w:rPr>
                <w:rFonts w:hint="default" w:ascii="Times New Roman" w:hAnsi="Times New Roman" w:eastAsia="方正仿宋_GBK" w:cs="Times New Roman"/>
                <w:color w:val="auto"/>
                <w:sz w:val="24"/>
                <w:szCs w:val="24"/>
                <w:highlight w:val="none"/>
              </w:rPr>
              <w:t>.2有突发意外事故处置应急预案及流程。</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3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医院有突发意外事故应急预案及流程；放射性操作区有简明的应急救援流程，有指定该区域的防护负责人。</w:t>
            </w:r>
          </w:p>
          <w:p>
            <w:pPr>
              <w:pageBreakBefore w:val="0"/>
              <w:numPr>
                <w:ilvl w:val="0"/>
                <w:numId w:val="33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工作区备有急救药品和急救设备，指定专人负责，定期检查急救药品和设备保持有效和正常状态并有检查记录。</w:t>
            </w:r>
          </w:p>
          <w:p>
            <w:pPr>
              <w:pageBreakBefore w:val="0"/>
              <w:numPr>
                <w:ilvl w:val="0"/>
                <w:numId w:val="33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pacing w:val="-6"/>
                <w:sz w:val="24"/>
                <w:szCs w:val="24"/>
                <w:highlight w:val="none"/>
              </w:rPr>
              <w:t>相关人员有培训，并有演练（每年不少于2次）。</w:t>
            </w:r>
          </w:p>
        </w:tc>
        <w:tc>
          <w:tcPr>
            <w:tcW w:w="1269" w:type="pct"/>
            <w:tcMar>
              <w:top w:w="22" w:type="dxa"/>
              <w:left w:w="22" w:type="dxa"/>
              <w:bottom w:w="22" w:type="dxa"/>
              <w:right w:w="22" w:type="dxa"/>
            </w:tcMar>
            <w:vAlign w:val="center"/>
          </w:tcPr>
          <w:p>
            <w:pPr>
              <w:pageBreakBefore w:val="0"/>
              <w:numPr>
                <w:ilvl w:val="0"/>
                <w:numId w:val="34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查阅相关资料并现场查看。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34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科室对相关工作有自查、分析，对存在问题有整改。</w:t>
            </w:r>
          </w:p>
          <w:p>
            <w:pPr>
              <w:pageBreakBefore w:val="0"/>
              <w:numPr>
                <w:ilvl w:val="0"/>
                <w:numId w:val="34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主管部门对应急管理有督查、反馈，并检查科室落实整改情况。</w:t>
            </w:r>
          </w:p>
        </w:tc>
        <w:tc>
          <w:tcPr>
            <w:tcW w:w="1269" w:type="pct"/>
            <w:tcMar>
              <w:top w:w="22" w:type="dxa"/>
              <w:left w:w="22" w:type="dxa"/>
              <w:bottom w:w="22" w:type="dxa"/>
              <w:right w:w="22" w:type="dxa"/>
            </w:tcMar>
            <w:vAlign w:val="center"/>
          </w:tcPr>
          <w:p>
            <w:pPr>
              <w:pageBreakBefore w:val="0"/>
              <w:numPr>
                <w:ilvl w:val="0"/>
                <w:numId w:val="34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4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持续改进有成效，有案例或数据体现成效。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2.5.2</w:t>
            </w:r>
            <w:r>
              <w:rPr>
                <w:rFonts w:hint="default" w:ascii="Times New Roman" w:hAnsi="Times New Roman" w:eastAsia="方正仿宋_GBK" w:cs="Times New Roman"/>
                <w:color w:val="auto"/>
                <w:sz w:val="24"/>
                <w:szCs w:val="24"/>
                <w:highlight w:val="none"/>
                <w:lang w:val="en-US" w:eastAsia="zh-CN"/>
              </w:rPr>
              <w:t>8</w:t>
            </w:r>
            <w:r>
              <w:rPr>
                <w:rFonts w:hint="default" w:ascii="Times New Roman" w:hAnsi="Times New Roman" w:eastAsia="方正仿宋_GBK" w:cs="Times New Roman"/>
                <w:color w:val="auto"/>
                <w:sz w:val="24"/>
                <w:szCs w:val="24"/>
                <w:highlight w:val="none"/>
              </w:rPr>
              <w:t>开展日间化疗服务应当明确规定日间化疗服务适用范围，集中配置化疗药物，有安全管理制度及质量保证措施。</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8</w:t>
            </w:r>
            <w:r>
              <w:rPr>
                <w:rFonts w:hint="default" w:ascii="Times New Roman" w:hAnsi="Times New Roman" w:eastAsia="方正仿宋_GBK" w:cs="Times New Roman"/>
                <w:color w:val="auto"/>
                <w:sz w:val="24"/>
                <w:szCs w:val="24"/>
                <w:highlight w:val="none"/>
              </w:rPr>
              <w:t>.1开展日间化疗服务应符合国家相</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关规定要求，有管理规范，保证医疗质量与安全。</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4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医院开展日间化疗服务应符合国家相关规定要求，有明确的日间化疗纳入标准和服务适用范围。</w:t>
            </w:r>
          </w:p>
          <w:p>
            <w:pPr>
              <w:pageBreakBefore w:val="0"/>
              <w:numPr>
                <w:ilvl w:val="0"/>
                <w:numId w:val="34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建立日间化疗工作制度与管理流程，严格按诊疗规范开展诊疗服务。</w:t>
            </w:r>
          </w:p>
          <w:p>
            <w:pPr>
              <w:pageBreakBefore w:val="0"/>
              <w:numPr>
                <w:ilvl w:val="0"/>
                <w:numId w:val="34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有各类意外发生应急处置预案并定期开展演练，有记录。</w:t>
            </w:r>
          </w:p>
          <w:p>
            <w:pPr>
              <w:pageBreakBefore w:val="0"/>
              <w:numPr>
                <w:ilvl w:val="0"/>
                <w:numId w:val="34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按病历书写规范做好各项诊疗记录，患方需签署知情同意书并随病历归档保存。</w:t>
            </w:r>
          </w:p>
        </w:tc>
        <w:tc>
          <w:tcPr>
            <w:tcW w:w="1269" w:type="pct"/>
            <w:tcMar>
              <w:top w:w="22" w:type="dxa"/>
              <w:left w:w="22" w:type="dxa"/>
              <w:bottom w:w="22" w:type="dxa"/>
              <w:right w:w="22" w:type="dxa"/>
            </w:tcMar>
            <w:vAlign w:val="center"/>
          </w:tcPr>
          <w:p>
            <w:pPr>
              <w:pageBreakBefore w:val="0"/>
              <w:numPr>
                <w:ilvl w:val="0"/>
                <w:numId w:val="34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4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查阅相关资料，抽查5份病历，评价是否规范执行。</w:t>
            </w:r>
          </w:p>
          <w:p>
            <w:pPr>
              <w:pageBreakBefore w:val="0"/>
              <w:numPr>
                <w:ilvl w:val="0"/>
                <w:numId w:val="34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4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抽查5份病历，评价是否符合要求。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有日间化疗质量安全控制指标，日间化疗病人纳入慢病管理、建立档案，有定期随访评价。</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持续改进有成效，质量安全控制指标持续向好。</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2.5.2</w:t>
            </w:r>
            <w:r>
              <w:rPr>
                <w:rFonts w:hint="default" w:ascii="Times New Roman" w:hAnsi="Times New Roman" w:eastAsia="方正仿宋_GBK" w:cs="Times New Roman"/>
                <w:color w:val="auto"/>
                <w:sz w:val="24"/>
                <w:szCs w:val="24"/>
                <w:highlight w:val="none"/>
                <w:lang w:val="en-US" w:eastAsia="zh-CN"/>
              </w:rPr>
              <w:t>8</w:t>
            </w:r>
            <w:r>
              <w:rPr>
                <w:rFonts w:hint="default" w:ascii="Times New Roman" w:hAnsi="Times New Roman" w:eastAsia="方正仿宋_GBK" w:cs="Times New Roman"/>
                <w:color w:val="auto"/>
                <w:sz w:val="24"/>
                <w:szCs w:val="24"/>
                <w:highlight w:val="none"/>
              </w:rPr>
              <w:t>.2集中调配化疗药物，保障药物质量和患者安全。</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4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医院有规范的化疗药物管理规定，集中调配化疗药物。</w:t>
            </w:r>
          </w:p>
          <w:p>
            <w:pPr>
              <w:pageBreakBefore w:val="0"/>
              <w:numPr>
                <w:ilvl w:val="0"/>
                <w:numId w:val="34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有药物不良反应处置方案及上报要求，相关人员熟悉掌握并落实执行。</w:t>
            </w:r>
          </w:p>
        </w:tc>
        <w:tc>
          <w:tcPr>
            <w:tcW w:w="1269" w:type="pct"/>
            <w:tcMar>
              <w:top w:w="22" w:type="dxa"/>
              <w:left w:w="22" w:type="dxa"/>
              <w:bottom w:w="22" w:type="dxa"/>
              <w:right w:w="22" w:type="dxa"/>
            </w:tcMar>
            <w:vAlign w:val="center"/>
          </w:tcPr>
          <w:p>
            <w:pPr>
              <w:pageBreakBefore w:val="0"/>
              <w:numPr>
                <w:ilvl w:val="0"/>
                <w:numId w:val="34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4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查阅相关资料，随机询问2名工作人员，了解其知晓情况，知晓率100%。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有全流程的用药安全监控与评价，保证用药安全。</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持续改进有成效，化疗药物全部进行集中调配。</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随机抽查10份日间化疗病历，核查化疗医嘱与调配记录是否一致。</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tcBorders>
              <w:left w:val="nil"/>
              <w:right w:val="nil"/>
            </w:tcBorders>
            <w:tcMar>
              <w:top w:w="22" w:type="dxa"/>
              <w:left w:w="22" w:type="dxa"/>
              <w:bottom w:w="22" w:type="dxa"/>
              <w:right w:w="22" w:type="dxa"/>
            </w:tcMar>
            <w:vAlign w:val="center"/>
          </w:tcPr>
          <w:p>
            <w:pPr>
              <w:pStyle w:val="4"/>
              <w:pageBreakBefore w:val="0"/>
              <w:kinsoku/>
              <w:wordWrap/>
              <w:overflowPunct/>
              <w:topLinePunct w:val="0"/>
              <w:bidi w:val="0"/>
              <w:snapToGrid/>
              <w:spacing w:before="0" w:beforeAutospacing="0" w:after="0" w:afterAutospacing="0" w:line="560" w:lineRule="exact"/>
              <w:ind w:left="0" w:leftChars="0" w:rightChars="0" w:firstLine="624" w:firstLineChars="200"/>
              <w:jc w:val="left"/>
              <w:textAlignment w:val="auto"/>
              <w:rPr>
                <w:rFonts w:hint="default" w:eastAsia="方正仿宋_GBK" w:cs="Times New Roman"/>
                <w:color w:val="auto"/>
                <w:sz w:val="24"/>
                <w:szCs w:val="24"/>
                <w:highlight w:val="none"/>
              </w:rPr>
            </w:pPr>
            <w:r>
              <w:rPr>
                <w:rFonts w:hint="default" w:eastAsia="方正黑体_GBK" w:cs="Times New Roman"/>
                <w:b w:val="0"/>
                <w:color w:val="auto"/>
                <w:szCs w:val="24"/>
                <w:highlight w:val="none"/>
              </w:rPr>
              <w:t>六、护理质量保障与持续改进</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评审标准</w:t>
            </w:r>
          </w:p>
        </w:tc>
        <w:tc>
          <w:tcPr>
            <w:tcW w:w="2802" w:type="pct"/>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评审要点</w:t>
            </w:r>
          </w:p>
        </w:tc>
        <w:tc>
          <w:tcPr>
            <w:tcW w:w="1269" w:type="pct"/>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评审方法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2.6.1建立扁平高效的护理管理体系，建立护理质量与安全管理委员会，由医院人事、财务、医务、护理、后勤等相关部门主要负责人组成，主任委员由医疗机构主要负责人或者分管护理工作的负责人担任。依据法律法规、行业指南、标准，制定护理制度、常规和操作规程，实施护理质量管理工作。</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2.6.1.1建立院长（或副院长）领导下的护理垂直管理体系，对护理工作实施目标管理。</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4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根据国家相关要求成立由院长或</w:t>
            </w:r>
            <w:r>
              <w:rPr>
                <w:rFonts w:hint="default" w:ascii="Times New Roman" w:hAnsi="Times New Roman" w:eastAsia="方正仿宋_GBK" w:cs="Times New Roman"/>
                <w:color w:val="auto"/>
                <w:sz w:val="24"/>
                <w:szCs w:val="24"/>
                <w:highlight w:val="none"/>
                <w:lang w:val="en-US" w:eastAsia="zh-CN"/>
              </w:rPr>
              <w:t>分</w:t>
            </w:r>
            <w:r>
              <w:rPr>
                <w:rFonts w:hint="default" w:ascii="Times New Roman" w:hAnsi="Times New Roman" w:eastAsia="方正仿宋_GBK" w:cs="Times New Roman"/>
                <w:color w:val="auto"/>
                <w:sz w:val="24"/>
                <w:szCs w:val="24"/>
                <w:highlight w:val="none"/>
              </w:rPr>
              <w:t>管院领导任主任委员、有多部门人员</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由医院人事、财务、医务、护理、后勤等相关部门主要负责人</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组成的护理管理委员会，有相关职责。</w:t>
            </w:r>
          </w:p>
          <w:p>
            <w:pPr>
              <w:pageBreakBefore w:val="0"/>
              <w:numPr>
                <w:ilvl w:val="0"/>
                <w:numId w:val="34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将护理工作发展纳入</w:t>
            </w:r>
            <w:r>
              <w:rPr>
                <w:rFonts w:hint="default" w:ascii="Times New Roman" w:hAnsi="Times New Roman" w:eastAsia="方正仿宋_GBK" w:cs="Times New Roman"/>
                <w:color w:val="auto"/>
                <w:sz w:val="24"/>
                <w:szCs w:val="24"/>
                <w:highlight w:val="none"/>
                <w:lang w:val="en-US" w:eastAsia="zh-CN"/>
              </w:rPr>
              <w:t>医院</w:t>
            </w:r>
            <w:r>
              <w:rPr>
                <w:rFonts w:hint="default" w:ascii="Times New Roman" w:hAnsi="Times New Roman" w:eastAsia="方正仿宋_GBK" w:cs="Times New Roman"/>
                <w:color w:val="auto"/>
                <w:sz w:val="24"/>
                <w:szCs w:val="24"/>
                <w:highlight w:val="none"/>
              </w:rPr>
              <w:t>整体发展规划。</w:t>
            </w:r>
          </w:p>
          <w:p>
            <w:pPr>
              <w:pageBreakBefore w:val="0"/>
              <w:numPr>
                <w:ilvl w:val="0"/>
                <w:numId w:val="34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实施护理工作目标管理，有明确的管理目标及实施措施等。</w:t>
            </w:r>
          </w:p>
        </w:tc>
        <w:tc>
          <w:tcPr>
            <w:tcW w:w="1269" w:type="pct"/>
            <w:tcMar>
              <w:top w:w="22" w:type="dxa"/>
              <w:left w:w="22" w:type="dxa"/>
              <w:bottom w:w="22" w:type="dxa"/>
              <w:right w:w="22" w:type="dxa"/>
            </w:tcMar>
            <w:vAlign w:val="center"/>
          </w:tcPr>
          <w:p>
            <w:pPr>
              <w:pageBreakBefore w:val="0"/>
              <w:numPr>
                <w:ilvl w:val="0"/>
                <w:numId w:val="34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4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4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医院对规划、目标的落实情况有定期评价，有改进措施并落实。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有数据体现与医院发展相适应的护理规划与计划有效落实。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2.6.1.2建立护理质量与安全管理委员会，</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有院-科-病区或院-病区护理质量与安全管理组织体系，职责明确，落实到位。</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4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有护理质量与安全管理委员会，定期研究护理质量与安全工作（每年不少于2次），制定护理质量与安全管理的工作计划及护理质量监测指标。</w:t>
            </w:r>
          </w:p>
          <w:p>
            <w:pPr>
              <w:pageBreakBefore w:val="0"/>
              <w:numPr>
                <w:ilvl w:val="0"/>
                <w:numId w:val="34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有院-科-病区或院-病区护理质量与安全管理组织体系，科或病区有护理质量与安全管理小组，负责落实护理质量与安全管理工作。</w:t>
            </w:r>
          </w:p>
          <w:p>
            <w:pPr>
              <w:pageBreakBefore w:val="0"/>
              <w:numPr>
                <w:ilvl w:val="0"/>
                <w:numId w:val="34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有基于数据的质量指标管理体系，并及时、准确上报监测护理质量指标并分析。</w:t>
            </w:r>
          </w:p>
        </w:tc>
        <w:tc>
          <w:tcPr>
            <w:tcW w:w="1269" w:type="pct"/>
            <w:tcMar>
              <w:top w:w="22" w:type="dxa"/>
              <w:left w:w="22" w:type="dxa"/>
              <w:bottom w:w="22" w:type="dxa"/>
              <w:right w:w="22" w:type="dxa"/>
            </w:tcMar>
            <w:vAlign w:val="center"/>
          </w:tcPr>
          <w:p>
            <w:pPr>
              <w:pageBreakBefore w:val="0"/>
              <w:numPr>
                <w:ilvl w:val="0"/>
                <w:numId w:val="35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5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5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35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科室或病区护理质量安全管理小组每月对护理质量与安全管理有自查、分析，对存在问题有整改。</w:t>
            </w:r>
          </w:p>
          <w:p>
            <w:pPr>
              <w:pageBreakBefore w:val="0"/>
              <w:numPr>
                <w:ilvl w:val="0"/>
                <w:numId w:val="35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主管部门有定期督导、反馈，并检查科室整改落实情况。</w:t>
            </w:r>
          </w:p>
        </w:tc>
        <w:tc>
          <w:tcPr>
            <w:tcW w:w="1269" w:type="pct"/>
            <w:tcMar>
              <w:top w:w="22" w:type="dxa"/>
              <w:left w:w="22" w:type="dxa"/>
              <w:bottom w:w="22" w:type="dxa"/>
              <w:right w:w="22" w:type="dxa"/>
            </w:tcMar>
            <w:vAlign w:val="center"/>
          </w:tcPr>
          <w:p>
            <w:pPr>
              <w:pageBreakBefore w:val="0"/>
              <w:numPr>
                <w:ilvl w:val="0"/>
                <w:numId w:val="35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5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2.6.1.3依据法律法规、行业指南、标准，制定护理管理制度、常规和操作规程等，并落实。</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5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医院依据法律法规、行业指南、标准，制定护理制度、常规和操作规程等；</w:t>
            </w:r>
          </w:p>
          <w:p>
            <w:pPr>
              <w:pageBreakBefore w:val="0"/>
              <w:numPr>
                <w:ilvl w:val="0"/>
                <w:numId w:val="35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有定期培训、考核。</w:t>
            </w:r>
          </w:p>
          <w:p>
            <w:pPr>
              <w:pageBreakBefore w:val="0"/>
              <w:numPr>
                <w:ilvl w:val="0"/>
                <w:numId w:val="35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科室对护理制度、护理常规、操作规范的落实情况有自查、对存在问题进行分析、整改。</w:t>
            </w:r>
          </w:p>
        </w:tc>
        <w:tc>
          <w:tcPr>
            <w:tcW w:w="1269" w:type="pct"/>
            <w:tcMar>
              <w:top w:w="22" w:type="dxa"/>
              <w:left w:w="22" w:type="dxa"/>
              <w:bottom w:w="22" w:type="dxa"/>
              <w:right w:w="22" w:type="dxa"/>
            </w:tcMar>
            <w:vAlign w:val="center"/>
          </w:tcPr>
          <w:p>
            <w:pPr>
              <w:pageBreakBefore w:val="0"/>
              <w:numPr>
                <w:ilvl w:val="0"/>
                <w:numId w:val="35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5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5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主管部门对护理制度落实情况有定期督查、反馈，并检查科室整改落实情况。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2.6.1.4对患者进行风险评估，主动向高危患者告知跌倒、坠床风险，采取有效措施防止意外事件的发生。</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numPr>
                <w:ilvl w:val="0"/>
                <w:numId w:val="35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医院有防范患者跌倒、坠床的相关制度。</w:t>
            </w:r>
          </w:p>
          <w:p>
            <w:pPr>
              <w:pageBreakBefore w:val="0"/>
              <w:numPr>
                <w:ilvl w:val="0"/>
                <w:numId w:val="35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对住院患者跌倒、坠床风险评估及根据病情、用药变化再评估，并在病历中记录。</w:t>
            </w:r>
          </w:p>
          <w:p>
            <w:pPr>
              <w:pageBreakBefore w:val="0"/>
              <w:numPr>
                <w:ilvl w:val="0"/>
                <w:numId w:val="35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主动告知患者跌倒、坠床风险及防范措施并有记录。</w:t>
            </w:r>
          </w:p>
          <w:p>
            <w:pPr>
              <w:pageBreakBefore w:val="0"/>
              <w:numPr>
                <w:ilvl w:val="0"/>
                <w:numId w:val="35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医院环境有防止跌倒安全措施，如走廊扶手、卫生间及地面防滑。</w:t>
            </w:r>
          </w:p>
          <w:p>
            <w:pPr>
              <w:pageBreakBefore w:val="0"/>
              <w:numPr>
                <w:ilvl w:val="0"/>
                <w:numId w:val="35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对特殊患者，如儿童、老年人、孕妇、行动不便和残疾等患者，主动告知跌倒、坠床危险，采取适当措施防止跌倒、坠床等意外，如警示标识、语言提醒、搀扶或请人帮助、床挡等。</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随机抽查5份病历，相关记录是否符合要求。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查阅相关记录。</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5. 现场查看是否符合要求。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主管部门定期组织对相关不良事件定期分析、对存在问题提出改进意见，并落实（如制度修订及落实、设施、标示等）。</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1.持续改进有成效，有数据或案例体现跌倒和坠床管理规范，措施落实到位。</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2.高危患者入院时跌倒、坠床的风险评估率100%。</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抽查内、外科相关患者在院电子病历各10份，评价是否符合要求。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2.6.1.5有患者跌倒、坠床等意外事件报告制度、处置预案与流程。</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有患者跌倒、坠床等意外事件报告相关制度、处置预案与流程。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相关人员知晓患者发生坠床或跌倒的处置及报告流程。</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随机抽查内、外科各1个科室5位护理人员，了解知晓情况，知晓率100%。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1.科室对患者跌倒、坠床等报告制度与处置预案等的落实情况有自查。</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2.主管部门对跌倒和坠床等意外事件报告有督查、反馈，并检查科室整改落实情况。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2.6.1.6有压疮风险评估与报告制度，有压疮诊疗及护理规范并落实。</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5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有压疮风险评估、报告制度与诊疗措施。</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有压疮诊断与压疮创面处理的诊疗及护理规范。</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有预防压疮的设备、材料，医护人员能够正确使用。</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高危患者入院时压疮的风险评估率100%。</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现场查看并询问护理人员使用方法，评价是否正确。</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4. 抽查内、外科相关患者在院电子病历各10份，评价是否符合要求。 </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主管部门定期组织对相关不良事件定期分析、对存在问题提出改进意见，并落实（如制度修订及落实、设备、护理措施改进等）。</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2.6.2护理人力资源配备与医院功能和任务相适应，有护理单元护理人员的配置原则，以临床护理工作量为基础，根据收住患者特点、护理级别比例、床位使用情况对护理人力资源实行弹性调配。</w:t>
            </w:r>
            <w:r>
              <w:rPr>
                <w:rFonts w:hint="default" w:ascii="Times New Roman" w:hAnsi="Times New Roman" w:eastAsia="方正仿宋_GBK" w:cs="Times New Roman"/>
                <w:color w:val="auto"/>
                <w:sz w:val="24"/>
                <w:szCs w:val="24"/>
                <w:highlight w:val="none"/>
                <w:lang w:eastAsia="zh-CN"/>
              </w:rPr>
              <w:t>临床护理岗位护士数量占全院护士数量不低于</w:t>
            </w:r>
            <w:r>
              <w:rPr>
                <w:rFonts w:hint="default" w:ascii="Times New Roman" w:hAnsi="Times New Roman" w:eastAsia="方正仿宋_GBK" w:cs="Times New Roman"/>
                <w:color w:val="auto"/>
                <w:sz w:val="24"/>
                <w:szCs w:val="24"/>
                <w:highlight w:val="none"/>
                <w:lang w:val="en-US" w:eastAsia="zh-CN"/>
              </w:rPr>
              <w:t>95%。</w:t>
            </w:r>
            <w:r>
              <w:rPr>
                <w:rFonts w:hint="default" w:ascii="Times New Roman" w:hAnsi="Times New Roman" w:eastAsia="方正仿宋_GBK" w:cs="Times New Roman"/>
                <w:color w:val="auto"/>
                <w:sz w:val="24"/>
                <w:szCs w:val="24"/>
                <w:highlight w:val="none"/>
              </w:rPr>
              <w:t>有紧急状态下调配护理人力资源的预案。</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2.6.2.1 护理人力资源配备与医院功能和任务相适应，有护理单元护理人员的配置原则。</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5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医院有护士人力资源管理制度，保障临床护理需求。</w:t>
            </w:r>
          </w:p>
          <w:p>
            <w:pPr>
              <w:pageBreakBefore w:val="0"/>
              <w:numPr>
                <w:ilvl w:val="0"/>
                <w:numId w:val="35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临床护理岗位护士数量占全院护士数量不低于95%。</w:t>
            </w:r>
          </w:p>
          <w:p>
            <w:pPr>
              <w:pageBreakBefore w:val="0"/>
              <w:numPr>
                <w:ilvl w:val="0"/>
                <w:numId w:val="35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全院病区护士与实际开放床位比不低于0.4:1,普通病房日间每位护士平均负责患者数≤8 人。</w:t>
            </w:r>
          </w:p>
          <w:p>
            <w:pPr>
              <w:pageBreakBefore w:val="0"/>
              <w:numPr>
                <w:ilvl w:val="0"/>
                <w:numId w:val="35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重症监护病房护士与实际开放床位比不低于2.5-3:1。</w:t>
            </w:r>
          </w:p>
        </w:tc>
        <w:tc>
          <w:tcPr>
            <w:tcW w:w="1269" w:type="pct"/>
            <w:tcMar>
              <w:top w:w="22" w:type="dxa"/>
              <w:left w:w="22" w:type="dxa"/>
              <w:bottom w:w="22" w:type="dxa"/>
              <w:right w:w="22" w:type="dxa"/>
            </w:tcMar>
            <w:vAlign w:val="center"/>
          </w:tcPr>
          <w:p>
            <w:pPr>
              <w:pageBreakBefore w:val="0"/>
              <w:numPr>
                <w:ilvl w:val="0"/>
                <w:numId w:val="35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5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5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5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eastAsia="zh-CN"/>
              </w:rPr>
              <w:t>人力资源管理</w:t>
            </w:r>
            <w:r>
              <w:rPr>
                <w:rFonts w:hint="default" w:ascii="Times New Roman" w:hAnsi="Times New Roman" w:eastAsia="方正仿宋_GBK" w:cs="Times New Roman"/>
                <w:color w:val="auto"/>
                <w:sz w:val="24"/>
                <w:szCs w:val="24"/>
                <w:highlight w:val="none"/>
              </w:rPr>
              <w:t>部门</w:t>
            </w:r>
            <w:r>
              <w:rPr>
                <w:rFonts w:hint="default" w:ascii="Times New Roman" w:hAnsi="Times New Roman" w:eastAsia="方正仿宋_GBK" w:cs="Times New Roman"/>
                <w:color w:val="auto"/>
                <w:sz w:val="24"/>
                <w:szCs w:val="24"/>
                <w:highlight w:val="none"/>
                <w:lang w:eastAsia="zh-CN"/>
              </w:rPr>
              <w:t>与护理部门</w:t>
            </w:r>
            <w:r>
              <w:rPr>
                <w:rFonts w:hint="default" w:ascii="Times New Roman" w:hAnsi="Times New Roman" w:eastAsia="方正仿宋_GBK" w:cs="Times New Roman"/>
                <w:color w:val="auto"/>
                <w:sz w:val="24"/>
                <w:szCs w:val="24"/>
                <w:highlight w:val="none"/>
              </w:rPr>
              <w:t>对护理人员配置情况有</w:t>
            </w:r>
            <w:r>
              <w:rPr>
                <w:rFonts w:hint="default" w:ascii="Times New Roman" w:hAnsi="Times New Roman" w:eastAsia="方正仿宋_GBK" w:cs="Times New Roman"/>
                <w:color w:val="auto"/>
                <w:sz w:val="24"/>
                <w:szCs w:val="24"/>
                <w:highlight w:val="none"/>
                <w:lang w:eastAsia="zh-CN"/>
              </w:rPr>
              <w:t>定期总结、分析</w:t>
            </w:r>
            <w:r>
              <w:rPr>
                <w:rFonts w:hint="default" w:ascii="Times New Roman" w:hAnsi="Times New Roman" w:eastAsia="方正仿宋_GBK" w:cs="Times New Roman"/>
                <w:color w:val="auto"/>
                <w:sz w:val="24"/>
                <w:szCs w:val="24"/>
                <w:highlight w:val="none"/>
              </w:rPr>
              <w:t>，对</w:t>
            </w:r>
            <w:r>
              <w:rPr>
                <w:rFonts w:hint="default" w:ascii="Times New Roman" w:hAnsi="Times New Roman" w:eastAsia="方正仿宋_GBK" w:cs="Times New Roman"/>
                <w:color w:val="auto"/>
                <w:sz w:val="24"/>
                <w:szCs w:val="24"/>
                <w:highlight w:val="none"/>
                <w:lang w:eastAsia="zh-CN"/>
              </w:rPr>
              <w:t>存在</w:t>
            </w:r>
            <w:r>
              <w:rPr>
                <w:rFonts w:hint="default" w:ascii="Times New Roman" w:hAnsi="Times New Roman" w:eastAsia="方正仿宋_GBK" w:cs="Times New Roman"/>
                <w:color w:val="auto"/>
                <w:sz w:val="24"/>
                <w:szCs w:val="24"/>
                <w:highlight w:val="none"/>
              </w:rPr>
              <w:t>问题有</w:t>
            </w:r>
            <w:r>
              <w:rPr>
                <w:rFonts w:hint="default" w:ascii="Times New Roman" w:hAnsi="Times New Roman" w:eastAsia="方正仿宋_GBK" w:cs="Times New Roman"/>
                <w:color w:val="auto"/>
                <w:sz w:val="24"/>
                <w:szCs w:val="24"/>
                <w:highlight w:val="none"/>
                <w:lang w:eastAsia="zh-CN"/>
              </w:rPr>
              <w:t>改进措施并落实</w:t>
            </w:r>
            <w:r>
              <w:rPr>
                <w:rFonts w:hint="default" w:ascii="Times New Roman" w:hAnsi="Times New Roman" w:eastAsia="方正仿宋_GBK" w:cs="Times New Roman"/>
                <w:color w:val="auto"/>
                <w:sz w:val="24"/>
                <w:szCs w:val="24"/>
                <w:highlight w:val="none"/>
              </w:rPr>
              <w:t>。</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护理人力配置合理，全院病区护士与实际开放床位比满足临床需求。</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2.6.2.2 根据收住患者特点、护理级别比</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例、床位使用情况对护理人力资源实行弹性调配，有护理人力资源动态调配的方案和措施；有紧急状态下调配护理人力资源的预案。</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5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有护理人力资源动态调配的方案，方案能根据收住患者特点、护理级别比例、床位使用情况等制定，并能实现护理人力资源动态调配。</w:t>
            </w:r>
          </w:p>
          <w:p>
            <w:pPr>
              <w:pageBreakBefore w:val="0"/>
              <w:numPr>
                <w:ilvl w:val="0"/>
                <w:numId w:val="35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相关护理管理人员知晓紧急护理人力资源调配规定的主要内容与流程，并执行。</w:t>
            </w:r>
          </w:p>
        </w:tc>
        <w:tc>
          <w:tcPr>
            <w:tcW w:w="1269" w:type="pct"/>
            <w:tcMar>
              <w:top w:w="22" w:type="dxa"/>
              <w:left w:w="22" w:type="dxa"/>
              <w:bottom w:w="22" w:type="dxa"/>
              <w:right w:w="22" w:type="dxa"/>
            </w:tcMar>
            <w:vAlign w:val="center"/>
          </w:tcPr>
          <w:p>
            <w:pPr>
              <w:pageBreakBefore w:val="0"/>
              <w:numPr>
                <w:ilvl w:val="0"/>
                <w:numId w:val="36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6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询问2名护士长及护理部管理人员，了解其知晓情况，并查阅相关记录。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36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科室对人力资源动态调配工作有</w:t>
            </w:r>
            <w:r>
              <w:rPr>
                <w:rFonts w:hint="default" w:ascii="Times New Roman" w:hAnsi="Times New Roman" w:eastAsia="方正仿宋_GBK" w:cs="Times New Roman"/>
                <w:color w:val="auto"/>
                <w:sz w:val="24"/>
                <w:szCs w:val="24"/>
                <w:highlight w:val="none"/>
                <w:lang w:val="en-US" w:eastAsia="zh-CN"/>
              </w:rPr>
              <w:t>总结</w:t>
            </w:r>
            <w:r>
              <w:rPr>
                <w:rFonts w:hint="default" w:ascii="Times New Roman" w:hAnsi="Times New Roman" w:eastAsia="方正仿宋_GBK" w:cs="Times New Roman"/>
                <w:color w:val="auto"/>
                <w:sz w:val="24"/>
                <w:szCs w:val="24"/>
                <w:highlight w:val="none"/>
              </w:rPr>
              <w:t>、分析及整改。</w:t>
            </w:r>
          </w:p>
          <w:p>
            <w:pPr>
              <w:pageBreakBefore w:val="0"/>
              <w:numPr>
                <w:ilvl w:val="0"/>
                <w:numId w:val="36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主管部门对人力资源动态调配工作有定期</w:t>
            </w:r>
            <w:r>
              <w:rPr>
                <w:rFonts w:hint="default" w:ascii="Times New Roman" w:hAnsi="Times New Roman" w:eastAsia="方正仿宋_GBK" w:cs="Times New Roman"/>
                <w:color w:val="auto"/>
                <w:sz w:val="24"/>
                <w:szCs w:val="24"/>
                <w:highlight w:val="none"/>
                <w:lang w:val="en-US" w:eastAsia="zh-CN"/>
              </w:rPr>
              <w:t>总结</w:t>
            </w:r>
            <w:r>
              <w:rPr>
                <w:rFonts w:hint="default" w:ascii="Times New Roman" w:hAnsi="Times New Roman" w:eastAsia="方正仿宋_GBK" w:cs="Times New Roman"/>
                <w:color w:val="auto"/>
                <w:sz w:val="24"/>
                <w:szCs w:val="24"/>
                <w:highlight w:val="none"/>
              </w:rPr>
              <w:t>、反馈，并检查科室整改落实情况。</w:t>
            </w:r>
          </w:p>
        </w:tc>
        <w:tc>
          <w:tcPr>
            <w:tcW w:w="1269" w:type="pct"/>
            <w:tcMar>
              <w:top w:w="22" w:type="dxa"/>
              <w:left w:w="22" w:type="dxa"/>
              <w:bottom w:w="22" w:type="dxa"/>
              <w:right w:w="22" w:type="dxa"/>
            </w:tcMar>
            <w:vAlign w:val="center"/>
          </w:tcPr>
          <w:p>
            <w:pPr>
              <w:pageBreakBefore w:val="0"/>
              <w:numPr>
                <w:ilvl w:val="0"/>
                <w:numId w:val="36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6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2.6.3护理人员依法执业，实行分层级管理，有护理人员管理规定、实行岗位管理制度，明确岗位设置、岗位职责、岗位技术能力要求和工作标准。有护理人员在职继续医学教育计划，保障措施到位，并有实施记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2.6.3.1 有护理人员实行分层级管理的相关制度。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6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医院有护士分层级管理制度。</w:t>
            </w:r>
          </w:p>
          <w:p>
            <w:pPr>
              <w:pageBreakBefore w:val="0"/>
              <w:numPr>
                <w:ilvl w:val="0"/>
                <w:numId w:val="36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有明确护士层级能力要求和培养方案，有统一的护理人员分级管理档案。</w:t>
            </w:r>
          </w:p>
        </w:tc>
        <w:tc>
          <w:tcPr>
            <w:tcW w:w="1269" w:type="pct"/>
            <w:tcMar>
              <w:top w:w="22" w:type="dxa"/>
              <w:left w:w="22" w:type="dxa"/>
              <w:bottom w:w="22" w:type="dxa"/>
              <w:right w:w="22" w:type="dxa"/>
            </w:tcMar>
            <w:vAlign w:val="center"/>
          </w:tcPr>
          <w:p>
            <w:pPr>
              <w:pageBreakBefore w:val="0"/>
              <w:numPr>
                <w:ilvl w:val="0"/>
                <w:numId w:val="36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6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护理管理部门对护理人员分层级管理及在职继续教育有定期总结及改进。</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持续改进有成效，有数据体现护理人员分层级管理及在职教育相关制度落实到位。</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2.6.3.2 护理有明确岗位设置、岗位职责、岗位技术能力要求和工作标准。</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6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医院</w:t>
            </w:r>
            <w:r>
              <w:rPr>
                <w:rFonts w:hint="default" w:ascii="Times New Roman" w:hAnsi="Times New Roman" w:eastAsia="方正仿宋_GBK" w:cs="Times New Roman"/>
                <w:color w:val="auto"/>
                <w:sz w:val="24"/>
                <w:szCs w:val="24"/>
                <w:highlight w:val="none"/>
              </w:rPr>
              <w:t>有护理岗位管理实施方案，明确岗位设置、岗位职责、岗位技术能力要求和工作标准。</w:t>
            </w:r>
          </w:p>
          <w:p>
            <w:pPr>
              <w:pageBreakBefore w:val="0"/>
              <w:numPr>
                <w:ilvl w:val="0"/>
                <w:numId w:val="36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相关人员知晓本部门、本岗位职责要求，并按照规定执行。</w:t>
            </w:r>
          </w:p>
        </w:tc>
        <w:tc>
          <w:tcPr>
            <w:tcW w:w="1269" w:type="pct"/>
            <w:tcMar>
              <w:top w:w="22" w:type="dxa"/>
              <w:left w:w="22" w:type="dxa"/>
              <w:bottom w:w="22" w:type="dxa"/>
              <w:right w:w="22" w:type="dxa"/>
            </w:tcMar>
            <w:vAlign w:val="center"/>
          </w:tcPr>
          <w:p>
            <w:pPr>
              <w:pageBreakBefore w:val="0"/>
              <w:numPr>
                <w:ilvl w:val="0"/>
                <w:numId w:val="36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6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随机询问内、外科各1个科室，5名护理人员，了解其知晓情况。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964" w:hRule="exac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护理管理部门对护理人员岗位管理工作有追踪和评价。</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964" w:hRule="exac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持续改进有成效，实现护士岗位管理从身份管理到岗位管理的转变。</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2.6.3.3 建立护士岗位培训制度，建立以岗位需求为导向、以岗位胜任力为核心的护士培训制度。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6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医院有护士岗位培训制度，内容包括护士规范化培训、核心能力培训、护士继续教育等。</w:t>
            </w:r>
          </w:p>
          <w:p>
            <w:pPr>
              <w:pageBreakBefore w:val="0"/>
              <w:numPr>
                <w:ilvl w:val="0"/>
                <w:numId w:val="36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参照《新入职护士培训大纲》开展新入职护士规范化培训。</w:t>
            </w:r>
          </w:p>
          <w:p>
            <w:pPr>
              <w:pageBreakBefore w:val="0"/>
              <w:numPr>
                <w:ilvl w:val="0"/>
                <w:numId w:val="36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有护理人员在职继续教育方案，并落实。</w:t>
            </w:r>
          </w:p>
        </w:tc>
        <w:tc>
          <w:tcPr>
            <w:tcW w:w="1269" w:type="pct"/>
            <w:tcMar>
              <w:top w:w="22" w:type="dxa"/>
              <w:left w:w="22" w:type="dxa"/>
              <w:bottom w:w="22" w:type="dxa"/>
              <w:right w:w="22" w:type="dxa"/>
            </w:tcMar>
            <w:vAlign w:val="center"/>
          </w:tcPr>
          <w:p>
            <w:pPr>
              <w:pageBreakBefore w:val="0"/>
              <w:numPr>
                <w:ilvl w:val="0"/>
                <w:numId w:val="36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6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6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护理管理部门定期对相关工作有</w:t>
            </w:r>
            <w:r>
              <w:rPr>
                <w:rFonts w:hint="default" w:ascii="Times New Roman" w:hAnsi="Times New Roman" w:eastAsia="方正仿宋_GBK" w:cs="Times New Roman"/>
                <w:color w:val="auto"/>
                <w:sz w:val="24"/>
                <w:szCs w:val="24"/>
                <w:highlight w:val="none"/>
                <w:lang w:val="en-US" w:eastAsia="zh-CN"/>
              </w:rPr>
              <w:t>总结</w:t>
            </w:r>
            <w:r>
              <w:rPr>
                <w:rFonts w:hint="default" w:ascii="Times New Roman" w:hAnsi="Times New Roman" w:eastAsia="方正仿宋_GBK" w:cs="Times New Roman"/>
                <w:color w:val="auto"/>
                <w:sz w:val="24"/>
                <w:szCs w:val="24"/>
                <w:highlight w:val="none"/>
              </w:rPr>
              <w:t>、分析、反馈，并落实整改。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持续改进有成效，有数据体现护理人员技术能力和水平不断提升。</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2.6.3.4 落实专科护理培训要求，培养专科护理人才。</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6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根据医院功能及需要，培养临床所需的专科护理人员。</w:t>
            </w:r>
          </w:p>
          <w:p>
            <w:pPr>
              <w:pageBreakBefore w:val="0"/>
              <w:numPr>
                <w:ilvl w:val="0"/>
                <w:numId w:val="36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有市级及以上卫生行政部门批准的专科护理人员培训基地。</w:t>
            </w:r>
          </w:p>
          <w:p>
            <w:pPr>
              <w:pageBreakBefore w:val="0"/>
              <w:numPr>
                <w:ilvl w:val="0"/>
                <w:numId w:val="369"/>
              </w:numPr>
              <w:kinsoku/>
              <w:wordWrap/>
              <w:overflowPunct/>
              <w:topLinePunct w:val="0"/>
              <w:bidi w:val="0"/>
              <w:snapToGrid/>
              <w:spacing w:line="300" w:lineRule="exact"/>
              <w:ind w:left="0" w:lef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按照《专科护理领域护士培训大纲》等要求，有本院专科护理人员培训方案和培养计划。</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37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有省级以上卫生行政部门批准的专科护理人员培训基地。</w:t>
            </w:r>
          </w:p>
          <w:p>
            <w:pPr>
              <w:pageBreakBefore w:val="0"/>
              <w:numPr>
                <w:ilvl w:val="0"/>
                <w:numId w:val="37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有培训效果的追踪和评价机制。</w:t>
            </w:r>
          </w:p>
        </w:tc>
        <w:tc>
          <w:tcPr>
            <w:tcW w:w="1269" w:type="pct"/>
            <w:tcMar>
              <w:top w:w="22" w:type="dxa"/>
              <w:left w:w="22" w:type="dxa"/>
              <w:bottom w:w="22" w:type="dxa"/>
              <w:right w:w="22" w:type="dxa"/>
            </w:tcMar>
            <w:vAlign w:val="center"/>
          </w:tcPr>
          <w:p>
            <w:pPr>
              <w:pageBreakBefore w:val="0"/>
              <w:numPr>
                <w:ilvl w:val="0"/>
                <w:numId w:val="37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7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37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有省级以上卫生行政部门批准的专科护理人员培训基地≥5个。</w:t>
            </w:r>
          </w:p>
          <w:p>
            <w:pPr>
              <w:pageBreakBefore w:val="0"/>
              <w:numPr>
                <w:ilvl w:val="0"/>
                <w:numId w:val="37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持续改进有成效，专科护士培训措施落实，专科护理人才得到合理充分使用。</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查阅相关资料，培养的专科护士100%仍在本专业岗位。</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2.6.4建立基于护理工作量、质量、患者满意度并结合护理难度、技术要求等要素并以考核护理人员实际工作能力为核心的绩效考核制度，考核结果与护理人员的评优、晋升、薪酬分配相结合，调动护理人员积极性.</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2.6.4.1 建立基于护理工作量、质量、患者满意度、护理难度</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及技术要求的绩效考核办法，考核结果与评优、晋升、薪酬挂钩。</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7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有基于护理工作量、质量、患者满意度、护理难度及技术要求的绩效考核制度、有具体的绩效考核实施方案。</w:t>
            </w:r>
          </w:p>
          <w:p>
            <w:pPr>
              <w:pageBreakBefore w:val="0"/>
              <w:numPr>
                <w:ilvl w:val="0"/>
                <w:numId w:val="37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绩效考核方案制定征求护理人员意见，护理人员知晓绩效考核方案。</w:t>
            </w:r>
          </w:p>
          <w:p>
            <w:pPr>
              <w:pageBreakBefore w:val="0"/>
              <w:numPr>
                <w:ilvl w:val="0"/>
                <w:numId w:val="37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护理绩效考核向高劳动强度、高风险、高技术含量倾斜。</w:t>
            </w:r>
          </w:p>
        </w:tc>
        <w:tc>
          <w:tcPr>
            <w:tcW w:w="1269" w:type="pct"/>
            <w:tcMar>
              <w:top w:w="22" w:type="dxa"/>
              <w:left w:w="22" w:type="dxa"/>
              <w:bottom w:w="22" w:type="dxa"/>
              <w:right w:w="22" w:type="dxa"/>
            </w:tcMar>
            <w:vAlign w:val="center"/>
          </w:tcPr>
          <w:p>
            <w:pPr>
              <w:pageBreakBefore w:val="0"/>
              <w:numPr>
                <w:ilvl w:val="0"/>
                <w:numId w:val="37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7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查阅相关资料及随机询问5名护理人员，了解其知晓情况。</w:t>
            </w:r>
          </w:p>
          <w:p>
            <w:pPr>
              <w:pageBreakBefore w:val="0"/>
              <w:numPr>
                <w:ilvl w:val="0"/>
                <w:numId w:val="37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查阅相关资料，评价分配方案是否符合要求。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主管部门对绩效考核方案落实情况有检查与监管，对问题有追踪分析。</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持续改进有成效，考核方案不断完善。</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2.6.5依据《护士条例》等相关法律法规和规定，规范护理工作，落实优质护理服务。实施责任制整体护理，为患者提供全面、全程、专业、人性化的护理服务。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2.6.5.1 依据《护士条例》等法律法规，规范护理工作，优质护理服务落实到位。</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1.有优质护理服务规划、目标、工作计划和实施方案，并落实。</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2.有推进开展优质护理服务的保障制度、措施及激励机制，并与多部门有联动机制。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3.根据各专业特点，有细化、量化的优质护理服务目标和措施，并落实。</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后勤部门和辅助科室全面保障临床一线护理工作，实行物品下收下送、药品单剂量摆放并下送、设备下修等，信息系统能够为临床服务提供支持。</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3.随机抽查科护士长、护士长、临床护士的知晓情况。</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4.现场查看相关保障是否符合要求。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1.主管部门对优质护理落实情况有检查与监管。</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2.优质护理服务病房覆盖率达到100%。</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2.6.5.2实施</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以病人为中心</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的整体护理，为患者提供适宜的护理服务。</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1.根据</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以病人为中心</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的整体护理工作模式，制定实施方案，体现护理人员工作中的责任制。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2.依据患者需求制定护理计划，充分考虑患者生理、心理、社会、文化等因素。</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1.随机抽查内科、外科各2个病房排班表；请每个病房2个责任护士陈述每日工作内容和流程。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2.随机抽查10个患者护理计划制定是否考虑其生理、心理、社会、文化等因素。</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tabs>
                <w:tab w:val="left" w:pos="312"/>
              </w:tabs>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依据患者的个性化护理需求制定护理计划，护理人员掌握相关的知识。</w:t>
            </w:r>
          </w:p>
          <w:p>
            <w:pPr>
              <w:pageBreakBefore w:val="0"/>
              <w:tabs>
                <w:tab w:val="left" w:pos="312"/>
              </w:tabs>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科室对落实情况进行定期检查，对存在问题有改进措施。</w:t>
            </w:r>
          </w:p>
          <w:p>
            <w:pPr>
              <w:pageBreakBefore w:val="0"/>
              <w:tabs>
                <w:tab w:val="left" w:pos="312"/>
              </w:tabs>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主管部门对落实情况进行定期检查，评价、分析，对存在的问题，及时反馈，并提整改建议。</w:t>
            </w:r>
          </w:p>
        </w:tc>
        <w:tc>
          <w:tcPr>
            <w:tcW w:w="1269" w:type="pct"/>
            <w:tcMar>
              <w:top w:w="22" w:type="dxa"/>
              <w:left w:w="22" w:type="dxa"/>
              <w:bottom w:w="22" w:type="dxa"/>
              <w:right w:w="22" w:type="dxa"/>
            </w:tcMar>
            <w:vAlign w:val="center"/>
          </w:tcPr>
          <w:p>
            <w:pPr>
              <w:pageBreakBefore w:val="0"/>
              <w:numPr>
                <w:ilvl w:val="0"/>
                <w:numId w:val="37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随机询问不同科室的5名护士的知晓情况，知晓率≥80%。</w:t>
            </w:r>
          </w:p>
          <w:p>
            <w:pPr>
              <w:pageBreakBefore w:val="0"/>
              <w:numPr>
                <w:ilvl w:val="0"/>
                <w:numId w:val="37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7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持续改进有成效，责任制整体护理落实到位，患者对护理工作满意度不断提升。</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2.6.6根据《综合医院分级护理指导原则》《护理分级》（WS/T 431-2013</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的原则和要求，进行护理分级，并且按护理级别实施分级护理。有危重患者护理常规，护理措施落实到位。</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2.6.6.1根据分级护理的原则和要求，实施护理措施，有护理质量评价标准，有质量可追溯机制。</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1.依据《综合医院分级护理指导原则》，制定符合医院实际的分级护理制度。</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2.护理人员掌握分级护理的内容。</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3.有护理级别标识，患者的护理级别与病情相符。</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2随机询问5名护士，了解其知晓情况，知晓率≥80%。</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3.抽查5位患者护理级别与病情相符情况。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1.科室对分级护理落实情况进行定期检查，对存在问题有改进措施。</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2.护理管理部门对分级护理落实情况进行定期督查，评价，对存在的问题，及时反馈，并检查整改情况。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2.6.6.2护理人员具备危重患者护理的相关知识与操作技能。</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1.护理人员具备的技术能力包括：危重患者护理常规及抢救技能、生命支持设备操作、患者病情评估与处理、紧急处置能力等。</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2.护理人员经过危重患者护理理论和技术培训并考核合格。</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3.有针对危重患者病情变化的风险评估和安全防范措施。</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4.护理人员掌握上述相关的理论与技能。</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随机抽查2位护理危重患者的护士，了解其相关技能的掌握情况。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主管部门有护理人员培训、训练的考核评价机制。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2.6.6.3有危重患者护理常规及技术规范、工作流程及应急预案，对危重患者有风险评估和安全防范措施。</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1.有危重患者护理常规及技术规范，工作流程及应急预案。</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2.有危重患者风险评估、安全护理制度和措施。</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3.护理人员知晓并掌握相关制度与流程的内容。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随机询问5名护士，了解其知晓情况，知晓率≥80%。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1.密切观察危重患者的病情变化，有风险评估和安全防范措施。</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2.根据专科特点，使用恰当的质量监测指标并实施监测。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3.主管部门对落实情况进行定期检查，评价、分析，对存在的问题，及时反馈，并提整改建议。</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持续改进有成效，相关质量检测指标持续改进。</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2.6.7护理文书、护理查房、护理会诊和护理病例讨论制度参照《医疗质量安全核心制度要点》执行。</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pacing w:val="-11"/>
                <w:sz w:val="24"/>
                <w:szCs w:val="24"/>
                <w:highlight w:val="none"/>
              </w:rPr>
            </w:pPr>
            <w:r>
              <w:rPr>
                <w:rFonts w:hint="default" w:ascii="Times New Roman" w:hAnsi="Times New Roman" w:eastAsia="方正仿宋_GBK" w:cs="Times New Roman"/>
                <w:color w:val="auto"/>
                <w:sz w:val="24"/>
                <w:szCs w:val="24"/>
                <w:highlight w:val="none"/>
              </w:rPr>
              <w:t xml:space="preserve">2.6.7.1 </w:t>
            </w:r>
            <w:r>
              <w:rPr>
                <w:rFonts w:hint="default" w:ascii="Times New Roman" w:hAnsi="Times New Roman" w:eastAsia="方正仿宋_GBK" w:cs="Times New Roman"/>
                <w:color w:val="auto"/>
                <w:spacing w:val="-11"/>
                <w:sz w:val="24"/>
                <w:szCs w:val="24"/>
                <w:highlight w:val="none"/>
              </w:rPr>
              <w:t>按照《病历书写基本规范》书写护理文件，定期质量评价。</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1.有护理文件书写标准及质量考核标准。</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2.护理人员掌握《病历书写基本规范》</w:t>
            </w:r>
            <w:r>
              <w:rPr>
                <w:rFonts w:hint="default" w:ascii="Times New Roman" w:hAnsi="Times New Roman" w:eastAsia="方正仿宋_GBK" w:cs="Times New Roman"/>
                <w:color w:val="auto"/>
                <w:sz w:val="24"/>
                <w:szCs w:val="24"/>
                <w:highlight w:val="none"/>
                <w:lang w:val="en-US" w:eastAsia="zh-CN"/>
              </w:rPr>
              <w:t>相关内容</w:t>
            </w:r>
            <w:r>
              <w:rPr>
                <w:rFonts w:hint="default" w:ascii="Times New Roman" w:hAnsi="Times New Roman" w:eastAsia="方正仿宋_GBK" w:cs="Times New Roman"/>
                <w:color w:val="auto"/>
                <w:sz w:val="24"/>
                <w:szCs w:val="24"/>
                <w:highlight w:val="none"/>
              </w:rPr>
              <w:t>。</w:t>
            </w:r>
          </w:p>
        </w:tc>
        <w:tc>
          <w:tcPr>
            <w:tcW w:w="1269" w:type="pct"/>
            <w:tcMar>
              <w:top w:w="22" w:type="dxa"/>
              <w:left w:w="22" w:type="dxa"/>
              <w:bottom w:w="22" w:type="dxa"/>
              <w:right w:w="22" w:type="dxa"/>
            </w:tcMar>
            <w:vAlign w:val="center"/>
          </w:tcPr>
          <w:p>
            <w:pPr>
              <w:pageBreakBefore w:val="0"/>
              <w:numPr>
                <w:ilvl w:val="0"/>
                <w:numId w:val="37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pacing w:val="-6"/>
                <w:sz w:val="24"/>
                <w:szCs w:val="24"/>
                <w:highlight w:val="none"/>
              </w:rPr>
            </w:pPr>
            <w:r>
              <w:rPr>
                <w:rFonts w:hint="default" w:ascii="Times New Roman" w:hAnsi="Times New Roman" w:eastAsia="方正仿宋_GBK" w:cs="Times New Roman"/>
                <w:color w:val="auto"/>
                <w:spacing w:val="-6"/>
                <w:sz w:val="24"/>
                <w:szCs w:val="24"/>
                <w:highlight w:val="none"/>
              </w:rPr>
              <w:t>查阅相关资料。</w:t>
            </w:r>
          </w:p>
          <w:p>
            <w:pPr>
              <w:pageBreakBefore w:val="0"/>
              <w:numPr>
                <w:ilvl w:val="0"/>
                <w:numId w:val="37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pacing w:val="-6"/>
                <w:sz w:val="24"/>
                <w:szCs w:val="24"/>
                <w:highlight w:val="none"/>
              </w:rPr>
              <w:t>随机抽查5份护理记录，评价是否符合规范要求，合格率≥80%。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主管部门对运行的护理文件进行质量评价，有考核记录。</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2.6.7.2定期进行护理查房、护理病例讨论。对疑难护理问题组织护理会诊。</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1.有定期护理查房、病例讨论制度。</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2.有对疑难护理问题进行护理会诊的工作制度。</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落实护理查房、病例讨论和护理会诊，解决患者实际问题。护理会诊原则上每季度不少于1次。</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持续改进有成效，有数据或案例体现解决疑难护理问题的能力和水平不断提升。</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2.6.8有临床护理技术操作常见并发症的预防与处理规范。有紧急意外情况的护理应急预案和处理流程，有培训与演练。</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2.6.8.1有临床护理技术操作常见并发症的预防及处理指南。</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1.医院有临床护理技术操作常见并发症的预防与处理规范。</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2.有相关规范培训计划并落实到位。</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培训率100%,考核合格率≥85%。</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持续改进有成效，考核合格率100%。</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2.6.8.2有紧急意外情况的应急预案及流程，有培训及演练。</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1．医院有护理紧急意外情况的应急预案及流程，内容包括患者用药、输血、标本采集、围术期管理、安全管理等。</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2．有相关培训计划并落实。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1.有院、科两级应急预案的定期演练，总结、分析及完善预案。</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2.护理人员掌握相关预案及流程。</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随机询问5名护理人员，了解其知晓情况。知晓率100%。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2.6.9按照《医院手术部（室）管理规范（试行）》《医院消毒供应中心管理规范》《新生儿病室建设与管理指南（试行）》和《医疗机构新生儿安全管理制度（试行）》，完善手术部（室）、消毒供应中心（室）和新生儿病室等护理质量管理与监测相关规定及措施，组织实施并持续改进。</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2.6.9.1按照《医院手术部（室）管理规范（试行）》，建立手术室护理质量控制标准及医院感染预防与控制制度，并执行。</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医院有手术部（室）护理质量控制标准及医院感染预防与控制制度。</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手术室布局合理，分区明确，标识清楚，,各工作区域功能与实际工作内容符合。</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科室对护理质量控制标准、医院感染防控的措施及监测指标有落实。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现场查看。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现场查看及查阅相关资料。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科室对相关工作有自查、分析、整改。</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相关管理部门（护理部、院感管理）定期对标准及管理制度落实情况有督查、反馈并检查整改落实情况。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持续改进有成效，相关质量监测指标持续改进。</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2.6.9.2根据医院手术间数量和手术工作量，合理配置手术室护理人员，保证手术正常开展；有岗位职责和操作规范等，并落实。</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医院根据手术量及工作需要配备护理人员、辅助工作人员和设备技术人员；各类人员资质及岗位技术能力符合要求。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手术室护理人员与手术间之比不低于3∶1。</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手术室护士长具备主管护师及以上专业技术职务任职资格和5 年及以上手术室工作经验。</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有岗位职责和操作规范等，并有培训。</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 有手术室各类应急预案，并定期演练。</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查阅相关资料（人员花名册、资质证书等）。</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查阅护士排班表。</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科室对相关工作有自查，对存在问题有整改。</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主管部门对科室管理工作有督查、反馈并检查科室整改落实情况。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2.6.9.3有手术室患者交接、安全核查、安全用药、手术物品清点、标本管理等相关制度及流程，并落实。</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医院有患者交接、安全核查、安全用药、手术物品清点、标本管理等相关制度及流程。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有相关管理制度及流程的培训。</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制度及流程规范执行，并有相关记录。</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现场抽查相关记录，评价是否符合要求。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科室对相关工作有自查，对存在问题有整改。</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主管部门对科室管理工作有督查、反馈，并检查科室整改落实情况。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2.6.9.4按照《医院消毒供应中心管理规范》，建立消毒供应中心质量控制标准及医院感染预防与控制制度，并执行。</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医院有消毒供应中心质量控制标准及医院感染预防与控制制度。</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消毒供应中心布局合理，分区明确，标识清楚，,各工作区域功能与实际工作内容符合。</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3.科室对质量控制标准、医院感染防控的措施及监测指标有落实。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现场查看。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科室对相关工作有自查、分析、整改。</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相关管理部门（护理部、院感管理）定期对标准及管理制度落实情况有督查、反馈，并检查整改落实情况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持续改进有成效，相关质量监测指标持续改进。</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2.6.9.5根据医院消毒供应工作量，合理配</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置消毒供应中心工作人员；有岗位职责和操作规范等。</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7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根据医院规模、工作量及各岗位需求，合理配置具有执业资格的护士、消毒员和其他工作人员；</w:t>
            </w:r>
          </w:p>
          <w:p>
            <w:pPr>
              <w:pageBreakBefore w:val="0"/>
              <w:numPr>
                <w:ilvl w:val="-1"/>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 xml:space="preserve">2. </w:t>
            </w:r>
            <w:r>
              <w:rPr>
                <w:rFonts w:hint="default" w:ascii="Times New Roman" w:hAnsi="Times New Roman" w:eastAsia="方正仿宋_GBK" w:cs="Times New Roman"/>
                <w:color w:val="auto"/>
                <w:sz w:val="24"/>
                <w:szCs w:val="24"/>
                <w:highlight w:val="none"/>
              </w:rPr>
              <w:t>护士长具备主管护师及以上专业技术职务任职资格及专科培训经历。</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有岗位职责和操作规范等，并有培训。</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有消毒供应中心各类应急预案，并定期演练。</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查阅相关资料（人员花名册、资质证书等）。</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主管部门对科室管理工作有督查、反馈并检查科室整改落实情况。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相</w:t>
            </w:r>
            <w:r>
              <w:rPr>
                <w:rFonts w:hint="default" w:ascii="Times New Roman" w:hAnsi="Times New Roman" w:eastAsia="方正仿宋_GBK" w:cs="Times New Roman"/>
                <w:color w:val="auto"/>
                <w:spacing w:val="-6"/>
                <w:w w:val="90"/>
                <w:sz w:val="24"/>
                <w:szCs w:val="24"/>
                <w:highlight w:val="none"/>
              </w:rPr>
              <w:t>关制度落实到位，未发生与灭菌失败导致的感染事件。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2.6.9.6采用外院提供消毒灭菌服务的医院，按《医疗消毒供应中心管理规范（试行）》的要求，建立相关的监管制度及流程，实施全过程的监管。</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医院设立专门的部门负责该项工作；建立相关的监管制度及流程，并落实，有完整的监管记录。</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医院设置独立的污染器械处置、暂存间，规范处置污染器械。</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医院设置符合规范要求的无菌物品存放间，规范储存及发放无菌物品。</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3. 现场查看，评价是否符合要求。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eastAsia="zh-CN"/>
              </w:rPr>
              <w:t>主管</w:t>
            </w:r>
            <w:r>
              <w:rPr>
                <w:rFonts w:hint="default" w:ascii="Times New Roman" w:hAnsi="Times New Roman" w:eastAsia="方正仿宋_GBK" w:cs="Times New Roman"/>
                <w:color w:val="auto"/>
                <w:sz w:val="24"/>
                <w:szCs w:val="24"/>
                <w:highlight w:val="none"/>
              </w:rPr>
              <w:t>部门有定期自查，对存在问题有分析、整改，并及时向服务机构反馈质量验收、评价及使用过程存在的问题，并督促落实改进。</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外包服务规范，满足临床需要，未发生相关的不良事件。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2.6.9.7按照《新生儿病室建设与管理指南</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（试行）》和《医疗机构新生儿安全管理制度（试行）》, 建立新生儿科护理质量控制标准及医院感染预防与控制制度，并执行。</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1.医院有新生儿护理质量控制标准及医院感染预防与控制制度，并落实。</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2.新生儿科布局合理，分区明确，标识清楚，各工作区域功能与实际工作内容符合。</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3.科室对护理质量控制标准、医院感染防控的措施及监测指标有落实。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现场查看。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现场查看及查阅相关资料。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科室对相关工作有自查、分析、整改。</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相关管理部门（护理部、院感管理）定期对标准及管理制度落实情况有督查、反馈并检查整改落实情况。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tcBorders>
              <w:bottom w:val="single" w:color="000000" w:sz="4" w:space="0"/>
            </w:tcBorders>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Borders>
              <w:bottom w:val="single" w:color="000000" w:sz="4" w:space="0"/>
            </w:tcBorders>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持续改进有成效，相关质量监测指标持续改进。</w:t>
            </w:r>
          </w:p>
        </w:tc>
        <w:tc>
          <w:tcPr>
            <w:tcW w:w="1269" w:type="pct"/>
            <w:tcBorders>
              <w:bottom w:val="single" w:color="000000" w:sz="4" w:space="0"/>
            </w:tcBorders>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tcBorders>
              <w:top w:val="single" w:color="000000" w:sz="4" w:space="0"/>
              <w:bottom w:val="single" w:color="000000" w:sz="4" w:space="0"/>
            </w:tcBorders>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2.6.9.8根据新生儿科设置床位数和工作量，合理配置护理人员，保证护理工作质量；有岗位职责和操作规范等，并落实。</w:t>
            </w:r>
          </w:p>
        </w:tc>
        <w:tc>
          <w:tcPr>
            <w:tcW w:w="2802" w:type="pct"/>
            <w:tcBorders>
              <w:top w:val="single" w:color="000000" w:sz="4" w:space="0"/>
              <w:bottom w:val="single" w:color="000000" w:sz="4" w:space="0"/>
            </w:tcBorders>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新生儿病区护士人数与床位数之比不低于0.6:1，重症病区比例不低于1.8:1。</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2.护士长具备主管护师及以上专业技术职务任职资格和5 年及以上新生儿科工作经验。</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有岗位职责和操作规范等，并有培训。</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有新生儿科各类应急预案，并定期演练。</w:t>
            </w:r>
          </w:p>
        </w:tc>
        <w:tc>
          <w:tcPr>
            <w:tcW w:w="1269" w:type="pct"/>
            <w:tcBorders>
              <w:top w:val="single" w:color="000000" w:sz="4" w:space="0"/>
              <w:bottom w:val="single" w:color="000000" w:sz="4" w:space="0"/>
            </w:tcBorders>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查阅护士排班表。</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tcBorders>
              <w:top w:val="single" w:color="000000" w:sz="4" w:space="0"/>
              <w:bottom w:val="single" w:color="000000" w:sz="4" w:space="0"/>
            </w:tcBorders>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Borders>
              <w:top w:val="single" w:color="000000" w:sz="4" w:space="0"/>
              <w:bottom w:val="single" w:color="000000" w:sz="4" w:space="0"/>
            </w:tcBorders>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科室对相关工作有自查，对存在问题有整改。</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主管部门对科室管理工作有督查、反馈，并检查科室整改落实情况。</w:t>
            </w:r>
          </w:p>
        </w:tc>
        <w:tc>
          <w:tcPr>
            <w:tcW w:w="1269" w:type="pct"/>
            <w:tcBorders>
              <w:top w:val="single" w:color="000000" w:sz="4" w:space="0"/>
              <w:bottom w:val="single" w:color="000000" w:sz="4" w:space="0"/>
            </w:tcBorders>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tcBorders>
              <w:top w:val="single" w:color="000000" w:sz="4" w:space="0"/>
              <w:bottom w:val="single" w:color="auto" w:sz="4" w:space="0"/>
            </w:tcBorders>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Borders>
              <w:top w:val="single" w:color="000000" w:sz="4" w:space="0"/>
              <w:bottom w:val="single" w:color="auto" w:sz="4" w:space="0"/>
            </w:tcBorders>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Borders>
              <w:top w:val="single" w:color="000000" w:sz="4" w:space="0"/>
              <w:bottom w:val="single" w:color="auto" w:sz="4" w:space="0"/>
            </w:tcBorders>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tcBorders>
              <w:top w:val="nil"/>
              <w:left w:val="nil"/>
              <w:right w:val="nil"/>
            </w:tcBorders>
            <w:tcMar>
              <w:top w:w="22" w:type="dxa"/>
              <w:left w:w="22" w:type="dxa"/>
              <w:bottom w:w="22" w:type="dxa"/>
              <w:right w:w="22" w:type="dxa"/>
            </w:tcMar>
            <w:vAlign w:val="center"/>
          </w:tcPr>
          <w:p>
            <w:pPr>
              <w:pStyle w:val="4"/>
              <w:pageBreakBefore w:val="0"/>
              <w:kinsoku/>
              <w:wordWrap/>
              <w:overflowPunct/>
              <w:topLinePunct w:val="0"/>
              <w:bidi w:val="0"/>
              <w:snapToGrid/>
              <w:spacing w:before="0" w:beforeAutospacing="0" w:after="0" w:afterAutospacing="0" w:line="560" w:lineRule="exact"/>
              <w:ind w:left="0" w:leftChars="0" w:rightChars="0" w:firstLine="624" w:firstLineChars="200"/>
              <w:jc w:val="left"/>
              <w:textAlignment w:val="auto"/>
              <w:rPr>
                <w:rFonts w:hint="default" w:eastAsia="方正仿宋_GBK" w:cs="Times New Roman"/>
                <w:color w:val="auto"/>
                <w:sz w:val="24"/>
                <w:szCs w:val="24"/>
                <w:highlight w:val="none"/>
              </w:rPr>
            </w:pPr>
            <w:r>
              <w:rPr>
                <w:rFonts w:hint="default" w:eastAsia="方正黑体_GBK" w:cs="Times New Roman"/>
                <w:b w:val="0"/>
                <w:color w:val="auto"/>
                <w:szCs w:val="24"/>
                <w:highlight w:val="none"/>
              </w:rPr>
              <w:t>七、药事管理与临床药学服务质量保障与持续改进</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评审标准</w:t>
            </w:r>
          </w:p>
        </w:tc>
        <w:tc>
          <w:tcPr>
            <w:tcW w:w="2802" w:type="pct"/>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评审要点</w:t>
            </w:r>
          </w:p>
        </w:tc>
        <w:tc>
          <w:tcPr>
            <w:tcW w:w="1269" w:type="pct"/>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评审方法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2.7.1医院药事管理工作和药学部门设置以及人员配备符合国家相关法律、法规及规章制度的要求；建立与完善医院药事管理组织，完善药事管理与临床药学服务各项规章制度并组织实施。</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2.7.1.1 医院设立药事管理与药物治疗委员会，健全药事管理体系。</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医院有药事管理与药物治疗委员会，职责明确，有相应的工作制度，定期召开会议落实相关工作（每年不少于2次），人员组成符合相关规定。</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有年度工作计划和总结。</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医务管理部门与药学部有工作协调机制，并落实。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医院相关职能部门对药事管理相关工作有定期督查、反馈，有整改措施，并落实。</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2.7.1.2 建立完善的药事管理工作制度。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医院有药事管理相应的工作制度、岗位职责及培训要求。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有优先使用国家基本药物、国家集中采购中选药品的相关制度与措施。</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有临床用药具体评价方法，有改进措施和干预办法；</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医院每年用药金额及数量排序前十位的药品与医院性质及承担的主要医疗任务相符合。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查阅相关资料，评价是否相符合。</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药学部对药事管理工作定期自查、总结分析、整改。</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主管部门（医务部、质量管理部门）定期督查、反馈，并检查科室整改落实情况。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numPr>
                <w:ilvl w:val="0"/>
                <w:numId w:val="37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2.7.1.3 根据医院功能任务及规模，配备药学专业技术人员，岗位职责明确。</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从事药学各岗位工作的人员资质符合要求；具有药学（临床药学）专业全日制本科及以上学历的人员占比不低于药学专业技术人员的30%。</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药学部负责人应具有药学（临床药学）专业本科及以上学历、本专业高级技术职务任职资格。</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药学专业技术人员参加继续医学教育，并作为考核、晋升、聘任的条件之一。</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有药学专业技术人员培养、考核和管理相关规定，并执行。</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药学专业技术人员不少于本机构卫生专业技术人员的8%。</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能承担相关的临床药学教育和药物临床应用研究任务。</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2.7.2加强药品管理，规范药品遴选、采购、储存、调剂，建立全流程监测系统，保障药品质量和供应。静脉药物调配中心和调配工作符合有关规定。</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2.7.2.1 有药品遴选制度，制定本医院</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药品处方集</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和</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基本</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用药供应目录</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医院有药品遴选制度与程序，并严格执行。</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动态管理医院</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基本用药供应目录</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，建立医院</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药品处方集</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3. </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基本用药供应目录</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品规数符合规定：500-800床的医院，西药品规数≤1000个，中成药品规数≤200个；800 床以上的医院，西药品规数≤1200个，中成药品规数≤300个（医院自制制剂除外）。国家政策性引进药品不纳入品规数计数。单品种品规数符合《处方管理办法》相关规定。</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widowControl/>
              <w:numPr>
                <w:ilvl w:val="0"/>
                <w:numId w:val="37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sz w:val="24"/>
              </w:rPr>
              <mc:AlternateContent>
                <mc:Choice Requires="wps">
                  <w:drawing>
                    <wp:anchor distT="0" distB="0" distL="114300" distR="114300" simplePos="0" relativeHeight="251688960" behindDoc="0" locked="0" layoutInCell="1" allowOverlap="1">
                      <wp:simplePos x="0" y="0"/>
                      <wp:positionH relativeFrom="column">
                        <wp:posOffset>-1039495</wp:posOffset>
                      </wp:positionH>
                      <wp:positionV relativeFrom="paragraph">
                        <wp:posOffset>-361315</wp:posOffset>
                      </wp:positionV>
                      <wp:extent cx="952500" cy="147701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952500" cy="14770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ageBreakBefore w:val="0"/>
                                    <w:kinsoku/>
                                    <w:wordWrap/>
                                    <w:overflowPunct/>
                                    <w:topLinePunct w:val="0"/>
                                    <w:bidi w:val="0"/>
                                    <w:snapToGrid/>
                                    <w:spacing w:line="300" w:lineRule="exact"/>
                                    <w:jc w:val="both"/>
                                    <w:textAlignment w:val="auto"/>
                                  </w:pPr>
                                  <w:r>
                                    <w:rPr>
                                      <w:rFonts w:hint="default" w:ascii="Times New Roman" w:hAnsi="Times New Roman" w:eastAsia="方正仿宋_GBK" w:cs="Times New Roman"/>
                                      <w:color w:val="auto"/>
                                      <w:sz w:val="24"/>
                                      <w:szCs w:val="24"/>
                                      <w:highlight w:val="none"/>
                                    </w:rPr>
                                    <w:t>2.7.2.1 有药品遴选制度，制定本医院</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药品处方集</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和</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基本用药供应目录</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1.85pt;margin-top:-28.45pt;height:116.3pt;width:75pt;z-index:251688960;mso-width-relative:page;mso-height-relative:page;" filled="f" stroked="f" coordsize="21600,21600" o:gfxdata="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&#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DLgp/2wAAAAwBAAAPAAAAAAAAAAEAIAAAACIAAABk&#10;cnMvZG93bnJldi54bWxQSwECFAAUAAAACACHTuJAeJacsDwCAABoBAAADgAAAAAAAAABACAAAAAq&#10;AQAAZHJzL2Uyb0RvYy54bWxQSwUGAAAAAAYABgBZAQAA2AUAAAAA&#10;">
                      <v:fill on="f" focussize="0,0"/>
                      <v:stroke on="f" weight="0.5pt"/>
                      <v:imagedata o:title=""/>
                      <o:lock v:ext="edit" aspectratio="f"/>
                      <v:textbox>
                        <w:txbxContent>
                          <w:p>
                            <w:pPr>
                              <w:pageBreakBefore w:val="0"/>
                              <w:kinsoku/>
                              <w:wordWrap/>
                              <w:overflowPunct/>
                              <w:topLinePunct w:val="0"/>
                              <w:bidi w:val="0"/>
                              <w:snapToGrid/>
                              <w:spacing w:line="300" w:lineRule="exact"/>
                              <w:jc w:val="both"/>
                              <w:textAlignment w:val="auto"/>
                            </w:pPr>
                            <w:r>
                              <w:rPr>
                                <w:rFonts w:hint="default" w:ascii="Times New Roman" w:hAnsi="Times New Roman" w:eastAsia="方正仿宋_GBK" w:cs="Times New Roman"/>
                                <w:color w:val="auto"/>
                                <w:sz w:val="24"/>
                                <w:szCs w:val="24"/>
                                <w:highlight w:val="none"/>
                              </w:rPr>
                              <w:t>2.7.2.1 有药品遴选制度，制定本医院</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药品处方集</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和</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基本用药供应目录</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w:t>
                            </w:r>
                          </w:p>
                        </w:txbxContent>
                      </v:textbox>
                    </v:shape>
                  </w:pict>
                </mc:Fallback>
              </mc:AlternateContent>
            </w:r>
            <w:r>
              <w:rPr>
                <w:rFonts w:hint="default" w:ascii="Times New Roman" w:hAnsi="Times New Roman" w:eastAsia="方正仿宋_GBK" w:cs="Times New Roman"/>
                <w:color w:val="auto"/>
                <w:sz w:val="24"/>
                <w:szCs w:val="24"/>
                <w:highlight w:val="none"/>
              </w:rPr>
              <w:t>药学部对药品遴选及目录管理工作有自查、总结分析、整改。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药事管理与药物治疗委员会定期召开会议，讨论药品目录，并根据临床需要予以调整（原则每年一次）。</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2.7.2.2 建立严格的药品采购供应管理制度与流程，有适宜的药品储备。</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有药品采购供应管理制度与流程，供药渠道合法；药学部负责全院药品采购供应。</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药品采购规范，按省市要求在交易平台上网上采购药品，采购数量及金额占比等符合平台要求，线下采购经医院审批，临时采购规范。</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药品储备量与功能、任务和服务量相适应；根据药品用量评估药品储备情况，85%以上药品品种库存药品月周转1 次以上。</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药学部对药品采购供应，特别是线下和临时采购有定期自查总结分析、整改。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1.定期检查总结药品采购供应制度的执行情况，每年至少2次，无违规采购。</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2.定期评估药品储备情况，85％以上药品库存周转率少于10～15日，定期评估，有分析报告和提出改进措施。</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numPr>
                <w:ilvl w:val="0"/>
                <w:numId w:val="37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2.7.2.3 有药品贮存管理制度，贮存药品的场所、设施与设备符合有关规定。</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医院有药品贮存管理制度，并执行。</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药品贮存场所、设施与设备满足药品质量要求；根据药品性质与特点，分库、分区、分类存放药品；按规定设置验收、退药、发药等功能区域。</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执行药品有效期管理相关制度与处理流程，有控制措施和记录。</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现场查看。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药学部对药品储存有定期自查、总结分析、整改。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numPr>
                <w:ilvl w:val="0"/>
                <w:numId w:val="0"/>
              </w:numPr>
              <w:kinsoku/>
              <w:wordWrap/>
              <w:overflowPunct/>
              <w:topLinePunct w:val="0"/>
              <w:bidi w:val="0"/>
              <w:snapToGrid/>
              <w:spacing w:line="300" w:lineRule="exact"/>
              <w:ind w:left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w:t>
            </w:r>
            <w:r>
              <w:rPr>
                <w:rFonts w:hint="default" w:ascii="Times New Roman" w:hAnsi="Times New Roman" w:eastAsia="方正仿宋_GBK" w:cs="Times New Roman"/>
                <w:color w:val="auto"/>
                <w:sz w:val="24"/>
                <w:szCs w:val="24"/>
                <w:highlight w:val="none"/>
                <w:lang w:val="en-US" w:eastAsia="zh-CN"/>
              </w:rPr>
              <w:t>A</w:t>
            </w:r>
            <w:r>
              <w:rPr>
                <w:rFonts w:hint="default" w:ascii="Times New Roman" w:hAnsi="Times New Roman" w:eastAsia="方正仿宋_GBK" w:cs="Times New Roman"/>
                <w:color w:val="auto"/>
                <w:sz w:val="24"/>
                <w:szCs w:val="24"/>
                <w:highlight w:val="none"/>
              </w:rPr>
              <w:t>】符合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2.7.2.4 建立高警示药品，听似、看似等易混淆药品的目录和管理制度，全院统一执行。</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医院建立高警示药品管理制度，并执行。</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对听似、看似药品、一品多规格或多剂型药品的存放，有统一的</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警示标识</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相关工作人员知晓警示标识含义和管理要求，能够识别和使用。</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2. 查阅相关资料并现场查看执行情况。</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随机询问3名工作人员，了解其知晓情况，知晓率100%。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药学部有定期自查、总结分析、整改。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numPr>
                <w:ilvl w:val="0"/>
                <w:numId w:val="38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持续改进有成效，制度落实到位，未发生相关不良事件。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2.7.2.5 对全院的急救等备用药品进行有效管理，确保质量与安全。</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医院建立各诊疗科室的急救、备用药品管理制度。</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各相关科室有急救备用药品目录及数量清单，实行基数管理，专人负责，每月检查；使用后及时补充，损坏或近效期药品及时报损或更换。</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各科室备用急救等药品统一储存位置、统一规范管理、统一清单格式，保障抢救时及时获取。</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3. 抽查内、外科及医技科室各一个，现场检查及查阅相关资料，是否符合要求。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临床科室对急救、备用药品有定期自查、总结分析、整改。</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护理部与药学部每季度不少于1次对各科室急救及备用药品的管理与使用情况进行督查、反馈，并检查科室整改落实情况。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抽查内、外科及医技科室各1个，查阅相关资料。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numPr>
                <w:ilvl w:val="0"/>
                <w:numId w:val="38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持续改进有成效，制度落实到位，未发生相关不良事件。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2.7.2.6 落实药品调剂制度，遵守药品调剂</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操作规程，保障药品调剂的准确性。</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医院有门诊、住院（含互联网医院）药品调剂制度和操作规程。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有药品调配差错报告制度，有登记、分析及整改，记录完整。</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发出的药品标示有用法、用量和特殊注意事项；有口头用药交代或其它书面、视频用药指导资料。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药品如需分装调剂，应有操作规程和记录。分包装上有药品名称、规格、剂量、批号、有效期、分装日期等信息。</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 对病房（区）口服药品实行单剂量配发，注射剂可按日剂量发药。</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4. 5. 现场查看。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1077" w:hRule="exac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药学部对药品调剂质量管理有定期自查、总结分析、整改。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1077" w:hRule="exac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numPr>
                <w:ilvl w:val="0"/>
                <w:numId w:val="38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持续改进有成效，制度落实到位，未发生相关不良事件。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2.7.2.7 静脉药物调配中心和调配工作符合有关规定。</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8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医院根据《静脉用药集中调配质量管理规范》和《静脉用药集中调配操作规程》的规定，制定相关管理制度及工作流程。</w:t>
            </w:r>
          </w:p>
          <w:p>
            <w:pPr>
              <w:pageBreakBefore w:val="0"/>
              <w:numPr>
                <w:ilvl w:val="0"/>
                <w:numId w:val="38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静脉药物调配中心布局、流程、功能区域洁净度及设备设施符合规范要求。并由省级卫生行政管理部门质控专家组进行技术评估与指导，确保符合有关规定。</w:t>
            </w:r>
          </w:p>
          <w:p>
            <w:pPr>
              <w:pageBreakBefore w:val="0"/>
              <w:numPr>
                <w:ilvl w:val="0"/>
                <w:numId w:val="38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有静脉用药调配人员岗位培训计划，并执行。</w:t>
            </w:r>
          </w:p>
          <w:p>
            <w:pPr>
              <w:pageBreakBefore w:val="0"/>
              <w:numPr>
                <w:ilvl w:val="0"/>
                <w:numId w:val="38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具有药学专业本科以上学历、5年以上临床用药或调剂工作经验、药师以上专业技术职务任职资格人员审核静脉用药处方，对不合理用药进行有效干预。</w:t>
            </w:r>
          </w:p>
          <w:p>
            <w:pPr>
              <w:pageBreakBefore w:val="0"/>
              <w:numPr>
                <w:ilvl w:val="0"/>
                <w:numId w:val="38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有调研、评估临床静脉用药状况；收集临床科室有关成品输液质量等反馈信息记录及处理措施。</w:t>
            </w:r>
          </w:p>
          <w:p>
            <w:pPr>
              <w:pageBreakBefore w:val="0"/>
              <w:numPr>
                <w:ilvl w:val="0"/>
                <w:numId w:val="38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肠外营养液和危害药品静脉用药应当按规定实行集中调配。</w:t>
            </w:r>
          </w:p>
        </w:tc>
        <w:tc>
          <w:tcPr>
            <w:tcW w:w="1269" w:type="pct"/>
            <w:tcMar>
              <w:top w:w="22" w:type="dxa"/>
              <w:left w:w="22" w:type="dxa"/>
              <w:bottom w:w="22" w:type="dxa"/>
              <w:right w:w="22" w:type="dxa"/>
            </w:tcMar>
            <w:vAlign w:val="center"/>
          </w:tcPr>
          <w:p>
            <w:pPr>
              <w:pageBreakBefore w:val="0"/>
              <w:numPr>
                <w:ilvl w:val="0"/>
                <w:numId w:val="38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8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p>
            <w:pPr>
              <w:pageBreakBefore w:val="0"/>
              <w:numPr>
                <w:ilvl w:val="0"/>
                <w:numId w:val="38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8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8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8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现场抽查10份相关在院患者医嘱与中心调配记录是否符合要求。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实行住院患者医嘱（</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长期医嘱</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或</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临时医嘱</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）静脉药物集中调配。</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药学部对静脉用药集中调配的日常管理有定期自查、总结分析、整改。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抽查内、外科各1个近期1天的静脉药物医嘱与中心调配记录是否一致。</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663" w:hRule="atLeast"/>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numPr>
                <w:ilvl w:val="0"/>
                <w:numId w:val="38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2.7.2.8 建立药品质量监控体系，有效控制药品质量。</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有药品质量管理组织，药品质量管理相关制度及质量管理指标，职责明确。</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有药品质量监管信息平台，相关部门和人员可查询。</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有药品质量（外观质量、效期等）及科室备用药品管理制度，相关部门和人员有定期检查并有记录。</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对因病情变化、医嘱调整而产生的病房（区）退药进行有效管理。</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现场查看。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药学部有定期自查、总结分析、整改。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numPr>
                <w:ilvl w:val="0"/>
                <w:numId w:val="38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2.7.2.9 建立药品召回管理制度，保障患者安全。</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医院有药品（含医院制剂）召回管理制度，并落实执行。</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对存在质量问题的药品，应按规定及时报告有关部门并召回，妥善保存，保留原始记录。</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有针对患者用药召回的处置预案与流程。</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药学部有定期自查、总结分析、整改。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持续改进有成效，制度落实到位，未发生相关不良事件。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2.7.2.10 有住院患者处方外配、自备药品管</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理规定及审核流程，保障临床用药安全。</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相关规定，明确住院患者原则上不得自行外购药品及使用自备药品，确因特殊情况需使用处方外配或自备药品的，应有全院统一的管理规定和审批流程，对手续不完备的处方外配药品、患者自备药品不得执行医嘱。</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住院患者确需使用处方外配药品或使用自备药品的，医院应有统一规范的知情同意书，患者或授权家属签署同意后方得执行，知情同意书随病历归档。</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凡住院患者使用处方外配药品或自备药品的，病历中需记录患者的特殊情况、具体使用药物、使用疗效及安全性等内容。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2.3.抽查2个内科科室，查阅相关病历，是否符合要求。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临床科室对处方外配药品和自备药品使用情况有定期自查、总结分析，对存在问题有整改。</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主管部门定期督查、反馈，并检查科室整改落实情况。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持续改进有成效，制度落实到位，未发生相关不良事件。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2.7.2.11 有超说明书用药管理规范及审核</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流程，保障患者用药安全。</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超说明书用药的管理规定与审批流程，明确临床用药原则上不得超药品说明书范围，确因病情需要超范围使用的，需按规定完成申请、审批手续（包括伦理审查），并对超说明书用药需要签署知情同意书的情形进行规定。</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审批资料完整、可查询。</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凡超说明书用药的，病历中需记录患者用药的详细情况及使用后反应。</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抽查相关病历5份，评价相关记录是否符合要求（知情同意书及病程录）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临床科室有定期自查、总结分析，对存在问题有整改。</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医务部与药学部全程监管，定期总结、分析、反馈，并检查科室整改落实情况。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numPr>
                <w:ilvl w:val="0"/>
                <w:numId w:val="38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持续改进有成效，制度落实到位，无违规使用情况。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2.7.2.12 建立完善的药品管理信息系统，与</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医院整体信息系统联网运行。</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8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药品管理信息系统与医院信息系统联网运行，对药品价格及其调整、医保属性等信息实现综合管理。</w:t>
            </w:r>
          </w:p>
          <w:p>
            <w:pPr>
              <w:pageBreakBefore w:val="0"/>
              <w:numPr>
                <w:ilvl w:val="0"/>
                <w:numId w:val="38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有药库和药房药品进、销、存、使用等的实时管理及药品查询功能。</w:t>
            </w:r>
          </w:p>
          <w:p>
            <w:pPr>
              <w:pageBreakBefore w:val="0"/>
              <w:numPr>
                <w:ilvl w:val="0"/>
                <w:numId w:val="38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有合理用药支持系统，方便医务人员查询、适时获取正确的药品信息。</w:t>
            </w:r>
          </w:p>
        </w:tc>
        <w:tc>
          <w:tcPr>
            <w:tcW w:w="1269" w:type="pct"/>
            <w:tcMar>
              <w:top w:w="22" w:type="dxa"/>
              <w:left w:w="22" w:type="dxa"/>
              <w:bottom w:w="22" w:type="dxa"/>
              <w:right w:w="22" w:type="dxa"/>
            </w:tcMar>
            <w:vAlign w:val="center"/>
          </w:tcPr>
          <w:p>
            <w:pPr>
              <w:pageBreakBefore w:val="0"/>
              <w:numPr>
                <w:ilvl w:val="0"/>
                <w:numId w:val="38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3. 现场查看相关系统运行情况是否符合要求。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有合理用药监控系统，能为合理用药提供技术支持，并定期更新。</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现场查看系统是否符合要求。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通过合理用药监控系统，对抗菌药物、麻精药品等实行处方权限与用药时限信息化管理。</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现场查看系统是否符合要求。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2.7.3实施临床药师制，积极参与临床药物治疗，促进合理用药，拓展药学服务范围。加强临床药师队伍建设和培训，提高临床药学服务能力和水平。</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bookmarkStart w:id="194" w:name="_Hlk73128522"/>
            <w:r>
              <w:rPr>
                <w:rFonts w:hint="default" w:ascii="Times New Roman" w:hAnsi="Times New Roman" w:eastAsia="方正仿宋_GBK" w:cs="Times New Roman"/>
                <w:color w:val="auto"/>
                <w:sz w:val="24"/>
                <w:szCs w:val="24"/>
                <w:highlight w:val="none"/>
              </w:rPr>
              <w:t>2.7.3.1 建立临床药师制，按《医疗机构药事管理规定》配备临床药师，加强临床药师队伍建设和培训，提高临床药学服务能力和水平。</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医院有临床药师制，临床药师配备数量符合国家相关规定，并全职专科从事临床药物治疗工作，至少在3类药物的临床应用中设有临床药师，其工作至少覆盖3个以上临床专业科室。</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临床药师按有关规定参与临床药物治疗相关工作的时间≥85%。</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有对临床药师有培养计划及规范的培训管理，并纳入医院医疗技术人员培养计划。</w:t>
            </w:r>
          </w:p>
        </w:tc>
        <w:tc>
          <w:tcPr>
            <w:tcW w:w="1269" w:type="pct"/>
            <w:tcMar>
              <w:top w:w="22" w:type="dxa"/>
              <w:left w:w="22" w:type="dxa"/>
              <w:bottom w:w="22" w:type="dxa"/>
              <w:right w:w="22" w:type="dxa"/>
            </w:tcMar>
            <w:vAlign w:val="center"/>
          </w:tcPr>
          <w:p>
            <w:pPr>
              <w:pageBreakBefore w:val="0"/>
              <w:numPr>
                <w:ilvl w:val="0"/>
                <w:numId w:val="39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9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查阅临床药师相关工作安排表。</w:t>
            </w:r>
          </w:p>
          <w:p>
            <w:pPr>
              <w:pageBreakBefore w:val="0"/>
              <w:numPr>
                <w:ilvl w:val="0"/>
                <w:numId w:val="39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药学部对临床药师开展工作情况有定期自查、总结分析、整改。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在5类药物的临床应用中设有临床药师，其工作至少覆盖5个以上临床专业科室。</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2.7.3.2 临床药师按其职责、任务和有关规定参与临床药物治疗、咨询和用药教育，促进合理用药。</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9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临床药师开展药学查房、审核处方和用药医嘱适宜性等工作，对不合理用药及时进行干预，工作记录完整。</w:t>
            </w:r>
          </w:p>
          <w:p>
            <w:pPr>
              <w:pageBreakBefore w:val="0"/>
              <w:numPr>
                <w:ilvl w:val="0"/>
                <w:numId w:val="39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对重点患者实施药学监护和建立药历，记录完整，体现用药分析能力和对患者实施持续药学监护的过程。</w:t>
            </w:r>
          </w:p>
          <w:p>
            <w:pPr>
              <w:pageBreakBefore w:val="0"/>
              <w:numPr>
                <w:ilvl w:val="0"/>
                <w:numId w:val="39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参加病例讨论，提出用药意见和个体化药物治疗建议；参与院内疑难重症会诊和危重患者的救治。</w:t>
            </w:r>
          </w:p>
        </w:tc>
        <w:tc>
          <w:tcPr>
            <w:tcW w:w="1269" w:type="pct"/>
            <w:tcMar>
              <w:top w:w="22" w:type="dxa"/>
              <w:left w:w="22" w:type="dxa"/>
              <w:bottom w:w="22" w:type="dxa"/>
              <w:right w:w="22" w:type="dxa"/>
            </w:tcMar>
            <w:vAlign w:val="center"/>
          </w:tcPr>
          <w:p>
            <w:pPr>
              <w:pageBreakBefore w:val="0"/>
              <w:numPr>
                <w:ilvl w:val="0"/>
                <w:numId w:val="392"/>
              </w:numPr>
              <w:kinsoku/>
              <w:wordWrap/>
              <w:overflowPunct/>
              <w:topLinePunct w:val="0"/>
              <w:bidi w:val="0"/>
              <w:snapToGrid/>
              <w:spacing w:line="300" w:lineRule="exact"/>
              <w:ind w:left="720" w:hanging="72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92"/>
              </w:numPr>
              <w:kinsoku/>
              <w:wordWrap/>
              <w:overflowPunct/>
              <w:topLinePunct w:val="0"/>
              <w:bidi w:val="0"/>
              <w:snapToGrid/>
              <w:spacing w:line="300" w:lineRule="exact"/>
              <w:ind w:left="720" w:hanging="72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92"/>
              </w:numPr>
              <w:kinsoku/>
              <w:wordWrap/>
              <w:overflowPunct/>
              <w:topLinePunct w:val="0"/>
              <w:bidi w:val="0"/>
              <w:snapToGrid/>
              <w:spacing w:line="300" w:lineRule="exact"/>
              <w:ind w:left="720" w:hanging="72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39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临床药师参与临床路径及单病种质量控制等药学部分工作。</w:t>
            </w:r>
          </w:p>
          <w:p>
            <w:pPr>
              <w:pageBreakBefore w:val="0"/>
              <w:numPr>
                <w:ilvl w:val="0"/>
                <w:numId w:val="39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常规开展治疗药物监测工作，且临床药师根据检测结果指导临床用药。</w:t>
            </w:r>
          </w:p>
        </w:tc>
        <w:tc>
          <w:tcPr>
            <w:tcW w:w="1269" w:type="pct"/>
            <w:tcMar>
              <w:top w:w="22" w:type="dxa"/>
              <w:left w:w="22" w:type="dxa"/>
              <w:bottom w:w="22" w:type="dxa"/>
              <w:right w:w="22" w:type="dxa"/>
            </w:tcMar>
            <w:vAlign w:val="center"/>
          </w:tcPr>
          <w:p>
            <w:pPr>
              <w:pageBreakBefore w:val="0"/>
              <w:numPr>
                <w:ilvl w:val="0"/>
                <w:numId w:val="39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9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持续改进有成效，有数据体现住院患者药学监护率不断提高。</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bookmarkEnd w:id="194"/>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2.7.4按照有关法律法规、部门规章及临床用药指南和标准，加强麻醉药品和精神药品、毒性药品、放射性药品、抗肿瘤药物、激素类药物、重点监控药物、基本药物、中药注射剂临床应用规范化管理。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2.7.4.1 依据法律法规，建立和完善</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麻醉药品、精神药品、放射性药品、医疗用毒性药品</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等特殊管理药品及药品类易制毒化学品的使用与管理制度。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9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依法建立麻醉药品、精神药品、医疗用毒性药品、放射性药品等特殊管理药品的使用管理制度。</w:t>
            </w:r>
          </w:p>
          <w:p>
            <w:pPr>
              <w:pageBreakBefore w:val="0"/>
              <w:numPr>
                <w:ilvl w:val="0"/>
                <w:numId w:val="39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特殊管理药品有安全设施，药库设置有</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毒、麻、精</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药品专用库（柜），配有安全监控及自动报警设施；调剂室、病房（区）、手术室等有专用保险柜，有防盗设施；放射性药品按有关规定执行。</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麻、精一</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药品实行三级管理和</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五专</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管理的制度与流程。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4.有</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麻、精一</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药品实行批号管理的制度与流程，开具的药品可溯源到患者。</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5.有特殊管理药品的应急预案。</w:t>
            </w:r>
          </w:p>
        </w:tc>
        <w:tc>
          <w:tcPr>
            <w:tcW w:w="1269" w:type="pct"/>
            <w:tcMar>
              <w:top w:w="22" w:type="dxa"/>
              <w:left w:w="22" w:type="dxa"/>
              <w:bottom w:w="22" w:type="dxa"/>
              <w:right w:w="22" w:type="dxa"/>
            </w:tcMar>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现场查看相关部门和科室（病区）的特殊管理药品安全管理是否符合规定。</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39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药学部门定期对特殊管理药品检查，每月至少1次。</w:t>
            </w:r>
          </w:p>
          <w:p>
            <w:pPr>
              <w:pageBreakBefore w:val="0"/>
              <w:numPr>
                <w:ilvl w:val="0"/>
                <w:numId w:val="39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无相关不良事件发生。</w:t>
            </w:r>
          </w:p>
        </w:tc>
        <w:tc>
          <w:tcPr>
            <w:tcW w:w="1269" w:type="pct"/>
            <w:tcMar>
              <w:top w:w="22" w:type="dxa"/>
              <w:left w:w="22" w:type="dxa"/>
              <w:bottom w:w="22" w:type="dxa"/>
              <w:right w:w="22" w:type="dxa"/>
            </w:tcMar>
            <w:vAlign w:val="center"/>
          </w:tcPr>
          <w:p>
            <w:pPr>
              <w:pageBreakBefore w:val="0"/>
              <w:numPr>
                <w:ilvl w:val="0"/>
                <w:numId w:val="39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9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持续改进有成效，特殊管理药品各环节管理规范，原始记录完整。</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2.7.4.2 根据《糖皮质激素类药物临床应用</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指导原则》，制定糖皮质激素类药物临床应用指南，规范临床用药。</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39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医院有糖皮质激素类药物的临床使用指南或规范；</w:t>
            </w:r>
          </w:p>
          <w:p>
            <w:pPr>
              <w:pageBreakBefore w:val="0"/>
              <w:numPr>
                <w:ilvl w:val="0"/>
                <w:numId w:val="39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对临床相关人员进行药物使用相关知识培训。</w:t>
            </w:r>
          </w:p>
          <w:p>
            <w:pPr>
              <w:pageBreakBefore w:val="0"/>
              <w:numPr>
                <w:ilvl w:val="0"/>
                <w:numId w:val="39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按照指南和规范使用糖皮质激素类药物，临床用药依据充分，剂量疗程合理。</w:t>
            </w:r>
          </w:p>
        </w:tc>
        <w:tc>
          <w:tcPr>
            <w:tcW w:w="1269" w:type="pct"/>
            <w:tcMar>
              <w:top w:w="22" w:type="dxa"/>
              <w:left w:w="22" w:type="dxa"/>
              <w:bottom w:w="22" w:type="dxa"/>
              <w:right w:w="22" w:type="dxa"/>
            </w:tcMar>
            <w:vAlign w:val="center"/>
          </w:tcPr>
          <w:p>
            <w:pPr>
              <w:pageBreakBefore w:val="0"/>
              <w:numPr>
                <w:ilvl w:val="0"/>
                <w:numId w:val="39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9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39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抽查相关在院患者病历5份，评价药物使用是否符合规范。</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40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临床科室有定期自查、总结分析、整改。</w:t>
            </w:r>
          </w:p>
          <w:p>
            <w:pPr>
              <w:pageBreakBefore w:val="0"/>
              <w:numPr>
                <w:ilvl w:val="0"/>
                <w:numId w:val="40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40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抽查2个内科科室，查阅相关资料。</w:t>
            </w:r>
          </w:p>
          <w:p>
            <w:pPr>
              <w:pageBreakBefore w:val="0"/>
              <w:numPr>
                <w:ilvl w:val="0"/>
                <w:numId w:val="40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2.7.4.3根据相关临床诊疗指南和疾病诊疗规范，制定抗肿瘤药物临床应用指南，规范临床用药。</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0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有抗肿瘤药物的使用指南或规范。</w:t>
            </w:r>
          </w:p>
          <w:p>
            <w:pPr>
              <w:pageBreakBefore w:val="0"/>
              <w:numPr>
                <w:ilvl w:val="0"/>
                <w:numId w:val="40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建立抗肿瘤药物临床应用分级管理制度，包括分级管理目录与处方权限管理等并执行。</w:t>
            </w:r>
          </w:p>
          <w:p>
            <w:pPr>
              <w:pageBreakBefore w:val="0"/>
              <w:numPr>
                <w:ilvl w:val="0"/>
                <w:numId w:val="40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对临床相关人员进行药物使用相关知识培训。</w:t>
            </w:r>
          </w:p>
        </w:tc>
        <w:tc>
          <w:tcPr>
            <w:tcW w:w="1269" w:type="pct"/>
            <w:tcMar>
              <w:top w:w="22" w:type="dxa"/>
              <w:left w:w="22" w:type="dxa"/>
              <w:bottom w:w="22" w:type="dxa"/>
              <w:right w:w="22" w:type="dxa"/>
            </w:tcMar>
            <w:vAlign w:val="center"/>
          </w:tcPr>
          <w:p>
            <w:pPr>
              <w:pageBreakBefore w:val="0"/>
              <w:numPr>
                <w:ilvl w:val="0"/>
                <w:numId w:val="40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0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查阅相关资料，并抽查相关在院患者病历5份，评价是否符合要求。</w:t>
            </w:r>
          </w:p>
          <w:p>
            <w:pPr>
              <w:pageBreakBefore w:val="0"/>
              <w:numPr>
                <w:ilvl w:val="0"/>
                <w:numId w:val="40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40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临床科室有定期自查、总结分析、整改。</w:t>
            </w:r>
          </w:p>
          <w:p>
            <w:pPr>
              <w:pageBreakBefore w:val="0"/>
              <w:numPr>
                <w:ilvl w:val="0"/>
                <w:numId w:val="40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40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抽查内、外科各1个科室，查阅相关资料。</w:t>
            </w:r>
          </w:p>
          <w:p>
            <w:pPr>
              <w:pageBreakBefore w:val="0"/>
              <w:numPr>
                <w:ilvl w:val="0"/>
                <w:numId w:val="40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2.7.4.4 加强重点监控药物、中药注射剂的</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临床应用管理，减少不合理用药。</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0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医院有重点监控药物、中药注射剂的管理制度及目录。</w:t>
            </w:r>
          </w:p>
          <w:p>
            <w:pPr>
              <w:pageBreakBefore w:val="0"/>
              <w:numPr>
                <w:ilvl w:val="0"/>
                <w:numId w:val="40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定期对重点监控药物、中药注射剂的处方进行点评，实施临床使用监测与预警。</w:t>
            </w:r>
          </w:p>
        </w:tc>
        <w:tc>
          <w:tcPr>
            <w:tcW w:w="1269" w:type="pct"/>
            <w:tcMar>
              <w:top w:w="22" w:type="dxa"/>
              <w:left w:w="22" w:type="dxa"/>
              <w:bottom w:w="22" w:type="dxa"/>
              <w:right w:w="22" w:type="dxa"/>
            </w:tcMar>
            <w:vAlign w:val="center"/>
          </w:tcPr>
          <w:p>
            <w:pPr>
              <w:pageBreakBefore w:val="0"/>
              <w:numPr>
                <w:ilvl w:val="0"/>
                <w:numId w:val="40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0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40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临床科室对重点监控药物、中药注射剂的使用和管理有定期自查、总结分析、整改。</w:t>
            </w:r>
          </w:p>
          <w:p>
            <w:pPr>
              <w:pageBreakBefore w:val="0"/>
              <w:numPr>
                <w:ilvl w:val="0"/>
                <w:numId w:val="40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40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抽查内、外科各1个科室，查阅相关资料。</w:t>
            </w:r>
          </w:p>
          <w:p>
            <w:pPr>
              <w:pageBreakBefore w:val="0"/>
              <w:numPr>
                <w:ilvl w:val="0"/>
                <w:numId w:val="40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2.7.5依照《处方管理办法》《医院处方点评管理规范（试行）》等有关规定，规范开展处方审核和处方点评，并持续改进。</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2.7.5.1 落实《处方管理办法》，规范医生处方权、药师调配权管理。</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1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有根据《处方管理办法》，制定本院处方管理实施细则，对注册执业医师处方权、医师开具处方、药师调剂处方有明确规定。</w:t>
            </w:r>
          </w:p>
          <w:p>
            <w:pPr>
              <w:pageBreakBefore w:val="0"/>
              <w:numPr>
                <w:ilvl w:val="0"/>
                <w:numId w:val="41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医师处方签名或签章式样，分别在医疗管理、药学部门留样备案。医师在处方和用药医嘱中的签字或签章与留样一致。</w:t>
            </w:r>
          </w:p>
          <w:p>
            <w:pPr>
              <w:pageBreakBefore w:val="0"/>
              <w:numPr>
                <w:ilvl w:val="0"/>
                <w:numId w:val="41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处方书写规范、完整。处方用法用量符合《处方管理办法》规定。</w:t>
            </w:r>
          </w:p>
          <w:p>
            <w:pPr>
              <w:pageBreakBefore w:val="0"/>
              <w:numPr>
                <w:ilvl w:val="0"/>
                <w:numId w:val="41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麻醉、精神等特殊管理药品开具符合《处方管理办法》规定。</w:t>
            </w:r>
          </w:p>
        </w:tc>
        <w:tc>
          <w:tcPr>
            <w:tcW w:w="1269" w:type="pct"/>
            <w:tcMar>
              <w:top w:w="22" w:type="dxa"/>
              <w:left w:w="22" w:type="dxa"/>
              <w:bottom w:w="22" w:type="dxa"/>
              <w:right w:w="22" w:type="dxa"/>
            </w:tcMar>
            <w:vAlign w:val="center"/>
          </w:tcPr>
          <w:p>
            <w:pPr>
              <w:pageBreakBefore w:val="0"/>
              <w:numPr>
                <w:ilvl w:val="0"/>
                <w:numId w:val="41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1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查阅相关资料，抽查处方10张，其签章/签字是否与备案一致。</w:t>
            </w:r>
          </w:p>
          <w:p>
            <w:pPr>
              <w:pageBreakBefore w:val="0"/>
              <w:numPr>
                <w:ilvl w:val="0"/>
                <w:numId w:val="41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抽查（电子）处方10张，评价是否符合规范要求。</w:t>
            </w:r>
          </w:p>
          <w:p>
            <w:pPr>
              <w:pageBreakBefore w:val="0"/>
              <w:numPr>
                <w:ilvl w:val="0"/>
                <w:numId w:val="41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抽查麻醉、精神等特殊管理药品处方10张，评价是否符合规范要求。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门诊部与药学部定期督查、反馈，并检查科室整改落实情况。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2.7.5.2 药师应按照《处方管理办法》、《医疗机构处方审核规范》等法规或规范，对处方进行适宜性审核，对临床不合理用药进行有效干预。</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1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依据《处方管理办法》的相关规定，药师及以上资质人员承担处方或医嘱的审核工作，对不规范处方、用药不适宜处方进行有效干预，及时与医生沟通。</w:t>
            </w:r>
          </w:p>
          <w:p>
            <w:pPr>
              <w:pageBreakBefore w:val="0"/>
              <w:numPr>
                <w:ilvl w:val="0"/>
                <w:numId w:val="41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门诊药房设有用药咨询窗口（台），或临床药师开展药学门诊。</w:t>
            </w:r>
          </w:p>
          <w:p>
            <w:pPr>
              <w:pageBreakBefore w:val="0"/>
              <w:numPr>
                <w:ilvl w:val="0"/>
                <w:numId w:val="41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开展合理用药咨询服务，有咨询记录，并针对患者咨询的常见问题开展合理用药宣教工作。</w:t>
            </w:r>
          </w:p>
        </w:tc>
        <w:tc>
          <w:tcPr>
            <w:tcW w:w="1269" w:type="pct"/>
            <w:tcMar>
              <w:top w:w="22" w:type="dxa"/>
              <w:left w:w="22" w:type="dxa"/>
              <w:bottom w:w="22" w:type="dxa"/>
              <w:right w:w="22" w:type="dxa"/>
            </w:tcMar>
            <w:vAlign w:val="center"/>
          </w:tcPr>
          <w:p>
            <w:pPr>
              <w:pageBreakBefore w:val="0"/>
              <w:numPr>
                <w:ilvl w:val="0"/>
                <w:numId w:val="41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1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p>
            <w:pPr>
              <w:pageBreakBefore w:val="0"/>
              <w:numPr>
                <w:ilvl w:val="0"/>
                <w:numId w:val="41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药学部有定期自查、总结、分析，对存在问题进行整改。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2.7.5.3 依据《医院处方点评管理规范（试</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行）》开展处方点评，建立药物使用评价体系。</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1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医院有处方点评制度及实施细则。</w:t>
            </w:r>
          </w:p>
          <w:p>
            <w:pPr>
              <w:pageBreakBefore w:val="0"/>
              <w:numPr>
                <w:ilvl w:val="0"/>
                <w:numId w:val="41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定期对门、急诊处方和出院病历进行点评，点评处方（病历）数符合相关规定。</w:t>
            </w:r>
          </w:p>
          <w:p>
            <w:pPr>
              <w:pageBreakBefore w:val="0"/>
              <w:numPr>
                <w:ilvl w:val="0"/>
                <w:numId w:val="41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药学部定期发布处方评价指标与评价结果，通报超常预警情况。</w:t>
            </w:r>
          </w:p>
          <w:p>
            <w:pPr>
              <w:pageBreakBefore w:val="0"/>
              <w:numPr>
                <w:ilvl w:val="0"/>
                <w:numId w:val="41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点评结果纳入医院质量考核评价。</w:t>
            </w:r>
          </w:p>
        </w:tc>
        <w:tc>
          <w:tcPr>
            <w:tcW w:w="1269" w:type="pct"/>
            <w:tcMar>
              <w:top w:w="22" w:type="dxa"/>
              <w:left w:w="22" w:type="dxa"/>
              <w:bottom w:w="22" w:type="dxa"/>
              <w:right w:w="22" w:type="dxa"/>
            </w:tcMar>
            <w:vAlign w:val="center"/>
          </w:tcPr>
          <w:p>
            <w:pPr>
              <w:pageBreakBefore w:val="0"/>
              <w:numPr>
                <w:ilvl w:val="0"/>
                <w:numId w:val="41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1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1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1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41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有特定药物或特定疾病的药物使用情况专项点评，每年至少开展2 项，每项评价不少于4 次。</w:t>
            </w:r>
          </w:p>
          <w:p>
            <w:pPr>
              <w:pageBreakBefore w:val="0"/>
              <w:numPr>
                <w:ilvl w:val="0"/>
                <w:numId w:val="41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医务部与药学部定期对处方点评情况进行总结分析，对存在问题进行整改。</w:t>
            </w:r>
          </w:p>
        </w:tc>
        <w:tc>
          <w:tcPr>
            <w:tcW w:w="1269" w:type="pct"/>
            <w:tcMar>
              <w:top w:w="22" w:type="dxa"/>
              <w:left w:w="22" w:type="dxa"/>
              <w:bottom w:w="22" w:type="dxa"/>
              <w:right w:w="22" w:type="dxa"/>
            </w:tcMar>
            <w:vAlign w:val="center"/>
          </w:tcPr>
          <w:p>
            <w:pPr>
              <w:pageBreakBefore w:val="0"/>
              <w:numPr>
                <w:ilvl w:val="0"/>
                <w:numId w:val="41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1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strike/>
                <w:dstrike w:val="0"/>
                <w:color w:val="auto"/>
                <w:sz w:val="24"/>
                <w:szCs w:val="24"/>
                <w:highlight w:val="none"/>
              </w:rPr>
            </w:pPr>
            <w:r>
              <w:rPr>
                <w:rFonts w:hint="default" w:ascii="Times New Roman" w:hAnsi="Times New Roman" w:eastAsia="方正仿宋_GBK" w:cs="Times New Roman"/>
                <w:strike w:val="0"/>
                <w:dstrike w:val="0"/>
                <w:color w:val="auto"/>
                <w:sz w:val="24"/>
                <w:szCs w:val="24"/>
                <w:highlight w:val="none"/>
              </w:rPr>
              <w:t>2.7.6</w:t>
            </w:r>
            <w:r>
              <w:rPr>
                <w:rFonts w:hint="default" w:ascii="Times New Roman" w:hAnsi="Times New Roman" w:eastAsia="方正仿宋_GBK" w:cs="Times New Roman"/>
                <w:color w:val="auto"/>
                <w:sz w:val="24"/>
                <w:szCs w:val="24"/>
                <w:highlight w:val="none"/>
                <w:lang w:val="en-US" w:eastAsia="zh-CN"/>
              </w:rPr>
              <w:t>建立药物监测和警戒制度，实现药品不良反应监测信息与国家药品监管数据共享平台的对接。观察用药过程，监测用药效果，按规定报告药物不良反应并反馈临床，不良反应情况应记入病历。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strike w:val="0"/>
                <w:dstrike w:val="0"/>
                <w:color w:val="auto"/>
                <w:sz w:val="24"/>
                <w:szCs w:val="24"/>
                <w:highlight w:val="none"/>
              </w:rPr>
            </w:pPr>
            <w:r>
              <w:rPr>
                <w:rFonts w:hint="default" w:ascii="Times New Roman" w:hAnsi="Times New Roman" w:eastAsia="方正仿宋_GBK" w:cs="Times New Roman"/>
                <w:strike w:val="0"/>
                <w:dstrike w:val="0"/>
                <w:color w:val="auto"/>
                <w:sz w:val="24"/>
                <w:szCs w:val="24"/>
                <w:highlight w:val="none"/>
              </w:rPr>
              <w:t>2.7.6.1 临床科室落实药物警戒和不良反应监测制度，及时发现、处置和报告不良反应。</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18"/>
              </w:numPr>
              <w:kinsoku/>
              <w:wordWrap/>
              <w:overflowPunct/>
              <w:topLinePunct w:val="0"/>
              <w:bidi w:val="0"/>
              <w:snapToGrid/>
              <w:spacing w:line="300" w:lineRule="exact"/>
              <w:jc w:val="both"/>
              <w:textAlignment w:val="auto"/>
              <w:rPr>
                <w:rFonts w:hint="default" w:ascii="Times New Roman" w:hAnsi="Times New Roman" w:eastAsia="方正仿宋_GBK" w:cs="Times New Roman"/>
                <w:strike w:val="0"/>
                <w:dstrike w:val="0"/>
                <w:color w:val="auto"/>
                <w:sz w:val="24"/>
                <w:szCs w:val="24"/>
                <w:highlight w:val="none"/>
              </w:rPr>
            </w:pPr>
            <w:r>
              <w:rPr>
                <w:rFonts w:hint="default" w:ascii="Times New Roman" w:hAnsi="Times New Roman" w:eastAsia="方正仿宋_GBK" w:cs="Times New Roman"/>
                <w:strike w:val="0"/>
                <w:dstrike w:val="0"/>
                <w:color w:val="auto"/>
                <w:sz w:val="24"/>
                <w:szCs w:val="24"/>
                <w:highlight w:val="none"/>
              </w:rPr>
              <w:t>医院有药品不良反应、用药错误、药品质量事件监测报告管理的制度与流程。</w:t>
            </w:r>
          </w:p>
          <w:p>
            <w:pPr>
              <w:pageBreakBefore w:val="0"/>
              <w:numPr>
                <w:ilvl w:val="0"/>
                <w:numId w:val="418"/>
              </w:numPr>
              <w:kinsoku/>
              <w:wordWrap/>
              <w:overflowPunct/>
              <w:topLinePunct w:val="0"/>
              <w:bidi w:val="0"/>
              <w:snapToGrid/>
              <w:spacing w:line="300" w:lineRule="exact"/>
              <w:jc w:val="both"/>
              <w:textAlignment w:val="auto"/>
              <w:rPr>
                <w:rFonts w:hint="default" w:ascii="Times New Roman" w:hAnsi="Times New Roman" w:eastAsia="方正仿宋_GBK" w:cs="Times New Roman"/>
                <w:strike w:val="0"/>
                <w:dstrike w:val="0"/>
                <w:color w:val="auto"/>
                <w:sz w:val="24"/>
                <w:szCs w:val="24"/>
                <w:highlight w:val="none"/>
              </w:rPr>
            </w:pPr>
            <w:r>
              <w:rPr>
                <w:rFonts w:hint="default" w:ascii="Times New Roman" w:hAnsi="Times New Roman" w:eastAsia="方正仿宋_GBK" w:cs="Times New Roman"/>
                <w:strike w:val="0"/>
                <w:dstrike w:val="0"/>
                <w:color w:val="auto"/>
                <w:sz w:val="24"/>
                <w:szCs w:val="24"/>
                <w:highlight w:val="none"/>
              </w:rPr>
              <w:t>医师、药师、护士对患者用药情况进行监测，重点监测非预期（新发现）的、严重的药品不良反应有原始记录。</w:t>
            </w:r>
          </w:p>
          <w:p>
            <w:pPr>
              <w:pageBreakBefore w:val="0"/>
              <w:numPr>
                <w:ilvl w:val="0"/>
                <w:numId w:val="418"/>
              </w:numPr>
              <w:kinsoku/>
              <w:wordWrap/>
              <w:overflowPunct/>
              <w:topLinePunct w:val="0"/>
              <w:bidi w:val="0"/>
              <w:snapToGrid/>
              <w:spacing w:line="300" w:lineRule="exact"/>
              <w:jc w:val="both"/>
              <w:textAlignment w:val="auto"/>
              <w:rPr>
                <w:rFonts w:hint="default" w:ascii="Times New Roman" w:hAnsi="Times New Roman" w:eastAsia="方正仿宋_GBK" w:cs="Times New Roman"/>
                <w:strike w:val="0"/>
                <w:dstrike w:val="0"/>
                <w:color w:val="auto"/>
                <w:sz w:val="24"/>
                <w:szCs w:val="24"/>
                <w:highlight w:val="none"/>
              </w:rPr>
            </w:pPr>
            <w:r>
              <w:rPr>
                <w:rFonts w:hint="default" w:ascii="Times New Roman" w:hAnsi="Times New Roman" w:eastAsia="方正仿宋_GBK" w:cs="Times New Roman"/>
                <w:strike w:val="0"/>
                <w:dstrike w:val="0"/>
                <w:color w:val="auto"/>
                <w:sz w:val="24"/>
                <w:szCs w:val="24"/>
                <w:highlight w:val="none"/>
              </w:rPr>
              <w:t>发生严重药品不良反应或药害事件，积极进行临床救治，做好医疗记录，保存好相关药品、物品的留样，并对事件进行及时的调查、分析。</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strike w:val="0"/>
                <w:dstrike w:val="0"/>
                <w:color w:val="auto"/>
                <w:sz w:val="24"/>
                <w:szCs w:val="24"/>
                <w:highlight w:val="none"/>
                <w:lang w:val="en-US" w:eastAsia="zh-CN"/>
              </w:rPr>
              <w:t>4.</w:t>
            </w:r>
            <w:r>
              <w:rPr>
                <w:rFonts w:hint="default" w:ascii="Times New Roman" w:hAnsi="Times New Roman" w:eastAsia="方正仿宋_GBK" w:cs="Times New Roman"/>
                <w:strike w:val="0"/>
                <w:dstrike w:val="0"/>
                <w:color w:val="auto"/>
                <w:sz w:val="24"/>
                <w:szCs w:val="24"/>
                <w:highlight w:val="none"/>
              </w:rPr>
              <w:t>建立药品不良事件报告信息平台，报告及时、规范。</w:t>
            </w:r>
          </w:p>
        </w:tc>
        <w:tc>
          <w:tcPr>
            <w:tcW w:w="1269" w:type="pct"/>
            <w:tcMar>
              <w:top w:w="22" w:type="dxa"/>
              <w:left w:w="22" w:type="dxa"/>
              <w:bottom w:w="22" w:type="dxa"/>
              <w:right w:w="22" w:type="dxa"/>
            </w:tcMar>
            <w:vAlign w:val="center"/>
          </w:tcPr>
          <w:p>
            <w:pPr>
              <w:pageBreakBefore w:val="0"/>
              <w:numPr>
                <w:ilvl w:val="0"/>
                <w:numId w:val="41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1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查阅相关资料及现场查看。</w:t>
            </w:r>
          </w:p>
          <w:p>
            <w:pPr>
              <w:pageBreakBefore w:val="0"/>
              <w:numPr>
                <w:ilvl w:val="0"/>
                <w:numId w:val="41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1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strike w:val="0"/>
                <w:dstrike w:val="0"/>
                <w:color w:val="auto"/>
                <w:sz w:val="24"/>
                <w:szCs w:val="24"/>
                <w:highlight w:val="none"/>
              </w:rPr>
              <w:t>现场查看信息平台运行。</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numPr>
                <w:ilvl w:val="0"/>
                <w:numId w:val="42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strike w:val="0"/>
                <w:dstrike w:val="0"/>
                <w:color w:val="auto"/>
                <w:sz w:val="24"/>
                <w:szCs w:val="24"/>
                <w:highlight w:val="none"/>
              </w:rPr>
              <w:t>有鼓励药品不良反应和药害事件报告的措施并执行。</w:t>
            </w:r>
          </w:p>
          <w:p>
            <w:pPr>
              <w:pageBreakBefore w:val="0"/>
              <w:widowControl/>
              <w:numPr>
                <w:ilvl w:val="0"/>
                <w:numId w:val="42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及时将药物不良反应信息反馈临床。</w:t>
            </w:r>
          </w:p>
        </w:tc>
        <w:tc>
          <w:tcPr>
            <w:tcW w:w="1269" w:type="pct"/>
            <w:tcMar>
              <w:top w:w="22" w:type="dxa"/>
              <w:left w:w="22" w:type="dxa"/>
              <w:bottom w:w="22" w:type="dxa"/>
              <w:right w:w="22" w:type="dxa"/>
            </w:tcMar>
            <w:vAlign w:val="center"/>
          </w:tcPr>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kern w:val="2"/>
                <w:sz w:val="24"/>
                <w:szCs w:val="24"/>
                <w:lang w:val="en-US" w:eastAsia="zh-CN" w:bidi="ar-SA"/>
              </w:rPr>
              <w:t>1.</w:t>
            </w:r>
            <w:r>
              <w:rPr>
                <w:rFonts w:hint="default" w:ascii="Times New Roman" w:hAnsi="Times New Roman" w:eastAsia="方正仿宋_GBK" w:cs="Times New Roman"/>
                <w:color w:val="auto"/>
                <w:sz w:val="24"/>
                <w:szCs w:val="24"/>
                <w:highlight w:val="none"/>
              </w:rPr>
              <w:t>查阅相关资料，现场询问2名工作人员，了解其知晓情况。</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kern w:val="2"/>
                <w:sz w:val="24"/>
                <w:szCs w:val="24"/>
                <w:lang w:val="en-US" w:eastAsia="zh-CN" w:bidi="ar-SA"/>
              </w:rPr>
              <w:t>2.</w:t>
            </w: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tcBorders>
              <w:bottom w:val="single" w:color="auto" w:sz="4" w:space="0"/>
            </w:tcBorders>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Borders>
              <w:bottom w:val="single" w:color="auto" w:sz="4" w:space="0"/>
            </w:tcBorders>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实现药品不良反应监测信息与国家药品监管数据共享平台的对接。</w:t>
            </w:r>
          </w:p>
        </w:tc>
        <w:tc>
          <w:tcPr>
            <w:tcW w:w="1269" w:type="pct"/>
            <w:tcBorders>
              <w:bottom w:val="single" w:color="auto" w:sz="4" w:space="0"/>
            </w:tcBorders>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strike w:val="0"/>
                <w:dstrike w:val="0"/>
                <w:color w:val="auto"/>
                <w:sz w:val="24"/>
                <w:szCs w:val="24"/>
                <w:highlight w:val="none"/>
              </w:rPr>
              <w:t>现场查看信息平台运行。</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tcBorders>
              <w:top w:val="nil"/>
              <w:left w:val="nil"/>
              <w:bottom w:val="single" w:color="000000" w:sz="4" w:space="0"/>
              <w:right w:val="nil"/>
            </w:tcBorders>
            <w:tcMar>
              <w:top w:w="22" w:type="dxa"/>
              <w:left w:w="22" w:type="dxa"/>
              <w:bottom w:w="22" w:type="dxa"/>
              <w:right w:w="22" w:type="dxa"/>
            </w:tcMar>
            <w:vAlign w:val="center"/>
          </w:tcPr>
          <w:p>
            <w:pPr>
              <w:pStyle w:val="4"/>
              <w:pageBreakBefore w:val="0"/>
              <w:kinsoku/>
              <w:wordWrap/>
              <w:overflowPunct/>
              <w:topLinePunct w:val="0"/>
              <w:bidi w:val="0"/>
              <w:snapToGrid/>
              <w:spacing w:before="0" w:beforeAutospacing="0" w:after="0" w:afterAutospacing="0" w:line="560" w:lineRule="exact"/>
              <w:ind w:left="0" w:leftChars="0" w:rightChars="0" w:firstLine="624" w:firstLineChars="200"/>
              <w:jc w:val="left"/>
              <w:textAlignment w:val="auto"/>
              <w:rPr>
                <w:rFonts w:hint="default" w:eastAsia="方正仿宋_GBK" w:cs="Times New Roman"/>
                <w:color w:val="auto"/>
                <w:sz w:val="24"/>
                <w:szCs w:val="24"/>
                <w:highlight w:val="none"/>
              </w:rPr>
            </w:pPr>
            <w:r>
              <w:rPr>
                <w:rFonts w:hint="default" w:ascii="Times New Roman" w:hAnsi="Times New Roman" w:eastAsia="方正黑体_GBK" w:cs="Times New Roman"/>
                <w:b w:val="0"/>
                <w:i w:val="0"/>
                <w:color w:val="auto"/>
                <w:sz w:val="32"/>
                <w:szCs w:val="24"/>
                <w:highlight w:val="none"/>
              </w:rPr>
              <w:t>八、检查检验质量保障与持续改进</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tcBorders>
              <w:top w:val="single" w:color="000000" w:sz="4" w:space="0"/>
            </w:tcBorders>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评审标准</w:t>
            </w:r>
          </w:p>
        </w:tc>
        <w:tc>
          <w:tcPr>
            <w:tcW w:w="2802" w:type="pct"/>
            <w:tcBorders>
              <w:top w:val="single" w:color="000000" w:sz="4" w:space="0"/>
            </w:tcBorders>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评审要点</w:t>
            </w:r>
          </w:p>
        </w:tc>
        <w:tc>
          <w:tcPr>
            <w:tcW w:w="1269" w:type="pct"/>
            <w:tcBorders>
              <w:top w:val="single" w:color="000000" w:sz="4" w:space="0"/>
            </w:tcBorders>
            <w:tcMar>
              <w:top w:w="22" w:type="dxa"/>
              <w:left w:w="22" w:type="dxa"/>
              <w:bottom w:w="22" w:type="dxa"/>
              <w:right w:w="22" w:type="dxa"/>
            </w:tcMar>
            <w:vAlign w:val="center"/>
          </w:tcPr>
          <w:p>
            <w:pPr>
              <w:spacing w:line="300" w:lineRule="exact"/>
              <w:jc w:val="center"/>
              <w:rPr>
                <w:rFonts w:hint="default" w:ascii="方正黑体_GBK" w:hAnsi="方正黑体_GBK" w:eastAsia="方正黑体_GBK" w:cs="方正黑体_GBK"/>
                <w:color w:val="auto"/>
                <w:sz w:val="24"/>
                <w:szCs w:val="24"/>
                <w:highlight w:val="none"/>
              </w:rPr>
            </w:pPr>
            <w:r>
              <w:rPr>
                <w:rFonts w:hint="default" w:ascii="方正黑体_GBK" w:hAnsi="方正黑体_GBK" w:eastAsia="方正黑体_GBK" w:cs="方正黑体_GBK"/>
                <w:color w:val="auto"/>
                <w:sz w:val="24"/>
                <w:szCs w:val="24"/>
                <w:highlight w:val="none"/>
              </w:rPr>
              <w:t>评审方法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2.8.1临床检验部门、病理部门、医学影像部门设置布局、设备设施分别符合相应规范标准，服务满足临床需要。临床检验和医学影像提供 24 小时急诊诊断服务。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2.8.1.1 临床检验科设置布局、设备、设施符合相应规范标准，临床检验项目满足临床需要，提供24 小时急诊检验服务。</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2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全院临床实验室集中设置，统一管理，资源共享，布局、设备、设施符合相关规定。</w:t>
            </w:r>
          </w:p>
          <w:p>
            <w:pPr>
              <w:pageBreakBefore w:val="0"/>
              <w:numPr>
                <w:ilvl w:val="0"/>
                <w:numId w:val="42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开展的检验项目满足临床基本需要；根据临床各学科诊治病种需求，及时增加新项目。</w:t>
            </w:r>
          </w:p>
          <w:p>
            <w:pPr>
              <w:pageBreakBefore w:val="0"/>
              <w:numPr>
                <w:ilvl w:val="0"/>
                <w:numId w:val="42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具备新冠病毒、流感病毒、登革病毒、肠道病毒、轮状病毒等常见病原体的实验室检测能力。</w:t>
            </w:r>
          </w:p>
          <w:p>
            <w:pPr>
              <w:pageBreakBefore w:val="0"/>
              <w:numPr>
                <w:ilvl w:val="0"/>
                <w:numId w:val="42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能提供24 小时急诊检验服务，具体检验项目有明确规定，急诊临检项目报告时间≤30 分钟、急诊生化和免疫项目报告时间≤2 小时，并执行。</w:t>
            </w:r>
          </w:p>
          <w:p>
            <w:pPr>
              <w:pageBreakBefore w:val="0"/>
              <w:numPr>
                <w:ilvl w:val="0"/>
                <w:numId w:val="42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对委托其他机构所开展的检验项目，应签署委托服务协议，并有质量保证条款。</w:t>
            </w:r>
          </w:p>
        </w:tc>
        <w:tc>
          <w:tcPr>
            <w:tcW w:w="1269" w:type="pct"/>
            <w:tcMar>
              <w:top w:w="22" w:type="dxa"/>
              <w:left w:w="22" w:type="dxa"/>
              <w:bottom w:w="22" w:type="dxa"/>
              <w:right w:w="22" w:type="dxa"/>
            </w:tcMar>
            <w:vAlign w:val="center"/>
          </w:tcPr>
          <w:p>
            <w:pPr>
              <w:pageBreakBefore w:val="0"/>
              <w:numPr>
                <w:ilvl w:val="0"/>
                <w:numId w:val="42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3. 现场查看，查阅相关资料。</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eastAsia" w:cs="Times New Roman"/>
                <w:color w:val="auto"/>
                <w:kern w:val="2"/>
                <w:sz w:val="24"/>
                <w:szCs w:val="24"/>
                <w:lang w:val="en-US" w:eastAsia="zh-CN" w:bidi="ar-SA"/>
              </w:rPr>
              <w:t>4</w:t>
            </w:r>
            <w:r>
              <w:rPr>
                <w:rFonts w:hint="default" w:ascii="Times New Roman" w:hAnsi="Times New Roman" w:eastAsia="方正仿宋_GBK" w:cs="Times New Roman"/>
                <w:color w:val="auto"/>
                <w:kern w:val="2"/>
                <w:sz w:val="24"/>
                <w:szCs w:val="24"/>
                <w:lang w:val="en-US" w:eastAsia="zh-CN" w:bidi="ar-SA"/>
              </w:rPr>
              <w:t>.</w:t>
            </w:r>
            <w:r>
              <w:rPr>
                <w:rFonts w:hint="default" w:ascii="Times New Roman" w:hAnsi="Times New Roman" w:eastAsia="方正仿宋_GBK" w:cs="Times New Roman"/>
                <w:color w:val="auto"/>
                <w:sz w:val="24"/>
                <w:szCs w:val="24"/>
                <w:highlight w:val="none"/>
              </w:rPr>
              <w:t>现场查看，并抽查相关报告，评价是否符合要求。</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eastAsia" w:cs="Times New Roman"/>
                <w:color w:val="auto"/>
                <w:kern w:val="2"/>
                <w:sz w:val="24"/>
                <w:szCs w:val="24"/>
                <w:lang w:val="en-US" w:eastAsia="zh-CN" w:bidi="ar-SA"/>
              </w:rPr>
              <w:t>5</w:t>
            </w:r>
            <w:r>
              <w:rPr>
                <w:rFonts w:hint="default" w:ascii="Times New Roman" w:hAnsi="Times New Roman" w:eastAsia="方正仿宋_GBK" w:cs="Times New Roman"/>
                <w:color w:val="auto"/>
                <w:kern w:val="2"/>
                <w:sz w:val="24"/>
                <w:szCs w:val="24"/>
                <w:lang w:val="en-US" w:eastAsia="zh-CN" w:bidi="ar-SA"/>
              </w:rPr>
              <w:t>.</w:t>
            </w:r>
            <w:r>
              <w:rPr>
                <w:rFonts w:hint="default" w:ascii="Times New Roman" w:hAnsi="Times New Roman" w:eastAsia="方正仿宋_GBK" w:cs="Times New Roman"/>
                <w:color w:val="auto"/>
                <w:sz w:val="24"/>
                <w:szCs w:val="24"/>
                <w:highlight w:val="none"/>
              </w:rPr>
              <w:t>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42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科室有自查，对存在问题有分析、整改。</w:t>
            </w:r>
          </w:p>
          <w:p>
            <w:pPr>
              <w:pageBreakBefore w:val="0"/>
              <w:numPr>
                <w:ilvl w:val="0"/>
                <w:numId w:val="42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定期（每年不少于2次）向临床征求对检验项目开展的意见和建议，确保检验项目满足临床需要。</w:t>
            </w:r>
          </w:p>
        </w:tc>
        <w:tc>
          <w:tcPr>
            <w:tcW w:w="1269" w:type="pct"/>
            <w:tcMar>
              <w:top w:w="22" w:type="dxa"/>
              <w:left w:w="22" w:type="dxa"/>
              <w:bottom w:w="22" w:type="dxa"/>
              <w:right w:w="22" w:type="dxa"/>
            </w:tcMar>
            <w:vAlign w:val="center"/>
          </w:tcPr>
          <w:p>
            <w:pPr>
              <w:pageBreakBefore w:val="0"/>
              <w:numPr>
                <w:ilvl w:val="0"/>
                <w:numId w:val="42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2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2.8.1.2 检验项目、设备、试剂与校准品管理符合现行法律法规及卫生行政部门标准的要求。</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2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医院按招标采购相关法规、规范统一招采检验设备、试剂。</w:t>
            </w:r>
          </w:p>
          <w:p>
            <w:pPr>
              <w:pageBreakBefore w:val="0"/>
              <w:numPr>
                <w:ilvl w:val="0"/>
                <w:numId w:val="42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试剂与校准品有专人管理，有岗位职责及使用登记。</w:t>
            </w:r>
          </w:p>
        </w:tc>
        <w:tc>
          <w:tcPr>
            <w:tcW w:w="1269" w:type="pct"/>
            <w:tcMar>
              <w:top w:w="22" w:type="dxa"/>
              <w:left w:w="22" w:type="dxa"/>
              <w:bottom w:w="22" w:type="dxa"/>
              <w:right w:w="22" w:type="dxa"/>
            </w:tcMar>
            <w:vAlign w:val="center"/>
          </w:tcPr>
          <w:p>
            <w:pPr>
              <w:pageBreakBefore w:val="0"/>
              <w:numPr>
                <w:ilvl w:val="0"/>
                <w:numId w:val="42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2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现场查看，并查阅相关资料。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科室对项目和仪器、试剂与校准品管理有自查，对存在问题有分析、整改。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持续改进有成效，管理规范，无上级主管部门处罚记录。</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2.8.1.3 病理科设置布局、设备、设施符合相应规范标准。</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2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病理科布局、流程合理，符合生物安全的要求。</w:t>
            </w:r>
          </w:p>
          <w:p>
            <w:pPr>
              <w:pageBreakBefore w:val="0"/>
              <w:numPr>
                <w:ilvl w:val="0"/>
                <w:numId w:val="42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专业技术设备、设施符合管理要求，有定期维护、校准记录。</w:t>
            </w:r>
          </w:p>
          <w:p>
            <w:pPr>
              <w:pageBreakBefore w:val="0"/>
              <w:numPr>
                <w:ilvl w:val="0"/>
                <w:numId w:val="42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所用试剂及耗材管理规范，符合国家有关规定。</w:t>
            </w:r>
          </w:p>
        </w:tc>
        <w:tc>
          <w:tcPr>
            <w:tcW w:w="1269" w:type="pct"/>
            <w:tcMar>
              <w:top w:w="22" w:type="dxa"/>
              <w:left w:w="22" w:type="dxa"/>
              <w:bottom w:w="22" w:type="dxa"/>
              <w:right w:w="22" w:type="dxa"/>
            </w:tcMar>
            <w:vAlign w:val="center"/>
          </w:tcPr>
          <w:p>
            <w:pPr>
              <w:pageBreakBefore w:val="0"/>
              <w:numPr>
                <w:ilvl w:val="0"/>
                <w:numId w:val="42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p>
            <w:pPr>
              <w:pageBreakBefore w:val="0"/>
              <w:numPr>
                <w:ilvl w:val="0"/>
                <w:numId w:val="42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现场查看，查阅相关资料。</w:t>
            </w:r>
          </w:p>
          <w:p>
            <w:pPr>
              <w:pageBreakBefore w:val="0"/>
              <w:numPr>
                <w:ilvl w:val="0"/>
                <w:numId w:val="42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42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科室有定期自查、总结分析与整改。</w:t>
            </w:r>
          </w:p>
          <w:p>
            <w:pPr>
              <w:pageBreakBefore w:val="0"/>
              <w:numPr>
                <w:ilvl w:val="0"/>
                <w:numId w:val="42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43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3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持续改进有成效，管理规范，无上级主管部门处罚记录。</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2.8.1.4 规范病理学诊断项目对外委托服务管理，保障病理质量，满足临床需要。</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3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根据医院的资源情况，病理学诊断服务项目可与有资质的医疗机构或经省市卫生行政部门审批通过医学检测机构签订对外委托服务协议，并有明确的服务形式与质量保障条款。</w:t>
            </w:r>
          </w:p>
          <w:p>
            <w:pPr>
              <w:pageBreakBefore w:val="0"/>
              <w:numPr>
                <w:ilvl w:val="0"/>
                <w:numId w:val="43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对外委托服务协议中，有对危急值报告以及各类报告的时限与诊断质量等有明确的管理要求。</w:t>
            </w:r>
          </w:p>
          <w:p>
            <w:pPr>
              <w:pageBreakBefore w:val="0"/>
              <w:numPr>
                <w:ilvl w:val="0"/>
                <w:numId w:val="43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被委托的检测机构需通过信息化平台、远程会诊等形式，定期与医院病理医师、临床医师开展联合病例讨论，不断提升技术水平，保证病理诊断质量。</w:t>
            </w:r>
          </w:p>
          <w:p>
            <w:pPr>
              <w:pageBreakBefore w:val="0"/>
              <w:numPr>
                <w:ilvl w:val="0"/>
                <w:numId w:val="43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医院有指定部门和专人负责标本收集、报告接收与发放、质量监管与评价等跟踪服务，发现问题及时向被委托的检测机构反馈。</w:t>
            </w:r>
          </w:p>
          <w:p>
            <w:pPr>
              <w:pageBreakBefore w:val="0"/>
              <w:numPr>
                <w:ilvl w:val="0"/>
                <w:numId w:val="43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被委托检测机构有定期开展检测项目质量的自查、总结分析，对存在问题有整改。</w:t>
            </w:r>
          </w:p>
        </w:tc>
        <w:tc>
          <w:tcPr>
            <w:tcW w:w="1269" w:type="pct"/>
            <w:tcMar>
              <w:top w:w="22" w:type="dxa"/>
              <w:left w:w="22" w:type="dxa"/>
              <w:bottom w:w="22" w:type="dxa"/>
              <w:right w:w="22" w:type="dxa"/>
            </w:tcMar>
            <w:vAlign w:val="center"/>
          </w:tcPr>
          <w:p>
            <w:pPr>
              <w:pageBreakBefore w:val="0"/>
              <w:numPr>
                <w:ilvl w:val="0"/>
                <w:numId w:val="43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3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3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现场查看，并查阅相关工作记录。</w:t>
            </w:r>
          </w:p>
          <w:p>
            <w:pPr>
              <w:pageBreakBefore w:val="0"/>
              <w:numPr>
                <w:ilvl w:val="0"/>
                <w:numId w:val="43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3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主管部门对对外委托服务项目工作有监管，有检查整改落实情况。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持续改进有成效，有数据体现服务质量提升，满足临床需求。</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2.8.1.5 医学影像部门设置布局、设备、设施符合相应规范标准，服务满足临床需要，提供24 小时急诊诊断服务。</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3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医学影像服务与医疗机构执业诊疗科目许可登记项目相符合，执业文件齐全并在效期内。</w:t>
            </w:r>
          </w:p>
          <w:p>
            <w:pPr>
              <w:pageBreakBefore w:val="0"/>
              <w:numPr>
                <w:ilvl w:val="0"/>
                <w:numId w:val="43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X 线摄影、超声检查、CT 提供24 小时×7 天的急诊（包括床边急诊）检查服务。</w:t>
            </w:r>
          </w:p>
          <w:p>
            <w:pPr>
              <w:pageBreakBefore w:val="0"/>
              <w:numPr>
                <w:ilvl w:val="0"/>
                <w:numId w:val="43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有明确的服务项目、报告时限的规定并公示。</w:t>
            </w:r>
          </w:p>
        </w:tc>
        <w:tc>
          <w:tcPr>
            <w:tcW w:w="1269" w:type="pct"/>
            <w:tcMar>
              <w:top w:w="22" w:type="dxa"/>
              <w:left w:w="22" w:type="dxa"/>
              <w:bottom w:w="22" w:type="dxa"/>
              <w:right w:w="22" w:type="dxa"/>
            </w:tcMar>
            <w:vAlign w:val="center"/>
          </w:tcPr>
          <w:p>
            <w:pPr>
              <w:pageBreakBefore w:val="0"/>
              <w:numPr>
                <w:ilvl w:val="0"/>
                <w:numId w:val="43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3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现场查看。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43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科室有定期自查、总结分析与整改。</w:t>
            </w:r>
          </w:p>
          <w:p>
            <w:pPr>
              <w:pageBreakBefore w:val="0"/>
              <w:numPr>
                <w:ilvl w:val="0"/>
                <w:numId w:val="43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43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3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持续改进有成效，管理规范，无上级主管部门处罚记录。</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2.8.2从事临床检验、病理和医学影像诊断工作和技术工作的人员资质应该按照有关规定取得相应专业技术职务任职资格。</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2.8.2.1 有明确的临床检验专业技术人员资质要求。</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3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临床检验工作的专业技术人员应当具有相应的专业学历，并取得相应专业技术职务任职资格。</w:t>
            </w:r>
          </w:p>
          <w:p>
            <w:pPr>
              <w:pageBreakBefore w:val="0"/>
              <w:numPr>
                <w:ilvl w:val="0"/>
                <w:numId w:val="43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科室负责人具备检验专业副高及以上技术职称。</w:t>
            </w:r>
          </w:p>
          <w:p>
            <w:pPr>
              <w:pageBreakBefore w:val="0"/>
              <w:numPr>
                <w:ilvl w:val="0"/>
                <w:numId w:val="43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分子生物学、特殊岗位（HIV 初筛实验室、产前筛查及诊断、新生儿疾病筛查等）检验人员经培训考核后持卫生行政管理部门核发的上岗证方可独立工作。</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1.2. 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43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有科室人才培养计划，并落实。</w:t>
            </w:r>
          </w:p>
          <w:p>
            <w:pPr>
              <w:pageBreakBefore w:val="0"/>
              <w:numPr>
                <w:ilvl w:val="0"/>
                <w:numId w:val="43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有各岗位人员专业水平定期培训、考核。</w:t>
            </w:r>
          </w:p>
        </w:tc>
        <w:tc>
          <w:tcPr>
            <w:tcW w:w="1269" w:type="pct"/>
            <w:tcMar>
              <w:top w:w="22" w:type="dxa"/>
              <w:left w:w="22" w:type="dxa"/>
              <w:bottom w:w="22" w:type="dxa"/>
              <w:right w:w="22" w:type="dxa"/>
            </w:tcMar>
            <w:vAlign w:val="center"/>
          </w:tcPr>
          <w:p>
            <w:pPr>
              <w:pageBreakBefore w:val="0"/>
              <w:numPr>
                <w:ilvl w:val="0"/>
                <w:numId w:val="43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3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持续改进有成效，有数据体现人才梯队不断完善。</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2.8.2.2 从事病理诊断和技术工作人员资质符合专业技术职务任职资格。</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4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病理科人员配置合理，满足工作需要。</w:t>
            </w:r>
          </w:p>
          <w:p>
            <w:pPr>
              <w:pageBreakBefore w:val="0"/>
              <w:numPr>
                <w:ilvl w:val="0"/>
                <w:numId w:val="44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科主任具有副高级以上病理学专业技术职务任职资格。</w:t>
            </w:r>
          </w:p>
          <w:p>
            <w:pPr>
              <w:pageBreakBefore w:val="0"/>
              <w:numPr>
                <w:ilvl w:val="0"/>
                <w:numId w:val="44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病理科出具病理诊断报告的医师具有临床执业医师资格并具备初级以上病理学专业技术职务任职资格，经过病理诊断专业知识培训或专科进修学习1-3 年。</w:t>
            </w:r>
          </w:p>
          <w:p>
            <w:pPr>
              <w:pageBreakBefore w:val="0"/>
              <w:numPr>
                <w:ilvl w:val="0"/>
                <w:numId w:val="44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病理科出具快速病理诊断报告的医师具有中级以上病理学专业技术任职资格，并有6 年以上病理阅片诊断经历。</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1.2.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3.4. 现场查看，抽查相关报告各5份，评价是否符合要求。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44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有科室人才培养计划，并落实。</w:t>
            </w:r>
          </w:p>
          <w:p>
            <w:pPr>
              <w:pageBreakBefore w:val="0"/>
              <w:numPr>
                <w:ilvl w:val="0"/>
                <w:numId w:val="44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有各岗位人员专业水平定期培训、考核。</w:t>
            </w:r>
          </w:p>
        </w:tc>
        <w:tc>
          <w:tcPr>
            <w:tcW w:w="1269" w:type="pct"/>
            <w:tcMar>
              <w:top w:w="22" w:type="dxa"/>
              <w:left w:w="22" w:type="dxa"/>
              <w:bottom w:w="22" w:type="dxa"/>
              <w:right w:w="22" w:type="dxa"/>
            </w:tcMar>
            <w:vAlign w:val="center"/>
          </w:tcPr>
          <w:p>
            <w:pPr>
              <w:pageBreakBefore w:val="0"/>
              <w:numPr>
                <w:ilvl w:val="0"/>
                <w:numId w:val="44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4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持续改进有成效，有数据体现人才梯队不断完善。</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2.8.2.3 从事医学影像诊断和技术工作人员资质符合相应专业技术职务任职资格。</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4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医师、技术人员和护士配备符合相关规范，满足工作需要。</w:t>
            </w:r>
          </w:p>
          <w:p>
            <w:pPr>
              <w:pageBreakBefore w:val="0"/>
              <w:numPr>
                <w:ilvl w:val="0"/>
                <w:numId w:val="44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各级各类人员具有相应资质及执业资格。</w:t>
            </w:r>
          </w:p>
          <w:p>
            <w:pPr>
              <w:pageBreakBefore w:val="0"/>
              <w:numPr>
                <w:ilvl w:val="0"/>
                <w:numId w:val="44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科主任具备副主任医师及以上专业技术任职资格。</w:t>
            </w:r>
          </w:p>
          <w:p>
            <w:pPr>
              <w:pageBreakBefore w:val="0"/>
              <w:numPr>
                <w:ilvl w:val="0"/>
                <w:numId w:val="44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根据医院功能任务与设备的种类设若干专业组，各专业组设置合理。</w:t>
            </w:r>
          </w:p>
        </w:tc>
        <w:tc>
          <w:tcPr>
            <w:tcW w:w="1269" w:type="pct"/>
            <w:tcMar>
              <w:top w:w="22" w:type="dxa"/>
              <w:left w:w="22" w:type="dxa"/>
              <w:bottom w:w="22" w:type="dxa"/>
              <w:right w:w="22" w:type="dxa"/>
            </w:tcMar>
            <w:vAlign w:val="center"/>
          </w:tcPr>
          <w:p>
            <w:pPr>
              <w:pageBreakBefore w:val="0"/>
              <w:numPr>
                <w:ilvl w:val="0"/>
                <w:numId w:val="44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4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抽查不同岗位人员相关证件4份，是否符合要求。</w:t>
            </w:r>
          </w:p>
          <w:p>
            <w:pPr>
              <w:pageBreakBefore w:val="0"/>
              <w:numPr>
                <w:ilvl w:val="0"/>
                <w:numId w:val="44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4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查阅相关资料，评价是否设置合理。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44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有科室人才培养计划，并落实。</w:t>
            </w:r>
          </w:p>
          <w:p>
            <w:pPr>
              <w:pageBreakBefore w:val="0"/>
              <w:numPr>
                <w:ilvl w:val="0"/>
                <w:numId w:val="44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有各岗位人员专业水平定期培训、考核。</w:t>
            </w:r>
          </w:p>
        </w:tc>
        <w:tc>
          <w:tcPr>
            <w:tcW w:w="1269" w:type="pct"/>
            <w:tcMar>
              <w:top w:w="22" w:type="dxa"/>
              <w:left w:w="22" w:type="dxa"/>
              <w:bottom w:w="22" w:type="dxa"/>
              <w:right w:w="22" w:type="dxa"/>
            </w:tcMar>
            <w:vAlign w:val="center"/>
          </w:tcPr>
          <w:p>
            <w:pPr>
              <w:pageBreakBefore w:val="0"/>
              <w:numPr>
                <w:ilvl w:val="0"/>
                <w:numId w:val="44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4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持续改进有成效，有数据体现人才梯队不断完善。</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2.8.3有临床检验、病理实验室和医学影像诊疗场所管理制度、安全程序、标准操作流程和技术操作规范，遵照实施并准确记录。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bookmarkStart w:id="195" w:name="_Hlk73301226"/>
            <w:r>
              <w:rPr>
                <w:rFonts w:hint="default" w:ascii="Times New Roman" w:hAnsi="Times New Roman" w:eastAsia="方正仿宋_GBK" w:cs="Times New Roman"/>
                <w:color w:val="auto"/>
                <w:sz w:val="24"/>
                <w:szCs w:val="24"/>
                <w:highlight w:val="none"/>
              </w:rPr>
              <w:t>2.8.3.1 建立临床检验管理制度、安全程序、标准操作流程和技术操作规范，遵照实施并准确记录。</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4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有临床检验科相关管理制度、安全程序、标准操作流程和技术操作规范。</w:t>
            </w:r>
          </w:p>
          <w:p>
            <w:pPr>
              <w:pageBreakBefore w:val="0"/>
              <w:numPr>
                <w:ilvl w:val="0"/>
                <w:numId w:val="44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实验室分区及工作流程符合生物安全要求。</w:t>
            </w:r>
          </w:p>
          <w:p>
            <w:pPr>
              <w:pageBreakBefore w:val="0"/>
              <w:numPr>
                <w:ilvl w:val="0"/>
                <w:numId w:val="44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核酸检测实验室至少达到P2实验室标准，并严格落实实验室备案。</w:t>
            </w:r>
          </w:p>
          <w:p>
            <w:pPr>
              <w:pageBreakBefore w:val="0"/>
              <w:numPr>
                <w:ilvl w:val="0"/>
                <w:numId w:val="44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微生物实验室有专人负责菌（毒）种管理。有微生物菌种、毒株检测样品收集、取用的过程记录。有相应的应急预案。</w:t>
            </w:r>
          </w:p>
          <w:p>
            <w:pPr>
              <w:pageBreakBefore w:val="0"/>
              <w:numPr>
                <w:ilvl w:val="0"/>
                <w:numId w:val="44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实验室配置充足的安全防护设施，包括洗眼器、冲淋装置及其他急救设施等。</w:t>
            </w:r>
          </w:p>
          <w:p>
            <w:pPr>
              <w:pageBreakBefore w:val="0"/>
              <w:numPr>
                <w:ilvl w:val="0"/>
                <w:numId w:val="44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对生物安全、易燃易爆危险化学品等有警示标识。</w:t>
            </w:r>
          </w:p>
          <w:p>
            <w:pPr>
              <w:pageBreakBefore w:val="0"/>
              <w:numPr>
                <w:ilvl w:val="0"/>
                <w:numId w:val="44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有检验标本采集运输指南、标本交接规范与流程；标本处理和保存由专人负责，有标本接收、拒收和废弃的记录，对标本进行全程跟踪。</w:t>
            </w:r>
          </w:p>
          <w:p>
            <w:pPr>
              <w:pageBreakBefore w:val="0"/>
              <w:numPr>
                <w:ilvl w:val="0"/>
                <w:numId w:val="44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有实验室生物安全事故应急演练培训</w:t>
            </w:r>
            <w:r>
              <w:rPr>
                <w:rFonts w:hint="default" w:ascii="Times New Roman" w:hAnsi="Times New Roman" w:eastAsia="方正仿宋_GBK" w:cs="Times New Roman"/>
                <w:color w:val="auto"/>
                <w:sz w:val="24"/>
                <w:szCs w:val="24"/>
                <w:highlight w:val="none"/>
                <w:lang w:eastAsia="zh-CN"/>
              </w:rPr>
              <w:t>。</w:t>
            </w:r>
          </w:p>
        </w:tc>
        <w:tc>
          <w:tcPr>
            <w:tcW w:w="1269" w:type="pct"/>
            <w:tcMar>
              <w:top w:w="22" w:type="dxa"/>
              <w:left w:w="22" w:type="dxa"/>
              <w:bottom w:w="22" w:type="dxa"/>
              <w:right w:w="22" w:type="dxa"/>
            </w:tcMar>
            <w:vAlign w:val="center"/>
          </w:tcPr>
          <w:p>
            <w:pPr>
              <w:pageBreakBefore w:val="0"/>
              <w:numPr>
                <w:ilvl w:val="0"/>
                <w:numId w:val="44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4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p>
            <w:pPr>
              <w:pageBreakBefore w:val="0"/>
              <w:numPr>
                <w:ilvl w:val="0"/>
                <w:numId w:val="44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现场查看，并查阅相关验收资料。</w:t>
            </w:r>
          </w:p>
          <w:p>
            <w:pPr>
              <w:pageBreakBefore w:val="0"/>
              <w:numPr>
                <w:ilvl w:val="0"/>
                <w:numId w:val="44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现场查看，并查阅相关资料。</w:t>
            </w:r>
          </w:p>
          <w:p>
            <w:pPr>
              <w:pageBreakBefore w:val="0"/>
              <w:numPr>
                <w:ilvl w:val="0"/>
                <w:numId w:val="44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现场查看，评价是否符合要求。</w:t>
            </w:r>
          </w:p>
          <w:p>
            <w:pPr>
              <w:pageBreakBefore w:val="0"/>
              <w:numPr>
                <w:ilvl w:val="0"/>
                <w:numId w:val="44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p>
            <w:pPr>
              <w:pageBreakBefore w:val="0"/>
              <w:numPr>
                <w:ilvl w:val="0"/>
                <w:numId w:val="44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rPr>
              <w:t>现场查看，并查阅相关资料。</w:t>
            </w:r>
          </w:p>
          <w:p>
            <w:pPr>
              <w:pageBreakBefore w:val="0"/>
              <w:numPr>
                <w:ilvl w:val="0"/>
                <w:numId w:val="44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eastAsia="zh-CN"/>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44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科室有自查，对存在问题有分析、整改。</w:t>
            </w:r>
          </w:p>
          <w:p>
            <w:pPr>
              <w:pageBreakBefore w:val="0"/>
              <w:numPr>
                <w:ilvl w:val="0"/>
                <w:numId w:val="44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45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5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持续改进有成效，管理规范，未发生相关不良事件。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2.8.3.2 建立病理实验室诊疗场所管理制度、安全程序、标准操作流程和技术操作规范，遵照实施并准确记录。</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5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有病理科相关管理制度、安全程序、标准操作流程、诊断和技术操作规范及质量管理标准；有仪器、试剂的质控管理制度和完整的记录。</w:t>
            </w:r>
          </w:p>
          <w:p>
            <w:pPr>
              <w:pageBreakBefore w:val="0"/>
              <w:numPr>
                <w:ilvl w:val="0"/>
                <w:numId w:val="45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有病理标本采集、固定、送达及交接相关流程，有保证特殊染色、免疫组织化学染色操作规范与流程，并执行。</w:t>
            </w:r>
          </w:p>
          <w:p>
            <w:pPr>
              <w:pageBreakBefore w:val="0"/>
              <w:numPr>
                <w:ilvl w:val="0"/>
                <w:numId w:val="45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有完善的易燃品、剧毒化学品的登记和管理规范，并执行。</w:t>
            </w:r>
          </w:p>
        </w:tc>
        <w:tc>
          <w:tcPr>
            <w:tcW w:w="1269" w:type="pct"/>
            <w:tcMar>
              <w:top w:w="22" w:type="dxa"/>
              <w:left w:w="22" w:type="dxa"/>
              <w:bottom w:w="22" w:type="dxa"/>
              <w:right w:w="22" w:type="dxa"/>
            </w:tcMar>
            <w:vAlign w:val="center"/>
          </w:tcPr>
          <w:p>
            <w:pPr>
              <w:pageBreakBefore w:val="0"/>
              <w:numPr>
                <w:ilvl w:val="0"/>
                <w:numId w:val="45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5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查阅相关资料（含执行记录）。</w:t>
            </w:r>
          </w:p>
          <w:p>
            <w:pPr>
              <w:pageBreakBefore w:val="0"/>
              <w:numPr>
                <w:ilvl w:val="0"/>
                <w:numId w:val="45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查阅相关资料（含执行记录）。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45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科室有自查，对存在问题有分析、整改。</w:t>
            </w:r>
          </w:p>
          <w:p>
            <w:pPr>
              <w:pageBreakBefore w:val="0"/>
              <w:numPr>
                <w:ilvl w:val="0"/>
                <w:numId w:val="45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45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5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持续改进有成效，管理规范，未发生相关不良事件。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bookmarkEnd w:id="195"/>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2.8.3.3 医学影像部门建立健全各项制度和技术操作规范，场所配备抢救车，相关人员具备紧急抢救能力。</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5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有影像质量控制相关制度、岗位职责、技术规范、操作常规。</w:t>
            </w:r>
          </w:p>
          <w:p>
            <w:pPr>
              <w:pageBreakBefore w:val="0"/>
              <w:numPr>
                <w:ilvl w:val="0"/>
                <w:numId w:val="45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有放射安全管理相关制度及医学影像设备、场所定期检测制度，并落实。</w:t>
            </w:r>
          </w:p>
          <w:p>
            <w:pPr>
              <w:pageBreakBefore w:val="0"/>
              <w:numPr>
                <w:ilvl w:val="0"/>
                <w:numId w:val="45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配备满足紧急救治需要的抢救车，相关人员经过急救培训，具备紧急抢救能力。</w:t>
            </w:r>
          </w:p>
        </w:tc>
        <w:tc>
          <w:tcPr>
            <w:tcW w:w="1269" w:type="pct"/>
            <w:tcMar>
              <w:top w:w="22" w:type="dxa"/>
              <w:left w:w="22" w:type="dxa"/>
              <w:bottom w:w="22" w:type="dxa"/>
              <w:right w:w="22" w:type="dxa"/>
            </w:tcMar>
            <w:vAlign w:val="center"/>
          </w:tcPr>
          <w:p>
            <w:pPr>
              <w:pageBreakBefore w:val="0"/>
              <w:numPr>
                <w:ilvl w:val="0"/>
                <w:numId w:val="45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5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5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现场查看，并抽查2名工作人员，考核其急救能力是否符合要求。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45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科室有定期自查、总结分析与整改。</w:t>
            </w:r>
          </w:p>
          <w:p>
            <w:pPr>
              <w:pageBreakBefore w:val="0"/>
              <w:numPr>
                <w:ilvl w:val="0"/>
                <w:numId w:val="45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45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5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持续改进有成效，管理规范，未发生相关不良事件。</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2.8.4临床检验、病理和医学影像报告及时、准确、规范，并严格执行审核制度。建立临床沟通机制，提供便捷、及时的检查检验信息服务。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2.8.4.1 检验报告管理制度落实，格式规范，并严格执行检验报告双签字制度，保证每一项检验结果的准确性。</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5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医院有检验报告相关管理制度、标准与流程。</w:t>
            </w:r>
          </w:p>
          <w:p>
            <w:pPr>
              <w:pageBreakBefore w:val="0"/>
              <w:numPr>
                <w:ilvl w:val="0"/>
                <w:numId w:val="45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相关制度有落实。</w:t>
            </w:r>
          </w:p>
        </w:tc>
        <w:tc>
          <w:tcPr>
            <w:tcW w:w="1269" w:type="pct"/>
            <w:tcMar>
              <w:top w:w="22" w:type="dxa"/>
              <w:left w:w="22" w:type="dxa"/>
              <w:bottom w:w="22" w:type="dxa"/>
              <w:right w:w="22" w:type="dxa"/>
            </w:tcMar>
            <w:vAlign w:val="center"/>
          </w:tcPr>
          <w:p>
            <w:pPr>
              <w:pageBreakBefore w:val="0"/>
              <w:numPr>
                <w:ilvl w:val="0"/>
                <w:numId w:val="46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6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现场抽查5份报告，评价是否符合要求。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科室有自查，对存在问题有分析、整改。</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2.8.4.2 检验结果报告时间满足临床诊疗需求，与临床建立有效的沟通方式。实验室信息管理完善。</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6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有常规检测项目报告时限（TAT</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要求，临检常规项目≤30 分钟出报告；生化、免疫常规项目≤1 个工作日出报告；微生物常规项目≤4 个工作日。</w:t>
            </w:r>
          </w:p>
          <w:p>
            <w:pPr>
              <w:pageBreakBefore w:val="0"/>
              <w:numPr>
                <w:ilvl w:val="0"/>
                <w:numId w:val="46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特殊检验项目</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清单，报告时限原则上不超过1 周。</w:t>
            </w:r>
          </w:p>
          <w:p>
            <w:pPr>
              <w:pageBreakBefore w:val="0"/>
              <w:numPr>
                <w:ilvl w:val="0"/>
                <w:numId w:val="46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有检验科与临床科室沟通机制，并落实。</w:t>
            </w:r>
          </w:p>
          <w:p>
            <w:pPr>
              <w:pageBreakBefore w:val="0"/>
              <w:numPr>
                <w:ilvl w:val="0"/>
                <w:numId w:val="46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建立实验室信息管理系统，与医院信息系统联网。</w:t>
            </w:r>
          </w:p>
          <w:p>
            <w:pPr>
              <w:pageBreakBefore w:val="0"/>
              <w:numPr>
                <w:ilvl w:val="0"/>
                <w:numId w:val="46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提供自助取化验报告单系统。</w:t>
            </w:r>
          </w:p>
        </w:tc>
        <w:tc>
          <w:tcPr>
            <w:tcW w:w="1269" w:type="pct"/>
            <w:tcMar>
              <w:top w:w="22" w:type="dxa"/>
              <w:left w:w="22" w:type="dxa"/>
              <w:bottom w:w="22" w:type="dxa"/>
              <w:right w:w="22" w:type="dxa"/>
            </w:tcMar>
            <w:vAlign w:val="center"/>
          </w:tcPr>
          <w:p>
            <w:pPr>
              <w:pageBreakBefore w:val="0"/>
              <w:numPr>
                <w:ilvl w:val="0"/>
                <w:numId w:val="46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现场抽查相关报告5份，评价是否符合要求。</w:t>
            </w:r>
          </w:p>
          <w:p>
            <w:pPr>
              <w:pageBreakBefore w:val="0"/>
              <w:numPr>
                <w:ilvl w:val="0"/>
                <w:numId w:val="46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6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6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p>
            <w:pPr>
              <w:pageBreakBefore w:val="0"/>
              <w:numPr>
                <w:ilvl w:val="0"/>
                <w:numId w:val="46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46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科室有自查，对存在问题有分析、整改。</w:t>
            </w:r>
          </w:p>
          <w:p>
            <w:pPr>
              <w:pageBreakBefore w:val="0"/>
              <w:numPr>
                <w:ilvl w:val="0"/>
                <w:numId w:val="46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主管部门定期督查、分析、反馈，并检查科室整改落实情况。</w:t>
            </w:r>
          </w:p>
        </w:tc>
        <w:tc>
          <w:tcPr>
            <w:tcW w:w="1269" w:type="pct"/>
            <w:tcMar>
              <w:top w:w="22" w:type="dxa"/>
              <w:left w:w="22" w:type="dxa"/>
              <w:bottom w:w="22" w:type="dxa"/>
              <w:right w:w="22" w:type="dxa"/>
            </w:tcMar>
            <w:vAlign w:val="center"/>
          </w:tcPr>
          <w:p>
            <w:pPr>
              <w:pageBreakBefore w:val="0"/>
              <w:numPr>
                <w:ilvl w:val="0"/>
                <w:numId w:val="46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6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2.8.4.3 病理报告及时、准确、规范，并严格执行审核制度。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6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有病理科规范病理诊断的管理制度、诊断报告审核流程及时限要求；有保证术中快速病理（含快速石蜡）诊断规范与准确的制度。</w:t>
            </w:r>
          </w:p>
          <w:p>
            <w:pPr>
              <w:pageBreakBefore w:val="0"/>
              <w:numPr>
                <w:ilvl w:val="0"/>
                <w:numId w:val="46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有疑难病例讨论、上级医师会诊及院际会诊管理制度，并落实。</w:t>
            </w:r>
          </w:p>
          <w:p>
            <w:pPr>
              <w:pageBreakBefore w:val="0"/>
              <w:numPr>
                <w:ilvl w:val="0"/>
                <w:numId w:val="46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有病理诊断报告补充或更改或迟发的管理制度与程序，并落实。</w:t>
            </w:r>
          </w:p>
        </w:tc>
        <w:tc>
          <w:tcPr>
            <w:tcW w:w="1269" w:type="pct"/>
            <w:tcMar>
              <w:top w:w="22" w:type="dxa"/>
              <w:left w:w="22" w:type="dxa"/>
              <w:bottom w:w="22" w:type="dxa"/>
              <w:right w:w="22" w:type="dxa"/>
            </w:tcMar>
            <w:vAlign w:val="center"/>
          </w:tcPr>
          <w:p>
            <w:pPr>
              <w:pageBreakBefore w:val="0"/>
              <w:numPr>
                <w:ilvl w:val="0"/>
                <w:numId w:val="46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6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6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46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科室有定期自查、总结分析与整改。</w:t>
            </w:r>
          </w:p>
          <w:p>
            <w:pPr>
              <w:pageBreakBefore w:val="0"/>
              <w:numPr>
                <w:ilvl w:val="0"/>
                <w:numId w:val="46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主管部门定期督查、反馈，并检查整改落实情况。</w:t>
            </w:r>
          </w:p>
        </w:tc>
        <w:tc>
          <w:tcPr>
            <w:tcW w:w="1269" w:type="pct"/>
            <w:tcMar>
              <w:top w:w="22" w:type="dxa"/>
              <w:left w:w="22" w:type="dxa"/>
              <w:bottom w:w="22" w:type="dxa"/>
              <w:right w:w="22" w:type="dxa"/>
            </w:tcMar>
            <w:vAlign w:val="center"/>
          </w:tcPr>
          <w:p>
            <w:pPr>
              <w:pageBreakBefore w:val="0"/>
              <w:numPr>
                <w:ilvl w:val="0"/>
                <w:numId w:val="46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6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color w:val="auto"/>
                <w:sz w:val="24"/>
                <w:szCs w:val="24"/>
                <w:highlight w:val="none"/>
              </w:rPr>
              <w:t>持续改进有成效，有数据或案例体现成效</w:t>
            </w:r>
            <w:r>
              <w:rPr>
                <w:rFonts w:hint="default" w:ascii="Times New Roman" w:hAnsi="Times New Roman" w:eastAsia="方正仿宋_GBK" w:cs="Times New Roman"/>
                <w:color w:val="auto"/>
                <w:sz w:val="24"/>
                <w:szCs w:val="24"/>
                <w:highlight w:val="none"/>
                <w:lang w:eastAsia="zh-CN"/>
              </w:rPr>
              <w:t>。</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2.8.4.4 有病理医师</w:t>
            </w:r>
            <w:r>
              <w:rPr>
                <w:rFonts w:hint="default" w:ascii="Times New Roman" w:hAnsi="Times New Roman" w:eastAsia="方正仿宋_GBK" w:cs="Times New Roman"/>
                <w:color w:val="auto"/>
                <w:sz w:val="24"/>
                <w:szCs w:val="24"/>
                <w:highlight w:val="none"/>
                <w:lang w:val="en-US" w:eastAsia="zh-CN"/>
              </w:rPr>
              <w:t>与</w:t>
            </w:r>
            <w:r>
              <w:rPr>
                <w:rFonts w:hint="default" w:ascii="Times New Roman" w:hAnsi="Times New Roman" w:eastAsia="方正仿宋_GBK" w:cs="Times New Roman"/>
                <w:color w:val="auto"/>
                <w:sz w:val="24"/>
                <w:szCs w:val="24"/>
                <w:highlight w:val="none"/>
              </w:rPr>
              <w:t>临床医师沟通的相关制度，提供便捷、及时的检查检验信息服务。</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6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有病理医师与临床医师沟通的相关制度。有重点病例随访与反馈相关规定，并落实。</w:t>
            </w:r>
          </w:p>
          <w:p>
            <w:pPr>
              <w:pageBreakBefore w:val="0"/>
              <w:numPr>
                <w:ilvl w:val="0"/>
                <w:numId w:val="46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定期召开临床病理联合病例讨论会（每季度不少于1次）。</w:t>
            </w:r>
          </w:p>
          <w:p>
            <w:pPr>
              <w:pageBreakBefore w:val="0"/>
              <w:numPr>
                <w:ilvl w:val="0"/>
                <w:numId w:val="46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与临床科室有多种形式和途径的沟通，满足临床科室对病理项目的咨询。</w:t>
            </w:r>
          </w:p>
        </w:tc>
        <w:tc>
          <w:tcPr>
            <w:tcW w:w="1269" w:type="pct"/>
            <w:tcMar>
              <w:top w:w="22" w:type="dxa"/>
              <w:left w:w="22" w:type="dxa"/>
              <w:bottom w:w="22" w:type="dxa"/>
              <w:right w:w="22" w:type="dxa"/>
            </w:tcMar>
            <w:vAlign w:val="center"/>
          </w:tcPr>
          <w:p>
            <w:pPr>
              <w:pageBreakBefore w:val="0"/>
              <w:numPr>
                <w:ilvl w:val="0"/>
                <w:numId w:val="47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7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7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科室有定期总结分析与整改。</w:t>
            </w:r>
          </w:p>
        </w:tc>
        <w:tc>
          <w:tcPr>
            <w:tcW w:w="1269" w:type="pct"/>
            <w:tcMar>
              <w:top w:w="22" w:type="dxa"/>
              <w:left w:w="22" w:type="dxa"/>
              <w:bottom w:w="22" w:type="dxa"/>
              <w:right w:w="22" w:type="dxa"/>
            </w:tcMar>
            <w:vAlign w:val="center"/>
          </w:tcPr>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2.8.4.5 医学影像诊断报告及时、规范，严</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格执行审核制度。</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7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有诊断报告书写规范、审核制度与流程，对报告医师资质、时限有明确的管理要求。</w:t>
            </w:r>
          </w:p>
          <w:p>
            <w:pPr>
              <w:pageBreakBefore w:val="0"/>
              <w:numPr>
                <w:ilvl w:val="0"/>
                <w:numId w:val="47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有影像疑难病例讨论、随访与反馈制度，定期举行疑难病例讨论与读片会。</w:t>
            </w:r>
          </w:p>
          <w:p>
            <w:pPr>
              <w:pageBreakBefore w:val="0"/>
              <w:numPr>
                <w:ilvl w:val="0"/>
                <w:numId w:val="47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有与临床医师沟通途径，定期组织疑难病例讨论会（每季度不少于一次）。</w:t>
            </w:r>
          </w:p>
        </w:tc>
        <w:tc>
          <w:tcPr>
            <w:tcW w:w="1269" w:type="pct"/>
            <w:tcMar>
              <w:top w:w="22" w:type="dxa"/>
              <w:left w:w="22" w:type="dxa"/>
              <w:bottom w:w="22" w:type="dxa"/>
              <w:right w:w="22" w:type="dxa"/>
            </w:tcMar>
            <w:vAlign w:val="center"/>
          </w:tcPr>
          <w:p>
            <w:pPr>
              <w:pageBreakBefore w:val="0"/>
              <w:numPr>
                <w:ilvl w:val="0"/>
                <w:numId w:val="47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查阅相关资料，现场抽查5份报告，评价是否符合要求。</w:t>
            </w:r>
          </w:p>
          <w:p>
            <w:pPr>
              <w:pageBreakBefore w:val="0"/>
              <w:numPr>
                <w:ilvl w:val="0"/>
                <w:numId w:val="47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7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47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科室有定期自查、总结分析与整改。</w:t>
            </w:r>
          </w:p>
          <w:p>
            <w:pPr>
              <w:pageBreakBefore w:val="0"/>
              <w:numPr>
                <w:ilvl w:val="0"/>
                <w:numId w:val="47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269" w:type="pct"/>
            <w:tcMar>
              <w:top w:w="22" w:type="dxa"/>
              <w:left w:w="22" w:type="dxa"/>
              <w:bottom w:w="22" w:type="dxa"/>
              <w:right w:w="22" w:type="dxa"/>
            </w:tcMar>
            <w:vAlign w:val="center"/>
          </w:tcPr>
          <w:p>
            <w:pPr>
              <w:pageBreakBefore w:val="0"/>
              <w:numPr>
                <w:ilvl w:val="0"/>
                <w:numId w:val="47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7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2.8.5 落实全面质量管理与改进制度，开展室内质量控制和室间质量评价。相关检查检验设备（含床旁检查检验设备）按照要求定期检测。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2.8.5.1 检验科常规开展室内质控；参加室间质评或能力验证计划；保证检测系统的完整性和有效性。</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widowControl/>
              <w:numPr>
                <w:ilvl w:val="0"/>
                <w:numId w:val="47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有本实验室室内质控规则。内容包括室内质控覆盖实验室全部检测项目及不同标本类型；保证每检测批次至少有1次室内质控结果；有室内质控重点项目：室内质控报告有负责人签字等。</w:t>
            </w:r>
          </w:p>
          <w:p>
            <w:pPr>
              <w:pageBreakBefore w:val="0"/>
              <w:widowControl/>
              <w:numPr>
                <w:ilvl w:val="0"/>
                <w:numId w:val="47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参加省级室间质量评价计划或能力验证计划。内容包括室间质评或能力验证应覆盖实验室内检测项目及不同标本类型；明确无法提供相应评价计划的项目的目录/清单；对无法提供相应评价计划的项目，应有替代评估方案等。</w:t>
            </w:r>
          </w:p>
          <w:p>
            <w:pPr>
              <w:pageBreakBefore w:val="0"/>
              <w:widowControl/>
              <w:numPr>
                <w:ilvl w:val="0"/>
                <w:numId w:val="47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有临床检验项目标准操作规程和检验仪器的标准操作、维护规程，并严格执行，有完整的记录。</w:t>
            </w:r>
          </w:p>
        </w:tc>
        <w:tc>
          <w:tcPr>
            <w:tcW w:w="1269" w:type="pct"/>
            <w:tcMar>
              <w:top w:w="22" w:type="dxa"/>
              <w:left w:w="22" w:type="dxa"/>
              <w:bottom w:w="22" w:type="dxa"/>
              <w:right w:w="22" w:type="dxa"/>
            </w:tcMar>
            <w:vAlign w:val="center"/>
          </w:tcPr>
          <w:p>
            <w:pPr>
              <w:pageBreakBefore w:val="0"/>
              <w:numPr>
                <w:ilvl w:val="0"/>
                <w:numId w:val="47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7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7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47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有效处理失控，定期评估室内质控各项参数及失控率。</w:t>
            </w:r>
          </w:p>
          <w:p>
            <w:pPr>
              <w:pageBreakBefore w:val="0"/>
              <w:numPr>
                <w:ilvl w:val="0"/>
                <w:numId w:val="47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参加国家级室间质量评价计划或能力验证计划。</w:t>
            </w:r>
          </w:p>
          <w:p>
            <w:pPr>
              <w:pageBreakBefore w:val="0"/>
              <w:numPr>
                <w:ilvl w:val="0"/>
                <w:numId w:val="47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有完整的定期校准、维修维护记录。</w:t>
            </w:r>
          </w:p>
        </w:tc>
        <w:tc>
          <w:tcPr>
            <w:tcW w:w="1269" w:type="pct"/>
            <w:tcMar>
              <w:top w:w="22" w:type="dxa"/>
              <w:left w:w="22" w:type="dxa"/>
              <w:bottom w:w="22" w:type="dxa"/>
              <w:right w:w="22" w:type="dxa"/>
            </w:tcMar>
            <w:vAlign w:val="center"/>
          </w:tcPr>
          <w:p>
            <w:pPr>
              <w:pageBreakBefore w:val="0"/>
              <w:numPr>
                <w:ilvl w:val="0"/>
                <w:numId w:val="47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7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7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2.8.5.2病理科常规开展室内质控；参加室间质评或能力验证计划；保证检测系统的完整性和有效性。</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widowControl/>
              <w:numPr>
                <w:ilvl w:val="0"/>
                <w:numId w:val="47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有本实验室室内质控规则。内容包括室内质控覆盖实验室全部检测项目及不同标本类型；保证每检测批次至少有1次室内质控结果；有室内质控重点项目;室内质控报告有负责人签字等。</w:t>
            </w:r>
          </w:p>
          <w:p>
            <w:pPr>
              <w:pageBreakBefore w:val="0"/>
              <w:widowControl/>
              <w:numPr>
                <w:ilvl w:val="0"/>
                <w:numId w:val="47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参加省级室间质量评价计划或能力验证计划。内容包括室间质评或能力验证应覆盖实验室内检测项目及不同标本类型；明确无法提供相应评价计划的项目的目录/清单；对无法提供相应评价计划的项目，应有替代评估方案等。</w:t>
            </w:r>
          </w:p>
          <w:p>
            <w:pPr>
              <w:pageBreakBefore w:val="0"/>
              <w:widowControl/>
              <w:numPr>
                <w:ilvl w:val="0"/>
                <w:numId w:val="47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有临床检验项目标准操作规程和检验仪器的标准操作、维护规程，并严格执行，有完整的记录。</w:t>
            </w:r>
          </w:p>
        </w:tc>
        <w:tc>
          <w:tcPr>
            <w:tcW w:w="1269" w:type="pct"/>
            <w:tcMar>
              <w:top w:w="22" w:type="dxa"/>
              <w:left w:w="22" w:type="dxa"/>
              <w:bottom w:w="22" w:type="dxa"/>
              <w:right w:w="22" w:type="dxa"/>
            </w:tcMar>
            <w:vAlign w:val="center"/>
          </w:tcPr>
          <w:p>
            <w:pPr>
              <w:pageBreakBefore w:val="0"/>
              <w:numPr>
                <w:ilvl w:val="0"/>
                <w:numId w:val="48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8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8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48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.有效处理失控，定期评估室内质控各项参数及失控率。</w:t>
            </w:r>
          </w:p>
          <w:p>
            <w:pPr>
              <w:pageBreakBefore w:val="0"/>
              <w:numPr>
                <w:ilvl w:val="0"/>
                <w:numId w:val="48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参加国家级室间质量评价计划或能力验证计划。</w:t>
            </w:r>
          </w:p>
          <w:p>
            <w:pPr>
              <w:pageBreakBefore w:val="0"/>
              <w:numPr>
                <w:ilvl w:val="0"/>
                <w:numId w:val="48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有完整的定期校准、维修维护记录。</w:t>
            </w:r>
          </w:p>
        </w:tc>
        <w:tc>
          <w:tcPr>
            <w:tcW w:w="1269" w:type="pct"/>
            <w:tcMar>
              <w:top w:w="22" w:type="dxa"/>
              <w:left w:w="22" w:type="dxa"/>
              <w:bottom w:w="22" w:type="dxa"/>
              <w:right w:w="22" w:type="dxa"/>
            </w:tcMar>
            <w:vAlign w:val="center"/>
          </w:tcPr>
          <w:p>
            <w:pPr>
              <w:pageBreakBefore w:val="0"/>
              <w:numPr>
                <w:ilvl w:val="0"/>
                <w:numId w:val="48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8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8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2.8.5.3所有POCT（现场快速检测）项目统一管理，均应开展室内质控，并参加室间质评。</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8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医院有POCT 项目管理制度，有指定部门负责POCT 管理，有院内POCT 项目清单。</w:t>
            </w:r>
          </w:p>
          <w:p>
            <w:pPr>
              <w:pageBreakBefore w:val="0"/>
              <w:numPr>
                <w:ilvl w:val="0"/>
                <w:numId w:val="48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有床旁检测授权、再授权制度并落实。</w:t>
            </w:r>
          </w:p>
          <w:p>
            <w:pPr>
              <w:pageBreakBefore w:val="0"/>
              <w:numPr>
                <w:ilvl w:val="0"/>
                <w:numId w:val="48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检验科按规定对POCT 项目进行质控监管，并有记录。</w:t>
            </w:r>
          </w:p>
          <w:p>
            <w:pPr>
              <w:pageBreakBefore w:val="0"/>
              <w:numPr>
                <w:ilvl w:val="0"/>
                <w:numId w:val="48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所有POCT 设备按要求进行室内质控，通过参加室间质评或进行仪器间比对或进行方法学比对方式确保检验结果的可接受性，结果有作记录。</w:t>
            </w:r>
          </w:p>
        </w:tc>
        <w:tc>
          <w:tcPr>
            <w:tcW w:w="1269" w:type="pct"/>
            <w:tcMar>
              <w:top w:w="22" w:type="dxa"/>
              <w:left w:w="22" w:type="dxa"/>
              <w:bottom w:w="22" w:type="dxa"/>
              <w:right w:w="22" w:type="dxa"/>
            </w:tcMar>
            <w:vAlign w:val="center"/>
          </w:tcPr>
          <w:p>
            <w:pPr>
              <w:pageBreakBefore w:val="0"/>
              <w:numPr>
                <w:ilvl w:val="0"/>
                <w:numId w:val="48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8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8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8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主管部门定期督查、反馈，并检查整改落实情况。</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持续改进有成效，管理规范，ＰＯCＴ项目比对为100%。</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2.8.5.4 放射科制定设备标准操作、维护规程；常规开展图像质量评价活动。</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8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放射科有设备标准操作、维护规程，并严格执行，有完整的记录。</w:t>
            </w:r>
          </w:p>
          <w:p>
            <w:pPr>
              <w:pageBreakBefore w:val="0"/>
              <w:numPr>
                <w:ilvl w:val="0"/>
                <w:numId w:val="48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有图像质量评价小组，有质量评价标准，定期对图像质量进行评价，有工作记录。</w:t>
            </w:r>
          </w:p>
          <w:p>
            <w:pPr>
              <w:pageBreakBefore w:val="0"/>
              <w:numPr>
                <w:ilvl w:val="0"/>
                <w:numId w:val="48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将图像质量评价结果纳入相关技术人员能力评价与授权。</w:t>
            </w:r>
          </w:p>
        </w:tc>
        <w:tc>
          <w:tcPr>
            <w:tcW w:w="1269" w:type="pct"/>
            <w:tcMar>
              <w:top w:w="22" w:type="dxa"/>
              <w:left w:w="22" w:type="dxa"/>
              <w:bottom w:w="22" w:type="dxa"/>
              <w:right w:w="22" w:type="dxa"/>
            </w:tcMar>
            <w:vAlign w:val="center"/>
          </w:tcPr>
          <w:p>
            <w:pPr>
              <w:pageBreakBefore w:val="0"/>
              <w:numPr>
                <w:ilvl w:val="0"/>
                <w:numId w:val="48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8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8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科室有定期自查、总结分析与整改。</w:t>
            </w:r>
          </w:p>
        </w:tc>
        <w:tc>
          <w:tcPr>
            <w:tcW w:w="1269" w:type="pct"/>
            <w:tcMar>
              <w:top w:w="22" w:type="dxa"/>
              <w:left w:w="22" w:type="dxa"/>
              <w:bottom w:w="22" w:type="dxa"/>
              <w:right w:w="22" w:type="dxa"/>
            </w:tcMar>
            <w:vAlign w:val="center"/>
          </w:tcPr>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2.8.6按照有关规定建立临床检验、病理和医学影像环境保护及人员职业安全防护制度，遵照实施并准确记录。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2.8.6.1 按照有关规定建立检验科环境安全管理规定、流程及职业安全防护措施。环境保护及人员职业安全防护符合规定。</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8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按照行业规范制定环境、人员职业安全防护管理规定与流程（包括职业暴露后处置预案）。</w:t>
            </w:r>
          </w:p>
          <w:p>
            <w:pPr>
              <w:pageBreakBefore w:val="0"/>
              <w:numPr>
                <w:ilvl w:val="0"/>
                <w:numId w:val="48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配备符合国家标准的消毒与防护用品，及暴露后处置设施及用品，配备完整、数量充足，便于工作人员获取和使用。</w:t>
            </w:r>
          </w:p>
          <w:p>
            <w:pPr>
              <w:pageBreakBefore w:val="0"/>
              <w:numPr>
                <w:ilvl w:val="0"/>
                <w:numId w:val="48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有定期培训，相关人员知晓并落实。</w:t>
            </w:r>
          </w:p>
        </w:tc>
        <w:tc>
          <w:tcPr>
            <w:tcW w:w="1269" w:type="pct"/>
            <w:tcMar>
              <w:top w:w="22" w:type="dxa"/>
              <w:left w:w="22" w:type="dxa"/>
              <w:bottom w:w="22" w:type="dxa"/>
              <w:right w:w="22" w:type="dxa"/>
            </w:tcMar>
            <w:vAlign w:val="center"/>
          </w:tcPr>
          <w:p>
            <w:pPr>
              <w:pageBreakBefore w:val="0"/>
              <w:numPr>
                <w:ilvl w:val="0"/>
                <w:numId w:val="48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8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现场查看，评价是否符合要求。</w:t>
            </w:r>
          </w:p>
          <w:p>
            <w:pPr>
              <w:pageBreakBefore w:val="0"/>
              <w:numPr>
                <w:ilvl w:val="0"/>
                <w:numId w:val="488"/>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现场查看，并询问2名工作人员了解其知晓情况。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numPr>
                <w:ilvl w:val="0"/>
                <w:numId w:val="48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各实验室设置安全员，负责相关的安全管理，工作有记录。</w:t>
            </w:r>
          </w:p>
          <w:p>
            <w:pPr>
              <w:pageBreakBefore w:val="0"/>
              <w:widowControl/>
              <w:numPr>
                <w:ilvl w:val="0"/>
                <w:numId w:val="489"/>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主管部门对实验室安全管理工作有检查与监管。</w:t>
            </w:r>
          </w:p>
        </w:tc>
        <w:tc>
          <w:tcPr>
            <w:tcW w:w="1269" w:type="pct"/>
            <w:tcMar>
              <w:top w:w="22" w:type="dxa"/>
              <w:left w:w="22" w:type="dxa"/>
              <w:bottom w:w="22" w:type="dxa"/>
              <w:right w:w="22" w:type="dxa"/>
            </w:tcMar>
            <w:vAlign w:val="center"/>
          </w:tcPr>
          <w:p>
            <w:pPr>
              <w:pageBreakBefore w:val="0"/>
              <w:numPr>
                <w:ilvl w:val="0"/>
                <w:numId w:val="49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9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2.8.6.2按照有关规定建立病理科环境安全管理规定、流程及职业安全防护措施。环境保护及人员职业安全防护符合规定。</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9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按照行业规范制定环境、人员职业安全防护管理规定与流程（包括职业暴露后处置预案）。</w:t>
            </w:r>
          </w:p>
          <w:p>
            <w:pPr>
              <w:pageBreakBefore w:val="0"/>
              <w:numPr>
                <w:ilvl w:val="0"/>
                <w:numId w:val="49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配备符合国家标准的消毒与防护用品，及暴露后处置设施及用品，配备完整、数量充足，便于工作人员获取和使用。</w:t>
            </w:r>
          </w:p>
          <w:p>
            <w:pPr>
              <w:pageBreakBefore w:val="0"/>
              <w:numPr>
                <w:ilvl w:val="0"/>
                <w:numId w:val="491"/>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有定期培训，相关人员知晓并落实。</w:t>
            </w:r>
          </w:p>
        </w:tc>
        <w:tc>
          <w:tcPr>
            <w:tcW w:w="1269" w:type="pct"/>
            <w:tcMar>
              <w:top w:w="22" w:type="dxa"/>
              <w:left w:w="22" w:type="dxa"/>
              <w:bottom w:w="22" w:type="dxa"/>
              <w:right w:w="22" w:type="dxa"/>
            </w:tcMar>
            <w:vAlign w:val="center"/>
          </w:tcPr>
          <w:p>
            <w:pPr>
              <w:pageBreakBefore w:val="0"/>
              <w:numPr>
                <w:ilvl w:val="0"/>
                <w:numId w:val="49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9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现场查看，评价是否符合要求。</w:t>
            </w:r>
          </w:p>
          <w:p>
            <w:pPr>
              <w:pageBreakBefore w:val="0"/>
              <w:numPr>
                <w:ilvl w:val="0"/>
                <w:numId w:val="492"/>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现场查看，并询问2名工作人员了解其知晓情况。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numPr>
                <w:ilvl w:val="0"/>
                <w:numId w:val="49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各实验室设置安全员，负责相关的安全管理，工作有记录。</w:t>
            </w:r>
          </w:p>
          <w:p>
            <w:pPr>
              <w:pageBreakBefore w:val="0"/>
              <w:widowControl/>
              <w:numPr>
                <w:ilvl w:val="0"/>
                <w:numId w:val="493"/>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主管部门对实验室安全管理工作有检查与监管。</w:t>
            </w:r>
          </w:p>
        </w:tc>
        <w:tc>
          <w:tcPr>
            <w:tcW w:w="1269" w:type="pct"/>
            <w:tcMar>
              <w:top w:w="22" w:type="dxa"/>
              <w:left w:w="22" w:type="dxa"/>
              <w:bottom w:w="22" w:type="dxa"/>
              <w:right w:w="22" w:type="dxa"/>
            </w:tcMar>
            <w:vAlign w:val="center"/>
          </w:tcPr>
          <w:p>
            <w:pPr>
              <w:pageBreakBefore w:val="0"/>
              <w:numPr>
                <w:ilvl w:val="0"/>
                <w:numId w:val="49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94"/>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2.8.6.3 建立医学影像设备定期检测、放射安全管理等相关制度；有受检者和工作人员防护措施；有放射安全事件应急预案并组织演练。</w:t>
            </w:r>
          </w:p>
        </w:tc>
        <w:tc>
          <w:tcPr>
            <w:tcW w:w="2802" w:type="pct"/>
            <w:tcMar>
              <w:top w:w="22" w:type="dxa"/>
              <w:left w:w="22" w:type="dxa"/>
              <w:bottom w:w="22" w:type="dxa"/>
              <w:right w:w="22" w:type="dxa"/>
            </w:tcMar>
            <w:vAlign w:val="center"/>
          </w:tcPr>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9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有放射安全管理相关制度与落实措施。有医学影像设备、场所定期检测制度与落实措施。</w:t>
            </w:r>
          </w:p>
          <w:p>
            <w:pPr>
              <w:pageBreakBefore w:val="0"/>
              <w:numPr>
                <w:ilvl w:val="0"/>
                <w:numId w:val="49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有放射废物处理的相关规定并执行。</w:t>
            </w:r>
          </w:p>
          <w:p>
            <w:pPr>
              <w:pageBreakBefore w:val="0"/>
              <w:numPr>
                <w:ilvl w:val="0"/>
                <w:numId w:val="49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设置电离辐射警告标志。</w:t>
            </w:r>
          </w:p>
          <w:p>
            <w:pPr>
              <w:pageBreakBefore w:val="0"/>
              <w:numPr>
                <w:ilvl w:val="0"/>
                <w:numId w:val="49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有完整的放射防护器材与个人防护用品，并规范使用</w:t>
            </w:r>
          </w:p>
          <w:p>
            <w:pPr>
              <w:pageBreakBefore w:val="0"/>
              <w:numPr>
                <w:ilvl w:val="0"/>
                <w:numId w:val="49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影像科人员按照规定佩戴个人放射剂量计。</w:t>
            </w:r>
          </w:p>
          <w:p>
            <w:pPr>
              <w:pageBreakBefore w:val="0"/>
              <w:numPr>
                <w:ilvl w:val="0"/>
                <w:numId w:val="49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影像科人员按照规定每年进行健康检查。</w:t>
            </w:r>
          </w:p>
          <w:p>
            <w:pPr>
              <w:pageBreakBefore w:val="0"/>
              <w:numPr>
                <w:ilvl w:val="0"/>
                <w:numId w:val="495"/>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有放射安全事件应急预案，并定期演练。</w:t>
            </w:r>
          </w:p>
        </w:tc>
        <w:tc>
          <w:tcPr>
            <w:tcW w:w="1269" w:type="pct"/>
            <w:tcMar>
              <w:top w:w="22" w:type="dxa"/>
              <w:left w:w="22" w:type="dxa"/>
              <w:bottom w:w="22" w:type="dxa"/>
              <w:right w:w="22" w:type="dxa"/>
            </w:tcMar>
            <w:vAlign w:val="center"/>
          </w:tcPr>
          <w:p>
            <w:pPr>
              <w:pageBreakBefore w:val="0"/>
              <w:numPr>
                <w:ilvl w:val="0"/>
                <w:numId w:val="49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pageBreakBefore w:val="0"/>
              <w:numPr>
                <w:ilvl w:val="0"/>
                <w:numId w:val="49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查阅相关资料，并现场查看。</w:t>
            </w:r>
          </w:p>
          <w:p>
            <w:pPr>
              <w:pageBreakBefore w:val="0"/>
              <w:numPr>
                <w:ilvl w:val="0"/>
                <w:numId w:val="496"/>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5. 现场查看。</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6.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7.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widowControl/>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1.各区域设置安全员，负责相关的安全管理，工作有记录。</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2.主管部门对实验室安全管理工作有检查与监管。</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 xml:space="preserve">2.8.7 </w:t>
            </w:r>
            <w:r>
              <w:rPr>
                <w:rFonts w:hint="default" w:ascii="Times New Roman" w:hAnsi="Times New Roman" w:eastAsia="方正仿宋_GBK" w:cs="Times New Roman"/>
                <w:color w:val="auto"/>
                <w:sz w:val="24"/>
                <w:szCs w:val="24"/>
                <w:highlight w:val="none"/>
              </w:rPr>
              <w:t>建立健全本机构内的检查检验结果互认工作管理制度，加强人员培训，规范工作流程，为医务人员开展互认工作提供必要的设备设施及保障措施</w:t>
            </w:r>
            <w:r>
              <w:rPr>
                <w:rFonts w:hint="default" w:ascii="Times New Roman" w:hAnsi="Times New Roman" w:eastAsia="方正仿宋_GBK" w:cs="Times New Roman"/>
                <w:color w:val="auto"/>
                <w:sz w:val="24"/>
                <w:szCs w:val="24"/>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restart"/>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 xml:space="preserve">2.8.7.1 </w:t>
            </w:r>
            <w:r>
              <w:rPr>
                <w:rFonts w:hint="default" w:ascii="Times New Roman" w:hAnsi="Times New Roman" w:eastAsia="方正仿宋_GBK" w:cs="Times New Roman"/>
                <w:color w:val="auto"/>
                <w:sz w:val="24"/>
                <w:szCs w:val="24"/>
                <w:highlight w:val="none"/>
              </w:rPr>
              <w:t>按照国家法律法规和行业规范，建立检查检验结果互认工作管理制度</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并落实。</w:t>
            </w: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pageBreakBefore w:val="0"/>
              <w:numPr>
                <w:ilvl w:val="0"/>
                <w:numId w:val="49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医院按照《</w:t>
            </w:r>
            <w:r>
              <w:rPr>
                <w:rFonts w:hint="default" w:ascii="Times New Roman" w:hAnsi="Times New Roman" w:eastAsia="方正仿宋_GBK" w:cs="Times New Roman"/>
                <w:color w:val="auto"/>
                <w:sz w:val="24"/>
                <w:szCs w:val="24"/>
                <w:highlight w:val="none"/>
              </w:rPr>
              <w:t>医疗机构检查检验结果互认管理办法</w:t>
            </w:r>
            <w:r>
              <w:rPr>
                <w:rFonts w:hint="default" w:ascii="Times New Roman" w:hAnsi="Times New Roman" w:eastAsia="方正仿宋_GBK" w:cs="Times New Roman"/>
                <w:color w:val="auto"/>
                <w:sz w:val="24"/>
                <w:szCs w:val="24"/>
                <w:highlight w:val="none"/>
                <w:lang w:val="en-US" w:eastAsia="zh-CN"/>
              </w:rPr>
              <w:t>》要求，制定相关工作管理制度、流程。</w:t>
            </w:r>
          </w:p>
          <w:p>
            <w:pPr>
              <w:pageBreakBefore w:val="0"/>
              <w:numPr>
                <w:ilvl w:val="0"/>
                <w:numId w:val="497"/>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进行相关人员培训。</w:t>
            </w:r>
          </w:p>
        </w:tc>
        <w:tc>
          <w:tcPr>
            <w:tcW w:w="1269" w:type="pct"/>
            <w:tcMar>
              <w:top w:w="22" w:type="dxa"/>
              <w:left w:w="22" w:type="dxa"/>
              <w:bottom w:w="22" w:type="dxa"/>
              <w:right w:w="22" w:type="dxa"/>
            </w:tcMar>
            <w:vAlign w:val="center"/>
          </w:tcPr>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eastAsia"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lang w:val="en-US" w:eastAsia="zh-CN"/>
              </w:rPr>
              <w:t>查阅相关资料。</w:t>
            </w:r>
          </w:p>
          <w:p>
            <w:pPr>
              <w:pageBreakBefore w:val="0"/>
              <w:numPr>
                <w:ilvl w:val="0"/>
                <w:numId w:val="0"/>
              </w:numPr>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eastAsia"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lang w:val="en-US" w:eastAsia="zh-CN"/>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主管部门有工作落实督查、总结及反馈。</w:t>
            </w:r>
          </w:p>
        </w:tc>
        <w:tc>
          <w:tcPr>
            <w:tcW w:w="1269" w:type="pct"/>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vMerge w:val="continue"/>
            <w:tcBorders>
              <w:bottom w:val="single" w:color="000000" w:sz="6" w:space="0"/>
            </w:tcBorders>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802" w:type="pct"/>
            <w:tcBorders>
              <w:bottom w:val="single" w:color="000000" w:sz="6" w:space="0"/>
            </w:tcBorders>
            <w:tcMar>
              <w:top w:w="22" w:type="dxa"/>
              <w:left w:w="22" w:type="dxa"/>
              <w:bottom w:w="22" w:type="dxa"/>
              <w:right w:w="22" w:type="dxa"/>
            </w:tcMar>
            <w:vAlign w:val="center"/>
          </w:tcPr>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pageBreakBefore w:val="0"/>
              <w:kinsoku/>
              <w:wordWrap/>
              <w:overflowPunct/>
              <w:topLinePunct w:val="0"/>
              <w:bidi w:val="0"/>
              <w:snapToGrid/>
              <w:spacing w:line="300" w:lineRule="exact"/>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有数据体现该项工作落实有成效。</w:t>
            </w:r>
          </w:p>
        </w:tc>
        <w:tc>
          <w:tcPr>
            <w:tcW w:w="1269" w:type="pct"/>
            <w:tcBorders>
              <w:bottom w:val="single" w:color="000000" w:sz="6" w:space="0"/>
            </w:tcBorders>
            <w:tcMar>
              <w:top w:w="22" w:type="dxa"/>
              <w:left w:w="22" w:type="dxa"/>
              <w:bottom w:w="22" w:type="dxa"/>
              <w:right w:w="22" w:type="dxa"/>
            </w:tcMar>
            <w:vAlign w:val="center"/>
          </w:tcPr>
          <w:p>
            <w:pPr>
              <w:pageBreakBefore w:val="0"/>
              <w:kinsoku/>
              <w:wordWrap/>
              <w:overflowPunct/>
              <w:topLinePunct w:val="0"/>
              <w:bidi w:val="0"/>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查阅相关资料。</w:t>
            </w:r>
          </w:p>
        </w:tc>
      </w:tr>
    </w:tbl>
    <w:p>
      <w:pPr>
        <w:pStyle w:val="4"/>
        <w:spacing w:before="0" w:beforeAutospacing="0" w:after="0" w:afterAutospacing="0" w:line="560" w:lineRule="exact"/>
        <w:ind w:left="0" w:leftChars="0" w:right="0" w:rightChars="0" w:firstLine="624" w:firstLineChars="200"/>
        <w:jc w:val="left"/>
        <w:rPr>
          <w:rFonts w:hint="eastAsia" w:ascii="方正黑体_GBK" w:hAnsi="方正黑体_GBK" w:eastAsia="方正黑体_GBK" w:cs="方正黑体_GBK"/>
          <w:color w:val="auto"/>
          <w:szCs w:val="21"/>
          <w:highlight w:val="none"/>
          <w:lang w:val="en-US" w:eastAsia="zh-CN"/>
        </w:rPr>
      </w:pPr>
      <w:r>
        <w:rPr>
          <w:rFonts w:hint="default" w:ascii="Times New Roman" w:hAnsi="Times New Roman" w:eastAsia="方正黑体_GBK" w:cs="Times New Roman"/>
          <w:b w:val="0"/>
          <w:i w:val="0"/>
          <w:color w:val="auto"/>
          <w:sz w:val="32"/>
          <w:szCs w:val="21"/>
          <w:highlight w:val="none"/>
        </w:rPr>
        <w:t>九、输血管理与持续改进</w:t>
      </w:r>
    </w:p>
    <w:tbl>
      <w:tblPr>
        <w:tblStyle w:val="12"/>
        <w:tblW w:w="4998" w:type="pct"/>
        <w:jc w:val="center"/>
        <w:tblLayout w:type="autofit"/>
        <w:tblCellMar>
          <w:top w:w="15" w:type="dxa"/>
          <w:left w:w="15" w:type="dxa"/>
          <w:bottom w:w="15" w:type="dxa"/>
          <w:right w:w="15" w:type="dxa"/>
        </w:tblCellMar>
      </w:tblPr>
      <w:tblGrid>
        <w:gridCol w:w="1589"/>
        <w:gridCol w:w="4318"/>
        <w:gridCol w:w="2840"/>
        <w:gridCol w:w="25"/>
      </w:tblGrid>
      <w:tr>
        <w:tblPrEx>
          <w:tblCellMar>
            <w:top w:w="15" w:type="dxa"/>
            <w:left w:w="15" w:type="dxa"/>
            <w:bottom w:w="15" w:type="dxa"/>
            <w:right w:w="15" w:type="dxa"/>
          </w:tblCellMar>
        </w:tblPrEx>
        <w:trPr>
          <w:gridAfter w:val="1"/>
          <w:wAfter w:w="13" w:type="pct"/>
          <w:trHeight w:val="424" w:hRule="atLeast"/>
          <w:jc w:val="center"/>
        </w:trPr>
        <w:tc>
          <w:tcPr>
            <w:tcW w:w="906"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评审标准</w:t>
            </w:r>
          </w:p>
        </w:tc>
        <w:tc>
          <w:tcPr>
            <w:tcW w:w="246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评审要点</w:t>
            </w:r>
          </w:p>
        </w:tc>
        <w:tc>
          <w:tcPr>
            <w:tcW w:w="1618"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评审方法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3" w:type="pct"/>
          <w:jc w:val="center"/>
        </w:trPr>
        <w:tc>
          <w:tcPr>
            <w:tcW w:w="4986" w:type="pct"/>
            <w:gridSpan w:val="3"/>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2.9.1落实《中华人民共和国献血法》《医疗机构临床用血管理办法》和《临床输血技术规范》等有关规定，医院应当具备为临床提供 24 小时输血服务的能力，满足临床工作需要。</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3" w:type="pct"/>
          <w:jc w:val="center"/>
        </w:trPr>
        <w:tc>
          <w:tcPr>
            <w:tcW w:w="906"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2.9.1.1 输血科（血库）设置与医院功能和临床科室诊疗需求相适应，职责明确并执行到位，为临床提供24小时输血服务的能力，满足临床工作需要。</w:t>
            </w: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numPr>
                <w:ilvl w:val="0"/>
                <w:numId w:val="49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根据医院功能和临床科室诊疗需求设置输血科（血库）。布局、流程、设施、设备等符合相关规范要求。</w:t>
            </w:r>
          </w:p>
          <w:p>
            <w:pPr>
              <w:keepNext w:val="0"/>
              <w:keepLines w:val="0"/>
              <w:pageBreakBefore w:val="0"/>
              <w:widowControl w:val="0"/>
              <w:numPr>
                <w:ilvl w:val="0"/>
                <w:numId w:val="49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输血科或血库人员配置合适，满足临床用血需要。</w:t>
            </w:r>
          </w:p>
          <w:p>
            <w:pPr>
              <w:keepNext w:val="0"/>
              <w:keepLines w:val="0"/>
              <w:pageBreakBefore w:val="0"/>
              <w:widowControl w:val="0"/>
              <w:numPr>
                <w:ilvl w:val="0"/>
                <w:numId w:val="49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负责人具有副高以上技术职称、输血技术工作五年以上。</w:t>
            </w:r>
          </w:p>
          <w:p>
            <w:pPr>
              <w:keepNext w:val="0"/>
              <w:keepLines w:val="0"/>
              <w:pageBreakBefore w:val="0"/>
              <w:widowControl w:val="0"/>
              <w:numPr>
                <w:ilvl w:val="0"/>
                <w:numId w:val="49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有输血科（血库）工作制度、岗位职责、相关技术规范与操作规程，并对工作人员进行培训。</w:t>
            </w:r>
          </w:p>
          <w:p>
            <w:pPr>
              <w:keepNext w:val="0"/>
              <w:keepLines w:val="0"/>
              <w:pageBreakBefore w:val="0"/>
              <w:widowControl w:val="0"/>
              <w:numPr>
                <w:ilvl w:val="0"/>
                <w:numId w:val="49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有临床用血储备计划，有血液库存预警机制及应急用血保障机制，确保急救抢救用血。</w:t>
            </w:r>
          </w:p>
          <w:p>
            <w:pPr>
              <w:keepNext w:val="0"/>
              <w:keepLines w:val="0"/>
              <w:pageBreakBefore w:val="0"/>
              <w:widowControl w:val="0"/>
              <w:numPr>
                <w:ilvl w:val="0"/>
                <w:numId w:val="49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能24 小时为临床提供供血服务。</w:t>
            </w:r>
          </w:p>
        </w:tc>
        <w:tc>
          <w:tcPr>
            <w:tcW w:w="1618" w:type="pct"/>
            <w:tcMar>
              <w:top w:w="22" w:type="dxa"/>
              <w:left w:w="22" w:type="dxa"/>
              <w:bottom w:w="22" w:type="dxa"/>
              <w:right w:w="22" w:type="dxa"/>
            </w:tcMar>
            <w:vAlign w:val="center"/>
          </w:tcPr>
          <w:p>
            <w:pPr>
              <w:keepNext w:val="0"/>
              <w:keepLines w:val="0"/>
              <w:pageBreakBefore w:val="0"/>
              <w:widowControl w:val="0"/>
              <w:numPr>
                <w:ilvl w:val="0"/>
                <w:numId w:val="49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现场查看，评价是否符合规范要求。</w:t>
            </w:r>
          </w:p>
          <w:p>
            <w:pPr>
              <w:keepNext w:val="0"/>
              <w:keepLines w:val="0"/>
              <w:pageBreakBefore w:val="0"/>
              <w:widowControl w:val="0"/>
              <w:numPr>
                <w:ilvl w:val="0"/>
                <w:numId w:val="49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查阅相关资料，评价是否符合要求。</w:t>
            </w:r>
          </w:p>
          <w:p>
            <w:pPr>
              <w:keepNext w:val="0"/>
              <w:keepLines w:val="0"/>
              <w:pageBreakBefore w:val="0"/>
              <w:widowControl w:val="0"/>
              <w:numPr>
                <w:ilvl w:val="0"/>
                <w:numId w:val="49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49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49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49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查阅工作排班及工作记录。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3" w:type="pct"/>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numPr>
                <w:ilvl w:val="0"/>
                <w:numId w:val="500"/>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科室有自查，对存在问题有分析、整改。</w:t>
            </w:r>
          </w:p>
          <w:p>
            <w:pPr>
              <w:keepNext w:val="0"/>
              <w:keepLines w:val="0"/>
              <w:pageBreakBefore w:val="0"/>
              <w:widowControl w:val="0"/>
              <w:numPr>
                <w:ilvl w:val="0"/>
                <w:numId w:val="500"/>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主管部门有督查、反馈，并检查整改落实情况。</w:t>
            </w:r>
          </w:p>
        </w:tc>
        <w:tc>
          <w:tcPr>
            <w:tcW w:w="1618" w:type="pct"/>
            <w:tcMar>
              <w:top w:w="22" w:type="dxa"/>
              <w:left w:w="22" w:type="dxa"/>
              <w:bottom w:w="22" w:type="dxa"/>
              <w:right w:w="22" w:type="dxa"/>
            </w:tcMar>
            <w:vAlign w:val="center"/>
          </w:tcPr>
          <w:p>
            <w:pPr>
              <w:keepNext w:val="0"/>
              <w:keepLines w:val="0"/>
              <w:pageBreakBefore w:val="0"/>
              <w:widowControl w:val="0"/>
              <w:numPr>
                <w:ilvl w:val="0"/>
                <w:numId w:val="501"/>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01"/>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3" w:type="pct"/>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持续改进有成效，有数据体现临床用血保障能力不断提升。</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3" w:type="pct"/>
          <w:jc w:val="center"/>
        </w:trPr>
        <w:tc>
          <w:tcPr>
            <w:tcW w:w="906"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2.9.1.2 依据《中华人民共和国献血法》《医疗机构临床用血管理办法》和《临床输血技术规范》制定医院临床用血、输血全过程管理制度，保障临床用血安全。</w:t>
            </w: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numPr>
                <w:ilvl w:val="0"/>
                <w:numId w:val="502"/>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依据相关法律法规，制定临床输血管理相关制度（内容覆盖本机构临床输血管理的全过程）。</w:t>
            </w:r>
          </w:p>
          <w:p>
            <w:pPr>
              <w:keepNext w:val="0"/>
              <w:keepLines w:val="0"/>
              <w:pageBreakBefore w:val="0"/>
              <w:widowControl w:val="0"/>
              <w:numPr>
                <w:ilvl w:val="0"/>
                <w:numId w:val="502"/>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对全院医护人员进行临床输血相关法律、法规、规章制度、输血知识等培训，并有考核；（每年不少于1次）。</w:t>
            </w:r>
          </w:p>
          <w:p>
            <w:pPr>
              <w:keepNext w:val="0"/>
              <w:keepLines w:val="0"/>
              <w:pageBreakBefore w:val="0"/>
              <w:widowControl w:val="0"/>
              <w:numPr>
                <w:ilvl w:val="0"/>
                <w:numId w:val="502"/>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建立临床用血分级管理制度，并执行。</w:t>
            </w:r>
          </w:p>
          <w:p>
            <w:pPr>
              <w:keepNext w:val="0"/>
              <w:keepLines w:val="0"/>
              <w:pageBreakBefore w:val="0"/>
              <w:widowControl w:val="0"/>
              <w:numPr>
                <w:ilvl w:val="0"/>
                <w:numId w:val="502"/>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开展临床用血评价及公示，临床医师合理用血评价结果与个人能力考核及与用血权限的认定挂钩。</w:t>
            </w:r>
          </w:p>
        </w:tc>
        <w:tc>
          <w:tcPr>
            <w:tcW w:w="1618" w:type="pct"/>
            <w:tcMar>
              <w:top w:w="22" w:type="dxa"/>
              <w:left w:w="22" w:type="dxa"/>
              <w:bottom w:w="22" w:type="dxa"/>
              <w:right w:w="22" w:type="dxa"/>
            </w:tcMar>
            <w:vAlign w:val="center"/>
          </w:tcPr>
          <w:p>
            <w:pPr>
              <w:keepNext w:val="0"/>
              <w:keepLines w:val="0"/>
              <w:pageBreakBefore w:val="0"/>
              <w:widowControl w:val="0"/>
              <w:numPr>
                <w:ilvl w:val="0"/>
                <w:numId w:val="503"/>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03"/>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03"/>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查阅相关制度，抽查用血申请单10份，评价是否符合要求。</w:t>
            </w:r>
          </w:p>
          <w:p>
            <w:pPr>
              <w:keepNext w:val="0"/>
              <w:keepLines w:val="0"/>
              <w:pageBreakBefore w:val="0"/>
              <w:widowControl w:val="0"/>
              <w:numPr>
                <w:ilvl w:val="0"/>
                <w:numId w:val="503"/>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3" w:type="pct"/>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numPr>
                <w:ilvl w:val="0"/>
                <w:numId w:val="504"/>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输血科有定期自查，对存在问题有分析、整改。</w:t>
            </w:r>
          </w:p>
          <w:p>
            <w:pPr>
              <w:keepNext w:val="0"/>
              <w:keepLines w:val="0"/>
              <w:pageBreakBefore w:val="0"/>
              <w:widowControl w:val="0"/>
              <w:numPr>
                <w:ilvl w:val="0"/>
                <w:numId w:val="504"/>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各临床科室定期对医师合理用血情况进行评价。</w:t>
            </w:r>
          </w:p>
          <w:p>
            <w:pPr>
              <w:keepNext w:val="0"/>
              <w:keepLines w:val="0"/>
              <w:pageBreakBefore w:val="0"/>
              <w:widowControl w:val="0"/>
              <w:numPr>
                <w:ilvl w:val="0"/>
                <w:numId w:val="504"/>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主管部门有督查、反馈，并检查整改落实情况。</w:t>
            </w:r>
          </w:p>
        </w:tc>
        <w:tc>
          <w:tcPr>
            <w:tcW w:w="1618" w:type="pct"/>
            <w:tcMar>
              <w:top w:w="22" w:type="dxa"/>
              <w:left w:w="22" w:type="dxa"/>
              <w:bottom w:w="22" w:type="dxa"/>
              <w:right w:w="22" w:type="dxa"/>
            </w:tcMar>
            <w:vAlign w:val="center"/>
          </w:tcPr>
          <w:p>
            <w:pPr>
              <w:keepNext w:val="0"/>
              <w:keepLines w:val="0"/>
              <w:pageBreakBefore w:val="0"/>
              <w:widowControl w:val="0"/>
              <w:numPr>
                <w:ilvl w:val="0"/>
                <w:numId w:val="505"/>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05"/>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抽查2个用血较多的科室（如血液内科、儿科血液病病区、骨科、神经外科、急诊内、外科、重症医学科等）相关资料。</w:t>
            </w:r>
          </w:p>
          <w:p>
            <w:pPr>
              <w:keepNext w:val="0"/>
              <w:keepLines w:val="0"/>
              <w:pageBreakBefore w:val="0"/>
              <w:widowControl w:val="0"/>
              <w:numPr>
                <w:ilvl w:val="0"/>
                <w:numId w:val="505"/>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3" w:type="pct"/>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3" w:type="pct"/>
          <w:jc w:val="center"/>
        </w:trPr>
        <w:tc>
          <w:tcPr>
            <w:tcW w:w="4986" w:type="pct"/>
            <w:gridSpan w:val="3"/>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2.9.2加强临床用血过程管理，严格掌握输血适应证和输血技术操作规范，促进临床安全、有效、科学用血。</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3" w:type="pct"/>
          <w:jc w:val="center"/>
        </w:trPr>
        <w:tc>
          <w:tcPr>
            <w:tcW w:w="906"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2.9.2.1 执行输血前相关检测规定，输血前向患者及其近亲属告知输血的目的和风险，并签署</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输血治疗知情同意书</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w:t>
            </w: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numPr>
                <w:ilvl w:val="0"/>
                <w:numId w:val="506"/>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具备为准备输血的患者进行血型及感染筛查（乙肝五项、HCV、HIV、梅毒抗体）的相关检测能力，并开展相关检测。</w:t>
            </w:r>
          </w:p>
          <w:p>
            <w:pPr>
              <w:keepNext w:val="0"/>
              <w:keepLines w:val="0"/>
              <w:pageBreakBefore w:val="0"/>
              <w:widowControl w:val="0"/>
              <w:numPr>
                <w:ilvl w:val="0"/>
                <w:numId w:val="506"/>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输血前检测率100%。</w:t>
            </w:r>
          </w:p>
          <w:p>
            <w:pPr>
              <w:keepNext w:val="0"/>
              <w:keepLines w:val="0"/>
              <w:pageBreakBefore w:val="0"/>
              <w:widowControl w:val="0"/>
              <w:numPr>
                <w:ilvl w:val="0"/>
                <w:numId w:val="506"/>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有输血前医患双方共同签署的输血治疗知情同意书。</w:t>
            </w:r>
          </w:p>
          <w:p>
            <w:pPr>
              <w:keepNext w:val="0"/>
              <w:keepLines w:val="0"/>
              <w:pageBreakBefore w:val="0"/>
              <w:widowControl w:val="0"/>
              <w:numPr>
                <w:ilvl w:val="0"/>
                <w:numId w:val="506"/>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有对抢救生命垂危的患者等特殊情况下的紧急输血有相关规定与批准流程，并执行。</w:t>
            </w:r>
          </w:p>
        </w:tc>
        <w:tc>
          <w:tcPr>
            <w:tcW w:w="1618" w:type="pct"/>
            <w:tcMar>
              <w:top w:w="22" w:type="dxa"/>
              <w:left w:w="22" w:type="dxa"/>
              <w:bottom w:w="22" w:type="dxa"/>
              <w:right w:w="22" w:type="dxa"/>
            </w:tcMar>
            <w:vAlign w:val="center"/>
          </w:tcPr>
          <w:p>
            <w:pPr>
              <w:keepNext w:val="0"/>
              <w:keepLines w:val="0"/>
              <w:pageBreakBefore w:val="0"/>
              <w:widowControl w:val="0"/>
              <w:numPr>
                <w:ilvl w:val="0"/>
                <w:numId w:val="507"/>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3. 抽查在院相关病历10份，评价是否符合规范要求。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3" w:type="pct"/>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numPr>
                <w:ilvl w:val="0"/>
                <w:numId w:val="50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科室有定期自查，对存在问题有整改。</w:t>
            </w:r>
          </w:p>
          <w:p>
            <w:pPr>
              <w:keepNext w:val="0"/>
              <w:keepLines w:val="0"/>
              <w:pageBreakBefore w:val="0"/>
              <w:widowControl w:val="0"/>
              <w:numPr>
                <w:ilvl w:val="0"/>
                <w:numId w:val="50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主管部门有定期督查、反馈，并检查整改落实情况。</w:t>
            </w:r>
          </w:p>
        </w:tc>
        <w:tc>
          <w:tcPr>
            <w:tcW w:w="1618" w:type="pct"/>
            <w:tcMar>
              <w:top w:w="22" w:type="dxa"/>
              <w:left w:w="22" w:type="dxa"/>
              <w:bottom w:w="22" w:type="dxa"/>
              <w:right w:w="22" w:type="dxa"/>
            </w:tcMar>
            <w:vAlign w:val="center"/>
          </w:tcPr>
          <w:p>
            <w:pPr>
              <w:keepNext w:val="0"/>
              <w:keepLines w:val="0"/>
              <w:pageBreakBefore w:val="0"/>
              <w:widowControl w:val="0"/>
              <w:numPr>
                <w:ilvl w:val="0"/>
                <w:numId w:val="50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0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3" w:type="pct"/>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持续改进有成效，管理规范，无相关不良事件发生。</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3" w:type="pct"/>
          <w:jc w:val="center"/>
        </w:trPr>
        <w:tc>
          <w:tcPr>
            <w:tcW w:w="906"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2.9.2.2 严格掌握输血适应症，落实临床用血申请、审核制度；促进临床合理用血。</w:t>
            </w: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医院有临床用血前评估、申请审核和用血后效果评价管理制度。</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按照输血规范，严格掌握输血适应症申请用血，用血申请单应明确书写用血原因。</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无特殊原因，输血患者应施行成分输血。</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抽查10份申请单，评价是否符合要求。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查阅相关资料，评价成分输血执行情况。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3" w:type="pct"/>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临床科室对临床用血执行情况</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输血适应证、输血前评估指征、检测指标、输血后效果评价等记录）有自查。</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2.主管部门定期对安全、有效、合理用血有检查、反馈，并督促科室整改。</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3.成分输血率100%达到相关要求。</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抽查血液内科、心脏外科或骨科相关资料。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查阅相关资料，评价成分输血是否达到要求。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3" w:type="pct"/>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906"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2.9.2.3有临床输血过程的质量管理监控及效果评价的制度与流程。</w:t>
            </w:r>
          </w:p>
        </w:tc>
        <w:tc>
          <w:tcPr>
            <w:tcW w:w="2461" w:type="pc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1.根据相关法律法规和临床输血技术规范制定输血全过程质量管理监控的管理制度、评价指标和管理流程。（包括：储血、发血、输血中、输血后、输血室内质控和室间质评等）和监测评价结果。</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血液发出后，受血者和供血者标本于2℃～6℃保存至少7 天。</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从发血到输血各个交接环节要有记录，时间应精确到分钟。</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输血中实施全程监护，有输血反应处理预案与流程，输血不良反应发现和处理时间应精确到分钟记录在病历中。</w:t>
            </w:r>
          </w:p>
        </w:tc>
        <w:tc>
          <w:tcPr>
            <w:tcW w:w="1632" w:type="pct"/>
            <w:gridSpan w:val="2"/>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现场查看及查阅相关资料。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随机抽查5份在院输血患者病历，查阅相关交接是否符合要求。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查阅输血反应处理预案及流程，相关规定是否符合要求。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主管部门对输血全过程制度的落实情况有督查、反馈，并督促科室整改。</w:t>
            </w:r>
          </w:p>
        </w:tc>
        <w:tc>
          <w:tcPr>
            <w:tcW w:w="1632" w:type="pct"/>
            <w:gridSpan w:val="2"/>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632" w:type="pct"/>
            <w:gridSpan w:val="2"/>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2.9.3建立与麻醉科有效沟通，积极开展自体输血，严格掌握术中输血适应证，合理、安全输血。</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6"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2.9.3.1 与麻醉科科室保持有效沟通，严格掌握术中输血适应证；积极开展自体输血。</w:t>
            </w: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有对开展自体输血、围手术期血液保护等输血技术管理规定。</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有支持开展血液保护相关技术的设备条件。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有开展血液保护相关技术的人员并能开展工作。</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自体输血率达到10%以上</w:t>
            </w:r>
          </w:p>
        </w:tc>
        <w:tc>
          <w:tcPr>
            <w:tcW w:w="1632"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3. 现场查看。</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科室有自体输血和异体输血管理情况自查，并有与上年度用血量比较的数据信息。</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主管部门对自体输血有检查、反馈。</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自体输血率达到 25%以上。</w:t>
            </w:r>
          </w:p>
        </w:tc>
        <w:tc>
          <w:tcPr>
            <w:tcW w:w="1632"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持续改进有成效，自体输血率达到 35%以上。</w:t>
            </w:r>
          </w:p>
        </w:tc>
        <w:tc>
          <w:tcPr>
            <w:tcW w:w="1632"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2.9.4开展血液质量管理监控，制订、实施控制输血严重危害（输血传染疾病、严重不良反应）的方案。落实输血相容性检测管理制度和实验质量管理要求，确保输血安全。</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6"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bookmarkStart w:id="196" w:name="_Hlk73305093"/>
            <w:r>
              <w:rPr>
                <w:rFonts w:hint="default" w:ascii="Times New Roman" w:hAnsi="Times New Roman" w:eastAsia="方正仿宋_GBK" w:cs="Times New Roman"/>
                <w:color w:val="auto"/>
                <w:sz w:val="24"/>
                <w:szCs w:val="24"/>
                <w:highlight w:val="none"/>
              </w:rPr>
              <w:t>2.9.4.1 有血液贮存质量监测与信息反馈的制度。</w:t>
            </w: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医院有血液贮存质量监测与信息反馈的管理制度，并执行。</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血液储存符合国家要求，有专人对血液贮存情况（存放方式、冰箱温度、标识、消毒、细菌监测等）定期监测并记录。</w:t>
            </w:r>
          </w:p>
        </w:tc>
        <w:tc>
          <w:tcPr>
            <w:tcW w:w="1632"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现场查看。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科室对血液贮存质量监测与信息反馈的制度落实情况有自查，对存在问题有分析、整改。</w:t>
            </w:r>
          </w:p>
        </w:tc>
        <w:tc>
          <w:tcPr>
            <w:tcW w:w="1632"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632"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6"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color w:val="auto"/>
                <w:sz w:val="24"/>
                <w:szCs w:val="24"/>
                <w:highlight w:val="none"/>
              </w:rPr>
              <w:t>2.9.4.2 建立输血管理信息系统，做好血液入库、贮存和发放管理。</w:t>
            </w: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numPr>
                <w:ilvl w:val="0"/>
                <w:numId w:val="510"/>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医院有制度对血液预订、接收、入库、储存、出库及库存预警等进行管理，保证血液储存、运送符合国家有关标准和要求，并执行。</w:t>
            </w:r>
          </w:p>
          <w:p>
            <w:pPr>
              <w:keepNext w:val="0"/>
              <w:keepLines w:val="0"/>
              <w:pageBreakBefore w:val="0"/>
              <w:widowControl w:val="0"/>
              <w:numPr>
                <w:ilvl w:val="0"/>
                <w:numId w:val="510"/>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医院有输血管理信息系统，并与供血血站之间互联互通。</w:t>
            </w:r>
          </w:p>
        </w:tc>
        <w:tc>
          <w:tcPr>
            <w:tcW w:w="1632" w:type="pct"/>
            <w:gridSpan w:val="2"/>
            <w:tcMar>
              <w:top w:w="22" w:type="dxa"/>
              <w:left w:w="22" w:type="dxa"/>
              <w:bottom w:w="22" w:type="dxa"/>
              <w:right w:w="22" w:type="dxa"/>
            </w:tcMar>
            <w:vAlign w:val="center"/>
          </w:tcPr>
          <w:p>
            <w:pPr>
              <w:keepNext w:val="0"/>
              <w:keepLines w:val="0"/>
              <w:pageBreakBefore w:val="0"/>
              <w:widowControl w:val="0"/>
              <w:numPr>
                <w:ilvl w:val="0"/>
                <w:numId w:val="511"/>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11"/>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现场查看信息系统的运行是否符合要求及制度执行情况。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输血科有定期自查，对存在问题有分析、整改。</w:t>
            </w:r>
          </w:p>
        </w:tc>
        <w:tc>
          <w:tcPr>
            <w:tcW w:w="1632"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管理规范，未发生血液质量相关不良事件。</w:t>
            </w:r>
          </w:p>
        </w:tc>
        <w:tc>
          <w:tcPr>
            <w:tcW w:w="1632"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bookmarkEnd w:id="196"/>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6"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2.9.4.3 落实临床用血不良事件报告制度，有控制输血严重危害，包括输血传染疾病、严重不良反应的方案与实施情况记录；有输血相关应急预案，并得到落实。</w:t>
            </w: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根据国家有关法律法规和规范建立临床用血不良事件监测报告制度，并执行。</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有控制包括输血传染疾病、严重不良反应等输血严重危害发生的处置预案。</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医院有定期培训及考核。</w:t>
            </w:r>
          </w:p>
        </w:tc>
        <w:tc>
          <w:tcPr>
            <w:tcW w:w="1632"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查阅相关资料，查看不良事件报告情况（报告系统或纸质报告）。</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主管部门定期督查、反馈，提出整改意见并检查整改落实情况。</w:t>
            </w:r>
          </w:p>
        </w:tc>
        <w:tc>
          <w:tcPr>
            <w:tcW w:w="1632"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32"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6"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2.9.4.4 落实输血相容性检测管理制度。</w:t>
            </w: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1.有输血科相容性检测实验室管理制度，输血前检验项目包括：血型ABO反正定型、RH</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D</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血型鉴定、交叉配血及不规则抗体筛查等。</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需要输血的患者、手术患者、待产孕妇和有创诊疗操作患者应进行输血相容性检测检查。</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交叉配血必须采用能检查不完全抗体的实验方法。</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用于输血相容性检测的试剂应符合相应标准。</w:t>
            </w:r>
          </w:p>
        </w:tc>
        <w:tc>
          <w:tcPr>
            <w:tcW w:w="1632"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3 .4. 现场查看及查阅相关资料，评价相关检测是否符合要求。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科室有自查，对存在问题有分析、整改。</w:t>
            </w:r>
          </w:p>
        </w:tc>
        <w:tc>
          <w:tcPr>
            <w:tcW w:w="1632"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持续改进有成效，输血相容性检测相关制度执行率100%。</w:t>
            </w:r>
          </w:p>
        </w:tc>
        <w:tc>
          <w:tcPr>
            <w:tcW w:w="1632"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查阅相关检测记录。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6"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2.9.4.5 开展实验室室内质控，室间质评，确保输血安全。</w:t>
            </w: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有室内质控管理规定，包括：质控品的技术规格，质控品常规使用前的确认，实施质控的频次，质控品检测数据分析方法，质控规则的选定等。</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有试验有效性判断和失控的判定标准。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对失控的结果有调查分析、处理，并记录。</w:t>
            </w:r>
          </w:p>
        </w:tc>
        <w:tc>
          <w:tcPr>
            <w:tcW w:w="1632"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输血科对室内失控项目和室间质评不合格项目有自查。</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参加省级或国家级室间质评时，应按常规检测方法与常规检测标本同时进行，不得另选检测系统，且成绩合格。</w:t>
            </w:r>
          </w:p>
        </w:tc>
        <w:tc>
          <w:tcPr>
            <w:tcW w:w="1632"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6" w:type="pct"/>
            <w:vMerge w:val="continue"/>
            <w:tcBorders>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61" w:type="pct"/>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持续改进有成效，有数据体现输血相容性检测质量不断提高。</w:t>
            </w:r>
          </w:p>
        </w:tc>
        <w:tc>
          <w:tcPr>
            <w:tcW w:w="1632" w:type="pct"/>
            <w:gridSpan w:val="2"/>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bl>
    <w:p>
      <w:pPr>
        <w:pStyle w:val="4"/>
        <w:spacing w:before="0" w:beforeAutospacing="0" w:after="0" w:afterAutospacing="0" w:line="560" w:lineRule="exact"/>
        <w:ind w:left="0" w:leftChars="0" w:rightChars="0" w:firstLine="624" w:firstLineChars="200"/>
        <w:jc w:val="left"/>
        <w:rPr>
          <w:color w:val="auto"/>
          <w:szCs w:val="21"/>
          <w:highlight w:val="none"/>
        </w:rPr>
      </w:pPr>
      <w:r>
        <w:rPr>
          <w:rFonts w:hint="default" w:ascii="Times New Roman" w:hAnsi="Times New Roman" w:eastAsia="方正黑体_GBK" w:cs="Times New Roman"/>
          <w:b w:val="0"/>
          <w:i w:val="0"/>
          <w:color w:val="auto"/>
          <w:sz w:val="32"/>
          <w:szCs w:val="21"/>
          <w:highlight w:val="none"/>
        </w:rPr>
        <w:t>十、医院感染管理与持续改进</w:t>
      </w:r>
    </w:p>
    <w:tbl>
      <w:tblPr>
        <w:tblStyle w:val="12"/>
        <w:tblW w:w="4998" w:type="pct"/>
        <w:jc w:val="center"/>
        <w:tblLayout w:type="autofit"/>
        <w:tblCellMar>
          <w:top w:w="15" w:type="dxa"/>
          <w:left w:w="15" w:type="dxa"/>
          <w:bottom w:w="15" w:type="dxa"/>
          <w:right w:w="15" w:type="dxa"/>
        </w:tblCellMar>
      </w:tblPr>
      <w:tblGrid>
        <w:gridCol w:w="1539"/>
        <w:gridCol w:w="7"/>
        <w:gridCol w:w="49"/>
        <w:gridCol w:w="4309"/>
        <w:gridCol w:w="2863"/>
        <w:gridCol w:w="5"/>
      </w:tblGrid>
      <w:tr>
        <w:trPr>
          <w:gridAfter w:val="1"/>
          <w:wAfter w:w="3" w:type="pct"/>
          <w:trHeight w:val="424" w:hRule="atLeast"/>
          <w:jc w:val="center"/>
        </w:trPr>
        <w:tc>
          <w:tcPr>
            <w:tcW w:w="877"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评审标准</w:t>
            </w:r>
          </w:p>
        </w:tc>
        <w:tc>
          <w:tcPr>
            <w:tcW w:w="2487" w:type="pct"/>
            <w:gridSpan w:val="3"/>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评审要点</w:t>
            </w:r>
          </w:p>
        </w:tc>
        <w:tc>
          <w:tcPr>
            <w:tcW w:w="163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评审方法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gridAfter w:val="1"/>
          <w:wAfter w:w="3" w:type="pct"/>
          <w:jc w:val="center"/>
        </w:trPr>
        <w:tc>
          <w:tcPr>
            <w:tcW w:w="4996" w:type="pct"/>
            <w:gridSpan w:val="5"/>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2.10.1按照《医院感染管理办法》《医疗机构感染预防与控制基本制度（试行）》，建立医院感染管理组织，建立院感多部门协调机制。完善医院感染管理与控制制度，有医院感染事件应急预案并组织实施，开展医院感染预防控制知识与技能的全员培训和教育。</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881"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2.10.1.1 依据《医院感染管理办法》建立医院感染管理组织，建立院感管理多部门协调机制，负责医院感染管理工作。</w:t>
            </w:r>
          </w:p>
        </w:tc>
        <w:tc>
          <w:tcPr>
            <w:tcW w:w="248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医院法人分管医院感染管理职能部门。</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建立</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医院感染管理委员会-医院感染管理部门-临床科室</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三级医院感染监控体系，有相关职责。</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医院感染管理委员会各组成成员符合《医院感染管理办法》要求，并履行在院感管理中的职责。</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医院感染管理纳入医院总体工作规划和质量与安全管理目标。</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 医院感染管理部门为独立设置的职能部门，其负责人应专职从事院感工作五年以上并具有副高以上职称。</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6. 临床科室有兼职的医院感染管理人员，有相关人员岗位职责并履行。</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7. 有医院感染管理、医务、护理、总务、微生物实验室、药学等多部门协调机制，有具体工作方案并执行。</w:t>
            </w:r>
          </w:p>
        </w:tc>
        <w:tc>
          <w:tcPr>
            <w:tcW w:w="163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查阅院领导分工文件，并访谈医院法人，了解其对医院感染管理工作的知晓情况。</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查阅相关资料，随机询问3名成员，了解其对职责的知晓度。</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6. 查阅相关资料，抽查2个临床科室的院感兼职监控医护人员，了解其对职责的知晓及履行情况。</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7.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881"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8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numPr>
                <w:ilvl w:val="0"/>
                <w:numId w:val="512"/>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医院感染管理部门对院，科两级医院感染管理工作及制度落实情况的督查、反馈，并督促整改（至少每季度1次）。</w:t>
            </w:r>
          </w:p>
          <w:p>
            <w:pPr>
              <w:keepNext w:val="0"/>
              <w:keepLines w:val="0"/>
              <w:pageBreakBefore w:val="0"/>
              <w:widowControl w:val="0"/>
              <w:numPr>
                <w:ilvl w:val="0"/>
                <w:numId w:val="512"/>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医院感染管理委员会定期召开专题会议，对医院感染管理现状进行分析，对存在的问题有反馈及改进措施（每年不少于2次）。</w:t>
            </w:r>
          </w:p>
          <w:p>
            <w:pPr>
              <w:keepNext w:val="0"/>
              <w:keepLines w:val="0"/>
              <w:pageBreakBefore w:val="0"/>
              <w:widowControl w:val="0"/>
              <w:numPr>
                <w:ilvl w:val="0"/>
                <w:numId w:val="512"/>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医院对上级主管部门检查中发现的问题，及时整改，并有记录。</w:t>
            </w:r>
          </w:p>
        </w:tc>
        <w:tc>
          <w:tcPr>
            <w:tcW w:w="163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881"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8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3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881"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2.10.1.2 </w:t>
            </w:r>
            <w:r>
              <w:rPr>
                <w:rFonts w:hint="default" w:ascii="Times New Roman" w:hAnsi="Times New Roman" w:eastAsia="方正仿宋_GBK" w:cs="Times New Roman"/>
                <w:color w:val="auto"/>
                <w:sz w:val="24"/>
                <w:szCs w:val="24"/>
                <w:highlight w:val="none"/>
                <w:lang w:val="en-US" w:eastAsia="zh-CN"/>
              </w:rPr>
              <w:t>按照</w:t>
            </w:r>
            <w:r>
              <w:rPr>
                <w:rFonts w:hint="default" w:ascii="Times New Roman" w:hAnsi="Times New Roman" w:eastAsia="方正仿宋_GBK" w:cs="Times New Roman"/>
                <w:color w:val="auto"/>
                <w:sz w:val="24"/>
                <w:szCs w:val="24"/>
                <w:highlight w:val="none"/>
              </w:rPr>
              <w:t>《医疗机构感染预防与控制基本制度（试行）》</w:t>
            </w:r>
            <w:r>
              <w:rPr>
                <w:rFonts w:hint="default" w:ascii="Times New Roman" w:hAnsi="Times New Roman" w:eastAsia="方正仿宋_GBK" w:cs="Times New Roman"/>
                <w:color w:val="auto"/>
                <w:sz w:val="24"/>
                <w:szCs w:val="24"/>
                <w:highlight w:val="none"/>
                <w:lang w:val="en-US" w:eastAsia="zh-CN"/>
              </w:rPr>
              <w:t>要求，</w:t>
            </w:r>
            <w:r>
              <w:rPr>
                <w:rFonts w:hint="default" w:ascii="Times New Roman" w:hAnsi="Times New Roman" w:eastAsia="方正仿宋_GBK" w:cs="Times New Roman"/>
                <w:color w:val="auto"/>
                <w:sz w:val="24"/>
                <w:szCs w:val="24"/>
                <w:highlight w:val="none"/>
              </w:rPr>
              <w:t>制订</w:t>
            </w:r>
            <w:r>
              <w:rPr>
                <w:rFonts w:hint="default" w:ascii="Times New Roman" w:hAnsi="Times New Roman" w:eastAsia="方正仿宋_GBK" w:cs="Times New Roman"/>
                <w:color w:val="auto"/>
                <w:sz w:val="24"/>
                <w:szCs w:val="24"/>
                <w:highlight w:val="none"/>
                <w:lang w:val="en-US" w:eastAsia="zh-CN"/>
              </w:rPr>
              <w:t>医院</w:t>
            </w:r>
            <w:r>
              <w:rPr>
                <w:rFonts w:hint="default" w:ascii="Times New Roman" w:hAnsi="Times New Roman" w:eastAsia="方正仿宋_GBK" w:cs="Times New Roman"/>
                <w:color w:val="auto"/>
                <w:sz w:val="24"/>
                <w:szCs w:val="24"/>
                <w:highlight w:val="none"/>
              </w:rPr>
              <w:t>相应的管理制度、防控流程等，并落实。</w:t>
            </w:r>
          </w:p>
        </w:tc>
        <w:tc>
          <w:tcPr>
            <w:tcW w:w="248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医院有医院感染的预防与控制相关制度，并根据管理需要及时修订完善。</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有针对医院所有医疗活动和工作流程而制定的具体措施，并落实。</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3.医务人员熟知相关制度、工作流程及所科室医院感染特点。</w:t>
            </w:r>
          </w:p>
        </w:tc>
        <w:tc>
          <w:tcPr>
            <w:tcW w:w="163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查阅相关SOP及落实的相关记录。</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随机抽查重点部门、内、外科及医技科室各一个，询问10名医务人员了解其知晓情况。知晓率≥80%。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881"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8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科室对医院感染管理工作的落实情况有自查，对存在问题有分析、整改。</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主管部门定期督查、反馈，并检查科室整改落实情况。</w:t>
            </w:r>
          </w:p>
        </w:tc>
        <w:tc>
          <w:tcPr>
            <w:tcW w:w="163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881"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8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3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881"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2.10.1.3 医院有感染管理培训计划、培训大纲和培训教材，实施全员培训。</w:t>
            </w:r>
          </w:p>
        </w:tc>
        <w:tc>
          <w:tcPr>
            <w:tcW w:w="248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有针对各级各类人员制定的医院感染管理培训计划。</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按计划开展相关培训并有考核。</w:t>
            </w:r>
          </w:p>
        </w:tc>
        <w:tc>
          <w:tcPr>
            <w:tcW w:w="163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881"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8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落实培训计划，有严格管理，相关资料完整。</w:t>
            </w:r>
          </w:p>
        </w:tc>
        <w:tc>
          <w:tcPr>
            <w:tcW w:w="163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881"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8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持续改进有成效，对培训效果进行追踪与评价，培训率达100%。</w:t>
            </w:r>
          </w:p>
        </w:tc>
        <w:tc>
          <w:tcPr>
            <w:tcW w:w="163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881"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2.10.1.4有医院感染暴发报告流程与处置预案。</w:t>
            </w:r>
          </w:p>
        </w:tc>
        <w:tc>
          <w:tcPr>
            <w:tcW w:w="248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numPr>
                <w:ilvl w:val="0"/>
                <w:numId w:val="513"/>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有医院感染暴发报告流程与处置预案。</w:t>
            </w:r>
          </w:p>
          <w:p>
            <w:pPr>
              <w:keepNext w:val="0"/>
              <w:keepLines w:val="0"/>
              <w:pageBreakBefore w:val="0"/>
              <w:widowControl w:val="0"/>
              <w:numPr>
                <w:ilvl w:val="0"/>
                <w:numId w:val="513"/>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按要求上报医院感染暴发事件。</w:t>
            </w:r>
          </w:p>
          <w:p>
            <w:pPr>
              <w:keepNext w:val="0"/>
              <w:keepLines w:val="0"/>
              <w:pageBreakBefore w:val="0"/>
              <w:widowControl w:val="0"/>
              <w:numPr>
                <w:ilvl w:val="0"/>
                <w:numId w:val="513"/>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有院、科两级医院感染暴发处置的演练。</w:t>
            </w:r>
          </w:p>
        </w:tc>
        <w:tc>
          <w:tcPr>
            <w:tcW w:w="1631" w:type="pct"/>
            <w:tcMar>
              <w:top w:w="22" w:type="dxa"/>
              <w:left w:w="22" w:type="dxa"/>
              <w:bottom w:w="22" w:type="dxa"/>
              <w:right w:w="22" w:type="dxa"/>
            </w:tcMar>
            <w:vAlign w:val="center"/>
          </w:tcPr>
          <w:p>
            <w:pPr>
              <w:keepNext w:val="0"/>
              <w:keepLines w:val="0"/>
              <w:pageBreakBefore w:val="0"/>
              <w:widowControl w:val="0"/>
              <w:numPr>
                <w:ilvl w:val="0"/>
                <w:numId w:val="514"/>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14"/>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14"/>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查阅相关资料，其中抽查2个感控重点部门的演练资料。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881"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8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有医院感染暴发处置演练效果评价报告，对存在问题有改进措施。</w:t>
            </w:r>
          </w:p>
        </w:tc>
        <w:tc>
          <w:tcPr>
            <w:tcW w:w="163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881"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8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3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4996" w:type="pct"/>
            <w:gridSpan w:val="5"/>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2.10.2按照《医院感染监测规范》，加强重点部门、重点环节、重点人群与高危险因素监测，控制并降低医院感染风险。</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881"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2.10.2.1 实施重点部门、重点环节、重点人群与高危险因素的监测，有具体防控措施，并落实。</w:t>
            </w:r>
          </w:p>
        </w:tc>
        <w:tc>
          <w:tcPr>
            <w:tcW w:w="248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numPr>
                <w:ilvl w:val="0"/>
                <w:numId w:val="515"/>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根据相关规范要求并结合医院实际，确定医院的重点部门、重点环节、重点人群与高危险因素，制定监测计划和管理措施，并落实。</w:t>
            </w:r>
          </w:p>
          <w:p>
            <w:pPr>
              <w:keepNext w:val="0"/>
              <w:keepLines w:val="0"/>
              <w:pageBreakBefore w:val="0"/>
              <w:widowControl w:val="0"/>
              <w:numPr>
                <w:ilvl w:val="0"/>
                <w:numId w:val="515"/>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有对感染较高风险的科室（如重症医学科、新生儿病房、产房、手术室、介入中心、内镜中心、感染性疾病科、口腔科、消毒供应中心等）感染控制情况进行风险评估，并制定针对性的控制措施，严格执行。</w:t>
            </w:r>
          </w:p>
          <w:p>
            <w:pPr>
              <w:keepNext w:val="0"/>
              <w:keepLines w:val="0"/>
              <w:pageBreakBefore w:val="0"/>
              <w:widowControl w:val="0"/>
              <w:numPr>
                <w:ilvl w:val="0"/>
                <w:numId w:val="515"/>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有手术部位、呼吸机相关下呼吸道、导尿管相关尿路、血管导管相关血流等主要部位感染预防控制的相关措施，并落实。</w:t>
            </w:r>
          </w:p>
        </w:tc>
        <w:tc>
          <w:tcPr>
            <w:tcW w:w="1631" w:type="pct"/>
            <w:tcMar>
              <w:top w:w="22" w:type="dxa"/>
              <w:left w:w="22" w:type="dxa"/>
              <w:bottom w:w="22" w:type="dxa"/>
              <w:right w:w="22" w:type="dxa"/>
            </w:tcMar>
            <w:vAlign w:val="center"/>
          </w:tcPr>
          <w:p>
            <w:pPr>
              <w:keepNext w:val="0"/>
              <w:keepLines w:val="0"/>
              <w:pageBreakBefore w:val="0"/>
              <w:widowControl w:val="0"/>
              <w:numPr>
                <w:ilvl w:val="0"/>
                <w:numId w:val="516"/>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16"/>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查阅相关资料（抽查3个部门）。</w:t>
            </w:r>
          </w:p>
          <w:p>
            <w:pPr>
              <w:keepNext w:val="0"/>
              <w:keepLines w:val="0"/>
              <w:pageBreakBefore w:val="0"/>
              <w:widowControl w:val="0"/>
              <w:numPr>
                <w:ilvl w:val="0"/>
                <w:numId w:val="516"/>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881"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8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numPr>
                <w:ilvl w:val="0"/>
                <w:numId w:val="517"/>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科室有定期自查，对存在问题有分析、整改。</w:t>
            </w:r>
          </w:p>
          <w:p>
            <w:pPr>
              <w:keepNext w:val="0"/>
              <w:keepLines w:val="0"/>
              <w:pageBreakBefore w:val="0"/>
              <w:widowControl w:val="0"/>
              <w:numPr>
                <w:ilvl w:val="0"/>
                <w:numId w:val="517"/>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p>
            <w:pPr>
              <w:keepNext w:val="0"/>
              <w:keepLines w:val="0"/>
              <w:pageBreakBefore w:val="0"/>
              <w:widowControl w:val="0"/>
              <w:numPr>
                <w:ilvl w:val="0"/>
                <w:numId w:val="517"/>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医院有信息系统支持对重点环节、重点人群与高危险因素监测及分析。</w:t>
            </w:r>
          </w:p>
        </w:tc>
        <w:tc>
          <w:tcPr>
            <w:tcW w:w="1631" w:type="pct"/>
            <w:tcMar>
              <w:top w:w="22" w:type="dxa"/>
              <w:left w:w="22" w:type="dxa"/>
              <w:bottom w:w="22" w:type="dxa"/>
              <w:right w:w="22" w:type="dxa"/>
            </w:tcMar>
            <w:vAlign w:val="center"/>
          </w:tcPr>
          <w:p>
            <w:pPr>
              <w:keepNext w:val="0"/>
              <w:keepLines w:val="0"/>
              <w:pageBreakBefore w:val="0"/>
              <w:widowControl w:val="0"/>
              <w:numPr>
                <w:ilvl w:val="0"/>
                <w:numId w:val="51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查阅相关资料（抽查三个部门）。</w:t>
            </w:r>
          </w:p>
          <w:p>
            <w:pPr>
              <w:keepNext w:val="0"/>
              <w:keepLines w:val="0"/>
              <w:pageBreakBefore w:val="0"/>
              <w:widowControl w:val="0"/>
              <w:numPr>
                <w:ilvl w:val="0"/>
                <w:numId w:val="51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1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现场查看，评价信息系统是否满足需要。</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881"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8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3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4996" w:type="pct"/>
            <w:gridSpan w:val="5"/>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2.10.3医院感染管理组织要监测医院感染危险因素、医院感染率及其变化趋势，定期开展风险评估并持续改进诊疗流程；定期通报医院感染监测结果并加强横向比较。</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09" w:type="pct"/>
            <w:gridSpan w:val="3"/>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2.10.3.1 ，有医院感染监测指标体系，按照《医院感染监测规范》开展监测工作，并加</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强横向比较、定期开展风险评估、持续改进诊疗流程。</w:t>
            </w: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numPr>
                <w:ilvl w:val="0"/>
                <w:numId w:val="51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医院按照相关规范要求建立医院感染监测制度、指标体系和流程，开展目标性监测、综合性监测等，监测的目录/清单符合《医院感染监测规范》要求。</w:t>
            </w:r>
          </w:p>
          <w:p>
            <w:pPr>
              <w:keepNext w:val="0"/>
              <w:keepLines w:val="0"/>
              <w:pageBreakBefore w:val="0"/>
              <w:widowControl w:val="0"/>
              <w:numPr>
                <w:ilvl w:val="0"/>
                <w:numId w:val="51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定期分析、通报医院感染监测结果。</w:t>
            </w:r>
          </w:p>
          <w:p>
            <w:pPr>
              <w:keepNext w:val="0"/>
              <w:keepLines w:val="0"/>
              <w:pageBreakBefore w:val="0"/>
              <w:widowControl w:val="0"/>
              <w:numPr>
                <w:ilvl w:val="0"/>
                <w:numId w:val="51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对感染监测信息，进行横向比较分析，提出改进建议。</w:t>
            </w:r>
          </w:p>
        </w:tc>
        <w:tc>
          <w:tcPr>
            <w:tcW w:w="1631" w:type="pct"/>
            <w:tcMar>
              <w:top w:w="22" w:type="dxa"/>
              <w:left w:w="22" w:type="dxa"/>
              <w:bottom w:w="22" w:type="dxa"/>
              <w:right w:w="22" w:type="dxa"/>
            </w:tcMar>
            <w:vAlign w:val="center"/>
          </w:tcPr>
          <w:p>
            <w:pPr>
              <w:keepNext w:val="0"/>
              <w:keepLines w:val="0"/>
              <w:pageBreakBefore w:val="0"/>
              <w:widowControl w:val="0"/>
              <w:numPr>
                <w:ilvl w:val="0"/>
                <w:numId w:val="520"/>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20"/>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20"/>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09"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主管部门对医院感染风险、医院感染率及变化趋势提出预警和改进诊疗流程等建议，并检查科室整改落实情况。</w:t>
            </w:r>
          </w:p>
        </w:tc>
        <w:tc>
          <w:tcPr>
            <w:tcW w:w="163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gridAfter w:val="1"/>
          <w:wAfter w:w="3" w:type="pct"/>
          <w:jc w:val="center"/>
        </w:trPr>
        <w:tc>
          <w:tcPr>
            <w:tcW w:w="909"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3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4996" w:type="pct"/>
            <w:gridSpan w:val="5"/>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2.10.4消毒、灭菌和隔离工作符合相关标准和规范要求，工作人员能获得并正确使用符合国家标准的消毒与防护用品；重点部门、重点部位的管理符合要求。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09" w:type="pct"/>
            <w:gridSpan w:val="3"/>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2.10.4.1 根据国家相关法律法规，结合医院实际情况，制定全院和各部门的消毒、灭菌工作制度及标准规范。</w:t>
            </w: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有全院和重点部门（如重症医学科、新生儿病房、产房、手术室、介入中心、内镜中心、血透中心、感染性疾病科、口腔科、消毒供应中心等）的消毒工作制度，并执行。</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有满足消毒要求的消毒设备、设施与消毒剂，符合国家的有关要求，质量和来源可追溯。</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定期针对消毒开展常规监测并开展消毒效果评价，包括消毒液的浓度监测、紫外线灯的强度监测以及必要的消毒后生物监测等，并有记录。</w:t>
            </w:r>
          </w:p>
        </w:tc>
        <w:tc>
          <w:tcPr>
            <w:tcW w:w="163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现场查看及索证消毒设备一台及一种消毒剂，评价是否符合要求。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09"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主管部门定期督查、反馈，并检查科室整改落实情况。</w:t>
            </w:r>
          </w:p>
        </w:tc>
        <w:tc>
          <w:tcPr>
            <w:tcW w:w="163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09"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3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09" w:type="pct"/>
            <w:gridSpan w:val="3"/>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2.10.4.2 制定符合要求的隔离管理制度，有不同传播途径疾病的隔离与防控措施；医务人员正确使用消毒和防护用品。</w:t>
            </w: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医院有针对感染性疾病、免疫低下等患者的隔离制度及操作流程。</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为隔离患者和相关医务人员提供符合国家标准的个人防护用品。隔离设施及物品配备能满足临床需要。</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医务人员掌握隔离的原则、标准、技术，并能正确使用防护用品。</w:t>
            </w:r>
          </w:p>
        </w:tc>
        <w:tc>
          <w:tcPr>
            <w:tcW w:w="163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现场查看2个重点部门相关设施及物品，是否符合要求。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在上述现场每个部门随机考核2名医务人员，了解相关知识掌握情况，并评价使用是否符合规范。</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09"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科室对隔离制度与操作流程的落实情况有自查，对存在问题有分析、整改。</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主管部门定期督查、反馈，并检查科室整改落实情况。</w:t>
            </w:r>
          </w:p>
        </w:tc>
        <w:tc>
          <w:tcPr>
            <w:tcW w:w="163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抽查2个临床科室及2个重点部门的相关资料。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09"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3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9" w:type="pct"/>
            <w:gridSpan w:val="3"/>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2.10.4.3 医院消毒供应中心清洗消毒及灭菌符合规范与标准的要求，有清洗消毒及灭菌效果监测的原始记录与报告。</w:t>
            </w: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1.有医院消毒供应中心清洗消毒及灭菌技术操作规范。</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2.有消毒供应中心清洗消毒及灭菌效果有监测的流程与规范，判定标准。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3.有定期培训，相关人员知晓相关规范，并执行。</w:t>
            </w:r>
          </w:p>
        </w:tc>
        <w:tc>
          <w:tcPr>
            <w:tcW w:w="163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查阅相关资料（培训及考核、执行记录等），现场询问2名工作人员，了解其知晓情况。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9"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有定期自查、分析及整改措施，并落实。</w:t>
            </w:r>
          </w:p>
        </w:tc>
        <w:tc>
          <w:tcPr>
            <w:tcW w:w="163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9"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1.使用消毒供应中心追溯管理信息系统。</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2.灭菌合格率100%。</w:t>
            </w:r>
          </w:p>
        </w:tc>
        <w:tc>
          <w:tcPr>
            <w:tcW w:w="163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现场查看。</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6"/>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2.10.5按照《医务人员手卫生规范》，建立医院手卫生管理制度。正确、充分配置有效、便捷的手卫生设备和设施，加强手卫生落实情况监管。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9" w:type="pct"/>
            <w:gridSpan w:val="3"/>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2.10.5.1 按照手卫生规范，制定手卫生相关管理制度，医务人员在临床诊疗活动中应严格遵循。正确配置有效、便捷的手卫生设备和设施，为执行手卫生提供必需的保障。</w:t>
            </w: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根据手卫生规范要求制定手卫生管理相关制度。</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根据手卫生规范要求，配置有效、齐全、便捷的手卫生设施。有手卫生相关要求（洗手方法、外科洗手操作规程等）的宣教图示。</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医院有全员手卫生培训及考核。</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医务人员掌握手卫生规范。</w:t>
            </w:r>
          </w:p>
        </w:tc>
        <w:tc>
          <w:tcPr>
            <w:tcW w:w="163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现场查看，评价是否符合要求。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随机询问、考核10名医务人员手卫生规范掌握情况，知晓率及执行正确率≥90%。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9"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科室有定期自查，存在问题有分析、整改。</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主管部门定期督查、反馈，并检查科室整改落实情况。</w:t>
            </w:r>
          </w:p>
        </w:tc>
        <w:tc>
          <w:tcPr>
            <w:tcW w:w="163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随机抽查重点部门、内、外科及医技科室各一个的相关资料。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9"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重点部门有医务人员手卫生执行监管系统，并有数据体现手卫生的依从性持续提高。</w:t>
            </w:r>
          </w:p>
        </w:tc>
        <w:tc>
          <w:tcPr>
            <w:tcW w:w="163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现场查看，并调阅相关监管资料。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6"/>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2.10.6有多重耐药菌医院感染控制管理规范与程序，有多部门共同参与的多重耐药菌管理协作机制。应用微生物室检测和医院感染管理数据信息指导临床合理使用抗菌药物。</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PrEx>
        <w:trPr>
          <w:jc w:val="center"/>
        </w:trPr>
        <w:tc>
          <w:tcPr>
            <w:tcW w:w="909" w:type="pct"/>
            <w:gridSpan w:val="3"/>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2.10.6.1制定多重耐药菌医院感染控制管理制度与流程，并落实。</w:t>
            </w: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医院有多重耐药菌医院感染控制管理制度与流程，并根据管理需要及时更新。</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临床科室有效落实。</w:t>
            </w:r>
          </w:p>
        </w:tc>
        <w:tc>
          <w:tcPr>
            <w:tcW w:w="163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抽查在院多重耐药菌感染患者病历2份及现场查看，评价制度是否规范执行。</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9"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主管部门（医务、护理及医院感染管理部门）定期督查、反馈，并检查科室整改落实情况。</w:t>
            </w:r>
          </w:p>
        </w:tc>
        <w:tc>
          <w:tcPr>
            <w:tcW w:w="163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9"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有信息系统支持多重耐药菌感染管理，有数据体现管理有效。</w:t>
            </w:r>
          </w:p>
        </w:tc>
        <w:tc>
          <w:tcPr>
            <w:tcW w:w="163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现场查看并调阅相关数据，评价管理是否有效。</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9" w:type="pct"/>
            <w:gridSpan w:val="3"/>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2.10.6.2有多部门参与的多重耐药菌管理协作机制。</w:t>
            </w: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1.有医务部、护理部、医院感染管理部门、微生物实验室、药学部等在多重耐药菌管理方面的协作机制，并有落实方案。</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各部门职责明确，相关人员知晓。</w:t>
            </w:r>
          </w:p>
        </w:tc>
        <w:tc>
          <w:tcPr>
            <w:tcW w:w="163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随机询问不同部门3位人员，了解其知晓情况，知晓率100%。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9"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有具体实施方案的工作记录。</w:t>
            </w:r>
          </w:p>
        </w:tc>
        <w:tc>
          <w:tcPr>
            <w:tcW w:w="163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9"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多部门联动常态化，并有实际成效。</w:t>
            </w:r>
          </w:p>
        </w:tc>
        <w:tc>
          <w:tcPr>
            <w:tcW w:w="163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9" w:type="pct"/>
            <w:gridSpan w:val="3"/>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2.10.6.3 有细菌耐药监测及预警机制，临床科室及相关管理部门应了解其前五位的医院感染病原微生物名称及耐药率。</w:t>
            </w: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有细菌耐药监测及预警机制，有细菌耐药监测变化趋势图，并每半年进行反馈。</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有临床治疗性使用抗菌药物的微生物送检率年度统计分析。</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有临床治疗性使用抗菌药物种类与微生物检测种类年度统计分析。</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有相关数据信息平台供临床医护人员及管理者及时查询。</w:t>
            </w:r>
          </w:p>
        </w:tc>
        <w:tc>
          <w:tcPr>
            <w:tcW w:w="163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现场查看。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9"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根据监测信息，医务部门牵头组织相关部门联合评估，制定干预措施，指导临床合理使用抗菌药物，并检查科室落实整改情况。</w:t>
            </w:r>
          </w:p>
        </w:tc>
        <w:tc>
          <w:tcPr>
            <w:tcW w:w="163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9"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63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6"/>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2.10.7建立侵入性器械/操作相关感染防控制度。有医院侵入性器械、所开展手术及其他侵入性诊疗操作名录，制订相关防控措施并实施数据监测。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9" w:type="pct"/>
            <w:gridSpan w:val="3"/>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2.10.7.1 建立侵入性器械、手术及其他侵入性操作相关感染防控制度及名录，制订相关防控措施并实施数据监测。</w:t>
            </w: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有侵入性诊疗器械、手术及其他侵入性诊疗操作（包括介入诊疗操作、内镜诊疗操作、CT/超声等引导下穿刺诊疗等）相关感染防控制度、流程。</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建立医院诊疗活动中使用的侵入性诊疗器械、所开展手术及其他侵入性诊疗操作的名录。</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实施临床使用侵入性诊疗器械相关感染病例、手术及其他侵入性诊疗操作相关感染的目标性监测，并开展相关感染防控措施执行依从性监测。</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手术及其他侵入性诊疗操作使用抗菌药物预防符合规范要求。</w:t>
            </w:r>
          </w:p>
        </w:tc>
        <w:tc>
          <w:tcPr>
            <w:tcW w:w="163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抽查在院相关患者病历5份，评价抗菌药物预防使用是否规范，合格率100%。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9"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主管部门（医务、医院感染管理等部门）定期督查、反馈，并检查科室整改落实情况。</w:t>
            </w:r>
          </w:p>
        </w:tc>
        <w:tc>
          <w:tcPr>
            <w:tcW w:w="163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9"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3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6"/>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2.10.8按照有关法律法规，建立医院医疗废物、废液管理责任制，健全组织架构、管理制度和工作机制，落实岗位职责。医疗废物的分类、收集、运送、暂存、转移、登记造册和操作人员职业防护等符合规范。加强相关人员培训。</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9" w:type="pct"/>
            <w:gridSpan w:val="3"/>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2.10.8.1 建立健全医疗废物、废液管理组织架构、管理制度和相关人员岗位职责。</w:t>
            </w: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依据国家相关法律、法规及规范制定医院医疗废物、废液管理制度，明确管理部门及人员职责。</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w:t>
            </w:r>
            <w:r>
              <w:rPr>
                <w:rFonts w:hint="default" w:ascii="Times New Roman" w:hAnsi="Times New Roman" w:eastAsia="方正仿宋_GBK" w:cs="Times New Roman"/>
                <w:color w:val="auto"/>
                <w:sz w:val="24"/>
                <w:szCs w:val="24"/>
                <w:highlight w:val="none"/>
                <w:lang w:val="en-US" w:eastAsia="zh-CN"/>
              </w:rPr>
              <w:t xml:space="preserve"> </w:t>
            </w:r>
            <w:r>
              <w:rPr>
                <w:rFonts w:hint="default" w:ascii="Times New Roman" w:hAnsi="Times New Roman" w:eastAsia="方正仿宋_GBK" w:cs="Times New Roman"/>
                <w:color w:val="auto"/>
                <w:sz w:val="24"/>
                <w:szCs w:val="24"/>
                <w:highlight w:val="none"/>
              </w:rPr>
              <w:t>有专人负责医疗废物、废液处理工作，上岗前与在岗期间接受相关知识培训，个人防护符合规范要求。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相关科室按要求进行医疗废物、废液的分类、收集、运送、暂存、转移等处置并有记录。</w:t>
            </w:r>
          </w:p>
        </w:tc>
        <w:tc>
          <w:tcPr>
            <w:tcW w:w="163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查阅相关资料，现场查看处置及个人防护情况，评价是否符合规范要求。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抽查2个临床科室及病理科，并查阅相关记录。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9" w:type="pct"/>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5"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科室有定期自查，对存在问题有分析、整改。</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主管部门定期督查、反馈，并检查科室整改落实情况。</w:t>
            </w:r>
          </w:p>
        </w:tc>
        <w:tc>
          <w:tcPr>
            <w:tcW w:w="1634"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09" w:type="pct"/>
            <w:gridSpan w:val="3"/>
            <w:vMerge w:val="continue"/>
            <w:tcBorders>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5" w:type="pct"/>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有医疗废物管理系统支持规范管理，并有数据体现管理成效。</w:t>
            </w:r>
          </w:p>
        </w:tc>
        <w:tc>
          <w:tcPr>
            <w:tcW w:w="1634" w:type="pct"/>
            <w:gridSpan w:val="2"/>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现场查看及查阅相关资料。</w:t>
            </w:r>
          </w:p>
        </w:tc>
      </w:tr>
    </w:tbl>
    <w:p>
      <w:pPr>
        <w:pStyle w:val="4"/>
        <w:spacing w:before="0" w:beforeAutospacing="0" w:after="0" w:afterAutospacing="0" w:line="560" w:lineRule="exact"/>
        <w:ind w:left="0" w:leftChars="0" w:rightChars="0" w:firstLine="624" w:firstLineChars="200"/>
        <w:jc w:val="left"/>
        <w:rPr>
          <w:color w:val="auto"/>
          <w:szCs w:val="21"/>
          <w:highlight w:val="none"/>
        </w:rPr>
      </w:pPr>
      <w:r>
        <w:rPr>
          <w:rFonts w:hint="default" w:ascii="Times New Roman" w:hAnsi="Times New Roman" w:eastAsia="方正黑体_GBK" w:cs="Times New Roman"/>
          <w:b w:val="0"/>
          <w:i w:val="0"/>
          <w:color w:val="auto"/>
          <w:sz w:val="32"/>
          <w:szCs w:val="21"/>
          <w:highlight w:val="none"/>
        </w:rPr>
        <w:t>十一、中医诊疗质量保障与持续改进</w:t>
      </w:r>
    </w:p>
    <w:tbl>
      <w:tblPr>
        <w:tblStyle w:val="12"/>
        <w:tblW w:w="5000" w:type="pct"/>
        <w:jc w:val="center"/>
        <w:tblLayout w:type="autofit"/>
        <w:tblCellMar>
          <w:top w:w="15" w:type="dxa"/>
          <w:left w:w="15" w:type="dxa"/>
          <w:bottom w:w="15" w:type="dxa"/>
          <w:right w:w="15" w:type="dxa"/>
        </w:tblCellMar>
      </w:tblPr>
      <w:tblGrid>
        <w:gridCol w:w="1570"/>
        <w:gridCol w:w="56"/>
        <w:gridCol w:w="4306"/>
        <w:gridCol w:w="2770"/>
        <w:gridCol w:w="53"/>
        <w:gridCol w:w="21"/>
      </w:tblGrid>
      <w:tr>
        <w:tblPrEx>
          <w:tblCellMar>
            <w:top w:w="15" w:type="dxa"/>
            <w:left w:w="15" w:type="dxa"/>
            <w:bottom w:w="15" w:type="dxa"/>
            <w:right w:w="15" w:type="dxa"/>
          </w:tblCellMar>
        </w:tblPrEx>
        <w:trPr>
          <w:gridAfter w:val="2"/>
          <w:wAfter w:w="39" w:type="pct"/>
          <w:trHeight w:val="424" w:hRule="atLeast"/>
          <w:jc w:val="center"/>
        </w:trPr>
        <w:tc>
          <w:tcPr>
            <w:tcW w:w="89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评审标准</w:t>
            </w:r>
          </w:p>
        </w:tc>
        <w:tc>
          <w:tcPr>
            <w:tcW w:w="2485" w:type="pct"/>
            <w:gridSpan w:val="2"/>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评审要点</w:t>
            </w:r>
          </w:p>
        </w:tc>
        <w:tc>
          <w:tcPr>
            <w:tcW w:w="1578"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评审方法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6"/>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2.11.1中医诊疗科室设置应当符合《综合医院中医临床科室基本标准》等文件的要求，所设置的中药房与中药煎药室应当符合相关法律法规的要求。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2.11.1.1 中医科设置符合《综合医院中医</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临床科室基本标准》等基本要求。</w:t>
            </w:r>
          </w:p>
        </w:tc>
        <w:tc>
          <w:tcPr>
            <w:tcW w:w="2453"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1.中医科为医院的一级临床科室，设置中医门诊和中医病床，其床位数不低于医院标准床位数的5%。</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2.中医师具备中医类别任职资格，科室主任具有中医类别副主任医师以上专业技术职务任职资格，从事中医临床专业10年以上。</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3.护士接受过中医药指示技能岗位培训。护士长具有主管护师及以上任职资格，能够指导护士开展辨证施护和运用中医护理技术。</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4.设立中医门诊，门诊开设中医专业≧3个；</w:t>
            </w:r>
          </w:p>
        </w:tc>
        <w:tc>
          <w:tcPr>
            <w:tcW w:w="1618" w:type="pct"/>
            <w:gridSpan w:val="3"/>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查阅门诊排班。</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3"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门诊开设中医专科≥5 个；设立中医独立病区和中医综合治疗区；设置中医二级学科或专业组，诊疗科目设置中医二级科目。</w:t>
            </w:r>
          </w:p>
        </w:tc>
        <w:tc>
          <w:tcPr>
            <w:tcW w:w="1618" w:type="pct"/>
            <w:gridSpan w:val="3"/>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查阅门诊排班及</w:t>
            </w:r>
            <w:r>
              <w:rPr>
                <w:rFonts w:hint="default" w:ascii="Times New Roman" w:hAnsi="Times New Roman" w:eastAsia="方正仿宋_GBK" w:cs="Times New Roman"/>
                <w:color w:val="auto"/>
                <w:sz w:val="24"/>
                <w:szCs w:val="24"/>
                <w:highlight w:val="none"/>
                <w:lang w:eastAsia="zh-CN"/>
              </w:rPr>
              <w:t>相关科室病区</w:t>
            </w:r>
            <w:r>
              <w:rPr>
                <w:rFonts w:hint="default" w:ascii="Times New Roman" w:hAnsi="Times New Roman" w:eastAsia="方正仿宋_GBK" w:cs="Times New Roman"/>
                <w:color w:val="auto"/>
                <w:sz w:val="24"/>
                <w:szCs w:val="24"/>
                <w:highlight w:val="none"/>
              </w:rPr>
              <w:t>设置。</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3"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numPr>
                <w:ilvl w:val="0"/>
                <w:numId w:val="521"/>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床位不低于医院标准床位数</w:t>
            </w:r>
            <w:r>
              <w:rPr>
                <w:rFonts w:hint="default" w:ascii="Times New Roman" w:hAnsi="Times New Roman" w:eastAsia="方正仿宋_GBK" w:cs="Times New Roman"/>
                <w:color w:val="auto"/>
                <w:sz w:val="24"/>
                <w:szCs w:val="24"/>
                <w:highlight w:val="none"/>
                <w:lang w:val="en-US" w:eastAsia="zh-CN"/>
              </w:rPr>
              <w:t>5</w:t>
            </w:r>
            <w:r>
              <w:rPr>
                <w:rFonts w:hint="default" w:ascii="Times New Roman" w:hAnsi="Times New Roman" w:eastAsia="方正仿宋_GBK" w:cs="Times New Roman"/>
                <w:color w:val="auto"/>
                <w:sz w:val="24"/>
                <w:szCs w:val="24"/>
                <w:highlight w:val="none"/>
              </w:rPr>
              <w:t>%，有独立设置的亚专科如中医外科、中医康复等病区。</w:t>
            </w:r>
          </w:p>
          <w:p>
            <w:pPr>
              <w:keepNext w:val="0"/>
              <w:keepLines w:val="0"/>
              <w:pageBreakBefore w:val="0"/>
              <w:widowControl w:val="0"/>
              <w:numPr>
                <w:ilvl w:val="0"/>
                <w:numId w:val="521"/>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开展中医治未病服务，中医临床科室开展中医药文化建设，营造中医药文化氛围。</w:t>
            </w:r>
          </w:p>
        </w:tc>
        <w:tc>
          <w:tcPr>
            <w:tcW w:w="1618" w:type="pct"/>
            <w:gridSpan w:val="3"/>
            <w:tcMar>
              <w:top w:w="22" w:type="dxa"/>
              <w:left w:w="22" w:type="dxa"/>
              <w:bottom w:w="22" w:type="dxa"/>
              <w:right w:w="22" w:type="dxa"/>
            </w:tcMar>
            <w:vAlign w:val="center"/>
          </w:tcPr>
          <w:p>
            <w:pPr>
              <w:keepNext w:val="0"/>
              <w:keepLines w:val="0"/>
              <w:pageBreakBefore w:val="0"/>
              <w:widowControl w:val="0"/>
              <w:numPr>
                <w:ilvl w:val="0"/>
                <w:numId w:val="522"/>
              </w:numPr>
              <w:kinsoku/>
              <w:wordWrap/>
              <w:overflowPunct/>
              <w:topLinePunct w:val="0"/>
              <w:autoSpaceDE/>
              <w:autoSpaceDN/>
              <w:bidi w:val="0"/>
              <w:adjustRightInd/>
              <w:snapToGrid/>
              <w:spacing w:line="300" w:lineRule="exact"/>
              <w:ind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查阅床位及亚专科设置是否达标。</w:t>
            </w:r>
          </w:p>
          <w:p>
            <w:pPr>
              <w:keepNext w:val="0"/>
              <w:keepLines w:val="0"/>
              <w:pageBreakBefore w:val="0"/>
              <w:widowControl w:val="0"/>
              <w:numPr>
                <w:ilvl w:val="0"/>
                <w:numId w:val="522"/>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0" w:type="pct"/>
          <w:jc w:val="center"/>
        </w:trPr>
        <w:tc>
          <w:tcPr>
            <w:tcW w:w="927"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2.11.1.2根据医院规模和临床需要设置中药房，布局、人员等要求符合《医院中药房基本标准》，有质量管理制度并执行。</w:t>
            </w:r>
          </w:p>
        </w:tc>
        <w:tc>
          <w:tcPr>
            <w:tcW w:w="2453"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根据医院规模设置规范的中药房，中药房布局符合相关要求。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有中药房各项管理制度及中药饮片配置操作规范和流程，有明确的中药房人员设置资质要求。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有中</w:t>
            </w:r>
            <w:r>
              <w:rPr>
                <w:rFonts w:hint="default" w:ascii="Times New Roman" w:hAnsi="Times New Roman" w:eastAsia="方正仿宋_GBK" w:cs="Times New Roman"/>
                <w:color w:val="auto"/>
                <w:spacing w:val="-6"/>
                <w:sz w:val="24"/>
                <w:szCs w:val="24"/>
                <w:highlight w:val="none"/>
              </w:rPr>
              <w:t>药质量管理的相关制度，对采购、验收、贮存、调剂、煎煮等环节实行质量控制。</w:t>
            </w:r>
          </w:p>
        </w:tc>
        <w:tc>
          <w:tcPr>
            <w:tcW w:w="160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现场查看是否符合要求。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0" w:type="pct"/>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3"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科室有定期自查、总结分析各项工作情况，对存在问题有整改。</w:t>
            </w:r>
          </w:p>
        </w:tc>
        <w:tc>
          <w:tcPr>
            <w:tcW w:w="160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0" w:type="pct"/>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3"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持续改进有成效，建立中药饮片处方点评制度并落实。提供中药临床药学服务，促进中药合理使用。</w:t>
            </w:r>
          </w:p>
        </w:tc>
        <w:tc>
          <w:tcPr>
            <w:tcW w:w="160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0" w:type="pct"/>
          <w:jc w:val="center"/>
        </w:trPr>
        <w:tc>
          <w:tcPr>
            <w:tcW w:w="927"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2.11.1.3根据临床需要，设置的中药煎药室符合《医疗机构中药煎药室管理规范》等要求，有各项管理制度并执行。</w:t>
            </w:r>
          </w:p>
        </w:tc>
        <w:tc>
          <w:tcPr>
            <w:tcW w:w="2453"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根据临床需要，设置规范的中药煎药室，归属药学部管理。布局、煎药设施设备、容器等符合相关要求，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有煎药室各项管理制度、各岗位职责及煎药相关工作流程。</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有各项意外应急处置预案及预防措施，并开展定期演练。</w:t>
            </w:r>
          </w:p>
        </w:tc>
        <w:tc>
          <w:tcPr>
            <w:tcW w:w="160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现场查看是否符合要求。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0" w:type="pct"/>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3"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科室有定期自查、总结分析各项工作情况，对存在问题有整改。</w:t>
            </w:r>
          </w:p>
        </w:tc>
        <w:tc>
          <w:tcPr>
            <w:tcW w:w="160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0" w:type="pct"/>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3"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持续改进有成效，工作规范，有数据体现服务能力满足临床需要。</w:t>
            </w:r>
          </w:p>
        </w:tc>
        <w:tc>
          <w:tcPr>
            <w:tcW w:w="160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6"/>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2.11.2建立中医诊疗规范，开展中医特色护理，提供具有中医特色的康复和健康指导等服务。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2.11.2.1根据国家中医药相关指南，建立体</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现中医特色的诊疗规范，为患者提供适宜的诊疗服务。</w:t>
            </w:r>
          </w:p>
        </w:tc>
        <w:tc>
          <w:tcPr>
            <w:tcW w:w="2453"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根据国家中医药相关指南，建立体现中医特色的诊疗规范，并及时更新。</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有依据患者病症采取中西医结合治疗的规范和措施。</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有对疑难重症患者病情评估、科间会诊、转诊的相关制度与流程。</w:t>
            </w:r>
          </w:p>
        </w:tc>
        <w:tc>
          <w:tcPr>
            <w:tcW w:w="1618" w:type="pct"/>
            <w:gridSpan w:val="3"/>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r>
              <w:rPr>
                <w:rFonts w:hint="default" w:ascii="Times New Roman" w:hAnsi="Times New Roman" w:eastAsia="方正仿宋_GBK" w:cs="Times New Roman"/>
                <w:color w:val="auto"/>
                <w:sz w:val="24"/>
                <w:szCs w:val="24"/>
                <w:highlight w:val="none"/>
                <w:lang w:eastAsia="zh-CN"/>
              </w:rPr>
              <w:t>，并抽查</w:t>
            </w:r>
            <w:r>
              <w:rPr>
                <w:rFonts w:hint="default" w:ascii="Times New Roman" w:hAnsi="Times New Roman" w:eastAsia="方正仿宋_GBK" w:cs="Times New Roman"/>
                <w:color w:val="auto"/>
                <w:sz w:val="24"/>
                <w:szCs w:val="24"/>
                <w:highlight w:val="none"/>
                <w:lang w:val="en-US" w:eastAsia="zh-CN"/>
              </w:rPr>
              <w:t>3份病历，评价诊疗方案是否规范</w:t>
            </w:r>
            <w:r>
              <w:rPr>
                <w:rFonts w:hint="default" w:ascii="Times New Roman" w:hAnsi="Times New Roman" w:eastAsia="方正仿宋_GBK" w:cs="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3"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通过科室间协作，把中医药服务拓展到西医临床科室。</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主管部门对中西医开展联合诊治工作有检查与监管。</w:t>
            </w:r>
          </w:p>
        </w:tc>
        <w:tc>
          <w:tcPr>
            <w:tcW w:w="1618" w:type="pct"/>
            <w:gridSpan w:val="3"/>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抽查相关在院患者病历，评价是否符合要求。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3"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持续改进有成效，有数据体现中医特色诊疗在多学科综合诊疗中发挥作用。</w:t>
            </w:r>
          </w:p>
        </w:tc>
        <w:tc>
          <w:tcPr>
            <w:tcW w:w="1618" w:type="pct"/>
            <w:gridSpan w:val="3"/>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0" w:type="pct"/>
          <w:jc w:val="center"/>
        </w:trPr>
        <w:tc>
          <w:tcPr>
            <w:tcW w:w="927"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2.11.2.2开展辨证施护，提供具有中医特色的优质护理服务。</w:t>
            </w:r>
          </w:p>
        </w:tc>
        <w:tc>
          <w:tcPr>
            <w:tcW w:w="2453"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有中医护理常规、操作规程，体现辨证施护和中医特色。</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相关人员知晓，按相关技术规范执行护理工作。</w:t>
            </w:r>
          </w:p>
        </w:tc>
        <w:tc>
          <w:tcPr>
            <w:tcW w:w="160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随机询问2名护士，了解其知晓情况，并抽查2份病历，查阅护理相关记录，评价是否符合要求。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0" w:type="pct"/>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3"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为患者提供具有中医特色的康复和健康指导，开展具有中医特色的优质护理服务。</w:t>
            </w:r>
          </w:p>
        </w:tc>
        <w:tc>
          <w:tcPr>
            <w:tcW w:w="160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抽查3份相关病历，评价是否符合要求。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10" w:type="pct"/>
          <w:jc w:val="center"/>
        </w:trPr>
        <w:tc>
          <w:tcPr>
            <w:tcW w:w="927" w:type="pct"/>
            <w:gridSpan w:val="2"/>
            <w:vMerge w:val="continue"/>
            <w:tcBorders>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3" w:type="pct"/>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持续改进有成效，有数据体现中医特色的护理服务质量持续改进。</w:t>
            </w:r>
          </w:p>
        </w:tc>
        <w:tc>
          <w:tcPr>
            <w:tcW w:w="1608" w:type="pct"/>
            <w:gridSpan w:val="2"/>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bookmarkEnd w:id="167"/>
      <w:bookmarkEnd w:id="168"/>
    </w:tbl>
    <w:p>
      <w:pPr>
        <w:widowControl/>
        <w:rPr>
          <w:rFonts w:eastAsia="宋体"/>
          <w:b/>
          <w:bCs/>
          <w:color w:val="auto"/>
          <w:szCs w:val="32"/>
          <w:highlight w:val="none"/>
        </w:rPr>
      </w:pPr>
    </w:p>
    <w:p>
      <w:pPr>
        <w:rPr>
          <w:rFonts w:hint="eastAsia"/>
        </w:rPr>
      </w:pPr>
      <w:bookmarkStart w:id="197" w:name="_Toc15693"/>
      <w:bookmarkStart w:id="198" w:name="_Toc28941"/>
      <w:bookmarkStart w:id="199" w:name="_Toc18182"/>
      <w:bookmarkStart w:id="200" w:name="_Toc11212"/>
      <w:bookmarkStart w:id="201" w:name="_Toc21874"/>
      <w:bookmarkStart w:id="202" w:name="_Toc20116"/>
      <w:bookmarkStart w:id="203" w:name="_Toc16451"/>
      <w:bookmarkStart w:id="204" w:name="_Toc27676"/>
      <w:r>
        <w:rPr>
          <w:rFonts w:hint="eastAsia"/>
        </w:rPr>
        <w:br w:type="page"/>
      </w:r>
    </w:p>
    <w:p>
      <w:pPr>
        <w:pStyle w:val="2"/>
        <w:bidi w:val="0"/>
        <w:rPr>
          <w:rFonts w:asciiTheme="minorEastAsia" w:hAnsiTheme="minorEastAsia" w:eastAsiaTheme="minorEastAsia" w:cstheme="minorBidi"/>
          <w:color w:val="auto"/>
          <w:kern w:val="44"/>
          <w:szCs w:val="24"/>
          <w:highlight w:val="none"/>
        </w:rPr>
      </w:pPr>
      <w:r>
        <w:rPr>
          <w:rFonts w:hint="eastAsia"/>
        </w:rPr>
        <w:t>第三章 医院管理</w:t>
      </w:r>
      <w:bookmarkEnd w:id="197"/>
      <w:bookmarkEnd w:id="198"/>
      <w:bookmarkEnd w:id="199"/>
      <w:bookmarkEnd w:id="200"/>
      <w:bookmarkEnd w:id="201"/>
      <w:bookmarkEnd w:id="202"/>
      <w:bookmarkEnd w:id="203"/>
      <w:bookmarkEnd w:id="204"/>
    </w:p>
    <w:p>
      <w:pPr>
        <w:pStyle w:val="4"/>
        <w:spacing w:before="0" w:beforeAutospacing="0" w:after="0" w:afterAutospacing="0" w:line="560" w:lineRule="exact"/>
        <w:ind w:left="0" w:leftChars="0" w:rightChars="0" w:firstLine="624" w:firstLineChars="200"/>
        <w:jc w:val="left"/>
        <w:rPr>
          <w:color w:val="auto"/>
          <w:szCs w:val="21"/>
          <w:highlight w:val="none"/>
        </w:rPr>
      </w:pPr>
      <w:r>
        <w:rPr>
          <w:rFonts w:hint="default" w:ascii="Times New Roman" w:hAnsi="Times New Roman" w:eastAsia="方正黑体_GBK" w:cs="Times New Roman"/>
          <w:b w:val="0"/>
          <w:i w:val="0"/>
          <w:color w:val="auto"/>
          <w:sz w:val="32"/>
          <w:szCs w:val="21"/>
          <w:highlight w:val="none"/>
        </w:rPr>
        <w:t>一、管理职责与决策执行机制</w:t>
      </w:r>
    </w:p>
    <w:tbl>
      <w:tblPr>
        <w:tblStyle w:val="12"/>
        <w:tblW w:w="4998" w:type="pct"/>
        <w:jc w:val="center"/>
        <w:tblLayout w:type="autofit"/>
        <w:tblCellMar>
          <w:top w:w="15" w:type="dxa"/>
          <w:left w:w="15" w:type="dxa"/>
          <w:bottom w:w="15" w:type="dxa"/>
          <w:right w:w="15" w:type="dxa"/>
        </w:tblCellMar>
      </w:tblPr>
      <w:tblGrid>
        <w:gridCol w:w="1577"/>
        <w:gridCol w:w="51"/>
        <w:gridCol w:w="4302"/>
        <w:gridCol w:w="2826"/>
        <w:gridCol w:w="16"/>
      </w:tblGrid>
      <w:tr>
        <w:tblPrEx>
          <w:tblCellMar>
            <w:top w:w="15" w:type="dxa"/>
            <w:left w:w="15" w:type="dxa"/>
            <w:bottom w:w="15" w:type="dxa"/>
            <w:right w:w="15" w:type="dxa"/>
          </w:tblCellMar>
        </w:tblPrEx>
        <w:trPr>
          <w:trHeight w:val="424" w:hRule="atLeast"/>
          <w:jc w:val="center"/>
        </w:trPr>
        <w:tc>
          <w:tcPr>
            <w:tcW w:w="899"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评审标准</w:t>
            </w:r>
          </w:p>
        </w:tc>
        <w:tc>
          <w:tcPr>
            <w:tcW w:w="2481" w:type="pct"/>
            <w:gridSpan w:val="2"/>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评审要点</w:t>
            </w:r>
          </w:p>
        </w:tc>
        <w:tc>
          <w:tcPr>
            <w:tcW w:w="1618" w:type="pct"/>
            <w:gridSpan w:val="2"/>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评审方法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5"/>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3.1.1 制定医院章程，建立医院内部决策执行机制。</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3.1.1.1制定医院章程，建立医院内部决策执行机制。</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numPr>
                <w:ilvl w:val="0"/>
                <w:numId w:val="523"/>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医院把实行党委领导下的院长负责制列入章程，在章程中设立党建工作专章，党委主要职责在医院章程中表述清晰，规范内部管理结构和权力运行规则，提高医院运行效率。</w:t>
            </w:r>
          </w:p>
          <w:p>
            <w:pPr>
              <w:keepNext w:val="0"/>
              <w:keepLines w:val="0"/>
              <w:pageBreakBefore w:val="0"/>
              <w:widowControl w:val="0"/>
              <w:numPr>
                <w:ilvl w:val="0"/>
                <w:numId w:val="523"/>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医院以章程为依据，制定医院相关管理制度，医院内部治理体系结构清晰，职责明确。</w:t>
            </w:r>
          </w:p>
        </w:tc>
        <w:tc>
          <w:tcPr>
            <w:tcW w:w="1618" w:type="pct"/>
            <w:gridSpan w:val="2"/>
            <w:tcMar>
              <w:top w:w="22" w:type="dxa"/>
              <w:left w:w="22" w:type="dxa"/>
              <w:bottom w:w="22" w:type="dxa"/>
              <w:right w:w="22" w:type="dxa"/>
            </w:tcMar>
            <w:vAlign w:val="center"/>
          </w:tcPr>
          <w:p>
            <w:pPr>
              <w:keepNext w:val="0"/>
              <w:keepLines w:val="0"/>
              <w:pageBreakBefore w:val="0"/>
              <w:widowControl w:val="0"/>
              <w:numPr>
                <w:ilvl w:val="0"/>
                <w:numId w:val="524"/>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24"/>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医院领导人员严格按照医院决策执行机制管理各项工作。</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抽查3项</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三重一大</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事项，评价是否规范。</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持续改进有成效，有案例体现成效。</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5"/>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3.1.2 公立医院加强党的建设，明确党委职责，充分发挥医院党委的领导作用，实施党委领导下的院长负责制，健全医院党委与行政领导班子议事决策制度。</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3.1.2.1公立医院加强党的建设，明确党委职责，充分发挥医院党委的领导作用，实施党委领导下的院长负责制，健全医院党委与行政领导班子议事决策制度。</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numPr>
                <w:ilvl w:val="0"/>
                <w:numId w:val="525"/>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医院党委发挥把方向、管大局、作决策、促改革、保落实的领导作用。</w:t>
            </w:r>
          </w:p>
          <w:p>
            <w:pPr>
              <w:keepNext w:val="0"/>
              <w:keepLines w:val="0"/>
              <w:pageBreakBefore w:val="0"/>
              <w:widowControl w:val="0"/>
              <w:numPr>
                <w:ilvl w:val="0"/>
                <w:numId w:val="525"/>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健全完善党委会和院长办公会议事决策制度、建立书记、院长定期沟通和党委领导下的院长负责制执行情况报告制度，着力构建党委统一领导、党政分工合作、协调运行的工作机制。</w:t>
            </w:r>
          </w:p>
          <w:p>
            <w:pPr>
              <w:keepNext w:val="0"/>
              <w:keepLines w:val="0"/>
              <w:pageBreakBefore w:val="0"/>
              <w:widowControl w:val="0"/>
              <w:numPr>
                <w:ilvl w:val="0"/>
                <w:numId w:val="525"/>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医院党建工作有年度计划、目标及措施，并落实。</w:t>
            </w:r>
          </w:p>
        </w:tc>
        <w:tc>
          <w:tcPr>
            <w:tcW w:w="1618" w:type="pct"/>
            <w:gridSpan w:val="2"/>
            <w:tcMar>
              <w:top w:w="22" w:type="dxa"/>
              <w:left w:w="22" w:type="dxa"/>
              <w:bottom w:w="22" w:type="dxa"/>
              <w:right w:w="22" w:type="dxa"/>
            </w:tcMar>
            <w:vAlign w:val="center"/>
          </w:tcPr>
          <w:p>
            <w:pPr>
              <w:keepNext w:val="0"/>
              <w:keepLines w:val="0"/>
              <w:pageBreakBefore w:val="0"/>
              <w:widowControl w:val="0"/>
              <w:numPr>
                <w:ilvl w:val="0"/>
                <w:numId w:val="526"/>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26"/>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26"/>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numPr>
                <w:ilvl w:val="0"/>
                <w:numId w:val="527"/>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不断完善医院党委与行政领导班子议事决策制度。</w:t>
            </w:r>
          </w:p>
          <w:p>
            <w:pPr>
              <w:keepNext w:val="0"/>
              <w:keepLines w:val="0"/>
              <w:pageBreakBefore w:val="0"/>
              <w:widowControl w:val="0"/>
              <w:numPr>
                <w:ilvl w:val="0"/>
                <w:numId w:val="527"/>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开展党建特色活动，并取得成效。</w:t>
            </w:r>
          </w:p>
        </w:tc>
        <w:tc>
          <w:tcPr>
            <w:tcW w:w="1618" w:type="pct"/>
            <w:gridSpan w:val="2"/>
            <w:tcMar>
              <w:top w:w="22" w:type="dxa"/>
              <w:left w:w="22" w:type="dxa"/>
              <w:bottom w:w="22" w:type="dxa"/>
              <w:right w:w="22" w:type="dxa"/>
            </w:tcMar>
            <w:vAlign w:val="center"/>
          </w:tcPr>
          <w:p>
            <w:pPr>
              <w:keepNext w:val="0"/>
              <w:keepLines w:val="0"/>
              <w:pageBreakBefore w:val="0"/>
              <w:widowControl w:val="0"/>
              <w:numPr>
                <w:ilvl w:val="0"/>
                <w:numId w:val="52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2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党建工作成绩显著，获得省级以上表彰。</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5"/>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3.1.3 医院管理组织机构设置合理，根据法律法规、规章规范以及相关标准，结合本院实际，制定各项规章制度和岗位职责，并及时修订完善。各级管理人员按分工履行职责，建立部门、科室间沟通与协调机制。各部门和科室命名规范。</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3.1.3.1医院有明确的组织架构图，能清楚反映医院组织架构。根据法律法规、规章规范以及相关标准，结合本院实际，制定各项规章制度和岗位职责，并及时修订完善。</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numPr>
                <w:ilvl w:val="0"/>
                <w:numId w:val="52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医院有清晰的管理组织架构图，设置满足管理需要。</w:t>
            </w:r>
          </w:p>
          <w:p>
            <w:pPr>
              <w:keepNext w:val="0"/>
              <w:keepLines w:val="0"/>
              <w:pageBreakBefore w:val="0"/>
              <w:widowControl w:val="0"/>
              <w:numPr>
                <w:ilvl w:val="0"/>
                <w:numId w:val="52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医院依据法律法规、规章规范以及相关标准，制定各项管理制度、岗位职责。</w:t>
            </w:r>
          </w:p>
          <w:p>
            <w:pPr>
              <w:keepNext w:val="0"/>
              <w:keepLines w:val="0"/>
              <w:pageBreakBefore w:val="0"/>
              <w:widowControl w:val="0"/>
              <w:numPr>
                <w:ilvl w:val="0"/>
                <w:numId w:val="52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各级管理人员熟悉制度、岗位职责。</w:t>
            </w:r>
          </w:p>
        </w:tc>
        <w:tc>
          <w:tcPr>
            <w:tcW w:w="1618" w:type="pct"/>
            <w:gridSpan w:val="2"/>
            <w:tcMar>
              <w:top w:w="22" w:type="dxa"/>
              <w:left w:w="22" w:type="dxa"/>
              <w:bottom w:w="22" w:type="dxa"/>
              <w:right w:w="22" w:type="dxa"/>
            </w:tcMar>
            <w:vAlign w:val="center"/>
          </w:tcPr>
          <w:p>
            <w:pPr>
              <w:keepNext w:val="0"/>
              <w:keepLines w:val="0"/>
              <w:pageBreakBefore w:val="0"/>
              <w:widowControl w:val="0"/>
              <w:numPr>
                <w:ilvl w:val="0"/>
                <w:numId w:val="530"/>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30"/>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30"/>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随机询问5名各岗位管理人员（含一名院领导），了解其知晓情况，知晓率100%。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依据医院管理需要及时调整管理架构、完善管理制度及岗位职责。</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7" w:type="pct"/>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3.1.3.2建立沟通协调机制，履行协调职能，提高工作效率。</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numPr>
                <w:ilvl w:val="0"/>
                <w:numId w:val="531"/>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医院有各部门之间、部门与临床科室之间的沟通协调机制，有制度保障，有多种沟通、协调渠道。</w:t>
            </w:r>
          </w:p>
          <w:p>
            <w:pPr>
              <w:keepNext w:val="0"/>
              <w:keepLines w:val="0"/>
              <w:pageBreakBefore w:val="0"/>
              <w:widowControl w:val="0"/>
              <w:numPr>
                <w:ilvl w:val="0"/>
                <w:numId w:val="531"/>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定期召开多部门工作协调会（如职能部门之间、管理部门-临床、医技、管理部门与第三方服务等），并有会议记录。每次会议有明确议题和相关牵头部门，相关工作有落实。</w:t>
            </w:r>
          </w:p>
        </w:tc>
        <w:tc>
          <w:tcPr>
            <w:tcW w:w="1611" w:type="pct"/>
            <w:tcMar>
              <w:top w:w="22" w:type="dxa"/>
              <w:left w:w="22" w:type="dxa"/>
              <w:bottom w:w="22" w:type="dxa"/>
              <w:right w:w="22" w:type="dxa"/>
            </w:tcMar>
            <w:vAlign w:val="center"/>
          </w:tcPr>
          <w:p>
            <w:pPr>
              <w:keepNext w:val="0"/>
              <w:keepLines w:val="0"/>
              <w:pageBreakBefore w:val="0"/>
              <w:widowControl w:val="0"/>
              <w:numPr>
                <w:ilvl w:val="0"/>
                <w:numId w:val="532"/>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32"/>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7"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工作落实情况作为相关部门年度工作的考核内容之一，有部门落实考核。</w:t>
            </w:r>
          </w:p>
        </w:tc>
        <w:tc>
          <w:tcPr>
            <w:tcW w:w="161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7"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1"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5"/>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3.1.4 医院建立全员学习机制，强化学习文化。定期对员工进行政策法规、管理能力、专业技能和质量安全培训与教育。</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3.1.4.1医院建立全员学习机制，强化学习</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文化。定期对员工进行政策法规、管理能力、专业技能和质量安全培训与教育。</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numPr>
                <w:ilvl w:val="0"/>
                <w:numId w:val="533"/>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医院有全员学习培训年度计划、目标及措施，开展全员培训教育，提高员工履职能力。</w:t>
            </w:r>
          </w:p>
          <w:p>
            <w:pPr>
              <w:keepNext w:val="0"/>
              <w:keepLines w:val="0"/>
              <w:pageBreakBefore w:val="0"/>
              <w:widowControl w:val="0"/>
              <w:numPr>
                <w:ilvl w:val="0"/>
                <w:numId w:val="533"/>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每年至少开展2 次法律法规全员培训。</w:t>
            </w:r>
          </w:p>
          <w:p>
            <w:pPr>
              <w:keepNext w:val="0"/>
              <w:keepLines w:val="0"/>
              <w:pageBreakBefore w:val="0"/>
              <w:widowControl w:val="0"/>
              <w:numPr>
                <w:ilvl w:val="0"/>
                <w:numId w:val="533"/>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管理人员均接受管理相关培训，培训时数每人每年≥12 个学时。</w:t>
            </w:r>
          </w:p>
          <w:p>
            <w:pPr>
              <w:keepNext w:val="0"/>
              <w:keepLines w:val="0"/>
              <w:pageBreakBefore w:val="0"/>
              <w:widowControl w:val="0"/>
              <w:numPr>
                <w:ilvl w:val="0"/>
                <w:numId w:val="533"/>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新员工经卫生法律法规培训，考核合格后方可上岗。</w:t>
            </w:r>
          </w:p>
        </w:tc>
        <w:tc>
          <w:tcPr>
            <w:tcW w:w="1618" w:type="pct"/>
            <w:gridSpan w:val="2"/>
            <w:tcMar>
              <w:top w:w="22" w:type="dxa"/>
              <w:left w:w="22" w:type="dxa"/>
              <w:bottom w:w="22" w:type="dxa"/>
              <w:right w:w="22" w:type="dxa"/>
            </w:tcMar>
            <w:vAlign w:val="center"/>
          </w:tcPr>
          <w:p>
            <w:pPr>
              <w:keepNext w:val="0"/>
              <w:keepLines w:val="0"/>
              <w:pageBreakBefore w:val="0"/>
              <w:widowControl w:val="0"/>
              <w:numPr>
                <w:ilvl w:val="0"/>
                <w:numId w:val="534"/>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34"/>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34"/>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34"/>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培训教育计划有效落实，院级培训参训率达80%。</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持续改进有成效，院级培训参训率达90%.</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5"/>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3.1.5 加强院务公开管理。按照国家有关规定向社会及员工公开信息。</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3.1.5.1加强院务公开管理，按照国家有关规定向社会及员工公开信息。</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numPr>
                <w:ilvl w:val="0"/>
                <w:numId w:val="535"/>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医院有院务公开工作制度与流程。</w:t>
            </w:r>
          </w:p>
          <w:p>
            <w:pPr>
              <w:keepNext w:val="0"/>
              <w:keepLines w:val="0"/>
              <w:pageBreakBefore w:val="0"/>
              <w:widowControl w:val="0"/>
              <w:numPr>
                <w:ilvl w:val="0"/>
                <w:numId w:val="535"/>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院务公开形式多样，方便社会与员工获取相关公开信息。</w:t>
            </w:r>
          </w:p>
          <w:p>
            <w:pPr>
              <w:keepNext w:val="0"/>
              <w:keepLines w:val="0"/>
              <w:pageBreakBefore w:val="0"/>
              <w:widowControl w:val="0"/>
              <w:numPr>
                <w:ilvl w:val="0"/>
                <w:numId w:val="535"/>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鼓励员工监督院务公开工作，员工有多种途径提供意见与建议，保障员工的民主权利。</w:t>
            </w:r>
          </w:p>
        </w:tc>
        <w:tc>
          <w:tcPr>
            <w:tcW w:w="1618" w:type="pct"/>
            <w:gridSpan w:val="2"/>
            <w:tcMar>
              <w:top w:w="22" w:type="dxa"/>
              <w:left w:w="22" w:type="dxa"/>
              <w:bottom w:w="22" w:type="dxa"/>
              <w:right w:w="22" w:type="dxa"/>
            </w:tcMar>
            <w:vAlign w:val="center"/>
          </w:tcPr>
          <w:p>
            <w:pPr>
              <w:keepNext w:val="0"/>
              <w:keepLines w:val="0"/>
              <w:pageBreakBefore w:val="0"/>
              <w:widowControl w:val="0"/>
              <w:numPr>
                <w:ilvl w:val="0"/>
                <w:numId w:val="536"/>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36"/>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现场查看及查阅相关资料。</w:t>
            </w:r>
          </w:p>
          <w:p>
            <w:pPr>
              <w:keepNext w:val="0"/>
              <w:keepLines w:val="0"/>
              <w:pageBreakBefore w:val="0"/>
              <w:widowControl w:val="0"/>
              <w:numPr>
                <w:ilvl w:val="0"/>
                <w:numId w:val="536"/>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查阅员工</w:t>
            </w:r>
            <w:r>
              <w:rPr>
                <w:rFonts w:hint="default" w:ascii="Times New Roman" w:hAnsi="Times New Roman" w:eastAsia="方正仿宋_GBK" w:cs="Times New Roman"/>
                <w:color w:val="auto"/>
                <w:sz w:val="24"/>
                <w:szCs w:val="24"/>
                <w:highlight w:val="none"/>
                <w:lang w:val="en-US" w:eastAsia="zh-CN"/>
              </w:rPr>
              <w:t>通过</w:t>
            </w:r>
            <w:r>
              <w:rPr>
                <w:rFonts w:hint="default" w:ascii="Times New Roman" w:hAnsi="Times New Roman" w:eastAsia="方正仿宋_GBK" w:cs="Times New Roman"/>
                <w:color w:val="auto"/>
                <w:sz w:val="24"/>
                <w:szCs w:val="24"/>
                <w:highlight w:val="none"/>
              </w:rPr>
              <w:t>不同途径提出的意见和建议。</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院务公开制度得到落实，员工知晓率达到80%。</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随机询问5名不同岗位的员工，了解其知晓情况，知晓率达80%。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5"/>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3.1.6 对对外委托服务项目质量与安全实施监督管理。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3.1.6.1对对外委托服务项目质量与安全实施监督管理。</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numPr>
                <w:ilvl w:val="0"/>
                <w:numId w:val="537"/>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医院有符合相关法律法规及内部风险控制的对外委托服务管理制度和管理办法，有项目遴选、管理、退出及项目评估和监督考核机制，</w:t>
            </w:r>
          </w:p>
          <w:p>
            <w:pPr>
              <w:keepNext w:val="0"/>
              <w:keepLines w:val="0"/>
              <w:pageBreakBefore w:val="0"/>
              <w:widowControl w:val="0"/>
              <w:numPr>
                <w:ilvl w:val="0"/>
                <w:numId w:val="537"/>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全部对外委托服务项目招投标及各类合同符合国家相关要求。委托项目按合同执行。</w:t>
            </w:r>
          </w:p>
          <w:p>
            <w:pPr>
              <w:keepNext w:val="0"/>
              <w:keepLines w:val="0"/>
              <w:pageBreakBefore w:val="0"/>
              <w:widowControl w:val="0"/>
              <w:numPr>
                <w:ilvl w:val="0"/>
                <w:numId w:val="537"/>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主管部门与专人负责各类对外委托服务项目管理，实行对对外委托服务单位资质、人员、设备、流程、质控、场地等按行业标准进行全过程监管，包括但不限于病理学诊断项目、消毒供应室、中药饮片、物业管理、消防维保、医疗设备维修等。</w:t>
            </w:r>
          </w:p>
          <w:p>
            <w:pPr>
              <w:keepNext w:val="0"/>
              <w:keepLines w:val="0"/>
              <w:pageBreakBefore w:val="0"/>
              <w:widowControl w:val="0"/>
              <w:numPr>
                <w:ilvl w:val="0"/>
                <w:numId w:val="537"/>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有被委托方年度质量安全评估报告。</w:t>
            </w:r>
          </w:p>
          <w:p>
            <w:pPr>
              <w:keepNext w:val="0"/>
              <w:keepLines w:val="0"/>
              <w:pageBreakBefore w:val="0"/>
              <w:widowControl w:val="0"/>
              <w:numPr>
                <w:ilvl w:val="0"/>
                <w:numId w:val="537"/>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被委托方服务人员有持续专业培训记录，具有上岗资格。</w:t>
            </w:r>
          </w:p>
        </w:tc>
        <w:tc>
          <w:tcPr>
            <w:tcW w:w="1618" w:type="pct"/>
            <w:gridSpan w:val="2"/>
            <w:tcMar>
              <w:top w:w="22" w:type="dxa"/>
              <w:left w:w="22" w:type="dxa"/>
              <w:bottom w:w="22" w:type="dxa"/>
              <w:right w:w="22" w:type="dxa"/>
            </w:tcMar>
            <w:vAlign w:val="center"/>
          </w:tcPr>
          <w:p>
            <w:pPr>
              <w:keepNext w:val="0"/>
              <w:keepLines w:val="0"/>
              <w:pageBreakBefore w:val="0"/>
              <w:widowControl w:val="0"/>
              <w:numPr>
                <w:ilvl w:val="0"/>
                <w:numId w:val="53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3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抽查2项对外委托项目，查阅相关资料，评价是否符合要求。</w:t>
            </w:r>
          </w:p>
          <w:p>
            <w:pPr>
              <w:keepNext w:val="0"/>
              <w:keepLines w:val="0"/>
              <w:pageBreakBefore w:val="0"/>
              <w:widowControl w:val="0"/>
              <w:numPr>
                <w:ilvl w:val="0"/>
                <w:numId w:val="53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抽查2项在服务期限内的项目，查阅相关资料，评价是否符合管理要求。</w:t>
            </w:r>
          </w:p>
          <w:p>
            <w:pPr>
              <w:keepNext w:val="0"/>
              <w:keepLines w:val="0"/>
              <w:pageBreakBefore w:val="0"/>
              <w:widowControl w:val="0"/>
              <w:numPr>
                <w:ilvl w:val="0"/>
                <w:numId w:val="53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查看报告资料目录，抽查2份年度质量安全报告。</w:t>
            </w:r>
          </w:p>
          <w:p>
            <w:pPr>
              <w:keepNext w:val="0"/>
              <w:keepLines w:val="0"/>
              <w:pageBreakBefore w:val="0"/>
              <w:widowControl w:val="0"/>
              <w:numPr>
                <w:ilvl w:val="0"/>
                <w:numId w:val="53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抽查2项在服务期限内的项目，查阅相关资料。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numPr>
                <w:ilvl w:val="0"/>
                <w:numId w:val="53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医院各主管部门，对对外委托项目的质量与安全实施监督管理，定期督查、总结分析、提出整改措施，并落实。</w:t>
            </w:r>
          </w:p>
          <w:p>
            <w:pPr>
              <w:keepNext w:val="0"/>
              <w:keepLines w:val="0"/>
              <w:pageBreakBefore w:val="0"/>
              <w:widowControl w:val="0"/>
              <w:numPr>
                <w:ilvl w:val="0"/>
                <w:numId w:val="53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医院有对对外委托服务项目进行专项审计，并反馈主管部门，督促整改，对违约情况依规处理。</w:t>
            </w:r>
          </w:p>
        </w:tc>
        <w:tc>
          <w:tcPr>
            <w:tcW w:w="1618" w:type="pct"/>
            <w:gridSpan w:val="2"/>
            <w:tcMar>
              <w:top w:w="22" w:type="dxa"/>
              <w:left w:w="22" w:type="dxa"/>
              <w:bottom w:w="22" w:type="dxa"/>
              <w:right w:w="22" w:type="dxa"/>
            </w:tcMar>
            <w:vAlign w:val="center"/>
          </w:tcPr>
          <w:p>
            <w:pPr>
              <w:keepNext w:val="0"/>
              <w:keepLines w:val="0"/>
              <w:pageBreakBefore w:val="0"/>
              <w:widowControl w:val="0"/>
              <w:numPr>
                <w:ilvl w:val="0"/>
                <w:numId w:val="540"/>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40"/>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查阅审核目录，抽查2份审计报告、整改资料等。</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tcBorders>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8" w:type="pct"/>
            <w:gridSpan w:val="2"/>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bl>
    <w:p>
      <w:pPr>
        <w:pStyle w:val="4"/>
        <w:spacing w:before="0" w:beforeAutospacing="0" w:after="0" w:afterAutospacing="0" w:line="560" w:lineRule="exact"/>
        <w:ind w:left="0" w:leftChars="0" w:rightChars="0" w:firstLine="624" w:firstLineChars="200"/>
        <w:jc w:val="left"/>
        <w:rPr>
          <w:color w:val="auto"/>
          <w:szCs w:val="21"/>
          <w:highlight w:val="none"/>
        </w:rPr>
      </w:pPr>
      <w:r>
        <w:rPr>
          <w:rFonts w:hint="default" w:ascii="Times New Roman" w:hAnsi="Times New Roman" w:eastAsia="方正黑体_GBK" w:cs="Times New Roman"/>
          <w:b w:val="0"/>
          <w:i w:val="0"/>
          <w:color w:val="auto"/>
          <w:sz w:val="32"/>
          <w:szCs w:val="21"/>
          <w:highlight w:val="none"/>
        </w:rPr>
        <w:t>二、人力资源管理</w:t>
      </w:r>
    </w:p>
    <w:tbl>
      <w:tblPr>
        <w:tblStyle w:val="12"/>
        <w:tblW w:w="5000" w:type="pct"/>
        <w:jc w:val="center"/>
        <w:tblLayout w:type="autofit"/>
        <w:tblCellMar>
          <w:top w:w="15" w:type="dxa"/>
          <w:left w:w="15" w:type="dxa"/>
          <w:bottom w:w="15" w:type="dxa"/>
          <w:right w:w="15" w:type="dxa"/>
        </w:tblCellMar>
      </w:tblPr>
      <w:tblGrid>
        <w:gridCol w:w="1571"/>
        <w:gridCol w:w="56"/>
        <w:gridCol w:w="4304"/>
        <w:gridCol w:w="2845"/>
      </w:tblGrid>
      <w:tr>
        <w:tblPrEx>
          <w:tblCellMar>
            <w:top w:w="15" w:type="dxa"/>
            <w:left w:w="15" w:type="dxa"/>
            <w:bottom w:w="15" w:type="dxa"/>
            <w:right w:w="15" w:type="dxa"/>
          </w:tblCellMar>
        </w:tblPrEx>
        <w:trPr>
          <w:trHeight w:val="424" w:hRule="atLeast"/>
          <w:jc w:val="center"/>
        </w:trPr>
        <w:tc>
          <w:tcPr>
            <w:tcW w:w="89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评审标准</w:t>
            </w:r>
          </w:p>
        </w:tc>
        <w:tc>
          <w:tcPr>
            <w:tcW w:w="2484" w:type="pct"/>
            <w:gridSpan w:val="2"/>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评审要点</w:t>
            </w:r>
          </w:p>
        </w:tc>
        <w:tc>
          <w:tcPr>
            <w:tcW w:w="1620"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评审方法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3.2.1 建立健全以聘用制度和岗位管理制度为主要内容的人力资源管理制度。医院人力资源配备应当满足医院功能任务和质量安全管理工作需要。</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3.2.1.1设置人力资源管理部门，人力资源</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管理制度健全。</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1.设置人力资源管理部门，职责明确。</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2.有人事管理制度与流程，并能够根据有关部门要求及时更新。</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3.人事制度通过多种渠道公布，方便职工查询。</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3.现场查看公布情况，评价是否符合要求。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建立全员聘用制度和岗位管理制度并落实。</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643" w:hRule="atLeast"/>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持续改进有成效，制度健全，满足管理需要。</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查阅制度目录等资料，评价是否符合要求。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3.2.1.2医院有人力资源发展规划、人才梯</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队建设计划、人力资源配置方案和人员紧急替代机制，医院人力资源配备应当满足医院功能任务和质量安全管理工作需要。</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1.有人力资源发展规划，符合医院功能任务和整体发展规划要求。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2.有人才梯队建设计划，符合持续发展需要。</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3.有人力资源配置原则与工作岗位设置方案。</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4.有人力资源配置调整方案与调整流程。</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医院人力资源配置、人才梯队建设计划有落实措施、有成效。</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人力资源配置满足临床服务与医院管理需要。</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抽查临床、医技及管理部门各2个，评价是否满足需要。</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3.2.2 有公平透明的卫生专业技术人员资质的认定、聘用、考核、评价管理体系，建立专业技术人员档案。</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bookmarkStart w:id="205" w:name="_Hlk73135187"/>
            <w:r>
              <w:rPr>
                <w:rFonts w:hint="default" w:ascii="Times New Roman" w:hAnsi="Times New Roman" w:eastAsia="方正仿宋_GBK" w:cs="Times New Roman"/>
                <w:color w:val="auto"/>
                <w:sz w:val="24"/>
                <w:szCs w:val="24"/>
                <w:highlight w:val="none"/>
              </w:rPr>
              <w:t>3.2.2.1卫生专业技术人员资质的认定与聘用符合要求、公开透明。</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1.医院有卫生技术人员资质认定、聘用、考核、评价管理的相关制度和流程；并按上级主管部门的要求及时修订。</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2.有完整的专业技术人员技术考评档案。</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3.定期按制度规范聘用专业技术人员。</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2.抽查各类岗位专业技术人员的档案，评价是否符合要求。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根据岗位职责、技术能力、职业道德等定期实施再考核和再授权管理。</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bookmarkEnd w:id="205"/>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3.2.2.2建立外来（国内外、境内外等</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专业人员技术档案、规范管理。</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1.按照国家法律法规和卫生行政部门现行规定，制定外来技术人员资质管理的规定与流程。</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2.外来技术人员在本院实施的诊疗活动有记录并可追溯。</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3.外来技术人员直接从事患者临床各种有创诊疗时，事先取得患者书面知情同意。</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3.抽查相关病历3份，评价是否符合要求。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sz w:val="24"/>
              </w:rPr>
              <mc:AlternateContent>
                <mc:Choice Requires="wps">
                  <w:drawing>
                    <wp:anchor distT="0" distB="0" distL="114300" distR="114300" simplePos="0" relativeHeight="251689984" behindDoc="0" locked="0" layoutInCell="1" allowOverlap="1">
                      <wp:simplePos x="0" y="0"/>
                      <wp:positionH relativeFrom="column">
                        <wp:posOffset>-1087120</wp:posOffset>
                      </wp:positionH>
                      <wp:positionV relativeFrom="paragraph">
                        <wp:posOffset>3175</wp:posOffset>
                      </wp:positionV>
                      <wp:extent cx="1083310" cy="132207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083310" cy="13220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00" w:lineRule="exact"/>
                                    <w:jc w:val="both"/>
                                    <w:textAlignment w:val="auto"/>
                                  </w:pPr>
                                  <w:r>
                                    <w:rPr>
                                      <w:rFonts w:hint="default" w:ascii="Times New Roman" w:hAnsi="Times New Roman" w:eastAsia="方正仿宋_GBK" w:cs="Times New Roman"/>
                                      <w:color w:val="auto"/>
                                      <w:sz w:val="24"/>
                                      <w:szCs w:val="24"/>
                                      <w:highlight w:val="none"/>
                                    </w:rPr>
                                    <w:t>23.2.2.2建立外来（国内外、境内外等</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专业人员技术档案、规范管理。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5.6pt;margin-top:0.25pt;height:104.1pt;width:85.3pt;z-index:251689984;mso-width-relative:page;mso-height-relative:page;" filled="f" stroked="f" coordsize="21600,21600" o:gfxdata="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hHzTeNgAAAAHAQAADwAAAAAAAAABACAAAAAiAAAAZHJz&#10;L2Rvd25yZXYueG1sUEsBAhQAFAAAAAgAh07iQKtDslI9AgAAaQQAAA4AAAAAAAAAAQAgAAAAJw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00" w:lineRule="exact"/>
                              <w:jc w:val="both"/>
                              <w:textAlignment w:val="auto"/>
                            </w:pPr>
                            <w:r>
                              <w:rPr>
                                <w:rFonts w:hint="default" w:ascii="Times New Roman" w:hAnsi="Times New Roman" w:eastAsia="方正仿宋_GBK" w:cs="Times New Roman"/>
                                <w:color w:val="auto"/>
                                <w:sz w:val="24"/>
                                <w:szCs w:val="24"/>
                                <w:highlight w:val="none"/>
                              </w:rPr>
                              <w:t>23.2.2.2建立外来（国内外、境内外等</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专业人员技术档案、规范管理。</w:t>
                            </w:r>
                          </w:p>
                        </w:txbxContent>
                      </v:textbox>
                    </v:shape>
                  </w:pict>
                </mc:Fallback>
              </mc:AlternateContent>
            </w: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主管部门（人力资源、医务部门）有监管、并有记录。</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持续改进有成效，管理规范，未发生相关不良事件。</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3.2.3 贯彻落实《公立医院领导人员管理暂行办法》，加强</w:t>
            </w:r>
            <w:r>
              <w:rPr>
                <w:rFonts w:hint="default" w:ascii="Times New Roman" w:hAnsi="Times New Roman" w:eastAsia="方正仿宋_GBK" w:cs="Times New Roman"/>
                <w:color w:val="auto"/>
                <w:sz w:val="24"/>
                <w:szCs w:val="24"/>
                <w:highlight w:val="none"/>
                <w:lang w:eastAsia="zh-CN"/>
              </w:rPr>
              <w:t>和改进</w:t>
            </w:r>
            <w:r>
              <w:rPr>
                <w:rFonts w:hint="default" w:ascii="Times New Roman" w:hAnsi="Times New Roman" w:eastAsia="方正仿宋_GBK" w:cs="Times New Roman"/>
                <w:color w:val="auto"/>
                <w:sz w:val="24"/>
                <w:szCs w:val="24"/>
                <w:highlight w:val="none"/>
              </w:rPr>
              <w:t>公立医院</w:t>
            </w:r>
            <w:r>
              <w:rPr>
                <w:rFonts w:hint="default" w:ascii="Times New Roman" w:hAnsi="Times New Roman" w:eastAsia="方正仿宋_GBK" w:cs="Times New Roman"/>
                <w:color w:val="auto"/>
                <w:sz w:val="24"/>
                <w:szCs w:val="24"/>
                <w:highlight w:val="none"/>
                <w:lang w:eastAsia="zh-CN"/>
              </w:rPr>
              <w:t>领导人员管理，推行公立医院</w:t>
            </w:r>
            <w:r>
              <w:rPr>
                <w:rFonts w:hint="default" w:ascii="Times New Roman" w:hAnsi="Times New Roman" w:eastAsia="方正仿宋_GBK" w:cs="Times New Roman"/>
                <w:color w:val="auto"/>
                <w:sz w:val="24"/>
                <w:szCs w:val="24"/>
                <w:highlight w:val="none"/>
              </w:rPr>
              <w:t>行政领导人员职业化培训。</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3.2.3.1贯彻落实《公立医院领导人员管理暂行办法》，加强公立医院行政领导人员职业化培训。</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1.根据《公立医院领导人员管理暂行办法》制定公立医院领导人员职业化培训制度。</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2.院领导每年参加相关培训。</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院领导每年每人参加相关培训不少于2次。</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有院领导参加国家卫健委举办的职业化培训班2次及以上。</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3.2.4 有卫生专业技术人员岗前培训、住院医师规范化培训、继续医学教育、梯队建设和政府指令性培训任务相关管理制度并组织实施。把员工能力建设作为人力资源管理的重要组成部分</w:t>
            </w:r>
            <w:r>
              <w:rPr>
                <w:rFonts w:hint="default" w:ascii="Times New Roman" w:hAnsi="Times New Roman" w:eastAsia="方正仿宋_GBK" w:cs="Times New Roman"/>
                <w:color w:val="auto"/>
                <w:sz w:val="24"/>
                <w:szCs w:val="24"/>
                <w:highlight w:val="none"/>
                <w:lang w:eastAsia="zh-CN"/>
              </w:rPr>
              <w:t>，推动员工的全面发展</w:t>
            </w:r>
            <w:r>
              <w:rPr>
                <w:rFonts w:hint="default" w:ascii="Times New Roman" w:hAnsi="Times New Roman" w:eastAsia="方正仿宋_GBK" w:cs="Times New Roman"/>
                <w:color w:val="auto"/>
                <w:sz w:val="24"/>
                <w:szCs w:val="24"/>
                <w:highlight w:val="none"/>
              </w:rPr>
              <w:t>。</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3.2.4.1有卫生专业技术人员岗前培训、继续医学教育相关管理制度并组织实施。</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1.医院有岗前培训、继续医学教育管理制度、规划及实施方案。</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2.有保障岗前培训、继续医学教育的资金投入和完善的设备设施。</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3.有相关完善的管理档案。</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4.将继续医学教育与卫生技术人员聘任、晋升挂钩。</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2.查阅相关资料及现场查看。</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全院卫生技术人员年度继续医学教育达标率≥90%。</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全院卫生技术人员年度继续医学教育达标率≥95%。</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3.2.4.2加强学科建设和人才培养，有学科</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带头人选拔与激励机制。</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1.医院有重点学科（或专科）建设发展规划及学科带头人选拔与激励机制。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2.医院有人才培养计划，有重点学科（或专科）培育与支持措施，包括经费投入等。</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3.人才培养工作纳入年度目标责任考核的重要指标。</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1.有对重点学科和学科骨干的评价机制。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2.相关部门对学科建设和人才培养落实专项管理。</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有省级重点学科或省级临床重点学（专）科≥3个或有国家级重点学科或国家级临床重点学（专）科≥1 个。</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w:t>
            </w: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w:t>
            </w:r>
            <w:r>
              <w:rPr>
                <w:rFonts w:hint="default" w:ascii="Times New Roman" w:hAnsi="Times New Roman" w:eastAsia="方正仿宋_GBK"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rPr>
              <w:t>.3按照规范开展住院医师规范化培训工作和承担下级医院骨干医师培养任务。</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1.医院有规范化培训和下级医院骨干医师培训相关管理制度措施，培训方案、课程设计、培训内容、考核等符合相关要求，并得到实施。</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2.有住院医师规范化培训基地资质，有专职人员负责培训工作。</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3.对规范化培训等项目提供所需的经费、师资、设备设施等资源保障。</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4.有承担住院医师等规范化培训管理档案等相关资料。</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3.查阅相关资料及现场查看。</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1.承担培训项目的科室有自查、总结分析、有改进措施并落实。</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2.主管部门定期督查、反馈，并检查整改落实情况。</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1.抽查2个承担项目科室的相关资料。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1.有专科获国家住院医师培训示范基地。</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2.受培人员对培训的满意度≥80%。</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3.2.5 贯彻与执行《中华人民共和国劳动法》等国家法律、法规的要求，建立与完善职业安全防护相关措施、应急预案、处理与改进的制度，上岗前有职业安全防护教育。</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3.2.5.1贯彻与执行《中华人民共和国劳动法》等国家法律、法规的要求，建立与完善职业安全防护相关措施、应急预案、处理与改进的制度，上岗前有职业安全防护教育。</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1.医院有职业安全防护相关措施、应急预案、处理与改进的制度。</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2.按照国家的法律法规和相关标准对危险性程度制定分级防护的规定，配备防护设施设备和用品。</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3.有职业安全防护的培训、考核。</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4.有完整的员工个人职业防护健康档案。</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5.相关人员知晓职业暴露的应急预案、处置流程，并落实。</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2.抽查相关科室2个（如放射科、核医学科、介入中心等），评价防护设施、设备及用品是否符合要求。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5.抽查相关科室2个（如放射科、核医学科、介入中心等），每个科室随机询问2名工作人员</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1.相关科室有定期自查、总结分析、整改。</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2.主管部门定期督查、反馈，并检查整改落实情况。</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1.抽查相关科室2个（如放射科、核医学科、介入中心等）相关资料。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3.2.6 关注员工身体和心理健康，保障员工合法健康权益。</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3.2.6.1关注员工身体和心理健康，保障员</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工合法健康权益。</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1.医院有保障员工身体和心理健康的制度并落实。</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2.有为职工免费提供每年一次的体检服务。</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3.医院配备相应舒缓员工压力的设施设备及场所（如运动场、健身房、瑜伽馆、书吧、音乐茶吧等）。</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4.提供心理健康咨询服务。</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3.现场查看。</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建立职工健康状况数据库，为不同健康状况职工提供个性化饮食和运动指导、心理咨询。</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查阅数据库及相关资料。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持续改进有成效，有数据体现职工健康状况持续向好。</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3.2.7 医院应当将科室医疗质量管理情况作为科室负责人综合目标考核以及聘任、晋升、评先评优的重要指标，将科室和医务人员医疗质量管理情况作为医师定期考核、晋升的重要依据。</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3.2.7.1医院应当将科室医疗质量管理情况作为科室负责人综合目标考核以及聘任、晋升、评先评优的重要指标，将科室和医务人员医疗质量管理情况作为医师定期考核、晋升的重要依据。</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1.医院将医疗质量管理作为对科室年度综合目标考核的主要内容之一，有具体考核指标。</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2.考核结果作为科主任聘任、科室评先、评优的重要指标之一。</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建立医师医疗质量负面清单管理制度，有具体考核指标，考核结果与定期考核、晋升及评先、评优挂钩。</w:t>
            </w:r>
          </w:p>
        </w:tc>
        <w:tc>
          <w:tcPr>
            <w:tcW w:w="1620"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7" w:type="pct"/>
            <w:gridSpan w:val="2"/>
            <w:vMerge w:val="continue"/>
            <w:tcBorders>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20" w:type="pct"/>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bl>
    <w:p>
      <w:pPr>
        <w:pStyle w:val="4"/>
        <w:spacing w:before="0" w:beforeAutospacing="0" w:after="0" w:afterAutospacing="0" w:line="560" w:lineRule="exact"/>
        <w:ind w:left="0" w:leftChars="0" w:rightChars="0" w:firstLine="624" w:firstLineChars="200"/>
        <w:jc w:val="left"/>
        <w:rPr>
          <w:color w:val="auto"/>
          <w:szCs w:val="21"/>
          <w:highlight w:val="none"/>
        </w:rPr>
      </w:pPr>
      <w:r>
        <w:rPr>
          <w:rFonts w:hint="default" w:ascii="Times New Roman" w:hAnsi="Times New Roman" w:eastAsia="方正黑体_GBK" w:cs="Times New Roman"/>
          <w:b w:val="0"/>
          <w:i w:val="0"/>
          <w:color w:val="auto"/>
          <w:sz w:val="32"/>
          <w:szCs w:val="21"/>
          <w:highlight w:val="none"/>
        </w:rPr>
        <w:t>三、财务和价格管理</w:t>
      </w:r>
    </w:p>
    <w:tbl>
      <w:tblPr>
        <w:tblStyle w:val="12"/>
        <w:tblW w:w="5000" w:type="pct"/>
        <w:jc w:val="center"/>
        <w:tblLayout w:type="autofit"/>
        <w:tblCellMar>
          <w:top w:w="15" w:type="dxa"/>
          <w:left w:w="15" w:type="dxa"/>
          <w:bottom w:w="15" w:type="dxa"/>
          <w:right w:w="15" w:type="dxa"/>
        </w:tblCellMar>
      </w:tblPr>
      <w:tblGrid>
        <w:gridCol w:w="1573"/>
        <w:gridCol w:w="56"/>
        <w:gridCol w:w="4304"/>
        <w:gridCol w:w="2843"/>
      </w:tblGrid>
      <w:tr>
        <w:tblPrEx>
          <w:tblCellMar>
            <w:top w:w="15" w:type="dxa"/>
            <w:left w:w="15" w:type="dxa"/>
            <w:bottom w:w="15" w:type="dxa"/>
            <w:right w:w="15" w:type="dxa"/>
          </w:tblCellMar>
        </w:tblPrEx>
        <w:trPr>
          <w:trHeight w:val="424" w:hRule="atLeast"/>
          <w:jc w:val="center"/>
        </w:trPr>
        <w:tc>
          <w:tcPr>
            <w:tcW w:w="896"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评审标准</w:t>
            </w:r>
          </w:p>
        </w:tc>
        <w:tc>
          <w:tcPr>
            <w:tcW w:w="2484" w:type="pct"/>
            <w:gridSpan w:val="2"/>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评审要点</w:t>
            </w:r>
          </w:p>
        </w:tc>
        <w:tc>
          <w:tcPr>
            <w:tcW w:w="1619"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评审方法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3.3.1 执行《中华人民共和国会计法》、《政府会计制度》、《医院财务制度》等相关法律法规，财务机构设置合理、财务管理制度健全，人员配置合理，岗位职责明确，会计核算规范，三级公立医院实行总会计师制度。</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3.3.1.1执行《中华人民共和国会计法》、《政府会计制度》、《医院财务制度》等相关法律法规，财务机构设置合理、财务管理制度健全，人员配置合理，岗位职责明确，会计核算规范。</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1.医院根据相关法律法规制订医院财务管理制度，并根据政策法规变动等及时修订。</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2.财务人员配置合理，职责明确。</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3.有月度、季度、年度财务报告。</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4.年度财务报告按规定经过注册会计师审计。</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5.财务管理人员参加财务管理专业培训，每年不少于1次。</w:t>
            </w:r>
          </w:p>
        </w:tc>
        <w:tc>
          <w:tcPr>
            <w:tcW w:w="1619"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2.查阅岗位设置及人员配备资料，评价是否满足要求。</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4.查阅相关资料。</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财务监督实行事前、事中、事后监督相结合，日常监督与专项检查相结合，并接受上级有关部门监督。</w:t>
            </w:r>
          </w:p>
        </w:tc>
        <w:tc>
          <w:tcPr>
            <w:tcW w:w="1619"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持续改进有成效，有案例体现成效。</w:t>
            </w:r>
          </w:p>
        </w:tc>
        <w:tc>
          <w:tcPr>
            <w:tcW w:w="1619"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3.3.1.2医院实行总会计师制。</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1.按照《关于加快推进三级公立医院建立总会计师制度的意见》（国卫财务发[2017]31 号）设置总会计师。</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2.有总会计师制度及岗位资质要求，明确岗位职责和权限。</w:t>
            </w:r>
          </w:p>
        </w:tc>
        <w:tc>
          <w:tcPr>
            <w:tcW w:w="1619"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医院对总会计师履职有保障机制。</w:t>
            </w:r>
          </w:p>
        </w:tc>
        <w:tc>
          <w:tcPr>
            <w:tcW w:w="1619"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总会计师对医院财务管理与监督在医院重要经济事项分析决策中发挥专业优势，并形成新的优化流程和新的制度。</w:t>
            </w:r>
          </w:p>
        </w:tc>
        <w:tc>
          <w:tcPr>
            <w:tcW w:w="1619"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3.3.2 按照《中华人民共和国预算法》和相关预算管理规定编制和执行预算，加强预算管理、监督和绩效考评。</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3.3.2.1按照《中华人民共和国预算法》和相关预算管理规定编制和执行预算，加强预算管理、监督和绩效考评。</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1.医院预算管理体系健全，有预算管理委员会、管理办公室和管理制度。</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2.医院所有收支全部纳入预算管理，实行全面预算管理，包括财务预算、业务预算、专门决策预算等。</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3.定期开展预算管理培训。</w:t>
            </w:r>
          </w:p>
        </w:tc>
        <w:tc>
          <w:tcPr>
            <w:tcW w:w="1619"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1.主管部门有定期督查、反馈、提出整改措施。</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2.预算管理委员会定期对年度预算执行情况听取汇报、总结分析、并提出整改意见（每年不少于2次）。</w:t>
            </w:r>
          </w:p>
        </w:tc>
        <w:tc>
          <w:tcPr>
            <w:tcW w:w="1619"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9"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3.3.3 实行全成本核算管理，控制运行成本和医院债务规模，降低财务风险，优化投入产出比，提高医疗资源利用效率。</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3.3.3.1实行全成本核算管理，控制运行成</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本和医院债务规模，降低财务风险，优化投入产出比，提高医疗资源利用效率。</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1.医院有全成本定额管理、费用审核等管理制度。</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2.有成本核算工作领导小组和成本核算部门，工作职责明确。</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3.在全院推行全成本核算管理培训。</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4.开展科室成本核算、诊次成本核算、床日成本等核算。</w:t>
            </w:r>
          </w:p>
        </w:tc>
        <w:tc>
          <w:tcPr>
            <w:tcW w:w="1619"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开展医疗服务项目成本核算、按病种分值付费</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DIP</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或按疾病诊断相关分组（DRG）成本核算。</w:t>
            </w:r>
          </w:p>
        </w:tc>
        <w:tc>
          <w:tcPr>
            <w:tcW w:w="1619"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持续改进有成效，有数据体现成本费用得到控制，成本效益提升。</w:t>
            </w:r>
          </w:p>
        </w:tc>
        <w:tc>
          <w:tcPr>
            <w:tcW w:w="1619"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3.3.4 落实《医疗机构内部价格行为管理规定》，全面落实医疗服务价格公示制度，提高收费透明度；完善医</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药收费复核制度；确保医药价格管理系统信息准确；规范新增医疗服务价格项目内部审核流程和申报程序。</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3.3.4.1落实《医疗机构内部价格行为管理规定》，全面落实医疗服务价格公示制度，提高收费透明度；完善医药收费复核制度；确保医药价格管理系统信息准确；规范新增医疗服务价格项目内部审核流程和申报程序。</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1.医院有医疗服务价格管理委员会（或管理领导小组）及价格管理部门。</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2.有医院医药收费及收费复核、新增医疗服务价格项目管理等价格管理制度。</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3.有医药价格信息管理系统并落实国家有关规定调整价格、保障价格信息真实、准确。</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4.医疗服务价格公示制度得到落实。</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5.专职物价员掌握国家物价政策及实施细则。</w:t>
            </w:r>
          </w:p>
        </w:tc>
        <w:tc>
          <w:tcPr>
            <w:tcW w:w="1619"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3.现场查看并查阅相关资料。</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4.查阅相关资料并现场查看。</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5.现场询问，了解其知晓情况。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主管部门定期督查、反馈价格管理存在的问题，提出改进措施，并检查科室整改落实情况。</w:t>
            </w:r>
          </w:p>
        </w:tc>
        <w:tc>
          <w:tcPr>
            <w:tcW w:w="1619"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持续改进有成效，有案例体现成效。</w:t>
            </w:r>
          </w:p>
        </w:tc>
        <w:tc>
          <w:tcPr>
            <w:tcW w:w="1619"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3.3.5 执行《中华人民共和国政府采购法》、《中华人民共和国招标投标法》及政府采购相关规定，建立药品、耗材、设备、基建、货物、服务等采购制度和流程，加强集中采购管理。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3.3.5.1执行《中华人民共和国政府采购法》、《中华人民共和国招标投标法》及政府采购相关规定，建立药品、耗材、设备、基建、货物、服务等采购制度和流程，加强集中采购管理。</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1.医院依据相关法律、法规及相关管理规范，制定医院相关招采管理制度、流程。</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2.设置招采管理部门，专职人员满足需要。</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3.实行招采的决策、实施、监督相分离。</w:t>
            </w:r>
          </w:p>
        </w:tc>
        <w:tc>
          <w:tcPr>
            <w:tcW w:w="1619"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2.查看部门设置及人员配置情况，评价是否满足需要。</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3.抽查已完成的2项招采项目，评价是否符合规范要求。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1.主管部门有定期自查、总结分析，并改进。</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2.监管部门对招采工作有督查、反馈，并督促整改。</w:t>
            </w:r>
          </w:p>
        </w:tc>
        <w:tc>
          <w:tcPr>
            <w:tcW w:w="1619"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9"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3.3.6 医院实行同工同酬、多劳多得、优绩优酬的分配制度。以综合绩效考核为依据，突出服务质量、数量，逐步扩大分配，提高员工待遇。个人分配不得与业务收入直接挂钩。</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3.3.6.1医院实行同工同酬、多劳多得、优绩优酬的分配制度。以综合绩效考核为依据，突出服务质量、数量，逐步扩大分配，提高员工待遇。个人分配不得与业务收入直接挂钩。</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1.医院以综合绩效考核为依据，制定绩效分配方案，体现</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多劳多得、优绩优酬</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的分配导向，并不断完善。</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2.绩效考核与分配方案报职工代表大会并经党委会讨论通过，按规定向全院公开。</w:t>
            </w:r>
          </w:p>
        </w:tc>
        <w:tc>
          <w:tcPr>
            <w:tcW w:w="1619"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1.医院有科室、部门二次绩效分配的指导原则，指导合理分配。</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2.个人分配不得与业务收入直接挂钩。</w:t>
            </w:r>
          </w:p>
        </w:tc>
        <w:tc>
          <w:tcPr>
            <w:tcW w:w="1619" w:type="pct"/>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2.抽查内、外科技医技科室各1个，查阅二次分配方案是否有此类情况。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tcBorders>
              <w:bottom w:val="single" w:color="000000" w:sz="6" w:space="0"/>
            </w:tcBorders>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p>
        </w:tc>
        <w:tc>
          <w:tcPr>
            <w:tcW w:w="2452" w:type="pct"/>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人员支出占业务支出的比重≥35%。</w:t>
            </w:r>
          </w:p>
        </w:tc>
        <w:tc>
          <w:tcPr>
            <w:tcW w:w="1619" w:type="pct"/>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bidi w:val="0"/>
              <w:snapToGrid/>
              <w:spacing w:line="300" w:lineRule="exact"/>
              <w:ind w:left="0" w:leftChars="0" w:right="0" w:rightChars="0" w:firstLine="0" w:firstLine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bl>
    <w:p>
      <w:pPr>
        <w:pStyle w:val="4"/>
        <w:spacing w:before="0" w:beforeAutospacing="0" w:after="0" w:afterAutospacing="0" w:line="560" w:lineRule="exact"/>
        <w:ind w:left="0" w:leftChars="0" w:rightChars="0" w:firstLine="624" w:firstLineChars="200"/>
        <w:jc w:val="left"/>
        <w:rPr>
          <w:color w:val="auto"/>
          <w:szCs w:val="21"/>
          <w:highlight w:val="none"/>
        </w:rPr>
      </w:pPr>
      <w:r>
        <w:rPr>
          <w:rFonts w:hint="default" w:ascii="Times New Roman" w:hAnsi="Times New Roman" w:eastAsia="方正黑体_GBK" w:cs="Times New Roman"/>
          <w:b w:val="0"/>
          <w:i w:val="0"/>
          <w:color w:val="auto"/>
          <w:sz w:val="32"/>
          <w:szCs w:val="21"/>
          <w:highlight w:val="none"/>
        </w:rPr>
        <w:t>四、信息管理</w:t>
      </w:r>
    </w:p>
    <w:tbl>
      <w:tblPr>
        <w:tblStyle w:val="12"/>
        <w:tblW w:w="4999" w:type="pct"/>
        <w:jc w:val="center"/>
        <w:tblLayout w:type="autofit"/>
        <w:tblCellMar>
          <w:top w:w="15" w:type="dxa"/>
          <w:left w:w="15" w:type="dxa"/>
          <w:bottom w:w="15" w:type="dxa"/>
          <w:right w:w="15" w:type="dxa"/>
        </w:tblCellMar>
      </w:tblPr>
      <w:tblGrid>
        <w:gridCol w:w="1569"/>
        <w:gridCol w:w="61"/>
        <w:gridCol w:w="4305"/>
        <w:gridCol w:w="2839"/>
      </w:tblGrid>
      <w:tr>
        <w:tblPrEx>
          <w:tblCellMar>
            <w:top w:w="15" w:type="dxa"/>
            <w:left w:w="15" w:type="dxa"/>
            <w:bottom w:w="15" w:type="dxa"/>
            <w:right w:w="15" w:type="dxa"/>
          </w:tblCellMar>
        </w:tblPrEx>
        <w:trPr>
          <w:trHeight w:val="424" w:hRule="atLeast"/>
          <w:jc w:val="center"/>
        </w:trPr>
        <w:tc>
          <w:tcPr>
            <w:tcW w:w="894"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评审标准</w:t>
            </w:r>
          </w:p>
        </w:tc>
        <w:tc>
          <w:tcPr>
            <w:tcW w:w="2488" w:type="pct"/>
            <w:gridSpan w:val="2"/>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评审要点</w:t>
            </w:r>
          </w:p>
        </w:tc>
        <w:tc>
          <w:tcPr>
            <w:tcW w:w="1617"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评审方法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3.4.1 建立以院长为核心的医院信息化建设领导小组，有负责信息管理的专职机构，建立各部门间的组织协调机制，制订信息化发展规划，有与信息化建设配套的相关管理制度。</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3.4.1.1建立以院长为核心的医院信息化建设领导小组，制订信息化发展规划，有与信息化建设配套的相关管理制度。</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1.有院级信息化领导委员会或领导小组，有明确的职责，并定期召开专题会议（每年不少于2次）。</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2.有保障信息系统建设、管理的制度。</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3.有医院信息化建设中长期规划和年度工作计划，包括实施方法、实施步骤、信息化建设及运行维护的年度预算并落实。</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领导委员会或领导小组定期研判年度工作计划及规划的实施情况，有改进措施并落实。</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持续改进有成效，年度工作计划完成率≥90%。</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3.4.1.2设置信息管理的部门，负责医院的信息化建设及管理。建立各部门间的沟通协调机制。</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1.依据医院规模，设置信息管理部门和配备专职管理人员。</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2.有信息系统专职技术人员教育培训、授权审批、岗位交接等考核制度。</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3.建立信息使用与信息管理部门沟通协调机制，有相关制度及流程。</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1.专职人员每年接受相关培训不少于1次。</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2.各职能部门参与互联网与智慧医疗应用，有对网络运行情况、引入新技术产品、提高临床管理、服务效率，患者体验、就诊满意度等方面提出意见和建议。</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岗位设置合理，岗位职责、技术等级明确，人员档案资料完整。每百张床位与信息化专职人员配比≥1:1。</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3.4.2 医院信息系统能够系统、连续、准确地采集、存储、传输、处理相关的信息，为医院管理、临床医疗和服务提供包括决策支持类的信息技术支撑，并根据国家相关规定，实现信息互联互通、交互共享。</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3.4.2.1医院信息系统为医院管理、临床医</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疗和服务提供包括决策支持类的信息技术支撑。</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1.医院有管理信息系统（HIS）和医院资源管理信息系统（HRP）以及相关子系统（如办公信息管理、患者咨询服务、自助服务等）。</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2.信息系统符合《基于电子病历的医院信息平台建设技术解决方案》有关要求，符合国家医疗管理相关管理规范和技术规范。</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3.有临床信息系统（CIS），建立基于电子病历（EMR）的医院信息平台。实现全院信息共享，具备医疗决策支持功能。</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4医院信息系统满足临床诊疗需求，如临床路径、单病种管理等。</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5.电子病历通过4级测评。</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1.现场查看。</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2.现场查看，评价是否符合要求。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3.现场查看。</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4.现场查看。</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5.查阅证书。</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numPr>
                <w:ilvl w:val="0"/>
                <w:numId w:val="541"/>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利用</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互联网+医疗健康</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新模式提升医疗服务连续性。</w:t>
            </w:r>
          </w:p>
          <w:p>
            <w:pPr>
              <w:keepNext w:val="0"/>
              <w:keepLines w:val="0"/>
              <w:pageBreakBefore w:val="0"/>
              <w:widowControl w:val="0"/>
              <w:numPr>
                <w:ilvl w:val="0"/>
                <w:numId w:val="541"/>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支持患者持电子健康卡进行就诊。</w:t>
            </w:r>
          </w:p>
        </w:tc>
        <w:tc>
          <w:tcPr>
            <w:tcW w:w="1617" w:type="pct"/>
            <w:tcMar>
              <w:top w:w="22" w:type="dxa"/>
              <w:left w:w="22" w:type="dxa"/>
              <w:bottom w:w="22" w:type="dxa"/>
              <w:right w:w="22" w:type="dxa"/>
            </w:tcMar>
            <w:vAlign w:val="center"/>
          </w:tcPr>
          <w:p>
            <w:pPr>
              <w:keepNext w:val="0"/>
              <w:keepLines w:val="0"/>
              <w:pageBreakBefore w:val="0"/>
              <w:widowControl w:val="0"/>
              <w:numPr>
                <w:ilvl w:val="255"/>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1.现场查看。</w:t>
            </w:r>
          </w:p>
          <w:p>
            <w:pPr>
              <w:keepNext w:val="0"/>
              <w:keepLines w:val="0"/>
              <w:pageBreakBefore w:val="0"/>
              <w:widowControl w:val="0"/>
              <w:numPr>
                <w:ilvl w:val="255"/>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2.现场查看。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持续改进有成效，，电子病历通过5级及以上测评。</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查阅相关证书。</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3.4.2.2根据国家相关规定，实现信息互联</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互通、交互共享。</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1.按国家相关规定，有实现信息互联互通、交互共享的设备、技术力量和实施方案并落实。</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2.有信息互联互通、交互共享的管理制度。</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1.现场查看，并查阅相关资料。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强化公共卫生责任，按要求提供共享对接公共卫生相关信息的功能接口。</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持续改进有成效，医院信息互联互通标准化成熟度测评等级为四级以上。</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查阅相关证件。</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3.4.2.3有医疗质量与安全管理信息相关的数据库，为质量与安全管理决策和持续改进提供依据。</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有医疗质量与安全管理信息相关数据库，包括：医院基本监测、运行基本指标监测、药品和耗材管理、血液和血制品管理、质量管理、医技科室、医疗安全管理等。</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主管部门负责收集和处理相关信息，数据实行集中归口管理。</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1.现场查看相关数据库的运行情况。</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2.现场查看并查看相关资料。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建立运营管理系统和数据中心，推进资源全流程管理。</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3.4.3 落实《中华人共和国网络安全法》，实施国家信息安全等级保护制度，实行信息系统按等级保护分级管理，保障网络信息安全，保护患者隐私。推动系统运行维护的规范化管理，落实突发事件响应机制，保证业务的连续性。</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3.4.3.1加强信息系统的安全保障和患者隐私保护。</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按照国家信息安全等级保护规定和国家标准，建立信息安全保护制度并落实。</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信息系统运行稳定、安全，具有防灾备份系统，实行网络运行监控，有防病毒、防入侵措施、应急处理预案。</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 实行信息系统操作权限分级管理，信息安全采用身份认证、权限控制（包括数据库和运用系统）、患者数据使用控制、保障网络信息安全和保护患者隐私。</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2.现场查看，并查阅相关资料。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3.查阅相关资料，并现场查看。</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医院的HIS、电子病历、临床CDR等核心系统有备案证明并通过等保2.0测评。</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3.4.3.2加强信息系统运行维护，有突发事</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件应急响应制度并落实。</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numPr>
                <w:ilvl w:val="0"/>
                <w:numId w:val="542"/>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医院有信息网络运行、设备管理和维护、技术文档管理制度并落实。</w:t>
            </w:r>
          </w:p>
          <w:p>
            <w:pPr>
              <w:keepNext w:val="0"/>
              <w:keepLines w:val="0"/>
              <w:pageBreakBefore w:val="0"/>
              <w:widowControl w:val="0"/>
              <w:numPr>
                <w:ilvl w:val="0"/>
                <w:numId w:val="542"/>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有值班、交接班制度，有完整的日常运维记录和值班记录。</w:t>
            </w:r>
          </w:p>
          <w:p>
            <w:pPr>
              <w:keepNext w:val="0"/>
              <w:keepLines w:val="0"/>
              <w:pageBreakBefore w:val="0"/>
              <w:widowControl w:val="0"/>
              <w:numPr>
                <w:ilvl w:val="0"/>
                <w:numId w:val="542"/>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有信息系统变更、发布、配置管理制度及相关记录。</w:t>
            </w:r>
          </w:p>
          <w:p>
            <w:pPr>
              <w:keepNext w:val="0"/>
              <w:keepLines w:val="0"/>
              <w:pageBreakBefore w:val="0"/>
              <w:widowControl w:val="0"/>
              <w:numPr>
                <w:ilvl w:val="0"/>
                <w:numId w:val="542"/>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有信息系统运行事件（如系统瘫痪）应急预案并组织演练，保障运行。</w:t>
            </w:r>
          </w:p>
        </w:tc>
        <w:tc>
          <w:tcPr>
            <w:tcW w:w="1617" w:type="pct"/>
            <w:tcMar>
              <w:top w:w="22" w:type="dxa"/>
              <w:left w:w="22" w:type="dxa"/>
              <w:bottom w:w="22" w:type="dxa"/>
              <w:right w:w="22" w:type="dxa"/>
            </w:tcMar>
            <w:vAlign w:val="center"/>
          </w:tcPr>
          <w:p>
            <w:pPr>
              <w:keepNext w:val="0"/>
              <w:keepLines w:val="0"/>
              <w:pageBreakBefore w:val="0"/>
              <w:widowControl w:val="0"/>
              <w:numPr>
                <w:ilvl w:val="0"/>
                <w:numId w:val="543"/>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43"/>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43"/>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 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信息主管部门有定期自查、总结分析，有改进措施并落实。</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3.4.4 根据《中华人民共和国统计法》与卫生健康行政部门规定，完成医院基本运行状况、医疗质量安全、医疗技术、诊疗信息和临床用药监测信息等相关数据报送工作，确保数据真实可靠、可追溯。</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3.4.4.1根据《中华人民共和国统计法》与卫生健康行政部门规定，完成医院基本运行状况、医疗质量安全、医疗技术、诊疗信息和临床用药监测信息等相关数据报送工作，确保数据真实可靠、可追溯。</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1.医院有向卫生行政部门报送的数据与其他信息的制度与流程，按规定完成相关信息报送工作。</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2.有保证信息真实、可靠、完整的具体核查措施，实行信息报告问责制。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3.相关人员熟悉信息数据报送规定及流程。</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3.随机询问相关部门工作人员2名，了解其知晓情况。</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信息上报责任部门定期检查、分析，有整改措施，并落实。</w:t>
            </w:r>
          </w:p>
        </w:tc>
        <w:tc>
          <w:tcPr>
            <w:tcW w:w="1617"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tcBorders>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7" w:type="pct"/>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bl>
    <w:p>
      <w:pPr>
        <w:pStyle w:val="4"/>
        <w:spacing w:before="0" w:beforeAutospacing="0" w:after="0" w:afterAutospacing="0" w:line="560" w:lineRule="exact"/>
        <w:ind w:left="0" w:leftChars="0" w:rightChars="0" w:firstLine="624" w:firstLineChars="200"/>
        <w:jc w:val="left"/>
        <w:rPr>
          <w:color w:val="auto"/>
          <w:szCs w:val="21"/>
          <w:highlight w:val="none"/>
        </w:rPr>
      </w:pPr>
      <w:r>
        <w:rPr>
          <w:rFonts w:hint="default" w:ascii="Times New Roman" w:hAnsi="Times New Roman" w:eastAsia="方正黑体_GBK" w:cs="Times New Roman"/>
          <w:b w:val="0"/>
          <w:i w:val="0"/>
          <w:color w:val="auto"/>
          <w:sz w:val="32"/>
          <w:szCs w:val="21"/>
          <w:highlight w:val="none"/>
        </w:rPr>
        <w:t>五、医学装备管理</w:t>
      </w:r>
    </w:p>
    <w:tbl>
      <w:tblPr>
        <w:tblStyle w:val="12"/>
        <w:tblW w:w="5000" w:type="pct"/>
        <w:jc w:val="center"/>
        <w:tblLayout w:type="autofit"/>
        <w:tblCellMar>
          <w:top w:w="15" w:type="dxa"/>
          <w:left w:w="15" w:type="dxa"/>
          <w:bottom w:w="15" w:type="dxa"/>
          <w:right w:w="15" w:type="dxa"/>
        </w:tblCellMar>
      </w:tblPr>
      <w:tblGrid>
        <w:gridCol w:w="1565"/>
        <w:gridCol w:w="63"/>
        <w:gridCol w:w="4304"/>
        <w:gridCol w:w="2833"/>
        <w:gridCol w:w="11"/>
      </w:tblGrid>
      <w:tr>
        <w:tblPrEx>
          <w:tblCellMar>
            <w:top w:w="15" w:type="dxa"/>
            <w:left w:w="15" w:type="dxa"/>
            <w:bottom w:w="15" w:type="dxa"/>
            <w:right w:w="15" w:type="dxa"/>
          </w:tblCellMar>
        </w:tblPrEx>
        <w:trPr>
          <w:gridAfter w:val="1"/>
          <w:wAfter w:w="5" w:type="pct"/>
          <w:trHeight w:val="424" w:hRule="atLeast"/>
          <w:jc w:val="center"/>
        </w:trPr>
        <w:tc>
          <w:tcPr>
            <w:tcW w:w="892"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评审标准</w:t>
            </w:r>
          </w:p>
        </w:tc>
        <w:tc>
          <w:tcPr>
            <w:tcW w:w="2488" w:type="pct"/>
            <w:gridSpan w:val="2"/>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评审要点</w:t>
            </w:r>
          </w:p>
        </w:tc>
        <w:tc>
          <w:tcPr>
            <w:tcW w:w="1614"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评审方法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4994"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3.5.1 根据国家法律法规及相关规定，建立和完善医学装备管理组织架构，人员配置合理，制定常规与大型医学装备配置方案。</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3.5.1.1 建立和完善医学装备管理体系、医</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学装备管理制度和岗位职责。</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建立医学装备三级管理体系，成立院级领导、医学装备管理部门、相关部门人员和专家组成的医学装备委员会，负责对医院医学装备发展规划、年度装备计划、采购活动等重大事项进行评估、论证等（每年不少于2次），有工作记录。</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2.医学装备管理部门根据医院功能和任务需求，配备专人管理和专业技术人员。</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3.遵循</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统一领导、归口管理、分级负责、责权一致</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原则，制定医院医学装备管理制度、工作流程和岗位职责，并执行。</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1.主管职能部门对医学装备委员会工作计划进展有自查。</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2.对管理人员有培训及考核。</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3.5.1.2根据国家法律、法规及卫生健康行政部门规章、管理办法、标准要求，制定常规与大型医学装备配置方案。</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根据国家法律、法规及卫生健康行政部门规章、管理办法、标准要求，制定常规与大型医学装备配置方案。包括医学装备论证、决策、购置、验收等内容与工作流程，并执行。</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查阅相关资料。抽查2台设备的相关资料，评价是否符合要求。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医学装备委员会定期对方案的落实有追踪评价（每年不少于2次）</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4994"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3.5.2 根据医院功能定位和发展规划，有大型医用设备使用、功能开发、社会效益、成本效益等分析评价。</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3.5.2.1有大型医用设备使用、功能开发、社会效益、成本效益等分析评价。</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1.有医学装备购置论证相关制度与决策流程，单价在50万元及以上的医学装备有可行性论证。</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2.有根据全国卫生系统医疗器械仪器设备分类与代码，建立的医学装备分类、分户电子账目，实行信息化管理。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3.有医学装备使用评价相关制度。有大型医用设备使用、功能开发、社会效益、成本效益等分析评价。</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1.查阅相关资料。抽查2台大型设备的相关资料，评价是否符合要求。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2.现场查看信息化管理系统，是否符合要求。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3.查阅相关资料。抽查2台大型设备的相关资料，评价是否符合要求。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1.医学装备管理部门对制度建设、档案资料、账目、设备管理和使用情况等有自查。</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2.主管职能部门对医学装备配置、审计结果、分析报告有监管，提出改进建议，及时报送医学装备委员会。</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有信息系统支持大型设备使用及成本效益分析的全流程管理</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医疗设备管理系统</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现场查看管理系统及查阅相关资料。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4994"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3.5.3 加强医学装备安全管理，有明确的医疗器械临床使用安全控制与风险管理工作制度与流程。建立医疗器械临床使用安全事件监测与报告机制。</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3.5.3.1加强医学装备安全管理，对医疗器械临床使用安全控制与风险管理有明确的工作制度与流程。建立医疗器械临床使用安全事件监测与报告机制。</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1.有医学装备临床使用安全控制与风险管理、医疗器械临床使用安全监测和安全事件报告相关制度与流程，并落实。</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2.有医学装备质量保障，如：操作者自我检查，医学装备计（剂）量准确、安全防护、性能指标符合要求。对暂停或终止使用的高风险器械有记录。</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3.有生命支持类、急救类、植入类、辐射类、灭菌类和大型医用设备等医学装备临床使用安全监测与报告制度。</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2.随机抽查2个医技科室4台设备的相关质量保障的记录。</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1.使用部门对医学装备、医疗器械安全管理有自查，有风险程度分析和使用情况的分析，有记录。</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2.医学装备管理部门有监管、反馈，并督促整改。</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1.随机抽查2个医技科室的相关资料，评价是否符合要求。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有信息系统支持医疗器械临床使用安全事件监测与报告管理。</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现场查看管理系统及查阅相关资料。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3.5.3.2加强特种设备和特殊医学装备安全管理。</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1.高压容器等特种设备和放射装置等特殊医学装备具有生产、安装合格证明以及根据规定必备的许可证明。</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2.特种设备和特殊医学装备操作人员经过培训，具有上岗资格。</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 2.查阅相关登记目录；抽查2台特种设备的相关资料，操作人员相关证件。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装备管理部门对特殊装备定期自查和监测，有完整的自查和监测资料。</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抽查2台特种设备的相关资料。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持续改进有成效，有案例体现成效。</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3.5.3.3 建立医疗器械临床使用安全事件监测与报告机制。</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1.医院有医疗器械临床使用安全监测和安全事件报告相关制度与流程，有鼓励医疗器械临床使用不良事件报告的措施。</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2.有医疗器械使用不良事件报告信息平台，指定管理部门，定期汇总、分析；有根据医疗器械使用不良事件风险程度，发布风险预警，暂停或终止高风险器械使用的规定。</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3.根据国家要求及时向有关部门报告医疗器械临床使用安全事件，有完整的信息资料。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4.相关人员知晓不良事件报告制度和流程，并落实。</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4.随机询问相关医护人员5名，了解其知晓情况。知晓率100%。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1.科室对存在使用不当造成不良事件的情况有自查、总结、整改。</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2.主管部门有监管、反馈，检查科室整改情况。</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1.抽查临床科室2个及医技科室2个，查阅相关资料。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trHeight w:val="850" w:hRule="exact"/>
          <w:jc w:val="center"/>
        </w:trPr>
        <w:tc>
          <w:tcPr>
            <w:tcW w:w="4994"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3.5.4 加强医疗仪器设备管理和使用人员的培训，为医疗器械临床合理使用提供技术支持与咨询服务。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3.5.4.1加强医疗仪器设备管理和使用人员的培训，为医疗器械临床合理使用提供技术支持与咨询服务。</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1.医院有设备管理和使用人员的培训制度，培训内容涵盖操作流程、日常维护、使用中可能出现的意外情况处理预案及措施等。</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2.有培训计划，有培训考核记录。</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3.操作者考核合格方能使用设备。</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3.抽查操作者5名，查阅培训考核是否合格。</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1.管理人员接受相关咨询，并能解决问题，有相关记录。</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2.管理部门定期巡查，发现解决问题，有工作记录。</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5"/>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3.5.5 建立保障医学装备处于完好状态的制度与规范，对用于急救、生命支持系统仪器装备要始终保持在待用状态，建立全院应急调配机制。</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3.5.5.1建立相</w:t>
            </w:r>
            <w:r>
              <w:rPr>
                <w:rFonts w:hint="default" w:ascii="Times New Roman" w:hAnsi="Times New Roman" w:eastAsia="方正仿宋_GBK" w:cs="Times New Roman"/>
                <w:color w:val="auto"/>
                <w:sz w:val="24"/>
                <w:szCs w:val="24"/>
                <w:highlight w:val="none"/>
                <w:lang w:val="en-US" w:eastAsia="zh-CN"/>
              </w:rPr>
              <w:t>关</w:t>
            </w:r>
            <w:r>
              <w:rPr>
                <w:rFonts w:hint="default" w:ascii="Times New Roman" w:hAnsi="Times New Roman" w:eastAsia="方正仿宋_GBK" w:cs="Times New Roman"/>
                <w:color w:val="auto"/>
                <w:sz w:val="24"/>
                <w:szCs w:val="24"/>
                <w:highlight w:val="none"/>
              </w:rPr>
              <w:t>制度、预案与流程，保障用于急救、生命支持系统仪器装备要始终保持在待用状态。</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1.有全院装备配置和使用情况清单，有急救类、生命支持类医学装备应急预案，保障紧急救援工作需要。</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2.对相关设备保养、维修、校验等实施统一管理，操作人员规范履行日常保养和维护。</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3.各科室急救类、生命支持类装备时刻保持待用状态，完好率100%。</w:t>
            </w:r>
          </w:p>
        </w:tc>
        <w:tc>
          <w:tcPr>
            <w:tcW w:w="1619"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2.查阅相关资料，抽查2台设备，查阅日常保养和维护记录。</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3.抽查2个临床科室，查看急救类、生命支持类设备的情况，并查阅相关资料。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1.科室对相关工作有自查、分析，对存在问题有整改。</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2.主管部门定期督查、反馈，并检查科室整改情况。</w:t>
            </w:r>
          </w:p>
        </w:tc>
        <w:tc>
          <w:tcPr>
            <w:tcW w:w="1619"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1.抽查</w:t>
            </w: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个临床科室的相关资料。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持续改进有成效，有数据后案例体现成效。</w:t>
            </w:r>
          </w:p>
        </w:tc>
        <w:tc>
          <w:tcPr>
            <w:tcW w:w="1619"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3.5.5.2建立全院保障医学装备应急调配机制。</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1.建立与医院规模、功能相匹配的生命支持医疗器械和相关重要医疗器械故障的应急管理预案。</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2.优先保障急救类、生命支持类装备的应急调配。调配流程满足急救需要，并可执行。</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3.医务人员知晓医疗装备应急管理与替代程序。</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2.现场模拟调配，评价是否满足需要。</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3.随机询问5名临床科室的医护人员，了解其知晓情况，知晓率100%。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定期对医学装备应急调配有演练，有总结分析，有改进措施，并落实。</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5"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持续改进有成效，有书或案例体现成效。</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5"/>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3.5.6 依据国家相关规定，加强对医用耗材的溯源、不良事件监测与报告的管理。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3.5.6.1 依据国家相关规定，加强高值医用耗材、一次性使用的无菌器械和其他医用耗材的管理。</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1.依据国家相关规定制定高值医用耗材、一次性使用无菌器械及其他医用耗材的管理制度及实施细则。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2.对高值医用耗材、一次性使用无菌器械和其他医用耗材的采购记录有管理，可追溯到每批产品的进货来源。</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3.有医用耗材使用不良事件报告与监测管理流程，并执行。</w:t>
            </w:r>
          </w:p>
        </w:tc>
        <w:tc>
          <w:tcPr>
            <w:tcW w:w="1619"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1.科室对医用耗材使用情况、不良事件的管理有自查，对存在问题有整改。</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2.主管部门对医用耗材管理的全过程有检查、评估、反馈。有不良事件监测和分析报告并检查科室整改落实情况。</w:t>
            </w:r>
          </w:p>
        </w:tc>
        <w:tc>
          <w:tcPr>
            <w:tcW w:w="1619"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1.抽查医用耗材使用较多的2个临床科室及1个医技科室，查阅相关资料。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1.使用SPD（医用耗材管理系统），对医用耗材实行全流程规范管理。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2.百元医疗收入</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不含药品收入</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中消耗的卫生材料降到20元以下。</w:t>
            </w:r>
          </w:p>
        </w:tc>
        <w:tc>
          <w:tcPr>
            <w:tcW w:w="1619"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1.查看SPD的运行，评价是否满足管理要求。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5"/>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3.5.7 医学装备部门与使用部门共同管理医学装备，医学装备部门建立质量安全小组，使用部门将医学装备纳入科室管理。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bookmarkStart w:id="206" w:name="_Hlk73135710"/>
            <w:r>
              <w:rPr>
                <w:rFonts w:hint="default" w:ascii="Times New Roman" w:hAnsi="Times New Roman" w:eastAsia="方正仿宋_GBK" w:cs="Times New Roman"/>
                <w:color w:val="auto"/>
                <w:sz w:val="24"/>
                <w:szCs w:val="24"/>
                <w:highlight w:val="none"/>
              </w:rPr>
              <w:t>3.5.7.1医学装备部门建立由部门负责人和相关设备技术人员共同组成的质量安全小组，管理全院医疗设备使用和安全管理。</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1.医学装备和使用部门管理人员应接受医学装备管理基本技能培训，具备质量管理基本知识。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2.定期分析全院医学装备使用情况；分析医学装备维修和报废等管理过程中存在问题。</w:t>
            </w:r>
          </w:p>
        </w:tc>
        <w:tc>
          <w:tcPr>
            <w:tcW w:w="1619"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定期巡视检查医学装备使用、维护情况，并有分析、评估和反馈记录。</w:t>
            </w:r>
          </w:p>
        </w:tc>
        <w:tc>
          <w:tcPr>
            <w:tcW w:w="1619"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医院有设备管理系统，实行医用设备使用全流程管理。</w:t>
            </w:r>
          </w:p>
        </w:tc>
        <w:tc>
          <w:tcPr>
            <w:tcW w:w="1619"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查看管理系统的运行，查阅相关资料。</w:t>
            </w:r>
          </w:p>
        </w:tc>
      </w:tr>
      <w:bookmarkEnd w:id="206"/>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3.5.7.2医学装备使用科室（或部门）将医</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疗仪器设备管理和使用纳入科室管理。</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1.医学装备使用科室（或部门）有医学装备日常管理工作和意外应急管理等相关规定，并设专职或兼职人员管理科室医学装备。</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2.医学装备相关使用人员接受基本技能培训，合格后方可上岗。</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3.科室有对维护保养和管理情况有自查、有记录，对存在问题有整改。</w:t>
            </w:r>
          </w:p>
        </w:tc>
        <w:tc>
          <w:tcPr>
            <w:tcW w:w="1619"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建立医用设备管理台账，大型医用设备预防性维护保养规范。</w:t>
            </w:r>
          </w:p>
        </w:tc>
        <w:tc>
          <w:tcPr>
            <w:tcW w:w="1619"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抽查2个医技科室，查阅相关资料。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tcBorders>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9" w:type="pct"/>
            <w:gridSpan w:val="2"/>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bl>
    <w:p>
      <w:pPr>
        <w:pStyle w:val="4"/>
        <w:spacing w:before="0" w:beforeAutospacing="0" w:after="0" w:afterAutospacing="0" w:line="560" w:lineRule="exact"/>
        <w:ind w:left="0" w:leftChars="0" w:rightChars="0" w:firstLine="624" w:firstLineChars="200"/>
        <w:jc w:val="left"/>
        <w:rPr>
          <w:color w:val="auto"/>
          <w:szCs w:val="21"/>
          <w:highlight w:val="none"/>
        </w:rPr>
      </w:pPr>
      <w:r>
        <w:rPr>
          <w:rFonts w:hint="default" w:ascii="Times New Roman" w:hAnsi="Times New Roman" w:eastAsia="方正黑体_GBK" w:cs="Times New Roman"/>
          <w:b w:val="0"/>
          <w:i w:val="0"/>
          <w:color w:val="auto"/>
          <w:sz w:val="32"/>
          <w:szCs w:val="21"/>
          <w:highlight w:val="none"/>
        </w:rPr>
        <w:t>六、后勤保障管理</w:t>
      </w:r>
    </w:p>
    <w:tbl>
      <w:tblPr>
        <w:tblStyle w:val="12"/>
        <w:tblW w:w="4998" w:type="pct"/>
        <w:jc w:val="center"/>
        <w:tblLayout w:type="autofit"/>
        <w:tblCellMar>
          <w:top w:w="15" w:type="dxa"/>
          <w:left w:w="15" w:type="dxa"/>
          <w:bottom w:w="15" w:type="dxa"/>
          <w:right w:w="15" w:type="dxa"/>
        </w:tblCellMar>
      </w:tblPr>
      <w:tblGrid>
        <w:gridCol w:w="1565"/>
        <w:gridCol w:w="63"/>
        <w:gridCol w:w="4302"/>
        <w:gridCol w:w="2835"/>
        <w:gridCol w:w="7"/>
      </w:tblGrid>
      <w:tr>
        <w:tblPrEx>
          <w:tblCellMar>
            <w:top w:w="15" w:type="dxa"/>
            <w:left w:w="15" w:type="dxa"/>
            <w:bottom w:w="15" w:type="dxa"/>
            <w:right w:w="15" w:type="dxa"/>
          </w:tblCellMar>
        </w:tblPrEx>
        <w:trPr>
          <w:gridAfter w:val="1"/>
          <w:wAfter w:w="3" w:type="pct"/>
          <w:trHeight w:val="424" w:hRule="atLeast"/>
          <w:jc w:val="center"/>
        </w:trPr>
        <w:tc>
          <w:tcPr>
            <w:tcW w:w="892"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评审标准</w:t>
            </w:r>
          </w:p>
        </w:tc>
        <w:tc>
          <w:tcPr>
            <w:tcW w:w="2488" w:type="pct"/>
            <w:gridSpan w:val="2"/>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评审要点</w:t>
            </w:r>
          </w:p>
        </w:tc>
        <w:tc>
          <w:tcPr>
            <w:tcW w:w="1614"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评审方法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4996"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3.6.1 有后勤保障管理组织、规章制度与人员岗位职责。后勤保障服务能够坚持</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以患者为中心</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，满足医疗服务流程需要，注重员工合理需求。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3.6.1.1后勤保障管理组织机构健全，规章制度完善，人员岗位职责明确，并落实。后勤保障服务坚持</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以病人为中心</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，满足医疗服务流程需要。</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1.后勤保障管理组织机构健全，制度完善，岗位职责明确。</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2.后勤人员知晓岗位职责和相关制度，有定期教育培训。</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3.后勤人员在日常工作中落实制度、职责。各项服务措施满足医疗流程需要。</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2.查阅培训资料，随机抽查5位不同岗位的人员，了解其知晓情况。知晓率≥80%。</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3.现场查看及询问相关服务，评价是否符合要求。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1.后勤保障部门有自查、总结分析，有改进措施，并落实。</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2.监管部门定期督查、反馈，并督促整改。</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4996"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3.6.2 后勤专业人员及特种设备操作人员持证上岗，按技术操作规程工作。</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3.6.2.1遵守国家法律、法规要求，相关岗位操作人员应具有上岗证、操作证，且操作人员应掌握技术操作规程。</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1.有后勤相关人员持证上岗管理制度和岗位人员分布目录。</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2.相关岗位操作人员有上岗证、操作证，非专业特殊工种，经相关级别的培训合格。</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3.岗位操作人员掌握相关岗位的技术操作规程。</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3.随机询问不同岗位人员3名，了解其掌握情况，知晓率100%。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1.后勤保障部门有自查、总结分析，有改进措施，并落实。</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2.监管部门定期督查、反馈，并督促整改。</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4996"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3.6.3 控制与降低能源消耗，水、电、气、物资供应等后勤保障满足医院运行需要。</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3.6.3.1水、电、汽等后勤保障满足医院运行需要。</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1.有水、电、气、电梯等人员岗位配置、岗位职责和操作规范。</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2.水、电、气供应机房有标识，有24小时应急值班制。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3.机房有日常运行检查、定期维护保养记录，特种设备按规定定期检测并按相关要求张贴检测标签。</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sz w:val="24"/>
              </w:rPr>
              <mc:AlternateContent>
                <mc:Choice Requires="wps">
                  <w:drawing>
                    <wp:anchor distT="0" distB="0" distL="114300" distR="114300" simplePos="0" relativeHeight="251682816" behindDoc="0" locked="0" layoutInCell="1" allowOverlap="1">
                      <wp:simplePos x="0" y="0"/>
                      <wp:positionH relativeFrom="column">
                        <wp:posOffset>-1015365</wp:posOffset>
                      </wp:positionH>
                      <wp:positionV relativeFrom="paragraph">
                        <wp:posOffset>389255</wp:posOffset>
                      </wp:positionV>
                      <wp:extent cx="1009015" cy="1447800"/>
                      <wp:effectExtent l="0" t="0" r="0" b="0"/>
                      <wp:wrapNone/>
                      <wp:docPr id="43" name="文本框 43"/>
                      <wp:cNvGraphicFramePr/>
                      <a:graphic xmlns:a="http://schemas.openxmlformats.org/drawingml/2006/main">
                        <a:graphicData uri="http://schemas.microsoft.com/office/word/2010/wordprocessingShape">
                          <wps:wsp>
                            <wps:cNvSpPr txBox="1"/>
                            <wps:spPr>
                              <a:xfrm>
                                <a:off x="1045210" y="1714500"/>
                                <a:ext cx="1009015" cy="1447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00" w:lineRule="exact"/>
                                    <w:textAlignment w:val="auto"/>
                                  </w:pPr>
                                  <w:r>
                                    <w:rPr>
                                      <w:rFonts w:hint="default" w:ascii="Times New Roman" w:hAnsi="Times New Roman" w:eastAsia="方正仿宋_GBK" w:cs="Times New Roman"/>
                                      <w:color w:val="auto"/>
                                      <w:sz w:val="24"/>
                                      <w:szCs w:val="24"/>
                                      <w:highlight w:val="none"/>
                                    </w:rPr>
                                    <w:t>3.6.3.1水、电、汽等后勤保障满足医院运行需要。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9.95pt;margin-top:30.65pt;height:114pt;width:79.45pt;z-index:251682816;mso-width-relative:page;mso-height-relative:page;" filled="f" stroked="f" coordsize="21600,21600" o:gfxdata="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mP1Kd2wAAAAoBAAAPAAAAAAAAAAEA&#10;IAAAACIAAABkcnMvZG93bnJldi54bWxQSwECFAAUAAAACACHTuJA/R1hh0UCAAB1BAAADgAAAAAA&#10;AAABACAAAAAqAQAAZHJzL2Uyb0RvYy54bWxQSwUGAAAAAAYABgBZAQAA4Q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00" w:lineRule="exact"/>
                              <w:textAlignment w:val="auto"/>
                            </w:pPr>
                            <w:r>
                              <w:rPr>
                                <w:rFonts w:hint="default" w:ascii="Times New Roman" w:hAnsi="Times New Roman" w:eastAsia="方正仿宋_GBK" w:cs="Times New Roman"/>
                                <w:color w:val="auto"/>
                                <w:sz w:val="24"/>
                                <w:szCs w:val="24"/>
                                <w:highlight w:val="none"/>
                              </w:rPr>
                              <w:t>3.6.3.1水、电、汽等后勤保障满足医院运行需要。</w:t>
                            </w:r>
                          </w:p>
                        </w:txbxContent>
                      </v:textbox>
                    </v:shape>
                  </w:pict>
                </mc:Fallback>
              </mc:AlternateContent>
            </w:r>
            <w:r>
              <w:rPr>
                <w:rFonts w:hint="default" w:ascii="Times New Roman" w:hAnsi="Times New Roman" w:eastAsia="方正仿宋_GBK" w:cs="Times New Roman"/>
                <w:color w:val="auto"/>
                <w:sz w:val="24"/>
                <w:szCs w:val="24"/>
                <w:highlight w:val="none"/>
              </w:rPr>
              <w:t>4.有明确的故障报修、处理流程，有夜间、节假日出现故障时的联系维修方式和方法。</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5.有水、电、气等后勤保障应急预案，有演练。</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6.按照要求对集中空调通风系统的设备设施进行日常维护和清洗，开展集中空调通风系统卫生状况的检测。卫生指标符合有关标准要求。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7.每季度对二次供水水质检测一次，至少每半年对二次供水储水设施清洗、消毒一次。水质指标符合国家和本市生活饮用水标准要求。</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2.现场查看。</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3.现场查看。</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6.查阅相关资料。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7.查阅相关资料。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trHeight w:val="961" w:hRule="atLeas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1.后勤保障部门有自查、总结分析，有改进措施，并落实。</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2.监管部门定期督查、反馈，并督促整改。</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3.6.3.2严格控制与降低能源消耗，有具体可行的措施与控制指标。</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1.医院有节能降耗的计划或方案，有具体的控制指标。</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2.有主管部门制定具体措施并实施。</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节能降耗措施有落实成效。</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持续改进有成效，单位面积各种能源消耗呈下降趋势。</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4996"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3.6.4 为员工提供膳食服务，保障饮食卫生安全。</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3.6.4.1有专职部门负责医院膳食服务，并建立健全各项食品卫生安全管理制度和岗位责任。</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1.根据医院规模，有专职部门负责医院膳食服务，有工作人员岗位责任、职业道德、行为规范与考核制度。相关人员符合食品安全上岗健康要求。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2.有食品安全与卫生管理制度。</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3.有配送餐饮服务的措施并落实。</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主管部门有检查与监管，有记录。</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持续改进有成效，员工对餐饮服务的满意度≥80%。</w:t>
            </w:r>
          </w:p>
        </w:tc>
        <w:tc>
          <w:tcPr>
            <w:tcW w:w="1614"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3.6.4.2食品原料采购、仓储和食品加工规范，符合卫生管理要求。</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1.有食品原料采购、仓储、加工的卫生管理相关制度和规范，符合卫生管理要求，并落实。</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2.有食品留样相关制度，并落实。</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3.相关人员知晓本部门、本岗位的履职要求。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4.有措施保障食品卫生管理相关制度和规范的落实。</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1.现场查看，并查阅相关资料。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2.现场查看，并查阅相关资料。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3.随机询问不同岗位的工作人员3名，了解其知晓情况。</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4.现场查看，并查阅相关资料。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主管部门有检查与监管，有记录。</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5"/>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3.6.5 医疗废物、废液管理符合医院感染管理要求。污水管理和处置符合规定。</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3.6.5.1医疗废物、废液管理符合医院感染</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管理要求。</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1.有医疗废物、废液处置管理制度及流程。有专人负责医疗废物、废液处置工作，有岗位职责。</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2.医疗废物、废液管理全流程符合相关法律法规的要求。</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3.医疗废物处置暂存点建设规范、配置齐全，有运行日志，交接记录完整。</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2.3.现场查看，并查阅相关资料。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1.负责处置部门定期自查、有改进措施并落实。</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2.主管部门有检查和监管，并检查落实整改情况。</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3.6.5.2污水管理和处置符合规定。</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1.医院有污水处理管理制度及流程。有专人负责污水处理工作，有岗位职责，相关人员有上岗证。</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2.污水处理符合相关法律法规的要求。并通过环保部门验收与评价。</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3.污水站设施设备运行正常，有运行日志与监测的原始记录，记录完整。</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2.3.现场查看，并查阅相关资料。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w:t>
            </w:r>
            <w:r>
              <w:rPr>
                <w:rFonts w:hint="default" w:ascii="Times New Roman" w:hAnsi="Times New Roman" w:eastAsia="方正仿宋_GBK" w:cs="Times New Roman"/>
                <w:color w:val="auto"/>
                <w:spacing w:val="-11"/>
                <w:sz w:val="24"/>
                <w:szCs w:val="24"/>
                <w:highlight w:val="none"/>
              </w:rPr>
              <w:t>负责处置部门定期自查、有改进措施并落实。</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2.主管部门有检查和监管，并检查落实整改情况。</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5"/>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3.6.</w:t>
            </w:r>
            <w:r>
              <w:rPr>
                <w:rFonts w:hint="default" w:ascii="Times New Roman" w:hAnsi="Times New Roman" w:eastAsia="方正仿宋_GBK" w:cs="Times New Roman"/>
                <w:color w:val="auto"/>
                <w:sz w:val="24"/>
                <w:szCs w:val="24"/>
                <w:highlight w:val="none"/>
                <w:lang w:val="en-US" w:eastAsia="zh-CN"/>
              </w:rPr>
              <w:t>6</w:t>
            </w:r>
            <w:r>
              <w:rPr>
                <w:rFonts w:hint="default" w:ascii="Times New Roman" w:hAnsi="Times New Roman" w:eastAsia="方正仿宋_GBK" w:cs="Times New Roman"/>
                <w:color w:val="auto"/>
                <w:sz w:val="24"/>
                <w:szCs w:val="24"/>
                <w:highlight w:val="none"/>
              </w:rPr>
              <w:t xml:space="preserve"> 医院消防系统、特种设备、危险品管理符合国家相关法律法规和标准。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3.6.</w:t>
            </w:r>
            <w:r>
              <w:rPr>
                <w:rFonts w:hint="default" w:ascii="Times New Roman" w:hAnsi="Times New Roman" w:eastAsia="方正仿宋_GBK" w:cs="Times New Roman"/>
                <w:color w:val="auto"/>
                <w:sz w:val="24"/>
                <w:szCs w:val="24"/>
                <w:highlight w:val="none"/>
                <w:lang w:val="en-US" w:eastAsia="zh-CN"/>
              </w:rPr>
              <w:t>6</w:t>
            </w:r>
            <w:r>
              <w:rPr>
                <w:rFonts w:hint="default" w:ascii="Times New Roman" w:hAnsi="Times New Roman" w:eastAsia="方正仿宋_GBK" w:cs="Times New Roman"/>
                <w:color w:val="auto"/>
                <w:sz w:val="24"/>
                <w:szCs w:val="24"/>
                <w:highlight w:val="none"/>
              </w:rPr>
              <w:t>.1医院消防系统管理符合国家相关法律法规和标准。</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1.有消防安全管理部门，有消防安全管理措施和管理人员岗位职责，科室消防安全职责管理落实到人，每班人员有火灾时的应急分工。</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2.有消防安全管理制度、培训制度和应急预案；开展年度、季节性、专项检查等，每年至少进</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行一次消防安全重点部门的消防演练，每月至少组织一次消防安全检查，有记录。</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3.消防通道通畅，防火器材（灭火器、消防栓等）完好。重点部门、重要部位防范有监管，有记录。</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4.新员工培训考核有消防安全教育内容，至少每年一次进行全院职工的消防安全教育，包括：</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报警、初起火灾处理流程和方法，灭火器材使用，自救、互救和逃生，按照预案疏散患者等相关知识。</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1.科室、部门对消防通道、员工消防知识和技能、防火器材等有自查，且责任到人。</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2.主管职能部门对全院消防安全管理有督查、反馈，督促整改。</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1.抽查2个临床科室、医技科室及管理部门各1个，现场查看，并查阅相关资料。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3.6.</w:t>
            </w:r>
            <w:r>
              <w:rPr>
                <w:rFonts w:hint="default" w:ascii="Times New Roman" w:hAnsi="Times New Roman" w:eastAsia="方正仿宋_GBK" w:cs="Times New Roman"/>
                <w:color w:val="auto"/>
                <w:sz w:val="24"/>
                <w:szCs w:val="24"/>
                <w:highlight w:val="none"/>
                <w:lang w:val="en-US" w:eastAsia="zh-CN"/>
              </w:rPr>
              <w:t>6</w:t>
            </w:r>
            <w:r>
              <w:rPr>
                <w:rFonts w:hint="default" w:ascii="Times New Roman" w:hAnsi="Times New Roman" w:eastAsia="方正仿宋_GBK" w:cs="Times New Roman"/>
                <w:color w:val="auto"/>
                <w:sz w:val="24"/>
                <w:szCs w:val="24"/>
                <w:highlight w:val="none"/>
              </w:rPr>
              <w:t>.2 医院特种设备管理符合国家相关法律法规和标准。</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1.有特种设备管理的相关制度、操作规范和岗位职责。</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2.有专人负责，相关人员持证上岗，有相关操作记录；有培训及三级安全教育卡。</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3.有维护、维修、验收记录。</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4.年检合格，并公示年检标签。</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1.使用部门有定期自查、有改进措施并落实。</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2.主管部门有检查和监管，并检查落实整改情况。</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3.6.</w:t>
            </w:r>
            <w:r>
              <w:rPr>
                <w:rFonts w:hint="default" w:ascii="Times New Roman" w:hAnsi="Times New Roman" w:eastAsia="方正仿宋_GBK" w:cs="Times New Roman"/>
                <w:color w:val="auto"/>
                <w:sz w:val="24"/>
                <w:szCs w:val="24"/>
                <w:highlight w:val="none"/>
                <w:lang w:val="en-US" w:eastAsia="zh-CN"/>
              </w:rPr>
              <w:t>6</w:t>
            </w:r>
            <w:r>
              <w:rPr>
                <w:rFonts w:hint="default" w:ascii="Times New Roman" w:hAnsi="Times New Roman" w:eastAsia="方正仿宋_GBK" w:cs="Times New Roman"/>
                <w:color w:val="auto"/>
                <w:sz w:val="24"/>
                <w:szCs w:val="24"/>
                <w:highlight w:val="none"/>
              </w:rPr>
              <w:t>.3医院危险品管理符合国家相关法律法规和标准。</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1.有危险品安全管理部门、制度和岗位职责，尤其对易燃、易爆、有毒有害物品和放射源等危险品和危险设施实施重点管理。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2.有完整的危险品采购、使用、消耗等登记资料，账物相符。</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3.有全院的危险品种类与目录清单、统一的危险品标识，有危险品库或专用储存柜。</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4.作业人员熟悉岗位职责和管理要求，有培训，有资质。</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5.有相应的危险品安全事件处置预案及流程，并定期演练（每年不少于2次）。</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3.现场查看，并查阅相关资料。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4.随机询问相关工作人员2名，了解其知晓情况，知晓率100%。</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1.使用科室或部门有定期自查、有改进措施并落实。</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2.主管部门有检查和监管，并检查落实整改情况。</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持续改进有成效，有案例体现成效。</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5"/>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3.6.</w:t>
            </w:r>
            <w:r>
              <w:rPr>
                <w:rFonts w:hint="default" w:ascii="Times New Roman" w:hAnsi="Times New Roman" w:eastAsia="方正仿宋_GBK" w:cs="Times New Roman"/>
                <w:color w:val="auto"/>
                <w:sz w:val="24"/>
                <w:szCs w:val="24"/>
                <w:highlight w:val="none"/>
                <w:lang w:val="en-US" w:eastAsia="zh-CN"/>
              </w:rPr>
              <w:t>7</w:t>
            </w:r>
            <w:r>
              <w:rPr>
                <w:rFonts w:hint="default" w:ascii="Times New Roman" w:hAnsi="Times New Roman" w:eastAsia="方正仿宋_GBK" w:cs="Times New Roman"/>
                <w:color w:val="auto"/>
                <w:sz w:val="24"/>
                <w:szCs w:val="24"/>
                <w:highlight w:val="none"/>
              </w:rPr>
              <w:t xml:space="preserve"> 为患者提供清洁、温馨、舒适的医院环境，符合爱国卫生运动相关要求，美化、硬化、绿化达到医院环境标准要求。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3.6.</w:t>
            </w:r>
            <w:r>
              <w:rPr>
                <w:rFonts w:hint="default" w:ascii="Times New Roman" w:hAnsi="Times New Roman" w:eastAsia="方正仿宋_GBK" w:cs="Times New Roman"/>
                <w:color w:val="auto"/>
                <w:sz w:val="24"/>
                <w:szCs w:val="24"/>
                <w:highlight w:val="none"/>
                <w:lang w:val="en-US" w:eastAsia="zh-CN"/>
              </w:rPr>
              <w:t>7</w:t>
            </w:r>
            <w:r>
              <w:rPr>
                <w:rFonts w:hint="default" w:ascii="Times New Roman" w:hAnsi="Times New Roman" w:eastAsia="方正仿宋_GBK" w:cs="Times New Roman"/>
                <w:color w:val="auto"/>
                <w:sz w:val="24"/>
                <w:szCs w:val="24"/>
                <w:highlight w:val="none"/>
              </w:rPr>
              <w:t>.1环境卫生符合爱国卫生运动相关要求，环境美化、绿化，道路硬化，做到优美、整洁、舒适。</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1.有爱国卫生运动委员会，有指定的部门和人员负责医院环境卫生工作，制订环境卫生工作计划并组织实施。</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2.医院环境优美、整洁、舒适，符合爱国卫生运动要求（包括无卫生死角、生活垃圾暂存规范、厕所无异味、无鼠等）。</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2.现场查看，评价是否符合要求。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1.环境卫生负责部门有定期自查、有改进措施并落实。</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2.主管部门定期检查、反馈并督促整改。</w:t>
            </w:r>
          </w:p>
        </w:tc>
        <w:tc>
          <w:tcPr>
            <w:tcW w:w="1618" w:type="pct"/>
            <w:gridSpan w:val="2"/>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tcBorders>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持续改进有成效，有案例体现成效。</w:t>
            </w:r>
          </w:p>
        </w:tc>
        <w:tc>
          <w:tcPr>
            <w:tcW w:w="1618" w:type="pct"/>
            <w:gridSpan w:val="2"/>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bl>
    <w:p>
      <w:pPr>
        <w:pStyle w:val="4"/>
        <w:spacing w:before="0" w:beforeAutospacing="0" w:after="0" w:afterAutospacing="0" w:line="560" w:lineRule="exact"/>
        <w:ind w:left="0" w:leftChars="0" w:rightChars="0" w:firstLine="624" w:firstLineChars="200"/>
        <w:jc w:val="left"/>
        <w:rPr>
          <w:color w:val="auto"/>
          <w:szCs w:val="21"/>
          <w:highlight w:val="none"/>
        </w:rPr>
      </w:pPr>
      <w:r>
        <w:rPr>
          <w:rFonts w:hint="default" w:ascii="Times New Roman" w:hAnsi="Times New Roman" w:eastAsia="方正黑体_GBK" w:cs="Times New Roman"/>
          <w:b w:val="0"/>
          <w:i w:val="0"/>
          <w:color w:val="auto"/>
          <w:sz w:val="32"/>
          <w:szCs w:val="21"/>
          <w:highlight w:val="none"/>
        </w:rPr>
        <w:t>七、应急管理</w:t>
      </w:r>
    </w:p>
    <w:tbl>
      <w:tblPr>
        <w:tblStyle w:val="12"/>
        <w:tblW w:w="4999" w:type="pct"/>
        <w:jc w:val="center"/>
        <w:tblLayout w:type="autofit"/>
        <w:tblCellMar>
          <w:top w:w="15" w:type="dxa"/>
          <w:left w:w="15" w:type="dxa"/>
          <w:bottom w:w="15" w:type="dxa"/>
          <w:right w:w="15" w:type="dxa"/>
        </w:tblCellMar>
      </w:tblPr>
      <w:tblGrid>
        <w:gridCol w:w="1567"/>
        <w:gridCol w:w="63"/>
        <w:gridCol w:w="4303"/>
        <w:gridCol w:w="2841"/>
      </w:tblGrid>
      <w:tr>
        <w:tblPrEx>
          <w:tblCellMar>
            <w:top w:w="15" w:type="dxa"/>
            <w:left w:w="15" w:type="dxa"/>
            <w:bottom w:w="15" w:type="dxa"/>
            <w:right w:w="15" w:type="dxa"/>
          </w:tblCellMar>
        </w:tblPrEx>
        <w:trPr>
          <w:trHeight w:val="424" w:hRule="atLeast"/>
          <w:jc w:val="center"/>
        </w:trPr>
        <w:tc>
          <w:tcPr>
            <w:tcW w:w="893"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评审标准</w:t>
            </w:r>
          </w:p>
        </w:tc>
        <w:tc>
          <w:tcPr>
            <w:tcW w:w="2488" w:type="pct"/>
            <w:gridSpan w:val="2"/>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评审要点</w:t>
            </w:r>
          </w:p>
        </w:tc>
        <w:tc>
          <w:tcPr>
            <w:tcW w:w="1618"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评审方法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3.7.1 成立医院应急工作领导小组，建立医院应急指挥系统，落实责任，建立并不断完善医院应急管理的机制。</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3.7.1.1 成立医院应急工作领导小组，建立</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医院应急指挥系统，落实责任，建立并不断完善医院应急管理的机制。</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numPr>
                <w:ilvl w:val="0"/>
                <w:numId w:val="544"/>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有医院应急指挥系统，院长是医院应急管理的第一责任人。</w:t>
            </w:r>
          </w:p>
          <w:p>
            <w:pPr>
              <w:keepNext w:val="0"/>
              <w:keepLines w:val="0"/>
              <w:pageBreakBefore w:val="0"/>
              <w:widowControl w:val="0"/>
              <w:numPr>
                <w:ilvl w:val="0"/>
                <w:numId w:val="544"/>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医院总值班参与应急管理，各部门、各科室负责人在应急工作中有具体职责与任务。有院内、外和院内各部门、各科室间的协调机制，有明确的协调部门和协调人。</w:t>
            </w:r>
          </w:p>
          <w:p>
            <w:pPr>
              <w:keepNext w:val="0"/>
              <w:keepLines w:val="0"/>
              <w:pageBreakBefore w:val="0"/>
              <w:widowControl w:val="0"/>
              <w:numPr>
                <w:ilvl w:val="0"/>
                <w:numId w:val="544"/>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有信息报告和信息发布相关制度。</w:t>
            </w:r>
          </w:p>
        </w:tc>
        <w:tc>
          <w:tcPr>
            <w:tcW w:w="1618" w:type="pct"/>
            <w:tcMar>
              <w:top w:w="22" w:type="dxa"/>
              <w:left w:w="22" w:type="dxa"/>
              <w:bottom w:w="22" w:type="dxa"/>
              <w:right w:w="22" w:type="dxa"/>
            </w:tcMar>
            <w:vAlign w:val="center"/>
          </w:tcPr>
          <w:p>
            <w:pPr>
              <w:keepNext w:val="0"/>
              <w:keepLines w:val="0"/>
              <w:pageBreakBefore w:val="0"/>
              <w:widowControl w:val="0"/>
              <w:numPr>
                <w:ilvl w:val="0"/>
                <w:numId w:val="545"/>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45"/>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45"/>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主管部门对应急管理有督查、反馈，并检查科室落实整改情况。</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持续改进有成效，有案例体现成效。</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3.7.2 明确医院需要应对的主要突发事件策略，制定和完善各类应急预案，提高快速反应能力。</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3.7.2.1 明确医院需要应对的主要突发事件策略，制定和完善各类应急预案，提高快速反应能力。</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numPr>
                <w:ilvl w:val="0"/>
                <w:numId w:val="546"/>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医院每年有灾害脆弱性分析报告，制订医院应对各类突发事件的总体预案和部门预案及流程，各个部门及相关人员职责明确。</w:t>
            </w:r>
          </w:p>
          <w:p>
            <w:pPr>
              <w:keepNext w:val="0"/>
              <w:keepLines w:val="0"/>
              <w:pageBreakBefore w:val="0"/>
              <w:widowControl w:val="0"/>
              <w:numPr>
                <w:ilvl w:val="0"/>
                <w:numId w:val="546"/>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有院、科两级的培训计划，并落实。</w:t>
            </w:r>
          </w:p>
          <w:p>
            <w:pPr>
              <w:keepNext w:val="0"/>
              <w:keepLines w:val="0"/>
              <w:pageBreakBefore w:val="0"/>
              <w:widowControl w:val="0"/>
              <w:numPr>
                <w:ilvl w:val="0"/>
                <w:numId w:val="546"/>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建立健全本单位突发公共卫生事件报告和风险管理机制，做好传染病和突发公共卫生事件的发现、登记、报告。</w:t>
            </w:r>
          </w:p>
        </w:tc>
        <w:tc>
          <w:tcPr>
            <w:tcW w:w="1618" w:type="pct"/>
            <w:tcMar>
              <w:top w:w="22" w:type="dxa"/>
              <w:left w:w="22" w:type="dxa"/>
              <w:bottom w:w="22" w:type="dxa"/>
              <w:right w:w="22" w:type="dxa"/>
            </w:tcMar>
            <w:vAlign w:val="center"/>
          </w:tcPr>
          <w:p>
            <w:pPr>
              <w:keepNext w:val="0"/>
              <w:keepLines w:val="0"/>
              <w:pageBreakBefore w:val="0"/>
              <w:widowControl w:val="0"/>
              <w:numPr>
                <w:ilvl w:val="0"/>
                <w:numId w:val="547"/>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47"/>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47"/>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numPr>
                <w:ilvl w:val="0"/>
                <w:numId w:val="54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主管部门定期进行灾害脆弱性分析、评估，对预案及流程及时修订。</w:t>
            </w:r>
          </w:p>
          <w:p>
            <w:pPr>
              <w:keepNext w:val="0"/>
              <w:keepLines w:val="0"/>
              <w:pageBreakBefore w:val="0"/>
              <w:widowControl w:val="0"/>
              <w:numPr>
                <w:ilvl w:val="0"/>
                <w:numId w:val="54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医院安全生产管理委员会定期召开会议，专题听取汇报，讨论相关工作。</w:t>
            </w:r>
          </w:p>
        </w:tc>
        <w:tc>
          <w:tcPr>
            <w:tcW w:w="1618" w:type="pct"/>
            <w:tcMar>
              <w:top w:w="22" w:type="dxa"/>
              <w:left w:w="22" w:type="dxa"/>
              <w:bottom w:w="22" w:type="dxa"/>
              <w:right w:w="22" w:type="dxa"/>
            </w:tcMar>
            <w:vAlign w:val="center"/>
          </w:tcPr>
          <w:p>
            <w:pPr>
              <w:keepNext w:val="0"/>
              <w:keepLines w:val="0"/>
              <w:pageBreakBefore w:val="0"/>
              <w:widowControl w:val="0"/>
              <w:numPr>
                <w:ilvl w:val="0"/>
                <w:numId w:val="54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p>
            <w:pPr>
              <w:keepNext w:val="0"/>
              <w:keepLines w:val="0"/>
              <w:pageBreakBefore w:val="0"/>
              <w:widowControl w:val="0"/>
              <w:numPr>
                <w:ilvl w:val="0"/>
                <w:numId w:val="54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3.7.3 开展应急培训和演练，提高各级、各类人员的应急素质和医院的整体应急能力。</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3.7.3.1 开展应急培训和演练，提高各级、各类人员的应急素质和医院的整体应急能力。</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1.医院有应急技能培训及考核计划，定期对各级各类人员进行相应培训，组织考核。培训考核的内容涵盖了本地区、本院需要应对的主要公共突发事件。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2.医院有定期开展各类突发事件的应急演练，并有记录、总结、分析（本院灾害脆弱性分析排位前五的应急预案演练每年不少于1次）。</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3.各科室（部门）每年至少组织一次系统的应急演练。</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3.抽查2个临床科室、重点部门查阅相关资料。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主管部门对应急培训和演练中存在的问题有督查，并检查科室落实整改情况。</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3.7.4 合理进行应急物资和设备的储备。</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3.7.4.1 合理进行应急物资和设备的储备。</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1.医院有应急物资和设备的储备计划、管理制度、审批程序。</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 xml:space="preserve"> </w:t>
            </w:r>
            <w:r>
              <w:rPr>
                <w:rFonts w:hint="default" w:ascii="Times New Roman" w:hAnsi="Times New Roman" w:eastAsia="方正仿宋_GBK" w:cs="Times New Roman"/>
                <w:color w:val="auto"/>
                <w:sz w:val="24"/>
                <w:szCs w:val="24"/>
                <w:highlight w:val="none"/>
              </w:rPr>
              <w:t>有必备物资储备目录，有应急物资和设备的使用登记。有定期维护，确保效期，有记录。</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主管部门定期对应急物资和设备储备有定期检查，并落实整改。</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9"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bl>
    <w:p>
      <w:pPr>
        <w:pStyle w:val="4"/>
        <w:spacing w:before="0" w:beforeAutospacing="0" w:after="0" w:afterAutospacing="0" w:line="560" w:lineRule="exact"/>
        <w:ind w:left="0" w:leftChars="0" w:rightChars="0" w:firstLine="624" w:firstLineChars="200"/>
        <w:jc w:val="left"/>
        <w:rPr>
          <w:color w:val="auto"/>
          <w:szCs w:val="21"/>
          <w:highlight w:val="none"/>
        </w:rPr>
      </w:pPr>
      <w:r>
        <w:rPr>
          <w:rFonts w:hint="default" w:ascii="Times New Roman" w:hAnsi="Times New Roman" w:eastAsia="方正黑体_GBK" w:cs="Times New Roman"/>
          <w:b w:val="0"/>
          <w:i w:val="0"/>
          <w:color w:val="auto"/>
          <w:sz w:val="32"/>
          <w:szCs w:val="21"/>
          <w:highlight w:val="none"/>
        </w:rPr>
        <w:t>八、科研教学与图书管理</w:t>
      </w:r>
    </w:p>
    <w:tbl>
      <w:tblPr>
        <w:tblStyle w:val="12"/>
        <w:tblW w:w="4998" w:type="pct"/>
        <w:jc w:val="center"/>
        <w:tblLayout w:type="autofit"/>
        <w:tblCellMar>
          <w:top w:w="15" w:type="dxa"/>
          <w:left w:w="15" w:type="dxa"/>
          <w:bottom w:w="15" w:type="dxa"/>
          <w:right w:w="15" w:type="dxa"/>
        </w:tblCellMar>
      </w:tblPr>
      <w:tblGrid>
        <w:gridCol w:w="1565"/>
        <w:gridCol w:w="63"/>
        <w:gridCol w:w="4302"/>
        <w:gridCol w:w="2835"/>
        <w:gridCol w:w="7"/>
      </w:tblGrid>
      <w:tr>
        <w:tblPrEx>
          <w:tblCellMar>
            <w:top w:w="15" w:type="dxa"/>
            <w:left w:w="15" w:type="dxa"/>
            <w:bottom w:w="15" w:type="dxa"/>
            <w:right w:w="15" w:type="dxa"/>
          </w:tblCellMar>
        </w:tblPrEx>
        <w:trPr>
          <w:gridAfter w:val="1"/>
          <w:wAfter w:w="3" w:type="pct"/>
          <w:trHeight w:val="424" w:hRule="atLeast"/>
          <w:jc w:val="center"/>
        </w:trPr>
        <w:tc>
          <w:tcPr>
            <w:tcW w:w="892"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评审标准</w:t>
            </w:r>
          </w:p>
        </w:tc>
        <w:tc>
          <w:tcPr>
            <w:tcW w:w="2488" w:type="pct"/>
            <w:gridSpan w:val="2"/>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评审要点</w:t>
            </w:r>
          </w:p>
        </w:tc>
        <w:tc>
          <w:tcPr>
            <w:tcW w:w="1614"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评审方法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4996" w:type="pct"/>
            <w:gridSpan w:val="4"/>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3.8.1 有鼓励全员参与科研工作的制度和办法，促进科研成果向临床应用转化，并提供适当的经费、条件、设施和人员支持。</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restart"/>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3.8.1.1有鼓励医务人员参与科研工作的制度和办法，并提供适当的经费、条件与设施。</w:t>
            </w:r>
          </w:p>
        </w:tc>
        <w:tc>
          <w:tcPr>
            <w:tcW w:w="2452"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1.医院有科研工作管理制度以及鼓励医务人员参与科研工作的具体措施。</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2.有科研经费支持及相应的科研条件与设施。</w:t>
            </w:r>
          </w:p>
        </w:tc>
        <w:tc>
          <w:tcPr>
            <w:tcW w:w="1614"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2.现场查看，并查阅相关资料。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continue"/>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主管部门定期总结分析，有改进措施，并落实。</w:t>
            </w:r>
          </w:p>
        </w:tc>
        <w:tc>
          <w:tcPr>
            <w:tcW w:w="1614"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continue"/>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持续改进有成效，有数据体现成效。</w:t>
            </w:r>
          </w:p>
        </w:tc>
        <w:tc>
          <w:tcPr>
            <w:tcW w:w="1614"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3.8.1.2有将研究成果转化实践应用的激励政策，并取得成效。</w:t>
            </w:r>
          </w:p>
        </w:tc>
        <w:tc>
          <w:tcPr>
            <w:tcW w:w="2452"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1.医院有将研究成果转化实践应用的激励政策并落实。</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2.有多种途径向全体医务人员培训、宣传。</w:t>
            </w:r>
          </w:p>
        </w:tc>
        <w:tc>
          <w:tcPr>
            <w:tcW w:w="1618" w:type="pct"/>
            <w:gridSpan w:val="2"/>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主管部门定期总结分析，并提出整改措施，并落实。</w:t>
            </w:r>
          </w:p>
        </w:tc>
        <w:tc>
          <w:tcPr>
            <w:tcW w:w="1618" w:type="pct"/>
            <w:gridSpan w:val="2"/>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持续改进有成效，五年内医院有自主创新的适宜技术得到推广或院级研究成果。转化实践应用或引进技术提高临床诊疗水平的案例。</w:t>
            </w:r>
          </w:p>
        </w:tc>
        <w:tc>
          <w:tcPr>
            <w:tcW w:w="1618" w:type="pct"/>
            <w:gridSpan w:val="2"/>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4996" w:type="pct"/>
            <w:gridSpan w:val="4"/>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color w:val="auto"/>
                <w:sz w:val="24"/>
                <w:szCs w:val="24"/>
                <w:highlight w:val="none"/>
              </w:rPr>
              <w:t xml:space="preserve">  3.8.2 开展药物、医疗器械临床试验应当符合《药物临床试验质量管理规范》《医疗器械临床试验质量管理规范》；开展研究者发起的临床研究符合《医疗卫生机构开展临床研究项目管理办法》《医疗卫生机构开展研究者发起的临床研究管理办法（试行）》等相关规定</w:t>
            </w:r>
            <w:r>
              <w:rPr>
                <w:rFonts w:hint="default" w:ascii="Times New Roman" w:hAnsi="Times New Roman" w:eastAsia="方正仿宋_GBK" w:cs="Times New Roman"/>
                <w:color w:val="auto"/>
                <w:sz w:val="24"/>
                <w:szCs w:val="24"/>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restart"/>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3.8.2.1药物、医疗器械、体外诊断试剂的</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临床试验及临床研究的开展符合</w:t>
            </w:r>
            <w:r>
              <w:rPr>
                <w:rFonts w:hint="default" w:ascii="Times New Roman" w:hAnsi="Times New Roman" w:eastAsia="方正仿宋_GBK" w:cs="Times New Roman"/>
                <w:color w:val="auto"/>
                <w:sz w:val="24"/>
                <w:szCs w:val="24"/>
                <w:highlight w:val="none"/>
                <w:lang w:val="en-US" w:eastAsia="zh-CN"/>
              </w:rPr>
              <w:t>相关</w:t>
            </w:r>
            <w:r>
              <w:rPr>
                <w:rFonts w:hint="default" w:ascii="Times New Roman" w:hAnsi="Times New Roman" w:eastAsia="方正仿宋_GBK" w:cs="Times New Roman"/>
                <w:color w:val="auto"/>
                <w:sz w:val="24"/>
                <w:szCs w:val="24"/>
                <w:highlight w:val="none"/>
              </w:rPr>
              <w:t>规定。</w:t>
            </w:r>
          </w:p>
        </w:tc>
        <w:tc>
          <w:tcPr>
            <w:tcW w:w="2452"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1.医院有临床试验机构和专业组PI备案资质开展药物、医疗器械、体外诊断试剂临床试验。</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2.有机构相关管理制度与流程，并执行。</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3.有专业组相关管理制度与流程，并执行。</w:t>
            </w:r>
          </w:p>
        </w:tc>
        <w:tc>
          <w:tcPr>
            <w:tcW w:w="1614"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3.抽查2个专业组的相关资料。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continue"/>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1.专业组对相关单位与部门的监查、质控和检查所发现的问题有改进，有记录。</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2.机构定期督查、反馈，并检查科室整改落实情况。</w:t>
            </w:r>
          </w:p>
        </w:tc>
        <w:tc>
          <w:tcPr>
            <w:tcW w:w="1614"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1.抽查2个专业组的相关资料。</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continue"/>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持续改进有成效，临床研究管理规范，资料完整。</w:t>
            </w:r>
          </w:p>
        </w:tc>
        <w:tc>
          <w:tcPr>
            <w:tcW w:w="1614"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抽查2个项目的相关资料，评价是否规范、完整。</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4996" w:type="pct"/>
            <w:gridSpan w:val="4"/>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3.8.3开展涉及人的生物医学研究应经伦理委员会审查。伦理委员会的人员组成、日常管理和审查工作应符合《涉及人的生命科学和医学研究伦理审查办法》规定。</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restart"/>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3.8.3.1开展涉及人的生物医学研究应经伦理委员会审查。伦理委员会的人员组成、日常管理和审查工作应符合《涉及人的生命科学和医学研究伦理审查办法》规定。</w:t>
            </w:r>
          </w:p>
        </w:tc>
        <w:tc>
          <w:tcPr>
            <w:tcW w:w="2452"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1.医院设立伦理委员会，制定委员会职责及开展涉及人的生物医学研究伦理审查相关制度、流程。</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2.医学伦理委员会人员组成、日常管理和审查工作符合《涉及人的生命科学和医学研究伦理审查办法》规定。</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3.医院设置独立伦理办公室负责相关工作。</w:t>
            </w:r>
          </w:p>
        </w:tc>
        <w:tc>
          <w:tcPr>
            <w:tcW w:w="1614"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3.现场查看，并查阅部门设置的相关文件。</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continue"/>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伦理办公室对工作有自查，有改进措施并落实。</w:t>
            </w:r>
          </w:p>
        </w:tc>
        <w:tc>
          <w:tcPr>
            <w:tcW w:w="1614"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continue"/>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4"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4996" w:type="pct"/>
            <w:gridSpan w:val="4"/>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3.8.4 承担临床医学教育任务的医院师资、教学管理干部、设备、设施等资源配置符合有关教育教学标准要求，并取得相应资质认可。</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restart"/>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3.8.4.1承担临床医学教育任务的医院师资、教学管理干部、设备、设施等资源配置符合有关教育教学标准要求，并取得相应资质认可。</w:t>
            </w:r>
          </w:p>
        </w:tc>
        <w:tc>
          <w:tcPr>
            <w:tcW w:w="2452"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1.医院有教学规划、资金投入和保障制度，并落实。</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2.医学院校教学师资、设施设备，符合教育部对教学医院的规定要求。</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3.有主管院领导，专门部门和专职人员、专业教研组、专（兼）职教师负责教学管理工作。</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4.完成本科临床教学与实习任务，开展继续医学教育工作，资料完整。</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5.有师资激励机制并落实，</w:t>
            </w:r>
          </w:p>
        </w:tc>
        <w:tc>
          <w:tcPr>
            <w:tcW w:w="1614"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4.查阅相关资料。</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continue"/>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医院对教学工作有专题研究，提出改进措施并落实（每年不少于2次）。</w:t>
            </w:r>
          </w:p>
        </w:tc>
        <w:tc>
          <w:tcPr>
            <w:tcW w:w="1614"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gridAfter w:val="1"/>
          <w:wAfter w:w="3" w:type="pct"/>
          <w:jc w:val="center"/>
        </w:trPr>
        <w:tc>
          <w:tcPr>
            <w:tcW w:w="928" w:type="pct"/>
            <w:gridSpan w:val="2"/>
            <w:vMerge w:val="continue"/>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4"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5"/>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3.8.5 根据临床、教学、科研和管理的需要，有计划、有重点地收集国内外各种医学及相关学科的图书和文献，开展多层次多种方式的读者服务工作，提高信息资源的利用率。</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3.8.5.1图书馆（室）基本设置和藏书数量能满足临床、科研、教学需求。</w:t>
            </w:r>
          </w:p>
        </w:tc>
        <w:tc>
          <w:tcPr>
            <w:tcW w:w="2452"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1.医院有医学图书馆工作制度和信息服务制度，能提供文献查询服务。可使用高校图书馆资源的高校附属医院，无需设置独立图书馆。</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2.图书馆有专职人员管理，基本设置和藏书数量能满足临床科研教学需求。</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3.可提供网络版医学文献数据库</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中文、外文期刊库等</w:t>
            </w:r>
            <w:r>
              <w:rPr>
                <w:rFonts w:hint="eastAsia"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全文文献检索服务。</w:t>
            </w:r>
          </w:p>
        </w:tc>
        <w:tc>
          <w:tcPr>
            <w:tcW w:w="1618" w:type="pct"/>
            <w:gridSpan w:val="2"/>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2.现场查看，评价是否满足要求。</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3.现场查看文献数据库。</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部门有定期自查、并有措施提高服务能力。</w:t>
            </w:r>
          </w:p>
        </w:tc>
        <w:tc>
          <w:tcPr>
            <w:tcW w:w="1618" w:type="pct"/>
            <w:gridSpan w:val="2"/>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tcBorders>
              <w:bottom w:val="single" w:color="000000" w:sz="6" w:space="0"/>
            </w:tcBorders>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Borders>
              <w:bottom w:val="single" w:color="000000" w:sz="6" w:space="0"/>
            </w:tcBorders>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持续改进有成效，有数据或案例体现服务能力不断提升。</w:t>
            </w:r>
          </w:p>
        </w:tc>
        <w:tc>
          <w:tcPr>
            <w:tcW w:w="1618" w:type="pct"/>
            <w:gridSpan w:val="2"/>
            <w:tcBorders>
              <w:bottom w:val="single" w:color="000000" w:sz="6" w:space="0"/>
            </w:tcBorders>
            <w:tcMar>
              <w:top w:w="22" w:type="dxa"/>
              <w:left w:w="22" w:type="dxa"/>
              <w:bottom w:w="22" w:type="dxa"/>
              <w:right w:w="22" w:type="dxa"/>
            </w:tcMar>
            <w:vAlign w:val="center"/>
          </w:tcPr>
          <w:p>
            <w:pPr>
              <w:keepNext w:val="0"/>
              <w:keepLines w:val="0"/>
              <w:pageBreakBefore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bl>
    <w:p>
      <w:pPr>
        <w:pStyle w:val="4"/>
        <w:spacing w:before="0" w:beforeAutospacing="0" w:after="0" w:afterAutospacing="0" w:line="560" w:lineRule="exact"/>
        <w:ind w:left="0" w:leftChars="0" w:rightChars="0" w:firstLine="624" w:firstLineChars="200"/>
        <w:jc w:val="left"/>
        <w:rPr>
          <w:color w:val="auto"/>
          <w:szCs w:val="21"/>
          <w:highlight w:val="none"/>
        </w:rPr>
      </w:pPr>
      <w:r>
        <w:rPr>
          <w:rFonts w:hint="default" w:ascii="Times New Roman" w:hAnsi="Times New Roman" w:eastAsia="方正黑体_GBK" w:cs="Times New Roman"/>
          <w:b w:val="0"/>
          <w:i w:val="0"/>
          <w:color w:val="auto"/>
          <w:sz w:val="32"/>
          <w:szCs w:val="21"/>
          <w:highlight w:val="none"/>
        </w:rPr>
        <w:t>九、行风与文化建设管理</w:t>
      </w:r>
    </w:p>
    <w:tbl>
      <w:tblPr>
        <w:tblStyle w:val="12"/>
        <w:tblW w:w="4998" w:type="pct"/>
        <w:jc w:val="center"/>
        <w:tblLayout w:type="autofit"/>
        <w:tblCellMar>
          <w:top w:w="15" w:type="dxa"/>
          <w:left w:w="15" w:type="dxa"/>
          <w:bottom w:w="15" w:type="dxa"/>
          <w:right w:w="15" w:type="dxa"/>
        </w:tblCellMar>
      </w:tblPr>
      <w:tblGrid>
        <w:gridCol w:w="1565"/>
        <w:gridCol w:w="63"/>
        <w:gridCol w:w="4302"/>
        <w:gridCol w:w="2842"/>
      </w:tblGrid>
      <w:tr>
        <w:tblPrEx>
          <w:tblCellMar>
            <w:top w:w="15" w:type="dxa"/>
            <w:left w:w="15" w:type="dxa"/>
            <w:bottom w:w="15" w:type="dxa"/>
            <w:right w:w="15" w:type="dxa"/>
          </w:tblCellMar>
        </w:tblPrEx>
        <w:trPr>
          <w:trHeight w:val="424" w:hRule="atLeast"/>
          <w:jc w:val="center"/>
        </w:trPr>
        <w:tc>
          <w:tcPr>
            <w:tcW w:w="892"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bookmarkStart w:id="207" w:name="_Hlk73472600"/>
            <w:r>
              <w:rPr>
                <w:rFonts w:hint="eastAsia" w:ascii="方正黑体_GBK" w:hAnsi="方正黑体_GBK" w:eastAsia="方正黑体_GBK" w:cs="方正黑体_GBK"/>
                <w:color w:val="auto"/>
                <w:sz w:val="24"/>
                <w:szCs w:val="24"/>
                <w:highlight w:val="none"/>
              </w:rPr>
              <w:t>评审标准</w:t>
            </w:r>
          </w:p>
        </w:tc>
        <w:tc>
          <w:tcPr>
            <w:tcW w:w="2488" w:type="pct"/>
            <w:gridSpan w:val="2"/>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评审要点</w:t>
            </w:r>
          </w:p>
        </w:tc>
        <w:tc>
          <w:tcPr>
            <w:tcW w:w="1618"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评审方法</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3.9.1 医院应当对医务人员开展《中华人民共和国医师法》等卫生健康法律法规宣传，加强职业道德教育，弘扬社会主义核心价值观和新时代医疗卫生职业精神，坚持</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以患者为中心</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，尊重患者权利，履行防病治病、救死扶伤、保护人民健康的神圣职责。</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3.9.1.1医院应当对医务人员开展《中华人民共和国医师法》等卫生健康法律法规宣传，加强职业道德教育，弘扬社会主义核心价值观和新时代医疗卫生职业精神，坚持</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以患者为中心</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，尊重患者权利，履行防病治病、救死扶伤、保护人民健康的神圣职责。</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1.医院有医务人员职业道德建设和教育的制度并落实。</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2.医院有开展弘扬社会主义核心价值观</w:t>
            </w:r>
            <w:r>
              <w:rPr>
                <w:rFonts w:hint="default" w:ascii="Times New Roman" w:hAnsi="Times New Roman" w:eastAsia="方正仿宋_GBK" w:cs="Times New Roman"/>
                <w:color w:val="auto"/>
                <w:sz w:val="24"/>
                <w:szCs w:val="24"/>
                <w:highlight w:val="none"/>
                <w:lang w:val="en-US" w:eastAsia="zh-CN"/>
              </w:rPr>
              <w:t>、法律法规宣传和</w:t>
            </w:r>
            <w:r>
              <w:rPr>
                <w:rFonts w:hint="default" w:ascii="Times New Roman" w:hAnsi="Times New Roman" w:eastAsia="方正仿宋_GBK" w:cs="Times New Roman"/>
                <w:color w:val="auto"/>
                <w:sz w:val="24"/>
                <w:szCs w:val="24"/>
                <w:highlight w:val="none"/>
              </w:rPr>
              <w:t>新时代医疗卫生职业精神的实施方案，并对在践行过程中涌现的先进典型进行宣传。</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3.员工知晓《中华人民共和国医师法》</w:t>
            </w:r>
            <w:r>
              <w:rPr>
                <w:rFonts w:hint="default" w:ascii="Times New Roman" w:hAnsi="Times New Roman" w:eastAsia="方正仿宋_GBK" w:cs="Times New Roman"/>
                <w:color w:val="auto"/>
                <w:sz w:val="24"/>
                <w:szCs w:val="24"/>
                <w:highlight w:val="none"/>
                <w:lang w:eastAsia="zh-CN"/>
              </w:rPr>
              <w:t>基本内容、</w:t>
            </w:r>
            <w:r>
              <w:rPr>
                <w:rFonts w:hint="default" w:ascii="Times New Roman" w:hAnsi="Times New Roman" w:eastAsia="方正仿宋_GBK" w:cs="Times New Roman"/>
                <w:color w:val="auto"/>
                <w:sz w:val="24"/>
                <w:szCs w:val="24"/>
                <w:highlight w:val="none"/>
              </w:rPr>
              <w:t>职业道德规范要求、社会主义核心价值观及新时代医疗卫生职业精神内涵。</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3.随机询问5位医务人员，了解其知晓情况，知晓率≥80%。</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主管部门对方案落实有督查、反馈，并督促整改。</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bookmarkEnd w:id="207"/>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trHeight w:val="1134" w:hRule="exact"/>
          <w:jc w:val="center"/>
        </w:trPr>
        <w:tc>
          <w:tcPr>
            <w:tcW w:w="5000"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bookmarkStart w:id="208" w:name="_Hlk73473902"/>
            <w:r>
              <w:rPr>
                <w:rFonts w:hint="default" w:ascii="Times New Roman" w:hAnsi="Times New Roman" w:eastAsia="方正仿宋_GBK" w:cs="Times New Roman"/>
                <w:color w:val="auto"/>
                <w:sz w:val="24"/>
                <w:szCs w:val="24"/>
                <w:highlight w:val="none"/>
              </w:rPr>
              <w:t xml:space="preserve">  3.9.2 重视医院文化建设、法治建设，建立医院文化建设、法治建设制度,把医院文化培育成核心竞争力，逐步建立以患者为中心、注重医疗质量安全根植于医院服务理念的特色价值取向和行为标准。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3.9.2.1重视医院文化建设、法治建设，建立医院文化建设、法治建设制度,把医院文化培育成核心竞争力，逐步建立以患者为中心、注重医疗质量安全根植于医院服务理念的特色价值取向和行为标准。</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1.医院文化建设</w:t>
            </w:r>
            <w:r>
              <w:rPr>
                <w:rFonts w:hint="default" w:ascii="Times New Roman" w:hAnsi="Times New Roman" w:eastAsia="方正仿宋_GBK" w:cs="Times New Roman"/>
                <w:color w:val="auto"/>
                <w:sz w:val="24"/>
                <w:szCs w:val="24"/>
                <w:highlight w:val="none"/>
                <w:lang w:eastAsia="zh-CN"/>
              </w:rPr>
              <w:t>、法制建设</w:t>
            </w:r>
            <w:r>
              <w:rPr>
                <w:rFonts w:hint="default" w:ascii="Times New Roman" w:hAnsi="Times New Roman" w:eastAsia="方正仿宋_GBK" w:cs="Times New Roman"/>
                <w:color w:val="auto"/>
                <w:sz w:val="24"/>
                <w:szCs w:val="24"/>
                <w:highlight w:val="none"/>
              </w:rPr>
              <w:t>纳入医院建设发展规划，有建设制度和方案。</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2.有对员工进行相关教育、培训。</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3.各部门、科室有开展多种形式的医院文化建设活动。</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3.抽查临床、医技科室及管理部门各1个党支部，查阅相关资料。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有案例体现医院文化建设</w:t>
            </w:r>
            <w:r>
              <w:rPr>
                <w:rFonts w:hint="default" w:ascii="Times New Roman" w:hAnsi="Times New Roman" w:eastAsia="方正仿宋_GBK" w:cs="Times New Roman"/>
                <w:color w:val="auto"/>
                <w:sz w:val="24"/>
                <w:szCs w:val="24"/>
                <w:highlight w:val="none"/>
                <w:lang w:eastAsia="zh-CN"/>
              </w:rPr>
              <w:t>、法制建设</w:t>
            </w:r>
            <w:r>
              <w:rPr>
                <w:rFonts w:hint="default" w:ascii="Times New Roman" w:hAnsi="Times New Roman" w:eastAsia="方正仿宋_GBK" w:cs="Times New Roman"/>
                <w:color w:val="auto"/>
                <w:sz w:val="24"/>
                <w:szCs w:val="24"/>
                <w:highlight w:val="none"/>
              </w:rPr>
              <w:t>有特色、有成效。</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持续改进有成效，有数据或案例体现医院文化建设</w:t>
            </w:r>
            <w:r>
              <w:rPr>
                <w:rFonts w:hint="default" w:ascii="Times New Roman" w:hAnsi="Times New Roman" w:eastAsia="方正仿宋_GBK" w:cs="Times New Roman"/>
                <w:color w:val="auto"/>
                <w:sz w:val="24"/>
                <w:szCs w:val="24"/>
                <w:highlight w:val="none"/>
                <w:lang w:eastAsia="zh-CN"/>
              </w:rPr>
              <w:t>和法制建设</w:t>
            </w:r>
            <w:r>
              <w:rPr>
                <w:rFonts w:hint="default" w:ascii="Times New Roman" w:hAnsi="Times New Roman" w:eastAsia="方正仿宋_GBK" w:cs="Times New Roman"/>
                <w:color w:val="auto"/>
                <w:sz w:val="24"/>
                <w:szCs w:val="24"/>
                <w:highlight w:val="none"/>
              </w:rPr>
              <w:t>提升了医院的核心竞争力、员工对医院文化的认同感不断提升。</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bookmarkEnd w:id="208"/>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3.9.3 执行《关于建立医务人员医德考评制度的指导意见（试行）》，落实《医疗机构工作人员廉洁从业九项准则》，建立行风建设与管理的组织和制度体系，完善工作机制。</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color w:val="auto"/>
                <w:sz w:val="24"/>
                <w:szCs w:val="24"/>
                <w:highlight w:val="none"/>
              </w:rPr>
              <w:t>3.9.3.</w:t>
            </w:r>
            <w:r>
              <w:rPr>
                <w:rFonts w:hint="default" w:ascii="Times New Roman" w:hAnsi="Times New Roman" w:eastAsia="方正仿宋_GBK"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rPr>
              <w:t>建立行风建设与管理的组织和制度体系，完善工作机制</w:t>
            </w:r>
            <w:r>
              <w:rPr>
                <w:rFonts w:hint="default" w:ascii="Times New Roman" w:hAnsi="Times New Roman" w:eastAsia="方正仿宋_GBK" w:cs="Times New Roman"/>
                <w:color w:val="auto"/>
                <w:sz w:val="24"/>
                <w:szCs w:val="24"/>
                <w:highlight w:val="none"/>
                <w:lang w:eastAsia="zh-CN"/>
              </w:rPr>
              <w:t>。</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pacing w:val="-6"/>
                <w:sz w:val="24"/>
                <w:szCs w:val="24"/>
                <w:highlight w:val="none"/>
              </w:rPr>
            </w:pPr>
            <w:r>
              <w:rPr>
                <w:rFonts w:hint="default" w:ascii="Times New Roman" w:hAnsi="Times New Roman" w:eastAsia="方正仿宋_GBK" w:cs="Times New Roman"/>
                <w:color w:val="auto"/>
                <w:spacing w:val="-6"/>
                <w:sz w:val="24"/>
                <w:szCs w:val="24"/>
                <w:highlight w:val="none"/>
              </w:rPr>
              <w:t>1.医院有行风建设与管理组织体系，有专（兼）职人员负责管理与考评。</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pacing w:val="-6"/>
                <w:sz w:val="24"/>
                <w:szCs w:val="24"/>
                <w:highlight w:val="none"/>
              </w:rPr>
            </w:pPr>
            <w:r>
              <w:rPr>
                <w:rFonts w:hint="default" w:ascii="Times New Roman" w:hAnsi="Times New Roman" w:eastAsia="方正仿宋_GBK" w:cs="Times New Roman"/>
                <w:color w:val="auto"/>
                <w:spacing w:val="-6"/>
                <w:sz w:val="24"/>
                <w:szCs w:val="24"/>
                <w:highlight w:val="none"/>
              </w:rPr>
              <w:t>2.有行风建设、考评、奖惩和公示等制度，有行风考评方案和量化标准，并落实。</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pacing w:val="-6"/>
                <w:sz w:val="24"/>
                <w:szCs w:val="24"/>
                <w:highlight w:val="none"/>
              </w:rPr>
              <w:t>3.医德考评结果与医务人员的晋职晋级、岗位聘用、评先评优、绩效工资、定期考核等直接挂钩。</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有规范的行风考评档案。有多部门共同参与的行风考评及结果共享机制。</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持续改进有成效，有数据或案例体现成效。</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color w:val="auto"/>
                <w:sz w:val="24"/>
                <w:szCs w:val="24"/>
                <w:highlight w:val="none"/>
              </w:rPr>
              <w:t>3.9.3.2有制度与相关措施</w:t>
            </w:r>
            <w:r>
              <w:rPr>
                <w:rFonts w:hint="default" w:ascii="Times New Roman" w:hAnsi="Times New Roman" w:eastAsia="方正仿宋_GBK" w:cs="Times New Roman"/>
                <w:strike w:val="0"/>
                <w:dstrike w:val="0"/>
                <w:color w:val="auto"/>
                <w:sz w:val="24"/>
                <w:szCs w:val="24"/>
                <w:highlight w:val="none"/>
                <w:lang w:val="en-US" w:eastAsia="zh-CN"/>
              </w:rPr>
              <w:t>保障</w:t>
            </w:r>
            <w:r>
              <w:rPr>
                <w:rFonts w:hint="default" w:ascii="Times New Roman" w:hAnsi="Times New Roman" w:eastAsia="方正仿宋_GBK" w:cs="Times New Roman"/>
                <w:color w:val="auto"/>
                <w:sz w:val="24"/>
                <w:szCs w:val="24"/>
                <w:highlight w:val="none"/>
              </w:rPr>
              <w:t>《医疗机构工作人员廉洁从业九项准则》</w:t>
            </w:r>
            <w:r>
              <w:rPr>
                <w:rFonts w:hint="default" w:ascii="Times New Roman" w:hAnsi="Times New Roman" w:eastAsia="方正仿宋_GBK" w:cs="Times New Roman"/>
                <w:color w:val="auto"/>
                <w:sz w:val="24"/>
                <w:szCs w:val="24"/>
                <w:highlight w:val="none"/>
                <w:lang w:val="en-US" w:eastAsia="zh-CN"/>
              </w:rPr>
              <w:t>的执行</w:t>
            </w:r>
            <w:r>
              <w:rPr>
                <w:rFonts w:hint="default" w:ascii="Times New Roman" w:hAnsi="Times New Roman" w:eastAsia="方正仿宋_GBK" w:cs="Times New Roman"/>
                <w:color w:val="auto"/>
                <w:sz w:val="24"/>
                <w:szCs w:val="24"/>
                <w:highlight w:val="none"/>
                <w:lang w:eastAsia="zh-CN"/>
              </w:rPr>
              <w:t>。</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1.医院有廉洁自律的工作规范和相关制度，并落实。</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2.对全体员工，尤其重点部门、重点人员进行廉洁自律及警示教育（每年不少于2次）。</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3.有重点岗位、重点人员轮岗机制，并落实。</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1.管理部门及科室有自查、总结分析，有改进措施并落实。</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2.主管部门定期督查、反馈，并督促整改。</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gridSpan w:val="2"/>
            <w:vMerge w:val="continue"/>
            <w:tcBorders>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持续改进有成效，有案例体现成效。</w:t>
            </w:r>
          </w:p>
        </w:tc>
        <w:tc>
          <w:tcPr>
            <w:tcW w:w="1618" w:type="pct"/>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bl>
    <w:tbl>
      <w:tblPr>
        <w:tblStyle w:val="12"/>
        <w:tblpPr w:leftFromText="180" w:rightFromText="180" w:vertAnchor="text" w:horzAnchor="page" w:tblpX="1580" w:tblpY="540"/>
        <w:tblOverlap w:val="never"/>
        <w:tblW w:w="5000" w:type="pct"/>
        <w:tblInd w:w="0" w:type="dxa"/>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autofit"/>
        <w:tblCellMar>
          <w:top w:w="15" w:type="dxa"/>
          <w:left w:w="15" w:type="dxa"/>
          <w:bottom w:w="15" w:type="dxa"/>
          <w:right w:w="15" w:type="dxa"/>
        </w:tblCellMar>
      </w:tblPr>
      <w:tblGrid>
        <w:gridCol w:w="1624"/>
        <w:gridCol w:w="4297"/>
        <w:gridCol w:w="2841"/>
      </w:tblGrid>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c>
          <w:tcPr>
            <w:tcW w:w="5000" w:type="pct"/>
            <w:gridSpan w:val="3"/>
            <w:tcBorders>
              <w:top w:val="single" w:color="000000" w:sz="6" w:space="0"/>
            </w:tcBorders>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3.10.1 医院重视公立医院绩效考核，积极开展相关工作，考核指标持续改进。</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c>
          <w:tcPr>
            <w:tcW w:w="927" w:type="pct"/>
            <w:vMerge w:val="restart"/>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3.10.1.1医院重视公立医院绩效考核，积极开展相关工作，考核指标持续改进。</w:t>
            </w:r>
          </w:p>
        </w:tc>
        <w:tc>
          <w:tcPr>
            <w:tcW w:w="2452" w:type="pct"/>
            <w:tcMar>
              <w:top w:w="22" w:type="dxa"/>
              <w:left w:w="22" w:type="dxa"/>
              <w:bottom w:w="22" w:type="dxa"/>
              <w:right w:w="22" w:type="dxa"/>
            </w:tcMa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1.医院成立领导组并设有办公室专门负责公立医院绩效考核工作。</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2.对公立医院绩效考核工作有目标、有方案并执行。</w:t>
            </w:r>
          </w:p>
        </w:tc>
        <w:tc>
          <w:tcPr>
            <w:tcW w:w="1620" w:type="pct"/>
            <w:tcMar>
              <w:top w:w="22" w:type="dxa"/>
              <w:left w:w="22" w:type="dxa"/>
              <w:bottom w:w="22" w:type="dxa"/>
              <w:right w:w="22" w:type="dxa"/>
            </w:tcMa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c>
          <w:tcPr>
            <w:tcW w:w="927" w:type="pct"/>
            <w:vMerge w:val="continue"/>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1.工作有定期总结分析，有改进措施并落实。</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2.监测指标等级达到</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以上。</w:t>
            </w:r>
          </w:p>
        </w:tc>
        <w:tc>
          <w:tcPr>
            <w:tcW w:w="1620" w:type="pct"/>
            <w:tcMar>
              <w:top w:w="22" w:type="dxa"/>
              <w:left w:w="22" w:type="dxa"/>
              <w:bottom w:w="22" w:type="dxa"/>
              <w:right w:w="22" w:type="dxa"/>
            </w:tcMa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c>
          <w:tcPr>
            <w:tcW w:w="927" w:type="pct"/>
            <w:vMerge w:val="continue"/>
            <w:tcBorders>
              <w:bottom w:val="single" w:color="000000" w:sz="6" w:space="0"/>
            </w:tcBorders>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sz w:val="24"/>
                <w:szCs w:val="24"/>
                <w:highlight w:val="none"/>
              </w:rPr>
            </w:pPr>
          </w:p>
        </w:tc>
        <w:tc>
          <w:tcPr>
            <w:tcW w:w="2452" w:type="pct"/>
            <w:tcBorders>
              <w:bottom w:val="single" w:color="000000" w:sz="6" w:space="0"/>
            </w:tcBorders>
            <w:tcMar>
              <w:top w:w="22" w:type="dxa"/>
              <w:left w:w="22" w:type="dxa"/>
              <w:bottom w:w="22" w:type="dxa"/>
              <w:right w:w="22" w:type="dxa"/>
            </w:tcMa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监测指标等级保持在</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A</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及以上。</w:t>
            </w:r>
          </w:p>
        </w:tc>
        <w:tc>
          <w:tcPr>
            <w:tcW w:w="1620" w:type="pct"/>
            <w:tcBorders>
              <w:bottom w:val="single" w:color="000000" w:sz="6" w:space="0"/>
            </w:tcBorders>
            <w:tcMar>
              <w:top w:w="22" w:type="dxa"/>
              <w:left w:w="22" w:type="dxa"/>
              <w:bottom w:w="22" w:type="dxa"/>
              <w:right w:w="22" w:type="dxa"/>
            </w:tcMa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bl>
    <w:p>
      <w:pPr>
        <w:pStyle w:val="4"/>
        <w:spacing w:before="0" w:beforeAutospacing="0" w:after="0" w:afterAutospacing="0" w:line="560" w:lineRule="exact"/>
        <w:ind w:left="0" w:leftChars="0" w:rightChars="0" w:firstLine="624" w:firstLineChars="200"/>
        <w:jc w:val="left"/>
        <w:rPr>
          <w:color w:val="auto"/>
          <w:szCs w:val="21"/>
          <w:highlight w:val="none"/>
        </w:rPr>
      </w:pPr>
      <w:r>
        <w:rPr>
          <w:rFonts w:hint="default" w:ascii="Times New Roman" w:hAnsi="Times New Roman" w:eastAsia="方正黑体_GBK" w:cs="Times New Roman"/>
          <w:b w:val="0"/>
          <w:i w:val="0"/>
          <w:color w:val="auto"/>
          <w:sz w:val="32"/>
          <w:szCs w:val="21"/>
          <w:highlight w:val="none"/>
        </w:rPr>
        <w:t>十、公立医院绩效考核</w:t>
      </w:r>
    </w:p>
    <w:p>
      <w:pPr>
        <w:pStyle w:val="4"/>
        <w:spacing w:before="0" w:beforeAutospacing="0" w:after="0" w:afterAutospacing="0" w:line="560" w:lineRule="exact"/>
        <w:ind w:left="0" w:leftChars="0" w:rightChars="0" w:firstLine="624" w:firstLineChars="200"/>
        <w:jc w:val="left"/>
        <w:rPr>
          <w:color w:val="auto"/>
          <w:szCs w:val="21"/>
          <w:highlight w:val="none"/>
        </w:rPr>
      </w:pPr>
      <w:r>
        <w:rPr>
          <w:rFonts w:hint="default" w:ascii="Times New Roman" w:hAnsi="Times New Roman" w:eastAsia="方正黑体_GBK" w:cs="Times New Roman"/>
          <w:b w:val="0"/>
          <w:i w:val="0"/>
          <w:color w:val="auto"/>
          <w:sz w:val="32"/>
          <w:szCs w:val="21"/>
          <w:highlight w:val="none"/>
        </w:rPr>
        <w:t>十一、公立医院领导班子、干部队伍和人才队伍建设</w:t>
      </w:r>
    </w:p>
    <w:tbl>
      <w:tblPr>
        <w:tblStyle w:val="12"/>
        <w:tblW w:w="5000" w:type="pct"/>
        <w:jc w:val="center"/>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autofit"/>
        <w:tblCellMar>
          <w:top w:w="15" w:type="dxa"/>
          <w:left w:w="15" w:type="dxa"/>
          <w:bottom w:w="15" w:type="dxa"/>
          <w:right w:w="15" w:type="dxa"/>
        </w:tblCellMar>
      </w:tblPr>
      <w:tblGrid>
        <w:gridCol w:w="1626"/>
        <w:gridCol w:w="4297"/>
        <w:gridCol w:w="2839"/>
      </w:tblGrid>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tcBorders>
              <w:top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3.11.1 加强公立医院领导班子、干部队伍和人才队伍建设</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3.11.1.1加强公立医院领导班子建设。</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1.选优配强领导班子，党委书记、院长分设，配备专职纪委书记，党委、行政、纪委班子健全，院领导主要精力与时间应用于管理。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2.党委书记要熟悉医疗卫生行业发展情况和相关法律法规，有先进的医院管理理念和实践经验，符合深化医药卫生体制改革和健全现代医院管理制度需要，业界声誉好。</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3.院长和分管医疗、科研、教学等相关业务的副院长应当已担任正高级专业技术职务，有医学背景。</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4.按规定交流轮岗。</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5.强化领导班子思想政治建设，及时贯彻党的路线、方针、政策，有理论中心组学习制度与计划。</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领导班子健全、制度完善、落实到位。</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vMerge w:val="continue"/>
            <w:tcBorders>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持续改进有成效。有案例或数据体现公立医院领导班子建设成效。</w:t>
            </w:r>
          </w:p>
        </w:tc>
        <w:tc>
          <w:tcPr>
            <w:tcW w:w="1618" w:type="pct"/>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3.11.1.2加强干部队伍管理和人才工作建设。</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1.制定公立医院中层干部选拔任用工作实施办法。</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2.深化思想政治建设。</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3.完善人才引进、使用、培养办法与方案。</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4.建立医院领导班子成员联系高层次人才制度。</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制度健全、流程合理、落实到位，建立以需求为导向，以医德、能力、业绩为重点的人才评价体系。</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vMerge w:val="continue"/>
            <w:tcBorders>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持续改进有成效，有数据或案例体现干部队伍管理和人才工作建设成效。</w:t>
            </w:r>
          </w:p>
        </w:tc>
        <w:tc>
          <w:tcPr>
            <w:tcW w:w="1618" w:type="pct"/>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bl>
    <w:p>
      <w:pPr>
        <w:pStyle w:val="4"/>
        <w:spacing w:before="0" w:beforeAutospacing="0" w:after="0" w:afterAutospacing="0" w:line="560" w:lineRule="exact"/>
        <w:ind w:left="0" w:leftChars="0" w:rightChars="0" w:firstLine="624" w:firstLineChars="200"/>
        <w:jc w:val="left"/>
        <w:rPr>
          <w:color w:val="auto"/>
          <w:szCs w:val="21"/>
          <w:highlight w:val="none"/>
        </w:rPr>
      </w:pPr>
      <w:r>
        <w:rPr>
          <w:rFonts w:hint="default" w:ascii="Times New Roman" w:hAnsi="Times New Roman" w:eastAsia="方正黑体_GBK" w:cs="Times New Roman"/>
          <w:b w:val="0"/>
          <w:i w:val="0"/>
          <w:color w:val="auto"/>
          <w:sz w:val="32"/>
          <w:szCs w:val="21"/>
          <w:highlight w:val="none"/>
        </w:rPr>
        <w:t>十二、公立医院基层党组织建设</w:t>
      </w:r>
    </w:p>
    <w:tbl>
      <w:tblPr>
        <w:tblStyle w:val="12"/>
        <w:tblW w:w="5000" w:type="pct"/>
        <w:jc w:val="center"/>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autofit"/>
        <w:tblCellMar>
          <w:top w:w="15" w:type="dxa"/>
          <w:left w:w="15" w:type="dxa"/>
          <w:bottom w:w="15" w:type="dxa"/>
          <w:right w:w="15" w:type="dxa"/>
        </w:tblCellMar>
      </w:tblPr>
      <w:tblGrid>
        <w:gridCol w:w="1626"/>
        <w:gridCol w:w="4297"/>
        <w:gridCol w:w="2839"/>
      </w:tblGrid>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5000" w:type="pct"/>
            <w:gridSpan w:val="3"/>
            <w:tcBorders>
              <w:top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3.12.1 全面提升公立医院基层党建和党员队伍建设工作水平</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3.12.1.1着力提升公立医院基层党建工作水平。</w:t>
            </w: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【C】</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1.坚持把党支部建在科室，有3名及以上正式党员的科室及时成立党支部，正式党员不足3名的，可成立联合党支部，党支部人数控制在50人以内。</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2.党支部书记一般应当由内设机构负责人中的党员担任，党支部书记由业务骨干担任的比例达到90%以上。</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3.基层党组织标准化建设达标率100%。</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4.建立党支部参与人才引进、队伍建设、职称职级晋升、绩效考核、薪酬分配、评奖评优等重大事项依法决策的机制，把好政治关，医德医风关。</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5.建立党组织常态化考核、整顿和提升机制，扎实开展基层党建述职评议考核工作。</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5.查阅相关资料。</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【B】符合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C</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1.实施党支部书记</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双带头人</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培育工程。</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2.建立把业务骨干培养成党员、把党员培养成业务骨干的</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双培养</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机制。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3.积极参加卫生健康行业基层党建工作</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领航</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计划。</w:t>
            </w:r>
          </w:p>
        </w:tc>
        <w:tc>
          <w:tcPr>
            <w:tcW w:w="1618" w:type="pct"/>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3.查阅相关资料。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15" w:type="dxa"/>
            <w:left w:w="15" w:type="dxa"/>
            <w:bottom w:w="15" w:type="dxa"/>
            <w:right w:w="15" w:type="dxa"/>
          </w:tblCellMar>
        </w:tblPrEx>
        <w:trPr>
          <w:jc w:val="center"/>
        </w:trPr>
        <w:tc>
          <w:tcPr>
            <w:tcW w:w="928" w:type="pct"/>
            <w:vMerge w:val="continue"/>
            <w:tcBorders>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p>
        </w:tc>
        <w:tc>
          <w:tcPr>
            <w:tcW w:w="2452" w:type="pct"/>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【A】符合</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B</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基层党建工作受到上级部门的表彰。</w:t>
            </w:r>
          </w:p>
        </w:tc>
        <w:tc>
          <w:tcPr>
            <w:tcW w:w="1618" w:type="pct"/>
            <w:tcBorders>
              <w:bottom w:val="single" w:color="000000" w:sz="6" w:space="0"/>
            </w:tcBorders>
            <w:tcMar>
              <w:top w:w="22" w:type="dxa"/>
              <w:left w:w="22" w:type="dxa"/>
              <w:bottom w:w="22" w:type="dxa"/>
              <w:right w:w="22"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查阅相关资料。</w:t>
            </w:r>
          </w:p>
        </w:tc>
      </w:tr>
    </w:tbl>
    <w:p>
      <w:pPr>
        <w:widowControl/>
        <w:rPr>
          <w:rFonts w:eastAsia="宋体"/>
          <w:b/>
          <w:bCs/>
          <w:color w:val="auto"/>
          <w:sz w:val="24"/>
          <w:szCs w:val="24"/>
          <w:highlight w:val="none"/>
        </w:rPr>
      </w:pPr>
      <w:r>
        <w:rPr>
          <w:rFonts w:eastAsia="宋体"/>
          <w:b/>
          <w:bCs/>
          <w:color w:val="auto"/>
          <w:szCs w:val="32"/>
          <w:highlight w:val="none"/>
        </w:rPr>
        <w:br w:type="page"/>
      </w:r>
    </w:p>
    <w:p>
      <w:pPr>
        <w:pStyle w:val="2"/>
        <w:bidi w:val="0"/>
        <w:rPr>
          <w:rFonts w:hint="eastAsia"/>
          <w:lang w:val="en-US" w:eastAsia="zh-CN"/>
        </w:rPr>
      </w:pPr>
      <w:bookmarkStart w:id="209" w:name="_Toc1112"/>
      <w:bookmarkStart w:id="210" w:name="_Toc22894"/>
      <w:bookmarkStart w:id="211" w:name="_Toc12162"/>
      <w:bookmarkStart w:id="212" w:name="_Toc31878"/>
      <w:bookmarkStart w:id="213" w:name="_Toc16116"/>
      <w:bookmarkStart w:id="214" w:name="_Toc23125"/>
      <w:bookmarkStart w:id="215" w:name="_Toc8604"/>
      <w:bookmarkStart w:id="216" w:name="_Toc19067"/>
      <w:bookmarkStart w:id="217" w:name="_Toc21661"/>
      <w:bookmarkStart w:id="218" w:name="_Toc78991033"/>
      <w:bookmarkStart w:id="219" w:name="_Toc31538"/>
      <w:r>
        <w:rPr>
          <w:rFonts w:hint="eastAsia"/>
          <w:lang w:eastAsia="zh-CN"/>
        </w:rPr>
        <w:t>附件</w:t>
      </w:r>
      <w:bookmarkEnd w:id="209"/>
      <w:bookmarkEnd w:id="210"/>
      <w:r>
        <w:rPr>
          <w:rFonts w:hint="eastAsia"/>
          <w:lang w:val="en-US" w:eastAsia="zh-CN"/>
        </w:rPr>
        <w:t>1</w:t>
      </w:r>
      <w:bookmarkEnd w:id="211"/>
      <w:bookmarkEnd w:id="212"/>
      <w:r>
        <w:rPr>
          <w:rFonts w:hint="eastAsia"/>
          <w:lang w:val="en-US" w:eastAsia="zh-CN"/>
        </w:rPr>
        <w:t xml:space="preserve"> </w:t>
      </w:r>
    </w:p>
    <w:bookmarkEnd w:id="213"/>
    <w:bookmarkEnd w:id="214"/>
    <w:bookmarkEnd w:id="215"/>
    <w:bookmarkEnd w:id="216"/>
    <w:p>
      <w:pPr>
        <w:pStyle w:val="2"/>
        <w:bidi w:val="0"/>
        <w:rPr>
          <w:rFonts w:hint="eastAsia" w:asciiTheme="minorEastAsia" w:hAnsiTheme="minorEastAsia" w:eastAsiaTheme="minorEastAsia" w:cstheme="minorEastAsia"/>
          <w:color w:val="auto"/>
          <w:szCs w:val="24"/>
          <w:highlight w:val="none"/>
        </w:rPr>
      </w:pPr>
      <w:bookmarkStart w:id="220" w:name="_Toc23504"/>
      <w:bookmarkStart w:id="221" w:name="_Toc10817"/>
      <w:bookmarkStart w:id="222" w:name="_Toc21891"/>
      <w:bookmarkStart w:id="223" w:name="_Toc13727"/>
      <w:bookmarkStart w:id="224" w:name="_Toc25145"/>
      <w:bookmarkStart w:id="225" w:name="_Toc2502"/>
      <w:bookmarkStart w:id="226" w:name="_Toc9997"/>
      <w:bookmarkStart w:id="227" w:name="_Toc3312"/>
      <w:r>
        <w:rPr>
          <w:rFonts w:hint="eastAsia"/>
          <w:sz w:val="36"/>
          <w:szCs w:val="36"/>
        </w:rPr>
        <w:t>115 个低风险病种ICD-10（2019 v2.0）编码表</w:t>
      </w:r>
      <w:bookmarkEnd w:id="217"/>
      <w:bookmarkEnd w:id="218"/>
      <w:bookmarkEnd w:id="220"/>
      <w:bookmarkEnd w:id="221"/>
      <w:bookmarkEnd w:id="222"/>
      <w:bookmarkEnd w:id="223"/>
      <w:bookmarkEnd w:id="224"/>
      <w:bookmarkEnd w:id="225"/>
      <w:bookmarkEnd w:id="226"/>
      <w:bookmarkEnd w:id="227"/>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988"/>
        <w:gridCol w:w="6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b w:val="0"/>
                <w:bCs w:val="0"/>
                <w:color w:val="auto"/>
                <w:kern w:val="0"/>
                <w:sz w:val="24"/>
                <w:szCs w:val="24"/>
                <w:highlight w:val="none"/>
              </w:rPr>
            </w:pPr>
            <w:r>
              <w:rPr>
                <w:rFonts w:hint="eastAsia" w:ascii="方正黑体_GBK" w:hAnsi="方正黑体_GBK" w:eastAsia="方正黑体_GBK" w:cs="方正黑体_GBK"/>
                <w:b w:val="0"/>
                <w:bCs w:val="0"/>
                <w:color w:val="auto"/>
                <w:kern w:val="0"/>
                <w:sz w:val="24"/>
                <w:szCs w:val="24"/>
                <w:highlight w:val="none"/>
              </w:rPr>
              <w:t>序号</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b w:val="0"/>
                <w:bCs w:val="0"/>
                <w:color w:val="auto"/>
                <w:kern w:val="0"/>
                <w:sz w:val="24"/>
                <w:szCs w:val="24"/>
                <w:highlight w:val="none"/>
              </w:rPr>
            </w:pPr>
            <w:r>
              <w:rPr>
                <w:rFonts w:hint="eastAsia" w:ascii="方正黑体_GBK" w:hAnsi="方正黑体_GBK" w:eastAsia="方正黑体_GBK" w:cs="方正黑体_GBK"/>
                <w:b w:val="0"/>
                <w:bCs w:val="0"/>
                <w:color w:val="auto"/>
                <w:kern w:val="0"/>
                <w:sz w:val="24"/>
                <w:szCs w:val="24"/>
                <w:highlight w:val="none"/>
              </w:rPr>
              <w:t>ICD-10编码类目</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方正黑体_GBK" w:hAnsi="方正黑体_GBK" w:eastAsia="方正黑体_GBK" w:cs="方正黑体_GBK"/>
                <w:b w:val="0"/>
                <w:bCs w:val="0"/>
                <w:color w:val="auto"/>
                <w:kern w:val="0"/>
                <w:sz w:val="24"/>
                <w:szCs w:val="24"/>
                <w:highlight w:val="none"/>
              </w:rPr>
            </w:pPr>
            <w:r>
              <w:rPr>
                <w:rFonts w:hint="eastAsia" w:ascii="方正黑体_GBK" w:hAnsi="方正黑体_GBK" w:eastAsia="方正黑体_GBK" w:cs="方正黑体_GBK"/>
                <w:b w:val="0"/>
                <w:bCs w:val="0"/>
                <w:color w:val="auto"/>
                <w:kern w:val="0"/>
                <w:sz w:val="24"/>
                <w:szCs w:val="24"/>
                <w:highlight w:val="none"/>
              </w:rPr>
              <w:t>病种名称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A18</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其他器官的结核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B00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疱疹病毒[单纯疱疹]感染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B02</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带状疱疹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B08</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其他以皮肤和粘膜损害为特征的病毒性感染，不可归类在他处者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B18</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慢性病毒性肝炎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C73</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甲状腺恶性肿瘤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D13</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消化系统其他和不明确部位的良性肿瘤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D16</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骨和关节软骨良性肿瘤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D17</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良性脂肪瘤样肿瘤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D18</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血管瘤和淋巴管瘤，任何部位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11</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D24</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乳房良性肿瘤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12</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D25</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子宫平滑肌瘤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13</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D27</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卵巢良性肿瘤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14</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D36</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其他和未特指部位的良性肿瘤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15</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D50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缺铁性贫血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16</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D69</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紫癜和其他出血性情况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17</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E05</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甲状腺毒症（甲状腺功能亢进症）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18</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E07</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甲状腺的其他疾患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19</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E10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胰岛素依赖型糖尿病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20</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E11</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非胰岛素依赖型糖尿病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21</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G40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癫痫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22</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G45</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短暂性大脑缺血性发作和相关的综合征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23</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H02</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眼睑的其他疾患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24</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H1l</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结膜的其他疾患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25</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H25</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老年性白内障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26</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H26</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其他白内障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27</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H33</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视网膜脱离和断裂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28</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H40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青光眼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29</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H81</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前庭功能疾患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30</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H91</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其他听觉丧失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31</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I10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特发性（原发性）高血压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32</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I20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心绞痛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33</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I47</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阵发性心动过速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34</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I70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动脉粥样硬化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35</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I80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静脉炎和血栓性静脉炎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36</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I83</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下肢静脉曲张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37</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I84</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38</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I86</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其他部位的静脉曲张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39</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I87</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静脉的其他疾患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40</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J04</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急性喉炎和气管炎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41</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J06</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多发性和未特指部位的急性上呼吸道感染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42</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J20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急性支气管炎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43</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J21</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急性细支气管炎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44</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J32</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慢性鼻窦炎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45</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J33</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鼻息肉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46</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J34</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鼻和鼻窦的其他疾患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47</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J35</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扁桃体和腺样体慢性疾病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48</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J38</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声带和喉疾病，不可归类在他处者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49</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J40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支气管炎，未特指为急性或慢性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50</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J45</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哮喘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51</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K11</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涎腺疾病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52</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K12</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口炎和有关损害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53</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K21</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胃-食管反流性疾病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54</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K22</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食管的其他疾病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55</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K25</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胃溃疡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56</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K29</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胃炎和十二指肠炎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57</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K31</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胃和十二指肠的其他疾病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58</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K35</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急性阑尾炎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59</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K40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腹股沟疝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60</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K52</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其他非感染性胃肠炎和结肠炎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61</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K60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肛门及直肠区的裂和瘘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62</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K61</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肛门和直肠区脓肿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63</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K63</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肠的其他疾病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64</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K80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胆石症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65</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L08</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皮肤和皮下组织其他局部感染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66</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M06</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其他类风湿性关节炎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67</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M13</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其他关节炎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68</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M17</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膝关节病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69</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M47</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脊椎关节强硬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70</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M48</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其他脊椎病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71</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M51</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其他椎间盘疾患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72</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M79</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其他软组织疾患，不可归类在他处者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73</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M87</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骨坏死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74</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N02</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复发性和持续性血尿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75</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N04</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肾病综合征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76</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N10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急性肾小管-间质肾炎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77</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N13</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梗阻性和反流性尿路病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78</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N20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肾和输尿管结石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79</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N40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前列腺增生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80</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N43</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鞘膜积液和精子囊肿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81</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N45</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睾丸炎和附睾炎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82</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N80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子宫内膜异位症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83</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N83</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卵巢、输卵管和阔韧带的非炎性疾患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84</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O00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异位妊娠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85</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O02</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受孕的其他异常产物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86</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O20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妊娠早期出血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87</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O26</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为主要与妊娠有关的其他情况给予的孕产妇医疗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88</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O35</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为已知或可疑胎儿异常和损害给予的孕产妇医疗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89</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O36</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为其他已知或可疑的胎儿问题给予的孕产妇医疗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90</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O42</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胎膜早破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91</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O47</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假临产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92</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O60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早产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93</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O69</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产程和分娩并发脐带并发症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94</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O80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单胎顺产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95</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O82</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经剖宫产术的单胎分娩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96</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O99</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可归类在他处的孕产妇的其他疾病并发于妊娠、分娩和产褥期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97</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P23</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先天性肺炎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98</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P59</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其他和未特指原因所致的新生儿黄疸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99</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P91</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新生儿的其他大脑障碍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100</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Q35</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腭裂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101</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R42</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头晕和眩晕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102</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R56</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惊厥，不可归类在他处者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103</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S00</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头部浅表损伤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104</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S22</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肋骨、胸骨和胸部脊柱骨折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105</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S42</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肩和上臂骨折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106</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S52</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前臂骨折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107</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S62</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在腕和手水平的骨折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108</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S82</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小腿（包括踝）骨折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109</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S83</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膝关节和韧带脱位、扭伤和劳损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110</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T14</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身体未特指部位的损伤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111</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T18</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消化道内异物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112</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Z34</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正常妊娠监督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113</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Z47</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其他矫形外科的随诊医疗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114</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Z48</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其他手术的随诊医疗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115</w:t>
            </w:r>
          </w:p>
        </w:tc>
        <w:tc>
          <w:tcPr>
            <w:tcW w:w="111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Z51</w:t>
            </w:r>
          </w:p>
        </w:tc>
        <w:tc>
          <w:tcPr>
            <w:tcW w:w="346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其他医疗照顾</w:t>
            </w:r>
          </w:p>
        </w:tc>
      </w:tr>
    </w:tbl>
    <w:p>
      <w:pPr>
        <w:spacing w:before="11"/>
        <w:rPr>
          <w:color w:val="auto"/>
          <w:sz w:val="19"/>
          <w:highlight w:val="none"/>
        </w:rPr>
      </w:pPr>
    </w:p>
    <w:p>
      <w:pPr>
        <w:widowControl/>
        <w:rPr>
          <w:rFonts w:asciiTheme="minorEastAsia" w:hAnsiTheme="minorEastAsia" w:eastAsiaTheme="minorEastAsia"/>
          <w:color w:val="auto"/>
          <w:sz w:val="24"/>
          <w:szCs w:val="24"/>
          <w:highlight w:val="none"/>
        </w:rPr>
      </w:pPr>
      <w:r>
        <w:rPr>
          <w:color w:val="auto"/>
          <w:sz w:val="19"/>
          <w:highlight w:val="none"/>
        </w:rPr>
        <w:br w:type="page"/>
      </w:r>
    </w:p>
    <w:p>
      <w:pPr>
        <w:pStyle w:val="2"/>
        <w:bidi w:val="0"/>
        <w:rPr>
          <w:rFonts w:hint="default" w:asciiTheme="minorEastAsia" w:hAnsiTheme="minorEastAsia" w:eastAsiaTheme="minorEastAsia"/>
          <w:color w:val="auto"/>
          <w:szCs w:val="24"/>
          <w:highlight w:val="none"/>
          <w:lang w:val="en-US" w:eastAsia="zh-CN"/>
        </w:rPr>
      </w:pPr>
      <w:bookmarkStart w:id="228" w:name="_Toc16682"/>
      <w:bookmarkStart w:id="229" w:name="_Toc26949"/>
      <w:bookmarkStart w:id="230" w:name="_Toc8495"/>
      <w:bookmarkStart w:id="231" w:name="_Toc18884"/>
      <w:bookmarkStart w:id="232" w:name="_Toc14788"/>
      <w:bookmarkStart w:id="233" w:name="_Toc26406"/>
      <w:bookmarkStart w:id="234" w:name="_Toc29080"/>
      <w:bookmarkStart w:id="235" w:name="_Toc4111"/>
      <w:bookmarkStart w:id="236" w:name="_Toc19503"/>
      <w:r>
        <w:rPr>
          <w:rFonts w:hint="eastAsia"/>
        </w:rPr>
        <w:t>附件</w:t>
      </w:r>
      <w:r>
        <w:rPr>
          <w:rFonts w:hint="eastAsia"/>
          <w:lang w:val="en-US" w:eastAsia="zh-CN"/>
        </w:rPr>
        <w:t>2</w:t>
      </w:r>
      <w:bookmarkEnd w:id="228"/>
      <w:bookmarkEnd w:id="229"/>
    </w:p>
    <w:p>
      <w:pPr>
        <w:pStyle w:val="2"/>
        <w:bidi w:val="0"/>
        <w:rPr>
          <w:rFonts w:hint="eastAsia" w:asciiTheme="minorEastAsia" w:hAnsiTheme="minorEastAsia" w:eastAsiaTheme="minorEastAsia" w:cstheme="minorEastAsia"/>
          <w:b/>
          <w:bCs/>
          <w:color w:val="auto"/>
          <w:szCs w:val="24"/>
          <w:highlight w:val="none"/>
          <w:lang w:val="en-US" w:eastAsia="zh-CN"/>
        </w:rPr>
      </w:pPr>
      <w:bookmarkStart w:id="237" w:name="_Toc31436"/>
      <w:bookmarkStart w:id="238" w:name="_Toc7118"/>
      <w:r>
        <w:rPr>
          <w:rFonts w:hint="eastAsia"/>
          <w:sz w:val="36"/>
          <w:szCs w:val="36"/>
          <w:lang w:val="en-US" w:eastAsia="zh-CN"/>
        </w:rPr>
        <w:t>关键技术目录</w:t>
      </w:r>
      <w:bookmarkEnd w:id="237"/>
      <w:bookmarkEnd w:id="238"/>
    </w:p>
    <w:tbl>
      <w:tblPr>
        <w:tblStyle w:val="1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58"/>
        <w:gridCol w:w="2117"/>
        <w:gridCol w:w="3470"/>
        <w:gridCol w:w="1184"/>
        <w:gridCol w:w="10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0" w:hRule="atLeast"/>
        </w:trPr>
        <w:tc>
          <w:tcPr>
            <w:tcW w:w="617"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黑体_GBK" w:hAnsi="方正黑体_GBK" w:eastAsia="方正黑体_GBK" w:cs="方正黑体_GBK"/>
                <w:b w:val="0"/>
                <w:bCs/>
                <w:i w:val="0"/>
                <w:color w:val="auto"/>
                <w:sz w:val="24"/>
                <w:szCs w:val="24"/>
                <w:highlight w:val="none"/>
                <w:u w:val="none"/>
              </w:rPr>
            </w:pPr>
            <w:r>
              <w:rPr>
                <w:rFonts w:hint="eastAsia" w:ascii="方正黑体_GBK" w:hAnsi="方正黑体_GBK" w:eastAsia="方正黑体_GBK" w:cs="方正黑体_GBK"/>
                <w:b w:val="0"/>
                <w:bCs/>
                <w:i w:val="0"/>
                <w:color w:val="auto"/>
                <w:kern w:val="0"/>
                <w:sz w:val="24"/>
                <w:szCs w:val="24"/>
                <w:highlight w:val="none"/>
                <w:u w:val="none"/>
                <w:lang w:val="en-US" w:eastAsia="zh-CN" w:bidi="ar"/>
              </w:rPr>
              <w:t>序号</w:t>
            </w:r>
          </w:p>
        </w:tc>
        <w:tc>
          <w:tcPr>
            <w:tcW w:w="877"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黑体_GBK" w:hAnsi="方正黑体_GBK" w:eastAsia="方正黑体_GBK" w:cs="方正黑体_GBK"/>
                <w:b w:val="0"/>
                <w:bCs/>
                <w:i w:val="0"/>
                <w:color w:val="auto"/>
                <w:sz w:val="24"/>
                <w:szCs w:val="24"/>
                <w:highlight w:val="none"/>
                <w:u w:val="none"/>
              </w:rPr>
            </w:pPr>
            <w:r>
              <w:rPr>
                <w:rFonts w:hint="eastAsia" w:ascii="方正黑体_GBK" w:hAnsi="方正黑体_GBK" w:eastAsia="方正黑体_GBK" w:cs="方正黑体_GBK"/>
                <w:b w:val="0"/>
                <w:bCs/>
                <w:i w:val="0"/>
                <w:color w:val="auto"/>
                <w:kern w:val="0"/>
                <w:sz w:val="24"/>
                <w:szCs w:val="24"/>
                <w:highlight w:val="none"/>
                <w:u w:val="none"/>
                <w:lang w:val="en-US" w:eastAsia="zh-CN" w:bidi="ar"/>
              </w:rPr>
              <w:t>专业名称</w:t>
            </w:r>
          </w:p>
        </w:tc>
        <w:tc>
          <w:tcPr>
            <w:tcW w:w="20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黑体_GBK" w:hAnsi="方正黑体_GBK" w:eastAsia="方正黑体_GBK" w:cs="方正黑体_GBK"/>
                <w:b w:val="0"/>
                <w:bCs/>
                <w:i w:val="0"/>
                <w:color w:val="auto"/>
                <w:sz w:val="24"/>
                <w:szCs w:val="24"/>
                <w:highlight w:val="none"/>
                <w:u w:val="none"/>
              </w:rPr>
            </w:pPr>
            <w:r>
              <w:rPr>
                <w:rFonts w:hint="eastAsia" w:ascii="方正黑体_GBK" w:hAnsi="方正黑体_GBK" w:eastAsia="方正黑体_GBK" w:cs="方正黑体_GBK"/>
                <w:b w:val="0"/>
                <w:bCs/>
                <w:i w:val="0"/>
                <w:color w:val="auto"/>
                <w:kern w:val="0"/>
                <w:sz w:val="24"/>
                <w:szCs w:val="24"/>
                <w:highlight w:val="none"/>
                <w:u w:val="none"/>
                <w:lang w:val="en-US" w:eastAsia="zh-CN" w:bidi="ar"/>
              </w:rPr>
              <w:t>关键技术名称</w:t>
            </w:r>
          </w:p>
        </w:tc>
        <w:tc>
          <w:tcPr>
            <w:tcW w:w="142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黑体_GBK" w:hAnsi="方正黑体_GBK" w:eastAsia="方正黑体_GBK" w:cs="方正黑体_GBK"/>
                <w:b w:val="0"/>
                <w:bCs/>
                <w:i w:val="0"/>
                <w:color w:val="auto"/>
                <w:sz w:val="24"/>
                <w:szCs w:val="24"/>
                <w:highlight w:val="none"/>
                <w:u w:val="none"/>
              </w:rPr>
            </w:pPr>
            <w:r>
              <w:rPr>
                <w:rFonts w:hint="eastAsia" w:ascii="方正黑体_GBK" w:hAnsi="方正黑体_GBK" w:eastAsia="方正黑体_GBK" w:cs="方正黑体_GBK"/>
                <w:b w:val="0"/>
                <w:bCs/>
                <w:i w:val="0"/>
                <w:color w:val="auto"/>
                <w:kern w:val="0"/>
                <w:sz w:val="24"/>
                <w:szCs w:val="24"/>
                <w:highlight w:val="none"/>
                <w:u w:val="none"/>
                <w:lang w:val="en-US" w:eastAsia="zh-CN" w:bidi="ar"/>
              </w:rPr>
              <w:t>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auto"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一、</w:t>
            </w:r>
          </w:p>
        </w:tc>
        <w:tc>
          <w:tcPr>
            <w:tcW w:w="877" w:type="pct"/>
            <w:vMerge w:val="restart"/>
            <w:tcBorders>
              <w:top w:val="single" w:color="auto"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心血管内科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1、经皮冠状动脉造影</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2、经皮冠状动脉介入治疗</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3、紧急临时起搏器安装</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4、经皮导管射频消融术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5、永久起搏器植入术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6、主动脉内球囊反搏术置入术或左室辅助装置</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7、冠状动脉光学相干断层成像</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8、先心病介入封堵术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二、</w:t>
            </w:r>
          </w:p>
        </w:tc>
        <w:tc>
          <w:tcPr>
            <w:tcW w:w="877" w:type="pct"/>
            <w:vMerge w:val="restart"/>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呼吸与危重症医学科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9、支气管镜检查技术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10、有创机械通气术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11、肺功能检测</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12、支气管镜介入治疗技术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13、经皮肺穿刺活检技术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14、睡眠监测技术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三、</w:t>
            </w:r>
          </w:p>
        </w:tc>
        <w:tc>
          <w:tcPr>
            <w:tcW w:w="877" w:type="pct"/>
            <w:vMerge w:val="restart"/>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消化内科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15、内镜下消化道出血诊疗术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16、经内镜黏膜下肿瘤剥离术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17、消化道支架置入术和消化道狭窄扩张术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18、经内镜逆行性胰胆管造影术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19、食管静脉曲张内镜治疗</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四、</w:t>
            </w:r>
          </w:p>
        </w:tc>
        <w:tc>
          <w:tcPr>
            <w:tcW w:w="877" w:type="pct"/>
            <w:vMerge w:val="restar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神经内科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20、颈部血管超声</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21、脑电图</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22、急性缺血性卒中静脉溶栓</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23、数字减影血管造影</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24、肌电图诱发电位检测</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25、多导睡眠图</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五、</w:t>
            </w:r>
          </w:p>
        </w:tc>
        <w:tc>
          <w:tcPr>
            <w:tcW w:w="877" w:type="pct"/>
            <w:vMerge w:val="restart"/>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内分泌代谢科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26、甲状腺相关抗体检测技术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27、胰岛素泵技术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28、超声引导下甲状腺细针穿刺技术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29、动态血糖监测技术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30、糖尿病周围神经病变筛查</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31、肾素血管紧张素醛固酮立卧位试验技术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六、</w:t>
            </w:r>
          </w:p>
        </w:tc>
        <w:tc>
          <w:tcPr>
            <w:tcW w:w="877" w:type="pct"/>
            <w:vMerge w:val="restart"/>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肾病学科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32、腹膜透析</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33、血液透析</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34、连续肾脏替代疗法</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35、IgA肾病管理</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36、膜性肾病管理</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37、超声引导下肾穿刺活检术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38、肾小管功能（浓缩等）检查</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七、</w:t>
            </w:r>
          </w:p>
        </w:tc>
        <w:tc>
          <w:tcPr>
            <w:tcW w:w="877" w:type="pct"/>
            <w:vMerge w:val="restart"/>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血液内科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39、原发性免疫性血小板减少症诊治</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40、骨髓增生异常综合征诊治</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41、淋巴瘤诊治</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42、多发性骨髓瘤诊治</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43、急性白血病诊治</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44、重型再生障碍性贫血诊治</w:t>
            </w:r>
          </w:p>
        </w:tc>
        <w:tc>
          <w:tcPr>
            <w:tcW w:w="758"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617" w:type="pct"/>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八、</w:t>
            </w:r>
          </w:p>
        </w:tc>
        <w:tc>
          <w:tcPr>
            <w:tcW w:w="877" w:type="pct"/>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免疫学科</w:t>
            </w:r>
          </w:p>
        </w:tc>
        <w:tc>
          <w:tcPr>
            <w:tcW w:w="2075" w:type="pct"/>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45、IgG4 检测</w:t>
            </w:r>
          </w:p>
        </w:tc>
        <w:tc>
          <w:tcPr>
            <w:tcW w:w="758" w:type="pct"/>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九、</w:t>
            </w:r>
          </w:p>
        </w:tc>
        <w:tc>
          <w:tcPr>
            <w:tcW w:w="877"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普外科</w:t>
            </w:r>
          </w:p>
        </w:tc>
        <w:tc>
          <w:tcPr>
            <w:tcW w:w="20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46、多孔传统腹腔镜胃肠疾病手术</w:t>
            </w:r>
          </w:p>
        </w:tc>
        <w:tc>
          <w:tcPr>
            <w:tcW w:w="75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47、甲状腺癌根治术</w:t>
            </w:r>
          </w:p>
        </w:tc>
        <w:tc>
          <w:tcPr>
            <w:tcW w:w="75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48、乳腺癌保乳手术/保乳整形</w:t>
            </w:r>
          </w:p>
        </w:tc>
        <w:tc>
          <w:tcPr>
            <w:tcW w:w="75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49、腹腔镜超低位直肠癌根治术</w:t>
            </w:r>
          </w:p>
        </w:tc>
        <w:tc>
          <w:tcPr>
            <w:tcW w:w="75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50、胰腺十二指肠切除术</w:t>
            </w:r>
          </w:p>
        </w:tc>
        <w:tc>
          <w:tcPr>
            <w:tcW w:w="75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51、四肢动脉血管成形、支架植入术</w:t>
            </w:r>
          </w:p>
        </w:tc>
        <w:tc>
          <w:tcPr>
            <w:tcW w:w="75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52、全腹腔镜胃癌根治术</w:t>
            </w:r>
          </w:p>
        </w:tc>
        <w:tc>
          <w:tcPr>
            <w:tcW w:w="75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53、局部晚期甲状腺癌扩大根治术</w:t>
            </w:r>
          </w:p>
        </w:tc>
        <w:tc>
          <w:tcPr>
            <w:tcW w:w="75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trPr>
        <w:tc>
          <w:tcPr>
            <w:tcW w:w="617"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54、腔静脉、四肢静脉经导管溶栓术、血栓清除术</w:t>
            </w:r>
          </w:p>
        </w:tc>
        <w:tc>
          <w:tcPr>
            <w:tcW w:w="75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c>
          <w:tcPr>
            <w:tcW w:w="6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55、转移肌皮瓣乳房重建术</w:t>
            </w:r>
          </w:p>
        </w:tc>
        <w:tc>
          <w:tcPr>
            <w:tcW w:w="75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56、晚期乳腺癌的综合治疗</w:t>
            </w:r>
          </w:p>
        </w:tc>
        <w:tc>
          <w:tcPr>
            <w:tcW w:w="75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57、腹腔镜腹股沟疝修补术</w:t>
            </w:r>
          </w:p>
        </w:tc>
        <w:tc>
          <w:tcPr>
            <w:tcW w:w="758" w:type="pct"/>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nil"/>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nil"/>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58、缝合、纱布填塞、肝动脉结扎术、肝切除术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nil"/>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nil"/>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59、腹腔镜袖状胃切除术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nil"/>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nil"/>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60、腹腔镜食管裂孔疝修补术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trPr>
        <w:tc>
          <w:tcPr>
            <w:tcW w:w="617" w:type="pct"/>
            <w:vMerge w:val="continue"/>
            <w:tcBorders>
              <w:top w:val="nil"/>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nil"/>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61、腹腔镜、胆道镜、经皮肾镜、十二指肠镜联合术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nil"/>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nil"/>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62、肝尾状叶切除术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十、</w:t>
            </w:r>
          </w:p>
        </w:tc>
        <w:tc>
          <w:tcPr>
            <w:tcW w:w="877" w:type="pct"/>
            <w:vMerge w:val="restart"/>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骨科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63、关节置换术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64、关节镜技术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65、骨折复位内固定术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66、骨盆/髋臼骨折复位内固定术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67、脊柱减压内固定融合术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十一、</w:t>
            </w:r>
          </w:p>
        </w:tc>
        <w:tc>
          <w:tcPr>
            <w:tcW w:w="877" w:type="pct"/>
            <w:vMerge w:val="restart"/>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神经外科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68、显微神经外科技术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69、脑血管介入及外科手术技术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70、神经内镜技术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71、微血管减压技术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十二、</w:t>
            </w:r>
          </w:p>
        </w:tc>
        <w:tc>
          <w:tcPr>
            <w:tcW w:w="877" w:type="pct"/>
            <w:vMerge w:val="restart"/>
            <w:tcBorders>
              <w:top w:val="single" w:color="000000" w:sz="4" w:space="0"/>
              <w:left w:val="single" w:color="000000" w:sz="4" w:space="0"/>
              <w:bottom w:val="nil"/>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泌尿外科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72、腹腔镜手术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73、超声引导辅助诊断治疗技术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74、电切镜手术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75、输尿管镜治疗</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76、经皮肾镜手术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77、软性镜治疗</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78、体外碎石技术（泌尿系统结石）</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十三、</w:t>
            </w:r>
          </w:p>
        </w:tc>
        <w:tc>
          <w:tcPr>
            <w:tcW w:w="877" w:type="pct"/>
            <w:vMerge w:val="restart"/>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胸外科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79、胸腔镜肺外科手术治疗</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80、胸腔镜纵膈肿物切除</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81、全腔镜下食管癌根治术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82、高位食管癌根治术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十四、</w:t>
            </w:r>
          </w:p>
        </w:tc>
        <w:tc>
          <w:tcPr>
            <w:tcW w:w="877" w:type="pct"/>
            <w:vMerge w:val="restart"/>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心脏外科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83、瓣膜置换术或瓣膜成型术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84、先心病外科矫治手术</w:t>
            </w:r>
          </w:p>
        </w:tc>
        <w:tc>
          <w:tcPr>
            <w:tcW w:w="758"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auto"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十五、</w:t>
            </w:r>
          </w:p>
        </w:tc>
        <w:tc>
          <w:tcPr>
            <w:tcW w:w="877" w:type="pct"/>
            <w:vMerge w:val="restart"/>
            <w:tcBorders>
              <w:top w:val="single" w:color="auto"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妇科</w:t>
            </w:r>
          </w:p>
        </w:tc>
        <w:tc>
          <w:tcPr>
            <w:tcW w:w="2075" w:type="pct"/>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85、腹腔镜下恶性肿瘤的手术治疗</w:t>
            </w:r>
          </w:p>
        </w:tc>
        <w:tc>
          <w:tcPr>
            <w:tcW w:w="758" w:type="pct"/>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auto"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86、腹腔镜下深部结节子宫内膜异位病灶切除术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87、腹腔镜辅助下阴式子宫切除术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88、腹腔镜下子宫内膜癌分期术</w:t>
            </w:r>
          </w:p>
        </w:tc>
        <w:tc>
          <w:tcPr>
            <w:tcW w:w="758"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auto"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十六、</w:t>
            </w:r>
          </w:p>
        </w:tc>
        <w:tc>
          <w:tcPr>
            <w:tcW w:w="877" w:type="pct"/>
            <w:vMerge w:val="restart"/>
            <w:tcBorders>
              <w:top w:val="single" w:color="auto"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产科</w:t>
            </w:r>
          </w:p>
        </w:tc>
        <w:tc>
          <w:tcPr>
            <w:tcW w:w="2075" w:type="pct"/>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89、分娩镇痛术</w:t>
            </w:r>
          </w:p>
        </w:tc>
        <w:tc>
          <w:tcPr>
            <w:tcW w:w="758" w:type="pct"/>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nil"/>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nil"/>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90、凶险性前置胎盘剖宫产术+血管阻断术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nil"/>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nil"/>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91、紧急宫颈环扎术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十七、</w:t>
            </w:r>
          </w:p>
        </w:tc>
        <w:tc>
          <w:tcPr>
            <w:tcW w:w="877" w:type="pct"/>
            <w:vMerge w:val="restart"/>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儿科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92、呼吸道病毒检测</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93、超低出生体重儿综合救治技术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94、新生儿静脉营养支持</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95、综合呼吸支持技术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96、肺通气功能测定</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97、中心静脉置管, 脐动静脉插管</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98、小儿胃镜检查术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99、支气管镜肺泡灌洗术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100、婴幼儿肺功能监测</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十八、</w:t>
            </w:r>
          </w:p>
        </w:tc>
        <w:tc>
          <w:tcPr>
            <w:tcW w:w="877" w:type="pct"/>
            <w:vMerge w:val="restart"/>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眼科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101、白内障超声乳化术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102、共同性斜视矫正术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103、提上睑肌缩短术、额肌瓣悬吊术、额骨骨膜悬吊术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104、间接眼底镜检查</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105、前入路玻璃体切除术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106、后房型人工晶体缝线固定术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107、非共同性斜视矫正术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108、眼眶内肿瘤摘除术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109、后入路玻璃体切除术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十九、</w:t>
            </w:r>
          </w:p>
        </w:tc>
        <w:tc>
          <w:tcPr>
            <w:tcW w:w="877" w:type="pct"/>
            <w:vMerge w:val="restart"/>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耳鼻咽喉科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110、鼓膜修补术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111、乳突切开术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112、鼻内镜技术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113、喉部分切除术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114、内镜下鼓室成型术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115、人工耳蜗植入术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116、听力学检查</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117、气管异物取出术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000000"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000000"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118、全喉全下咽切除术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二十、</w:t>
            </w:r>
          </w:p>
        </w:tc>
        <w:tc>
          <w:tcPr>
            <w:tcW w:w="877" w:type="pct"/>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口腔专业</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119、牙种植修复术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120、全口义齿修复术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121、骨折坚固内固定术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122、涎腺肿瘤手术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123、显微根管技术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124、口腔颌面部恶性肿瘤根治术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125、先天性唇、腭裂修复术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二十一、</w:t>
            </w:r>
          </w:p>
        </w:tc>
        <w:tc>
          <w:tcPr>
            <w:tcW w:w="877" w:type="pct"/>
            <w:vMerge w:val="restart"/>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皮肤科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126、真菌镜检、培养、鉴定</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127、淋球菌培养及培养、支原体/衣原体镜检、梅毒血清学检查</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128、二氧化碳激光</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129、液氮冷冻</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130、红蓝光治疗</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131、短波紫外线</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132、微波治疗</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133、皮肤病理</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134、皮肤外科手术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135、光动力治疗</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136、斑贴试验</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137、电离子烧灼</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二十二、</w:t>
            </w:r>
          </w:p>
        </w:tc>
        <w:tc>
          <w:tcPr>
            <w:tcW w:w="877" w:type="pct"/>
            <w:vMerge w:val="restart"/>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感染病科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138、乙肝血清标志物（乙肝五项）定量测定</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139、细菌培养、各种病原体检测</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140、肝脏活检病理诊断及肝组织免疫组化检测</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141、超敏HBV-DNA测定</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142、无创肝纤维化评价肝脏弹性测定</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二十三、</w:t>
            </w:r>
          </w:p>
        </w:tc>
        <w:tc>
          <w:tcPr>
            <w:tcW w:w="877" w:type="pct"/>
            <w:vMerge w:val="restart"/>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肿瘤科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143、癌痛患者疼痛评估</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144、肿瘤患者营养支持治疗评估</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145、三维调强放疗</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146、适形调强放疗</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147、同步放化疗</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148、电子线照射</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149、X线普通照射</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二十四、</w:t>
            </w:r>
          </w:p>
        </w:tc>
        <w:tc>
          <w:tcPr>
            <w:tcW w:w="877" w:type="pct"/>
            <w:vMerge w:val="restart"/>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康复医学科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150、肢体功能评定、活动与参与能力评定</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151、传统康复治疗</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152、平衡功能评定</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153、认知感知觉评定</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154、运动及步态分析</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155、言语及吞咽功能评定</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156、治疗技术：物理治疗（含运动治疗和物理因子治疗）</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157、情景互动训练</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158、经颅磁刺激治疗及经颅电刺激治疗</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二十五、</w:t>
            </w:r>
          </w:p>
        </w:tc>
        <w:tc>
          <w:tcPr>
            <w:tcW w:w="877" w:type="pct"/>
            <w:vMerge w:val="restart"/>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急诊医学科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159、呼吸机应用</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160、电除颤应用</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161、气管插管术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162、洗胃技术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163、动静脉穿刺置管术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164、床旁超声</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165、血液灌流</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166、亚低温治疗技术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167、血浆置换</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168、连续性肾脏替代治疗</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169、有创血流动力学检测技术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170、纤维支气管镜吸痰灌洗技术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171、经皮气管切开术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strike/>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二十六、</w:t>
            </w:r>
          </w:p>
        </w:tc>
        <w:tc>
          <w:tcPr>
            <w:tcW w:w="877" w:type="pct"/>
            <w:vMerge w:val="restart"/>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重症医学科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172、中心静脉穿刺技术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Style w:val="27"/>
                <w:rFonts w:hint="default" w:ascii="Times New Roman" w:hAnsi="Times New Roman" w:eastAsia="方正仿宋_GBK" w:cs="Times New Roman"/>
                <w:color w:val="auto"/>
                <w:sz w:val="24"/>
                <w:szCs w:val="24"/>
                <w:highlight w:val="none"/>
                <w:lang w:val="en-US" w:eastAsia="zh-CN" w:bidi="ar"/>
              </w:rPr>
              <w:t>乙</w:t>
            </w:r>
            <w:r>
              <w:rPr>
                <w:rFonts w:hint="default" w:ascii="Times New Roman" w:hAnsi="Times New Roman" w:eastAsia="方正仿宋_GBK" w:cs="Times New Roman"/>
                <w:i w:val="0"/>
                <w:color w:val="auto"/>
                <w:kern w:val="0"/>
                <w:sz w:val="24"/>
                <w:szCs w:val="24"/>
                <w:highlight w:val="none"/>
                <w:u w:val="none"/>
                <w:lang w:val="en-US" w:eastAsia="zh-CN" w:bidi="ar"/>
              </w:rPr>
              <w:t>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173、气管插管术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174、血液滤过</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175、有创机械通气</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176、无创机械通气</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177、支气管镜检查</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178、床旁超声</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179、心电除颤应用</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180、亚低温治疗技术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0"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181、血液灌流</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182、血浆置换</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183、气管切开</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184、脉搏指示持续心排量监测</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rPr>
                <w:rFonts w:hint="eastAsia" w:ascii="方正仿宋_GBK" w:hAnsi="方正仿宋_GBK" w:eastAsia="方正仿宋_GBK" w:cs="方正仿宋_GBK"/>
                <w:b w:val="0"/>
                <w:bCs/>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185、体外膜肺氧合</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restart"/>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二十七、</w:t>
            </w:r>
          </w:p>
        </w:tc>
        <w:tc>
          <w:tcPr>
            <w:tcW w:w="877" w:type="pct"/>
            <w:vMerge w:val="restart"/>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eastAsia" w:ascii="方正仿宋_GBK" w:hAnsi="方正仿宋_GBK" w:eastAsia="方正仿宋_GBK" w:cs="方正仿宋_GBK"/>
                <w:b w:val="0"/>
                <w:bCs/>
                <w:i w:val="0"/>
                <w:color w:val="auto"/>
                <w:sz w:val="24"/>
                <w:szCs w:val="24"/>
                <w:highlight w:val="none"/>
                <w:u w:val="none"/>
              </w:rPr>
            </w:pPr>
            <w:r>
              <w:rPr>
                <w:rFonts w:hint="eastAsia" w:ascii="方正仿宋_GBK" w:hAnsi="方正仿宋_GBK" w:eastAsia="方正仿宋_GBK" w:cs="方正仿宋_GBK"/>
                <w:b w:val="0"/>
                <w:bCs/>
                <w:i w:val="0"/>
                <w:color w:val="auto"/>
                <w:kern w:val="0"/>
                <w:sz w:val="24"/>
                <w:szCs w:val="24"/>
                <w:highlight w:val="none"/>
                <w:u w:val="none"/>
                <w:lang w:val="en-US" w:eastAsia="zh-CN" w:bidi="ar"/>
              </w:rPr>
              <w:t>麻醉科</w:t>
            </w: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186、全身麻醉</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b/>
                <w:bCs w:val="0"/>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b/>
                <w:bCs w:val="0"/>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187、椎管内麻醉</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b/>
                <w:bCs w:val="0"/>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b/>
                <w:bCs w:val="0"/>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188、臂丛神经阻滞麻醉</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b/>
                <w:bCs w:val="0"/>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b/>
                <w:bCs w:val="0"/>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189、围手术期镇痛</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b/>
                <w:bCs w:val="0"/>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b/>
                <w:bCs w:val="0"/>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190、重症产科麻醉</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b/>
                <w:bCs w:val="0"/>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b/>
                <w:bCs w:val="0"/>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191、超声引导神经阻滞</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乙等必备</w:t>
            </w: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b/>
                <w:bCs w:val="0"/>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b/>
                <w:bCs w:val="0"/>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192、自体血回输技术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17" w:type="pct"/>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b/>
                <w:bCs w:val="0"/>
                <w:i w:val="0"/>
                <w:color w:val="auto"/>
                <w:sz w:val="24"/>
                <w:szCs w:val="24"/>
                <w:highlight w:val="none"/>
                <w:u w:val="none"/>
              </w:rPr>
            </w:pPr>
          </w:p>
        </w:tc>
        <w:tc>
          <w:tcPr>
            <w:tcW w:w="877" w:type="pct"/>
            <w:vMerge w:val="continue"/>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b/>
                <w:bCs w:val="0"/>
                <w:i w:val="0"/>
                <w:color w:val="auto"/>
                <w:sz w:val="24"/>
                <w:szCs w:val="24"/>
                <w:highlight w:val="none"/>
                <w:u w:val="none"/>
              </w:rPr>
            </w:pPr>
          </w:p>
        </w:tc>
        <w:tc>
          <w:tcPr>
            <w:tcW w:w="207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193、困难气道处理技术</w:t>
            </w:r>
          </w:p>
        </w:tc>
        <w:tc>
          <w:tcPr>
            <w:tcW w:w="7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color w:val="auto"/>
                <w:sz w:val="24"/>
                <w:szCs w:val="24"/>
                <w:highlight w:val="none"/>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color w:val="auto"/>
                <w:sz w:val="24"/>
                <w:szCs w:val="24"/>
                <w:highlight w:val="none"/>
                <w:u w:val="none"/>
              </w:rPr>
            </w:pPr>
            <w:r>
              <w:rPr>
                <w:rFonts w:hint="default" w:ascii="Times New Roman" w:hAnsi="Times New Roman" w:eastAsia="方正仿宋_GBK" w:cs="Times New Roman"/>
                <w:i w:val="0"/>
                <w:color w:val="auto"/>
                <w:kern w:val="0"/>
                <w:sz w:val="24"/>
                <w:szCs w:val="24"/>
                <w:highlight w:val="none"/>
                <w:u w:val="none"/>
                <w:lang w:val="en-US" w:eastAsia="zh-CN" w:bidi="ar"/>
              </w:rPr>
              <w:t>甲等必备</w:t>
            </w:r>
          </w:p>
        </w:tc>
      </w:tr>
    </w:tbl>
    <w:p>
      <w:pPr>
        <w:jc w:val="center"/>
        <w:rPr>
          <w:rFonts w:hint="eastAsia" w:asciiTheme="minorEastAsia" w:hAnsiTheme="minorEastAsia" w:eastAsiaTheme="minorEastAsia"/>
          <w:b/>
          <w:bCs/>
          <w:color w:val="auto"/>
          <w:sz w:val="24"/>
          <w:szCs w:val="24"/>
          <w:highlight w:val="none"/>
          <w:lang w:val="en-US" w:eastAsia="zh-CN"/>
        </w:rPr>
      </w:pPr>
    </w:p>
    <w:p>
      <w:pPr>
        <w:pStyle w:val="2"/>
        <w:spacing w:before="0" w:after="0" w:line="560" w:lineRule="exact"/>
        <w:rPr>
          <w:rFonts w:hint="eastAsia" w:asciiTheme="minorEastAsia" w:hAnsiTheme="minorEastAsia" w:eastAsiaTheme="minorEastAsia"/>
          <w:color w:val="auto"/>
          <w:sz w:val="24"/>
          <w:szCs w:val="24"/>
          <w:highlight w:val="none"/>
        </w:rPr>
      </w:pPr>
    </w:p>
    <w:p>
      <w:pPr>
        <w:pStyle w:val="2"/>
        <w:spacing w:before="0" w:after="0" w:line="560" w:lineRule="exact"/>
        <w:rPr>
          <w:rFonts w:hint="eastAsia" w:asciiTheme="minorEastAsia" w:hAnsiTheme="minorEastAsia" w:eastAsiaTheme="minorEastAsia"/>
          <w:color w:val="auto"/>
          <w:sz w:val="24"/>
          <w:szCs w:val="24"/>
          <w:highlight w:val="none"/>
        </w:rPr>
      </w:pPr>
    </w:p>
    <w:p>
      <w:pPr>
        <w:pStyle w:val="2"/>
        <w:spacing w:before="0" w:after="0" w:line="560" w:lineRule="exact"/>
        <w:rPr>
          <w:rFonts w:hint="eastAsia" w:asciiTheme="minorEastAsia" w:hAnsiTheme="minorEastAsia" w:eastAsiaTheme="minorEastAsia"/>
          <w:color w:val="auto"/>
          <w:sz w:val="24"/>
          <w:szCs w:val="24"/>
          <w:highlight w:val="none"/>
        </w:rPr>
      </w:pPr>
    </w:p>
    <w:p>
      <w:pPr>
        <w:rPr>
          <w:rFonts w:hint="eastAsia" w:asciiTheme="minorEastAsia" w:hAnsiTheme="minorEastAsia" w:eastAsiaTheme="minorEastAsia"/>
          <w:color w:val="auto"/>
          <w:sz w:val="24"/>
          <w:szCs w:val="24"/>
          <w:highlight w:val="none"/>
        </w:rPr>
      </w:pPr>
    </w:p>
    <w:p>
      <w:pPr>
        <w:rPr>
          <w:rFonts w:hint="eastAsia" w:asciiTheme="minorEastAsia" w:hAnsiTheme="minorEastAsia" w:eastAsiaTheme="minorEastAsia"/>
          <w:color w:val="auto"/>
          <w:sz w:val="24"/>
          <w:szCs w:val="24"/>
          <w:highlight w:val="none"/>
        </w:rPr>
      </w:pPr>
    </w:p>
    <w:p>
      <w:pPr>
        <w:rPr>
          <w:rFonts w:hint="eastAsia" w:asciiTheme="minorEastAsia" w:hAnsiTheme="minorEastAsia" w:eastAsiaTheme="minorEastAsia"/>
          <w:color w:val="auto"/>
          <w:sz w:val="24"/>
          <w:szCs w:val="24"/>
          <w:highlight w:val="none"/>
        </w:rPr>
      </w:pPr>
    </w:p>
    <w:p>
      <w:pPr>
        <w:rPr>
          <w:rFonts w:hint="eastAsia" w:asciiTheme="minorEastAsia" w:hAnsiTheme="minorEastAsia" w:eastAsiaTheme="minorEastAsia"/>
          <w:color w:val="auto"/>
          <w:sz w:val="24"/>
          <w:szCs w:val="24"/>
          <w:highlight w:val="none"/>
        </w:rPr>
      </w:pPr>
    </w:p>
    <w:p>
      <w:pPr>
        <w:rPr>
          <w:rFonts w:hint="eastAsia" w:asciiTheme="minorEastAsia" w:hAnsiTheme="minorEastAsia" w:eastAsiaTheme="minorEastAsia"/>
          <w:color w:val="auto"/>
          <w:sz w:val="24"/>
          <w:szCs w:val="24"/>
          <w:highlight w:val="none"/>
        </w:rPr>
      </w:pPr>
    </w:p>
    <w:p>
      <w:pPr>
        <w:rPr>
          <w:rFonts w:hint="eastAsia" w:asciiTheme="minorEastAsia" w:hAnsiTheme="minorEastAsia" w:eastAsiaTheme="minorEastAsia"/>
          <w:color w:val="auto"/>
          <w:sz w:val="24"/>
          <w:szCs w:val="24"/>
          <w:highlight w:val="none"/>
        </w:rPr>
      </w:pPr>
    </w:p>
    <w:p>
      <w:pPr>
        <w:rPr>
          <w:rFonts w:hint="eastAsia" w:asciiTheme="minorEastAsia" w:hAnsiTheme="minorEastAsia" w:eastAsiaTheme="minorEastAsia"/>
          <w:color w:val="auto"/>
          <w:sz w:val="24"/>
          <w:szCs w:val="24"/>
          <w:highlight w:val="none"/>
        </w:rPr>
      </w:pPr>
    </w:p>
    <w:p>
      <w:pPr>
        <w:rPr>
          <w:rFonts w:hint="eastAsia" w:asciiTheme="minorEastAsia" w:hAnsiTheme="minorEastAsia" w:eastAsiaTheme="minorEastAsia"/>
          <w:color w:val="auto"/>
          <w:sz w:val="24"/>
          <w:szCs w:val="24"/>
          <w:highlight w:val="none"/>
        </w:rPr>
      </w:pPr>
    </w:p>
    <w:p>
      <w:pPr>
        <w:rPr>
          <w:rFonts w:hint="eastAsia" w:asciiTheme="minorEastAsia" w:hAnsiTheme="minorEastAsia" w:eastAsiaTheme="minorEastAsia"/>
          <w:color w:val="auto"/>
          <w:sz w:val="24"/>
          <w:szCs w:val="24"/>
          <w:highlight w:val="none"/>
        </w:rPr>
      </w:pPr>
    </w:p>
    <w:p>
      <w:pPr>
        <w:pStyle w:val="2"/>
        <w:bidi w:val="0"/>
        <w:rPr>
          <w:rFonts w:hint="eastAsia" w:asciiTheme="minorEastAsia" w:hAnsiTheme="minorEastAsia" w:eastAsiaTheme="minorEastAsia"/>
          <w:color w:val="auto"/>
          <w:szCs w:val="24"/>
          <w:highlight w:val="none"/>
          <w:lang w:eastAsia="zh-CN"/>
        </w:rPr>
      </w:pPr>
      <w:bookmarkStart w:id="239" w:name="_Toc7400"/>
      <w:bookmarkStart w:id="240" w:name="_Toc22376"/>
      <w:r>
        <w:rPr>
          <w:rFonts w:hint="eastAsia"/>
        </w:rPr>
        <w:t>附件</w:t>
      </w:r>
      <w:bookmarkEnd w:id="230"/>
      <w:bookmarkEnd w:id="231"/>
      <w:bookmarkEnd w:id="232"/>
      <w:bookmarkEnd w:id="233"/>
      <w:bookmarkEnd w:id="234"/>
      <w:bookmarkEnd w:id="235"/>
      <w:r>
        <w:rPr>
          <w:rFonts w:hint="eastAsia"/>
          <w:lang w:val="en-US" w:eastAsia="zh-CN"/>
        </w:rPr>
        <w:t>3</w:t>
      </w:r>
      <w:bookmarkEnd w:id="239"/>
      <w:bookmarkEnd w:id="240"/>
    </w:p>
    <w:p>
      <w:pPr>
        <w:pStyle w:val="2"/>
        <w:bidi w:val="0"/>
        <w:rPr>
          <w:rFonts w:asciiTheme="minorEastAsia" w:hAnsiTheme="minorEastAsia" w:eastAsiaTheme="minorEastAsia"/>
          <w:color w:val="auto"/>
          <w:szCs w:val="24"/>
          <w:highlight w:val="none"/>
        </w:rPr>
      </w:pPr>
      <w:bookmarkStart w:id="241" w:name="_Toc186"/>
      <w:bookmarkStart w:id="242" w:name="_Toc7020"/>
      <w:bookmarkStart w:id="243" w:name="_Toc16264"/>
      <w:bookmarkStart w:id="244" w:name="_Toc21457"/>
      <w:bookmarkStart w:id="245" w:name="_Toc25905"/>
      <w:bookmarkStart w:id="246" w:name="_Toc22822"/>
      <w:bookmarkStart w:id="247" w:name="_Toc1270"/>
      <w:bookmarkStart w:id="248" w:name="_Toc408"/>
      <w:r>
        <w:rPr>
          <w:rFonts w:hint="eastAsia"/>
          <w:sz w:val="36"/>
          <w:szCs w:val="36"/>
        </w:rPr>
        <w:t>专科医院单病种（术种）目录</w:t>
      </w:r>
      <w:bookmarkEnd w:id="219"/>
      <w:bookmarkEnd w:id="236"/>
      <w:bookmarkEnd w:id="241"/>
      <w:bookmarkEnd w:id="242"/>
      <w:bookmarkEnd w:id="243"/>
      <w:bookmarkEnd w:id="244"/>
      <w:bookmarkEnd w:id="245"/>
      <w:bookmarkEnd w:id="246"/>
      <w:bookmarkEnd w:id="247"/>
      <w:bookmarkEnd w:id="248"/>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方正仿宋_GBK" w:cs="Times New Roman"/>
                <w:color w:val="auto"/>
                <w:kern w:val="0"/>
                <w:sz w:val="24"/>
                <w:szCs w:val="24"/>
                <w:highlight w:val="none"/>
              </w:rPr>
            </w:pPr>
            <w:r>
              <w:rPr>
                <w:rFonts w:hint="eastAsia" w:ascii="方正黑体_GBK" w:hAnsi="方正黑体_GBK" w:eastAsia="方正黑体_GBK" w:cs="方正黑体_GBK"/>
                <w:b w:val="0"/>
                <w:bCs w:val="0"/>
                <w:color w:val="auto"/>
                <w:kern w:val="0"/>
                <w:sz w:val="24"/>
                <w:szCs w:val="24"/>
                <w:highlight w:val="none"/>
              </w:rPr>
              <w:t>一、口腔医院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b/>
                <w:color w:val="auto"/>
                <w:kern w:val="0"/>
                <w:sz w:val="24"/>
                <w:szCs w:val="24"/>
                <w:highlight w:val="none"/>
              </w:rPr>
            </w:pPr>
            <w:r>
              <w:rPr>
                <w:rFonts w:hint="default" w:ascii="Times New Roman" w:hAnsi="Times New Roman" w:eastAsia="方正仿宋_GBK" w:cs="Times New Roman"/>
                <w:b/>
                <w:color w:val="auto"/>
                <w:kern w:val="0"/>
                <w:sz w:val="24"/>
                <w:szCs w:val="24"/>
                <w:highlight w:val="none"/>
              </w:rPr>
              <w:t>（一）住院重点疾病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1．先天性唇裂ICD-10：Q36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2．腮腺浅叶多形性腺瘤ICD-10：</w:t>
            </w:r>
            <w:r>
              <w:rPr>
                <w:rFonts w:hint="default" w:ascii="Times New Roman" w:hAnsi="Times New Roman" w:eastAsia="方正仿宋_GBK" w:cs="Times New Roman"/>
                <w:color w:val="auto"/>
                <w:sz w:val="24"/>
                <w:szCs w:val="24"/>
                <w:highlight w:val="none"/>
                <w:shd w:val="clear" w:color="auto" w:fill="FFFFFF"/>
              </w:rPr>
              <w:t>D11.000</w:t>
            </w:r>
            <w:r>
              <w:rPr>
                <w:rFonts w:hint="default" w:ascii="Times New Roman" w:hAnsi="Times New Roman" w:eastAsia="方正仿宋_GBK" w:cs="Times New Roman"/>
                <w:color w:val="auto"/>
                <w:kern w:val="0"/>
                <w:sz w:val="24"/>
                <w:szCs w:val="24"/>
                <w:highlight w:val="none"/>
              </w:rPr>
              <w:t>，</w:t>
            </w:r>
            <w:r>
              <w:rPr>
                <w:rFonts w:hint="default" w:ascii="Times New Roman" w:hAnsi="Times New Roman" w:eastAsia="方正仿宋_GBK" w:cs="Times New Roman"/>
                <w:color w:val="auto"/>
                <w:sz w:val="24"/>
                <w:szCs w:val="24"/>
                <w:highlight w:val="none"/>
                <w:shd w:val="clear" w:color="auto" w:fill="FFFFFF"/>
              </w:rPr>
              <w:t>且形态学编码M89400/0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3．舌癌ICD-10：C01-C02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4．牙颌面畸形ICD-10：K07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6．上颌骨骨折ICD-10：S02.400x003、S02.411、S02.400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7．口腔颌面部间隙感染ICD-10：</w:t>
            </w:r>
            <w:r>
              <w:rPr>
                <w:rFonts w:hint="default" w:ascii="Times New Roman" w:hAnsi="Times New Roman" w:eastAsia="方正仿宋_GBK" w:cs="Times New Roman"/>
                <w:color w:val="auto"/>
                <w:sz w:val="24"/>
                <w:szCs w:val="24"/>
                <w:highlight w:val="none"/>
              </w:rPr>
              <w:t>K12.217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b/>
                <w:color w:val="auto"/>
                <w:kern w:val="0"/>
                <w:sz w:val="24"/>
                <w:szCs w:val="24"/>
                <w:highlight w:val="none"/>
              </w:rPr>
            </w:pPr>
            <w:r>
              <w:rPr>
                <w:rFonts w:hint="default" w:ascii="Times New Roman" w:hAnsi="Times New Roman" w:eastAsia="方正仿宋_GBK" w:cs="Times New Roman"/>
                <w:b/>
                <w:color w:val="auto"/>
                <w:kern w:val="0"/>
                <w:sz w:val="24"/>
                <w:szCs w:val="24"/>
                <w:highlight w:val="none"/>
              </w:rPr>
              <w:t>（二）住院重点手术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1．唇裂修复术（ICD-9-CM-3：）27.54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2．腮腺肿物及浅叶切除（ICD-9-CM-3：26.2901、26.3100x009）+面神经解剖术（ICD-9-CM-3：04.0401）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3．舌癌扩大切除术（ICD-9-CM-3：25.2-25.4）+颈淋巴清扫术（ICD-9-CM-3：40.40-40.42）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4．口腔颌面部肿瘤切除整复术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上颌骨全部切除伴重建术ICD-9-CM-3：76.4400x003</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上颌骨全部切除术ICD-9-CM-3：76.4502</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上颌骨病损切除术ICD-9-CM-3：76.2x02</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上颌骨次全切除术ICD-9-CM-3：76.3900x016</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上颌骨部分切除术ICD-9-CM-3：76.3902</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上颌骨重建术ICD-9-CM-3：76.4600x007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下颌骨部分切除术ICD-9-CM-3：76.3100x011</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下颌骨次全切除术ICD-9-CM-3：76.3101</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下颌骨全部切除术ICD-9-CM-3：76.4200x002</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下颌骨病损切除术ICD-9-CM-3：76.2x01</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下颌骨全部切除术伴重建术ICD-9-CM-3：76.41</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下颌骨缺损修复术ICD-9-CM-3：76.4301</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下颌骨重建术ICD-9-CM-3：76.4300x003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2" w:hRule="atLeast"/>
        </w:trPr>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5．牙颌面畸形矫正术</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颅颌面矫形术（ICD-9-CM-3：27.9904）+颅颌牵引（ICD-9-CM-3：93.4400x009）+牙钢丝矫形术（ICD-9-CM-3：24.7x02）上颌Le FortⅠ型截骨术（ICD-9-CM-3：76.6500x009）+双侧下颌升支劈开截骨术（ICD-9-CM-3：76.0900x003）+下颌骨截骨成形术（ICD-9-CM-3：76.6402）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6．放射性粒子组织间植入术</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放射性粒子置入放射治疗ICD-9-CM-3：92.2700x002</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血管内近距离放射治疗ICD-9-CM-3：92.2701</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前列腺放射性粒子置入术ICD-9-CM-3：92.2702</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食管放射性粒子置入术ICD-9-CM-3：92.2703</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甲状腺放射性粒子置入术ICD-9-CM-3：92.2704</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鼻咽放射性粒子置入术ICD-9-CM-3：92.2705</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肺放射性粒子置入术ICD-9-CM-3：92.270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7．恶性肿瘤根治术ICD-10：C00-C14，伴</w:t>
            </w: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某器官全切除术</w:t>
            </w: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、或大部分（或部分）切除术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 xml:space="preserve">8. 口腔种植术ICD-9-CM-3：23.5，23.6的门诊或者76.09，76.91，76.92，22.79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方正仿宋_GBK" w:cs="Times New Roman"/>
                <w:color w:val="auto"/>
                <w:kern w:val="0"/>
                <w:sz w:val="24"/>
                <w:szCs w:val="24"/>
                <w:highlight w:val="none"/>
              </w:rPr>
            </w:pPr>
            <w:r>
              <w:rPr>
                <w:rFonts w:hint="default" w:ascii="方正黑体_GBK" w:hAnsi="方正黑体_GBK" w:eastAsia="方正黑体_GBK" w:cs="方正黑体_GBK"/>
                <w:b w:val="0"/>
                <w:bCs w:val="0"/>
                <w:color w:val="auto"/>
                <w:kern w:val="0"/>
                <w:sz w:val="24"/>
                <w:szCs w:val="24"/>
                <w:highlight w:val="none"/>
              </w:rPr>
              <w:t>二、儿童医院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b/>
                <w:color w:val="auto"/>
                <w:kern w:val="0"/>
                <w:sz w:val="24"/>
                <w:szCs w:val="24"/>
                <w:highlight w:val="none"/>
              </w:rPr>
            </w:pPr>
            <w:r>
              <w:rPr>
                <w:rFonts w:hint="default" w:ascii="Times New Roman" w:hAnsi="Times New Roman" w:eastAsia="方正仿宋_GBK" w:cs="Times New Roman"/>
                <w:b/>
                <w:color w:val="auto"/>
                <w:kern w:val="0"/>
                <w:sz w:val="24"/>
                <w:szCs w:val="24"/>
                <w:highlight w:val="none"/>
              </w:rPr>
              <w:t>（一）住院重点疾病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 支气管肺炎ICD10: J18.0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 小儿腹泻病ICD10: F45.3、 K52.9、K59.1、P78.3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 先天性心脏病ICD10:（Q20-Q24,Q25.000）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 川崎病ICD10: M30.3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 急性淋巴细胞白血病ICD10: C91.0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 特发性血小板减少性紫癜ICD10: D69.303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 中枢神经系统感染ICD10: G04.904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 xml:space="preserve">8. 癫痫ICD10: G40/G41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 低出生体重儿ICD10: P07.0-P07.1, P05.0, P05.1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 新生儿高胆红素血症ICD10: P59.901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11. 新生儿呼吸窘迫ICD10: P22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12. 原发性肾病综合征ICD10: N04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13. 泌尿系统感染ICD10: N39.0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14. 急性阑尾炎ICD10: K35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15. 脓毒血症ICD10: A41.901、A41.900x003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16.小儿先天性疾病（先天性膈疝、食管裂孔疝、气管食管瘘、胆道闭锁、各类型肠闭锁、肛门闭锁）：先天性膈疝ICD10:  Q79、先天性食管裂孔疝ICD10: Q40.1、先天性气管食管瘘ICD10: Q39.2 、先天性胆道闭锁ICD10: Q44.2、先天性各类型肠闭锁ICD10: Q41-Q42（Q42.2/Q42.3除外）、先天性肛门闭锁ICD10: Q42.2/Q42.3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b/>
                <w:color w:val="auto"/>
                <w:kern w:val="0"/>
                <w:sz w:val="24"/>
                <w:szCs w:val="24"/>
                <w:highlight w:val="none"/>
              </w:rPr>
            </w:pPr>
            <w:r>
              <w:rPr>
                <w:rFonts w:hint="default" w:ascii="Times New Roman" w:hAnsi="Times New Roman" w:eastAsia="方正仿宋_GBK" w:cs="Times New Roman"/>
                <w:b/>
                <w:color w:val="auto"/>
                <w:kern w:val="0"/>
                <w:sz w:val="24"/>
                <w:szCs w:val="24"/>
                <w:highlight w:val="none"/>
              </w:rPr>
              <w:t>（二）住院重点手术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1.腹股沟相关手术ICD 9-CM-3：53.0-53.1/17.1-17.2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 xml:space="preserve">2.先天性心脏病相关手术 </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胸腔镜下室间隔缺损修补术ICD 9-CM-3：35.7201</w:t>
            </w:r>
            <w:r>
              <w:rPr>
                <w:rFonts w:hint="default" w:ascii="Times New Roman" w:hAnsi="Times New Roman" w:eastAsia="方正仿宋_GBK" w:cs="Times New Roman"/>
                <w:color w:val="auto"/>
                <w:kern w:val="0"/>
                <w:sz w:val="24"/>
                <w:szCs w:val="24"/>
                <w:highlight w:val="none"/>
              </w:rPr>
              <w:tab/>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胸腔镜下房间隔缺损修补术ICD 9-CM-3：35.7101</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肺动脉环缩术ICD 9-CM-3：38.8501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3.泌尿系统相关手术：ICD 9-CM-3：55.8701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4.骨科相关手术：ICD 9-CM-3： 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 xml:space="preserve">5.神经外科相关手术  </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侧脑室腹腔内分流术02.3401</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脑室胆囊分流术02.3402</w:t>
            </w:r>
            <w:r>
              <w:rPr>
                <w:rFonts w:hint="default" w:ascii="Times New Roman" w:hAnsi="Times New Roman" w:eastAsia="方正仿宋_GBK" w:cs="Times New Roman"/>
                <w:color w:val="auto"/>
                <w:kern w:val="0"/>
                <w:sz w:val="24"/>
                <w:szCs w:val="24"/>
                <w:highlight w:val="none"/>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方正仿宋_GBK" w:cs="Times New Roman"/>
                <w:color w:val="auto"/>
                <w:kern w:val="0"/>
                <w:sz w:val="24"/>
                <w:szCs w:val="24"/>
                <w:highlight w:val="none"/>
              </w:rPr>
            </w:pPr>
            <w:r>
              <w:rPr>
                <w:rFonts w:hint="default" w:ascii="方正黑体_GBK" w:hAnsi="方正黑体_GBK" w:eastAsia="方正黑体_GBK" w:cs="方正黑体_GBK"/>
                <w:b w:val="0"/>
                <w:bCs w:val="0"/>
                <w:color w:val="auto"/>
                <w:kern w:val="0"/>
                <w:sz w:val="24"/>
                <w:szCs w:val="24"/>
                <w:highlight w:val="none"/>
              </w:rPr>
              <w:t>三、肿瘤医院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b/>
                <w:color w:val="auto"/>
                <w:kern w:val="0"/>
                <w:sz w:val="24"/>
                <w:szCs w:val="24"/>
                <w:highlight w:val="none"/>
              </w:rPr>
            </w:pPr>
            <w:r>
              <w:rPr>
                <w:rFonts w:hint="default" w:ascii="Times New Roman" w:hAnsi="Times New Roman" w:eastAsia="方正仿宋_GBK" w:cs="Times New Roman"/>
                <w:b/>
                <w:color w:val="auto"/>
                <w:kern w:val="0"/>
                <w:sz w:val="24"/>
                <w:szCs w:val="24"/>
                <w:highlight w:val="none"/>
              </w:rPr>
              <w:t>（一）住院重点疾病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1．肺癌   ICD10: C34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2．结直肠癌 ICD10: C18/C19/C20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3．胃癌   ICD10: C16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4．乳腺癌 ICD10: 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5．肝癌   ICD10: C22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6．食管癌 ICD10: C15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7．胰腺癌 ICD10: C25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8．膀胱癌ICD10: C67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 xml:space="preserve">9．肾癌 ICD10: C64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10．宫颈癌 ICD10: C53,D06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11．鼻咽癌 ICD10: C11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 xml:space="preserve">12．甲状腺癌 ICD10: C73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13．卵巢癌 ICD10: C56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14．子宫内膜癌 ICD10: C54.1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 xml:space="preserve">15．喉癌 ICD10: C32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16．前列腺癌ICD10: C61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b/>
                <w:color w:val="auto"/>
                <w:kern w:val="0"/>
                <w:sz w:val="24"/>
                <w:szCs w:val="24"/>
                <w:highlight w:val="none"/>
              </w:rPr>
            </w:pPr>
            <w:r>
              <w:rPr>
                <w:rFonts w:hint="default" w:ascii="Times New Roman" w:hAnsi="Times New Roman" w:eastAsia="方正仿宋_GBK" w:cs="Times New Roman"/>
                <w:b/>
                <w:color w:val="auto"/>
                <w:kern w:val="0"/>
                <w:sz w:val="24"/>
                <w:szCs w:val="24"/>
                <w:highlight w:val="none"/>
              </w:rPr>
              <w:t>（二）住院重点手术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1．甲状腺癌联合根治术 ICD9-CM-3: 06.2-06.5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 xml:space="preserve">2．喉癌联合根治术 ICD9-CM-3: 30.4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numPr>
                <w:ilvl w:val="0"/>
                <w:numId w:val="54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sz w:val="24"/>
                <w:szCs w:val="24"/>
                <w:highlight w:val="none"/>
              </w:rPr>
              <w:t>肺叶切除术</w:t>
            </w:r>
            <w:r>
              <w:rPr>
                <w:rFonts w:hint="default" w:ascii="Times New Roman" w:hAnsi="Times New Roman" w:eastAsia="方正仿宋_GBK" w:cs="Times New Roman"/>
                <w:color w:val="auto"/>
                <w:kern w:val="0"/>
                <w:sz w:val="24"/>
                <w:szCs w:val="24"/>
                <w:highlight w:val="none"/>
              </w:rPr>
              <w:t>ICD9-CM-3:</w:t>
            </w:r>
            <w:r>
              <w:rPr>
                <w:rFonts w:hint="default" w:ascii="Times New Roman" w:hAnsi="Times New Roman" w:eastAsia="方正仿宋_GBK" w:cs="Times New Roman"/>
                <w:color w:val="auto"/>
                <w:sz w:val="24"/>
                <w:szCs w:val="24"/>
                <w:highlight w:val="none"/>
              </w:rPr>
              <w:t>32.4，全肺切除</w:t>
            </w:r>
            <w:r>
              <w:rPr>
                <w:rFonts w:hint="default" w:ascii="Times New Roman" w:hAnsi="Times New Roman" w:eastAsia="方正仿宋_GBK" w:cs="Times New Roman"/>
                <w:color w:val="auto"/>
                <w:kern w:val="0"/>
                <w:sz w:val="24"/>
                <w:szCs w:val="24"/>
                <w:highlight w:val="none"/>
              </w:rPr>
              <w:t>ICD9-CM-3:</w:t>
            </w:r>
            <w:r>
              <w:rPr>
                <w:rFonts w:hint="default" w:ascii="Times New Roman" w:hAnsi="Times New Roman" w:eastAsia="方正仿宋_GBK" w:cs="Times New Roman"/>
                <w:color w:val="auto"/>
                <w:sz w:val="24"/>
                <w:szCs w:val="24"/>
                <w:highlight w:val="none"/>
              </w:rPr>
              <w:t>32.5（包括腔镜下）</w:t>
            </w:r>
            <w:r>
              <w:rPr>
                <w:rFonts w:hint="default" w:ascii="Times New Roman" w:hAnsi="Times New Roman" w:eastAsia="方正仿宋_GBK" w:cs="Times New Roman"/>
                <w:color w:val="auto"/>
                <w:kern w:val="0"/>
                <w:sz w:val="24"/>
                <w:szCs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numPr>
                <w:ilvl w:val="0"/>
                <w:numId w:val="54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食管癌手术：</w:t>
            </w:r>
          </w:p>
          <w:p>
            <w:pPr>
              <w:keepNext w:val="0"/>
              <w:keepLines w:val="0"/>
              <w:pageBreakBefore w:val="0"/>
              <w:widowControl/>
              <w:numPr>
                <w:ilvl w:val="0"/>
                <w:numId w:val="550"/>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食管部分切除术ICD9-CM-3: 42.40-42.41</w:t>
            </w:r>
          </w:p>
          <w:p>
            <w:pPr>
              <w:keepNext w:val="0"/>
              <w:keepLines w:val="0"/>
              <w:pageBreakBefore w:val="0"/>
              <w:widowControl/>
              <w:numPr>
                <w:ilvl w:val="0"/>
                <w:numId w:val="550"/>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 xml:space="preserve">食管胃弓上吻合术ICD9-CM-3: 42.5201 </w:t>
            </w:r>
          </w:p>
          <w:p>
            <w:pPr>
              <w:keepNext w:val="0"/>
              <w:keepLines w:val="0"/>
              <w:pageBreakBefore w:val="0"/>
              <w:widowControl/>
              <w:numPr>
                <w:ilvl w:val="0"/>
                <w:numId w:val="550"/>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食管胃弓下吻合术ICD9-CM-3: 42.5202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numPr>
                <w:ilvl w:val="0"/>
                <w:numId w:val="54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胃癌手术</w:t>
            </w:r>
          </w:p>
          <w:p>
            <w:pPr>
              <w:keepNext w:val="0"/>
              <w:keepLines w:val="0"/>
              <w:pageBreakBefore w:val="0"/>
              <w:widowControl/>
              <w:numPr>
                <w:ilvl w:val="0"/>
                <w:numId w:val="551"/>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胃远端切除术 ICD9-CM-3: 43.6、43.7</w:t>
            </w:r>
          </w:p>
          <w:p>
            <w:pPr>
              <w:keepNext w:val="0"/>
              <w:keepLines w:val="0"/>
              <w:pageBreakBefore w:val="0"/>
              <w:widowControl/>
              <w:numPr>
                <w:ilvl w:val="0"/>
                <w:numId w:val="551"/>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胃近端切除术 ICD9-CM-3: 43.5</w:t>
            </w:r>
          </w:p>
          <w:p>
            <w:pPr>
              <w:keepNext w:val="0"/>
              <w:keepLines w:val="0"/>
              <w:pageBreakBefore w:val="0"/>
              <w:widowControl/>
              <w:numPr>
                <w:ilvl w:val="0"/>
                <w:numId w:val="551"/>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全胃切除术ICD9-CM-3: 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numPr>
                <w:ilvl w:val="0"/>
                <w:numId w:val="54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肝癌手术</w:t>
            </w:r>
          </w:p>
          <w:p>
            <w:pPr>
              <w:keepNext w:val="0"/>
              <w:keepLines w:val="0"/>
              <w:pageBreakBefore w:val="0"/>
              <w:widowControl/>
              <w:numPr>
                <w:ilvl w:val="0"/>
                <w:numId w:val="552"/>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肝叶切除术ICD9-CM-3: 50.3</w:t>
            </w:r>
          </w:p>
          <w:p>
            <w:pPr>
              <w:keepNext w:val="0"/>
              <w:keepLines w:val="0"/>
              <w:pageBreakBefore w:val="0"/>
              <w:widowControl/>
              <w:numPr>
                <w:ilvl w:val="0"/>
                <w:numId w:val="552"/>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肝部分切除、楔形切除ICD9-CM-3:50.22</w:t>
            </w:r>
          </w:p>
          <w:p>
            <w:pPr>
              <w:keepNext w:val="0"/>
              <w:keepLines w:val="0"/>
              <w:pageBreakBefore w:val="0"/>
              <w:widowControl/>
              <w:numPr>
                <w:ilvl w:val="0"/>
                <w:numId w:val="552"/>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肝叶切除ICD9-CM-3:50.23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numPr>
                <w:ilvl w:val="0"/>
                <w:numId w:val="54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结直肠癌手术</w:t>
            </w:r>
          </w:p>
          <w:p>
            <w:pPr>
              <w:keepNext w:val="0"/>
              <w:keepLines w:val="0"/>
              <w:pageBreakBefore w:val="0"/>
              <w:widowControl/>
              <w:numPr>
                <w:ilvl w:val="0"/>
                <w:numId w:val="553"/>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左半结肠切除术 ICD9-CM-3:45.75/17.35</w:t>
            </w:r>
          </w:p>
          <w:p>
            <w:pPr>
              <w:keepNext w:val="0"/>
              <w:keepLines w:val="0"/>
              <w:pageBreakBefore w:val="0"/>
              <w:widowControl/>
              <w:numPr>
                <w:ilvl w:val="0"/>
                <w:numId w:val="553"/>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右半结肠切除术 ICD9-CM-3:45.73/17.33</w:t>
            </w:r>
          </w:p>
          <w:p>
            <w:pPr>
              <w:keepNext w:val="0"/>
              <w:keepLines w:val="0"/>
              <w:pageBreakBefore w:val="0"/>
              <w:widowControl/>
              <w:numPr>
                <w:ilvl w:val="0"/>
                <w:numId w:val="553"/>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 xml:space="preserve">直肠前切除术ICD9-CM-3:48.62/48.63 </w:t>
            </w:r>
          </w:p>
          <w:p>
            <w:pPr>
              <w:keepNext w:val="0"/>
              <w:keepLines w:val="0"/>
              <w:pageBreakBefore w:val="0"/>
              <w:widowControl/>
              <w:numPr>
                <w:ilvl w:val="0"/>
                <w:numId w:val="553"/>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腹会阴直肠切除术ICD9-CM-3: 48.5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numPr>
                <w:ilvl w:val="0"/>
                <w:numId w:val="54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胰腺癌手术</w:t>
            </w:r>
          </w:p>
          <w:p>
            <w:pPr>
              <w:keepNext w:val="0"/>
              <w:keepLines w:val="0"/>
              <w:pageBreakBefore w:val="0"/>
              <w:widowControl/>
              <w:numPr>
                <w:ilvl w:val="0"/>
                <w:numId w:val="554"/>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惠普尔氏术（根治性胰十二指肠切除术）ICD9-CM-3:52.7</w:t>
            </w:r>
          </w:p>
          <w:p>
            <w:pPr>
              <w:keepNext w:val="0"/>
              <w:keepLines w:val="0"/>
              <w:pageBreakBefore w:val="0"/>
              <w:widowControl/>
              <w:numPr>
                <w:ilvl w:val="0"/>
                <w:numId w:val="554"/>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胰体尾切除术ICD9-CM-3:52.5904</w:t>
            </w:r>
          </w:p>
          <w:p>
            <w:pPr>
              <w:keepNext w:val="0"/>
              <w:keepLines w:val="0"/>
              <w:pageBreakBefore w:val="0"/>
              <w:widowControl/>
              <w:numPr>
                <w:ilvl w:val="0"/>
                <w:numId w:val="554"/>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腹腔镜根治性胰体尾切除术ICD9-CM-3:52.5301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numPr>
                <w:ilvl w:val="0"/>
                <w:numId w:val="54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乳腺癌手术</w:t>
            </w:r>
          </w:p>
          <w:p>
            <w:pPr>
              <w:keepNext w:val="0"/>
              <w:keepLines w:val="0"/>
              <w:pageBreakBefore w:val="0"/>
              <w:widowControl/>
              <w:numPr>
                <w:ilvl w:val="0"/>
                <w:numId w:val="555"/>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乳腺癌改良根治术 ICD9-CM-3: 85.4</w:t>
            </w:r>
          </w:p>
          <w:p>
            <w:pPr>
              <w:keepNext w:val="0"/>
              <w:keepLines w:val="0"/>
              <w:pageBreakBefore w:val="0"/>
              <w:widowControl/>
              <w:numPr>
                <w:ilvl w:val="0"/>
                <w:numId w:val="555"/>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乳腺癌保留乳房术 ICD9-CM-3: 85.21/85.22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numPr>
                <w:ilvl w:val="0"/>
                <w:numId w:val="54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肾癌手术</w:t>
            </w:r>
          </w:p>
          <w:p>
            <w:pPr>
              <w:keepNext w:val="0"/>
              <w:keepLines w:val="0"/>
              <w:pageBreakBefore w:val="0"/>
              <w:widowControl/>
              <w:numPr>
                <w:ilvl w:val="0"/>
                <w:numId w:val="556"/>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肾癌根治术 ICD9-CM-3: 55.5</w:t>
            </w:r>
          </w:p>
          <w:p>
            <w:pPr>
              <w:keepNext w:val="0"/>
              <w:keepLines w:val="0"/>
              <w:pageBreakBefore w:val="0"/>
              <w:widowControl/>
              <w:numPr>
                <w:ilvl w:val="0"/>
                <w:numId w:val="556"/>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 xml:space="preserve">肾肿瘤保留肾单位手术 ICD9-CM-3: 55.3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numPr>
                <w:ilvl w:val="0"/>
                <w:numId w:val="549"/>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前列腺癌手术</w:t>
            </w:r>
          </w:p>
          <w:p>
            <w:pPr>
              <w:keepNext w:val="0"/>
              <w:keepLines w:val="0"/>
              <w:pageBreakBefore w:val="0"/>
              <w:widowControl/>
              <w:numPr>
                <w:ilvl w:val="0"/>
                <w:numId w:val="557"/>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根治性前列腺切除术ICD9-CM-3:60.5x00</w:t>
            </w:r>
          </w:p>
          <w:p>
            <w:pPr>
              <w:keepNext w:val="0"/>
              <w:keepLines w:val="0"/>
              <w:pageBreakBefore w:val="0"/>
              <w:widowControl/>
              <w:numPr>
                <w:ilvl w:val="0"/>
                <w:numId w:val="557"/>
              </w:numPr>
              <w:kinsoku/>
              <w:wordWrap/>
              <w:overflowPunct/>
              <w:topLinePunct w:val="0"/>
              <w:autoSpaceDE/>
              <w:autoSpaceDN/>
              <w:bidi w:val="0"/>
              <w:adjustRightInd/>
              <w:snapToGrid/>
              <w:spacing w:line="300" w:lineRule="exact"/>
              <w:ind w:firstLine="232" w:firstLineChars="100"/>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腹腔镜下前列腺根治性切除ICD9-CM-3:60.5x02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12．根治性膀胱切除术ICD9-CM-3:57.7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 xml:space="preserve">13．双侧输卵管-卵癌切除术ICD9-CM-3: 65.6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14．全子宫广泛性切除术</w:t>
            </w:r>
            <w:r>
              <w:rPr>
                <w:rFonts w:hint="eastAsia"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ICD-9-CM-3: 68.6/68.7</w:t>
            </w:r>
            <w:r>
              <w:rPr>
                <w:rFonts w:hint="eastAsia"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+盆腔淋巴结清扫术</w:t>
            </w:r>
            <w:r>
              <w:rPr>
                <w:rFonts w:hint="eastAsia"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ICD-9-CM-3: 40.5910</w:t>
            </w:r>
            <w:r>
              <w:rPr>
                <w:rFonts w:hint="eastAsia"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方正仿宋_GBK" w:cs="Times New Roman"/>
                <w:color w:val="auto"/>
                <w:kern w:val="0"/>
                <w:sz w:val="24"/>
                <w:szCs w:val="24"/>
                <w:highlight w:val="none"/>
              </w:rPr>
            </w:pPr>
            <w:r>
              <w:rPr>
                <w:rFonts w:hint="default" w:ascii="方正黑体_GBK" w:hAnsi="方正黑体_GBK" w:eastAsia="方正黑体_GBK" w:cs="方正黑体_GBK"/>
                <w:b w:val="0"/>
                <w:bCs w:val="0"/>
                <w:color w:val="auto"/>
                <w:kern w:val="0"/>
                <w:sz w:val="24"/>
                <w:szCs w:val="24"/>
                <w:highlight w:val="none"/>
              </w:rPr>
              <w:t>四、胸科医院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b/>
                <w:color w:val="auto"/>
                <w:kern w:val="0"/>
                <w:sz w:val="24"/>
                <w:szCs w:val="24"/>
                <w:highlight w:val="none"/>
              </w:rPr>
            </w:pPr>
            <w:r>
              <w:rPr>
                <w:rFonts w:hint="default" w:ascii="Times New Roman" w:hAnsi="Times New Roman" w:eastAsia="方正仿宋_GBK" w:cs="Times New Roman"/>
                <w:b/>
                <w:color w:val="auto"/>
                <w:kern w:val="0"/>
                <w:sz w:val="24"/>
                <w:szCs w:val="24"/>
                <w:highlight w:val="none"/>
              </w:rPr>
              <w:t>（一）住院重点疾病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 急性心肌梗塞ICD-10：I21-I22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 充血性心力衰竭ICD-10：I50.0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 心绞痛 ICD10: I20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 高血压病（成人）ICD10: I10-I15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 阵发性室上性心动过速ICD10: I47.102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 心房颤动[心房纤颤]</w:t>
            </w:r>
            <w:r>
              <w:rPr>
                <w:rFonts w:hint="default" w:ascii="Times New Roman" w:hAnsi="Times New Roman" w:eastAsia="方正仿宋_GBK" w:cs="Times New Roman"/>
                <w:color w:val="auto"/>
                <w:sz w:val="24"/>
                <w:szCs w:val="24"/>
                <w:highlight w:val="none"/>
              </w:rPr>
              <w:t xml:space="preserve"> </w:t>
            </w:r>
            <w:r>
              <w:rPr>
                <w:rFonts w:hint="default" w:ascii="Times New Roman" w:hAnsi="Times New Roman" w:eastAsia="方正仿宋_GBK" w:cs="Times New Roman"/>
                <w:color w:val="auto"/>
                <w:kern w:val="0"/>
                <w:sz w:val="24"/>
                <w:szCs w:val="24"/>
                <w:highlight w:val="none"/>
              </w:rPr>
              <w:t>I48.x00x022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 预激综合征ICD10:I45.6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 病态窦房结综合征ICD10:I49.5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 风湿性瓣膜病ICD10: I05-I08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 社区获得性肺炎（首次住院）ICD-10：J13至J16，J18；年龄≥18岁的出院患者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11. 慢性阻塞性肺疾病ICD10: J44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12. 恶性肿瘤术后化疗ICD10: Z51.102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13. 恶性肿瘤维持性化学治疗ICD10: Z51.103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14. 支气管哮喘 ICD10: J45，J46；年龄≥18岁的出院患者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15. 肺结核ICD10:A15-A16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16. 结核性脑膜炎ICD10: A17.000†G01*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17. 结核性胸膜炎 ICD10:A15.6,A16.5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18. 非结核分枝杆菌肺病ICD10: A31.0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19. 耐多药结核ICD10: A15.000x016，A15.000x017，A15.000x026 ，A15.000x027，A15.500x016，A15.500x017，A15.500x026 ，A15.500x027，A19.800x016，A19.800x017，A19.800x026，A19.800x027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20. 尘肺ICD10: J60-J67，M05.103†J99.0*（类风湿尘肺）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b/>
                <w:color w:val="auto"/>
                <w:kern w:val="0"/>
                <w:sz w:val="24"/>
                <w:szCs w:val="24"/>
                <w:highlight w:val="none"/>
              </w:rPr>
            </w:pPr>
            <w:r>
              <w:rPr>
                <w:rFonts w:hint="default" w:ascii="Times New Roman" w:hAnsi="Times New Roman" w:eastAsia="方正仿宋_GBK" w:cs="Times New Roman"/>
                <w:b/>
                <w:color w:val="auto"/>
                <w:kern w:val="0"/>
                <w:sz w:val="24"/>
                <w:szCs w:val="24"/>
                <w:highlight w:val="none"/>
              </w:rPr>
              <w:t>（二）住院重点手术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 食管手术ICD-9-CM-3：42.0-42.1，42.3-42.9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 肺切除术ICD-9-CM-3：32.3-32.5，32.9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 纵隔、胸腺手术ICD-9-CM-3：34.1-34.3，07.8-07.9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 气管镜下病损切除术ICD-9-CM-3：31.5x04，32.0101</w:t>
            </w:r>
            <w:r>
              <w:rPr>
                <w:rFonts w:hint="default" w:ascii="Times New Roman" w:hAnsi="Times New Roman" w:eastAsia="方正仿宋_GBK" w:cs="Times New Roman"/>
                <w:color w:val="auto"/>
                <w:kern w:val="0"/>
                <w:sz w:val="24"/>
                <w:szCs w:val="24"/>
                <w:highlight w:val="none"/>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5．气管镜下球囊扩张术ICD-9-CM-3：31.9903，33.9101，31.7900x007，33.7900x001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6．肺血管介入止血术ICD-9-CM-3：39.7900x011，39.7902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7．血管介入滤器ICD-9-CM-3：38.7x03，38.7x04，38.8900x001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8．气管镜下冷冻治疗术ICD-9-CM-3：31.5x00x015，32.0100x004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9．气管镜下热消融术ICD-9-CM-3：32.0101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方正仿宋_GBK" w:cs="Times New Roman"/>
                <w:color w:val="auto"/>
                <w:kern w:val="0"/>
                <w:sz w:val="24"/>
                <w:szCs w:val="24"/>
                <w:highlight w:val="none"/>
              </w:rPr>
            </w:pPr>
            <w:r>
              <w:rPr>
                <w:rFonts w:hint="default" w:ascii="方正黑体_GBK" w:hAnsi="方正黑体_GBK" w:eastAsia="方正黑体_GBK" w:cs="方正黑体_GBK"/>
                <w:b w:val="0"/>
                <w:bCs w:val="0"/>
                <w:color w:val="auto"/>
                <w:kern w:val="0"/>
                <w:sz w:val="24"/>
                <w:szCs w:val="24"/>
                <w:highlight w:val="none"/>
              </w:rPr>
              <w:t>五、传染病医院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b/>
                <w:color w:val="auto"/>
                <w:kern w:val="0"/>
                <w:sz w:val="24"/>
                <w:szCs w:val="24"/>
                <w:highlight w:val="none"/>
              </w:rPr>
            </w:pPr>
            <w:r>
              <w:rPr>
                <w:rFonts w:hint="default" w:ascii="Times New Roman" w:hAnsi="Times New Roman" w:eastAsia="方正仿宋_GBK" w:cs="Times New Roman"/>
                <w:b/>
                <w:color w:val="auto"/>
                <w:kern w:val="0"/>
                <w:sz w:val="24"/>
                <w:szCs w:val="24"/>
                <w:highlight w:val="none"/>
              </w:rPr>
              <w:t>（一）住院重点疾病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 急性病毒性肝炎 ICD-10：B15-B17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 慢性病毒性肝炎 ICD-10：B18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 xml:space="preserve">3. 急性重型肝炎（肝衰竭）ICD-10：K72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 肝炎肝硬化伴随合并症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1</w:t>
            </w:r>
            <w:r>
              <w:rPr>
                <w:rFonts w:hint="eastAsia"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肝硬化腹水 ICD-10：K74+R18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pacing w:val="0"/>
                <w:w w:val="90"/>
                <w:kern w:val="0"/>
                <w:sz w:val="24"/>
                <w:szCs w:val="24"/>
                <w:highlight w:val="none"/>
              </w:rPr>
            </w:pPr>
            <w:r>
              <w:rPr>
                <w:rFonts w:hint="eastAsia" w:cs="Times New Roman"/>
                <w:color w:val="auto"/>
                <w:spacing w:val="0"/>
                <w:w w:val="100"/>
                <w:kern w:val="0"/>
                <w:sz w:val="24"/>
                <w:szCs w:val="24"/>
                <w:highlight w:val="none"/>
                <w:lang w:eastAsia="zh-CN"/>
              </w:rPr>
              <w:t>（</w:t>
            </w:r>
            <w:r>
              <w:rPr>
                <w:rFonts w:hint="default" w:ascii="Times New Roman" w:hAnsi="Times New Roman" w:eastAsia="方正仿宋_GBK" w:cs="Times New Roman"/>
                <w:color w:val="auto"/>
                <w:spacing w:val="0"/>
                <w:w w:val="100"/>
                <w:kern w:val="0"/>
                <w:sz w:val="24"/>
                <w:szCs w:val="24"/>
                <w:highlight w:val="none"/>
              </w:rPr>
              <w:t>2</w:t>
            </w:r>
            <w:r>
              <w:rPr>
                <w:rFonts w:hint="eastAsia" w:cs="Times New Roman"/>
                <w:color w:val="auto"/>
                <w:spacing w:val="0"/>
                <w:w w:val="100"/>
                <w:kern w:val="0"/>
                <w:sz w:val="24"/>
                <w:szCs w:val="24"/>
                <w:highlight w:val="none"/>
                <w:lang w:eastAsia="zh-CN"/>
              </w:rPr>
              <w:t>）</w:t>
            </w:r>
            <w:r>
              <w:rPr>
                <w:rFonts w:hint="default" w:ascii="Times New Roman" w:hAnsi="Times New Roman" w:eastAsia="方正仿宋_GBK" w:cs="Times New Roman"/>
                <w:color w:val="auto"/>
                <w:spacing w:val="0"/>
                <w:w w:val="100"/>
                <w:kern w:val="0"/>
                <w:sz w:val="24"/>
                <w:szCs w:val="24"/>
                <w:highlight w:val="none"/>
              </w:rPr>
              <w:t>肝硬化并发肝性脑病 ICD-10：</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spacing w:val="0"/>
                <w:w w:val="90"/>
                <w:kern w:val="0"/>
                <w:sz w:val="24"/>
                <w:szCs w:val="24"/>
                <w:highlight w:val="none"/>
              </w:rPr>
              <w:t>K72.903伴K70.2/K70.3/K71.7/K74.1-K74.6/K76.101/P78.803/A52.705†K77.0*/B65.202†K77.0*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eastAsia"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3</w:t>
            </w:r>
            <w:r>
              <w:rPr>
                <w:rFonts w:hint="eastAsia"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肝硬化合并食管胃静脉曲张出血</w:t>
            </w:r>
            <w:r>
              <w:rPr>
                <w:rFonts w:hint="eastAsia"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内科治疗</w:t>
            </w:r>
            <w:r>
              <w:rPr>
                <w:rFonts w:hint="eastAsia"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 xml:space="preserve"> ICD-10：</w:t>
            </w:r>
            <w:r>
              <w:rPr>
                <w:rFonts w:hint="eastAsia"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K70†-K76† /B65</w:t>
            </w:r>
            <w:r>
              <w:rPr>
                <w:rFonts w:hint="eastAsia"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 xml:space="preserve"> 伴I98.3*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 肝癌  ICD-10:C22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 流行性脑脊髓膜炎  ICD-10: A39.0† G01*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 麻疹  ICD-10:B05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 水痘  ICD-10:B01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 流行性出血热  ICD-10: A98.500x001†N08.0*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 手足口病  ICD-10: B08.400x002/B08.401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11. 艾滋病  ICD-10:B20-B24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12. 结核病  ICD-10:A15-A19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b/>
                <w:color w:val="auto"/>
                <w:kern w:val="0"/>
                <w:sz w:val="24"/>
                <w:szCs w:val="24"/>
                <w:highlight w:val="none"/>
              </w:rPr>
            </w:pPr>
            <w:r>
              <w:rPr>
                <w:rFonts w:hint="default" w:ascii="Times New Roman" w:hAnsi="Times New Roman" w:eastAsia="方正仿宋_GBK" w:cs="Times New Roman"/>
                <w:b/>
                <w:color w:val="auto"/>
                <w:kern w:val="0"/>
                <w:sz w:val="24"/>
                <w:szCs w:val="24"/>
                <w:highlight w:val="none"/>
              </w:rPr>
              <w:t>（二）住院重点手术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 剖宫产 ICD-9-CM-3：74.0,74.1,74.2,74.4,74.99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 阴道分娩 ICD 9-CM-3：72，73.0-73.2,73.4-73.9（伴ICD-10：Z37）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 肝叶切除术  ICD-9-CM-3：50.3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 门奇静脉断流术[食管-胃底静脉结扎术] ICD-9-CM-3：44.9100x002+</w:t>
            </w:r>
            <w:r>
              <w:rPr>
                <w:rFonts w:hint="default" w:ascii="Times New Roman" w:hAnsi="Times New Roman" w:eastAsia="方正仿宋_GBK" w:cs="Times New Roman"/>
                <w:color w:val="auto"/>
                <w:sz w:val="24"/>
                <w:szCs w:val="24"/>
                <w:highlight w:val="none"/>
              </w:rPr>
              <w:t xml:space="preserve"> </w:t>
            </w:r>
            <w:r>
              <w:rPr>
                <w:rFonts w:hint="default" w:ascii="Times New Roman" w:hAnsi="Times New Roman" w:eastAsia="方正仿宋_GBK" w:cs="Times New Roman"/>
                <w:color w:val="auto"/>
                <w:kern w:val="0"/>
                <w:sz w:val="24"/>
                <w:szCs w:val="24"/>
                <w:highlight w:val="none"/>
              </w:rPr>
              <w:t>41.5x00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 门静脉-腔静脉吻合术  ICD-9-CM-3：39.1x03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 胆囊切除术  ICD-9-CM-3：51.2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方正仿宋_GBK" w:cs="Times New Roman"/>
                <w:color w:val="auto"/>
                <w:kern w:val="0"/>
                <w:sz w:val="24"/>
                <w:szCs w:val="24"/>
                <w:highlight w:val="none"/>
              </w:rPr>
            </w:pPr>
            <w:r>
              <w:rPr>
                <w:rFonts w:hint="default" w:ascii="方正黑体_GBK" w:hAnsi="方正黑体_GBK" w:eastAsia="方正黑体_GBK" w:cs="方正黑体_GBK"/>
                <w:b w:val="0"/>
                <w:bCs w:val="0"/>
                <w:color w:val="auto"/>
                <w:kern w:val="0"/>
                <w:sz w:val="24"/>
                <w:szCs w:val="24"/>
                <w:highlight w:val="none"/>
              </w:rPr>
              <w:t>六</w:t>
            </w:r>
            <w:r>
              <w:rPr>
                <w:rFonts w:hint="eastAsia" w:ascii="方正黑体_GBK" w:hAnsi="方正黑体_GBK" w:eastAsia="方正黑体_GBK" w:cs="方正黑体_GBK"/>
                <w:b w:val="0"/>
                <w:bCs w:val="0"/>
                <w:color w:val="auto"/>
                <w:kern w:val="0"/>
                <w:sz w:val="24"/>
                <w:szCs w:val="24"/>
                <w:highlight w:val="none"/>
                <w:lang w:eastAsia="zh-CN"/>
              </w:rPr>
              <w:t>、</w:t>
            </w:r>
            <w:r>
              <w:rPr>
                <w:rFonts w:hint="default" w:ascii="方正黑体_GBK" w:hAnsi="方正黑体_GBK" w:eastAsia="方正黑体_GBK" w:cs="方正黑体_GBK"/>
                <w:b w:val="0"/>
                <w:bCs w:val="0"/>
                <w:color w:val="auto"/>
                <w:kern w:val="0"/>
                <w:sz w:val="24"/>
                <w:szCs w:val="24"/>
                <w:highlight w:val="none"/>
              </w:rPr>
              <w:t>妇产科医院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b/>
                <w:color w:val="auto"/>
                <w:kern w:val="0"/>
                <w:sz w:val="24"/>
                <w:szCs w:val="24"/>
                <w:highlight w:val="none"/>
              </w:rPr>
            </w:pPr>
            <w:r>
              <w:rPr>
                <w:rFonts w:hint="default" w:ascii="Times New Roman" w:hAnsi="Times New Roman" w:eastAsia="方正仿宋_GBK" w:cs="Times New Roman"/>
                <w:b/>
                <w:color w:val="auto"/>
                <w:kern w:val="0"/>
                <w:sz w:val="24"/>
                <w:szCs w:val="24"/>
                <w:highlight w:val="none"/>
              </w:rPr>
              <w:t>（一）住院重点疾病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1.产后出血ICD-10:O72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2.妊娠合并糖尿病ICD-10:O24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3.盆腔炎性疾病ICD-10:N70-N74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4.异位妊娠ICD-10:</w:t>
            </w:r>
            <w:r>
              <w:rPr>
                <w:rFonts w:hint="default" w:ascii="Times New Roman" w:hAnsi="Times New Roman" w:eastAsia="方正仿宋_GBK" w:cs="Times New Roman"/>
                <w:color w:val="auto"/>
                <w:sz w:val="24"/>
                <w:szCs w:val="24"/>
                <w:highlight w:val="none"/>
              </w:rPr>
              <w:t xml:space="preserve"> O00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5.女性生殖器脱垂ICD-10:N81。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6.直肠阴道隔子宫内膜异位症ICD-10:N80.401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7.妊娠滋养细胞疾病ICD-10:O01.901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8.重度卵巢过度刺激综合征ICD-10:N98.1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 重度先兆子痫ICD-10:O14.100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10.早产ICD-10:O60.1-060.3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11.多胎妊娠ICD-10:O30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12.胎膜早破ICD-10:O42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13.前置胎盘ICD-10:O44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14.胎盘早剥ICD-10:O45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15.新生儿窒息ICD-10:P21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16.新生儿呼吸窘迫ICD10:P22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17.支气管肺炎ICD10:J18.0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18.小儿腹泻病ICD10:F45.3/K52.9/K59.1,P78.3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19.低出生体重儿ICD10: P07.0-P07.1/ P05.0/P05.1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20.新生儿高胆红素血症ICD10:P59.901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b/>
                <w:color w:val="auto"/>
                <w:kern w:val="0"/>
                <w:sz w:val="24"/>
                <w:szCs w:val="24"/>
                <w:highlight w:val="none"/>
              </w:rPr>
            </w:pPr>
            <w:r>
              <w:rPr>
                <w:rFonts w:hint="default" w:ascii="Times New Roman" w:hAnsi="Times New Roman" w:eastAsia="方正仿宋_GBK" w:cs="Times New Roman"/>
                <w:b/>
                <w:color w:val="auto"/>
                <w:kern w:val="0"/>
                <w:sz w:val="24"/>
                <w:szCs w:val="24"/>
                <w:highlight w:val="none"/>
              </w:rPr>
              <w:t>（二）住院重点手术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1.子宫切除术ICD-9-CM-3：68.4-68.7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2.宫腔镜下宫腔粘连切除术ICD-9-CM-3：68.2101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3.盆底重建术ICD-9-CM-3：70.5301-70.5305/71.7900x010/71.7900x011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4.剖宫产ICD-9-CM-3：74.0/74.1/74.2/74.4/74.99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5.产钳助产术ICD-9-CM-3：72.0-72.3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6.子宫颈根治性切除术ICD-9-CM-3：67.4x00x002/67.4x00x005/67.4x05/67.4x08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7.腹腔镜下子宫次全切除术ICD-9-CM-3：68.3102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8.腹腔镜下子宫全切除术ICD-9-CM-3：68.4100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rPr>
              <w:t>9.腹腔镜下子宫肌瘤切除术ICD-9-CM-3：68.2912伴ICD10：D2</w:t>
            </w:r>
            <w:r>
              <w:rPr>
                <w:rFonts w:hint="default" w:ascii="Times New Roman" w:hAnsi="Times New Roman" w:eastAsia="方正仿宋_GBK" w:cs="Times New Roman"/>
                <w:color w:val="auto"/>
                <w:kern w:val="0"/>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10.宫腔镜电切术ICD-9-CM-3：67.3203</w:t>
            </w:r>
            <w:r>
              <w:rPr>
                <w:rFonts w:hint="default" w:ascii="Times New Roman" w:hAnsi="Times New Roman" w:eastAsia="方正仿宋_GBK" w:cs="Times New Roman"/>
                <w:color w:val="auto"/>
                <w:kern w:val="0"/>
                <w:sz w:val="24"/>
                <w:szCs w:val="24"/>
                <w:highlight w:val="none"/>
              </w:rPr>
              <w:tab/>
            </w:r>
            <w:r>
              <w:rPr>
                <w:rFonts w:hint="default" w:ascii="Times New Roman" w:hAnsi="Times New Roman" w:eastAsia="方正仿宋_GBK" w:cs="Times New Roman"/>
                <w:color w:val="auto"/>
                <w:kern w:val="0"/>
                <w:sz w:val="24"/>
                <w:szCs w:val="24"/>
                <w:highlight w:val="none"/>
              </w:rPr>
              <w:t>/68.2913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11.阴式子宫肌瘤切除术ICD-9-CM-3：68.2907伴ICD10：D25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12. 子宫广泛性切除术</w:t>
            </w:r>
            <w:r>
              <w:rPr>
                <w:rFonts w:hint="eastAsia"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ICD-9-CM-3: 68.6/68.7</w:t>
            </w:r>
            <w:r>
              <w:rPr>
                <w:rFonts w:hint="eastAsia"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+盆腔淋巴结清扫术</w:t>
            </w:r>
            <w:r>
              <w:rPr>
                <w:rFonts w:hint="eastAsia"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ICD-9-CM-3: 40.5910</w:t>
            </w:r>
            <w:r>
              <w:rPr>
                <w:rFonts w:hint="eastAsia"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13.乳腺癌根治术ICD-9-CM-3：85.43-85.48。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方正仿宋_GBK" w:cs="Times New Roman"/>
                <w:color w:val="auto"/>
                <w:kern w:val="0"/>
                <w:sz w:val="24"/>
                <w:szCs w:val="24"/>
                <w:highlight w:val="none"/>
              </w:rPr>
            </w:pPr>
            <w:r>
              <w:rPr>
                <w:rFonts w:hint="default" w:ascii="方正黑体_GBK" w:hAnsi="方正黑体_GBK" w:eastAsia="方正黑体_GBK" w:cs="方正黑体_GBK"/>
                <w:b w:val="0"/>
                <w:bCs w:val="0"/>
                <w:color w:val="auto"/>
                <w:kern w:val="0"/>
                <w:sz w:val="24"/>
                <w:szCs w:val="24"/>
                <w:highlight w:val="none"/>
              </w:rPr>
              <w:t>七、精神病医院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b/>
                <w:color w:val="auto"/>
                <w:kern w:val="0"/>
                <w:sz w:val="24"/>
                <w:szCs w:val="24"/>
                <w:highlight w:val="none"/>
              </w:rPr>
            </w:pPr>
            <w:r>
              <w:rPr>
                <w:rFonts w:hint="default" w:ascii="Times New Roman" w:hAnsi="Times New Roman" w:eastAsia="方正仿宋_GBK" w:cs="Times New Roman"/>
                <w:b/>
                <w:color w:val="auto"/>
                <w:kern w:val="0"/>
                <w:sz w:val="24"/>
                <w:szCs w:val="24"/>
                <w:highlight w:val="none"/>
              </w:rPr>
              <w:t>住院重点疾病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numPr>
                <w:ilvl w:val="255"/>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pacing w:val="-6"/>
                <w:kern w:val="0"/>
                <w:sz w:val="24"/>
                <w:szCs w:val="24"/>
                <w:highlight w:val="none"/>
              </w:rPr>
              <w:t>1．阿尔茨海默氏病性痴呆ICD-10：G30.0†F00.0*/G30.1†F00.1*/G30.8†F00.2*/G30.9†F00.9*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2．使用酒精所致的精神和行为障碍ICD-10：F10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3．精神分裂症ICD-10：F20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4．双相情感障碍ICD-10：F31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5．抑郁症ICD-10：F32-F33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6．焦虑障碍ICD-10：F40-F41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7．强迫性障碍ICD-10：F42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8．严重应激反应ICD-10：F43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9．躯体形式障碍ICD-10：F45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10．儿童孤独症ICD-10：F84.0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方正黑体_GBK" w:hAnsi="方正黑体_GBK" w:eastAsia="方正黑体_GBK" w:cs="方正黑体_GBK"/>
                <w:b w:val="0"/>
                <w:bCs w:val="0"/>
                <w:color w:val="auto"/>
                <w:kern w:val="0"/>
                <w:sz w:val="24"/>
                <w:szCs w:val="24"/>
                <w:highlight w:val="none"/>
              </w:rPr>
            </w:pPr>
            <w:r>
              <w:rPr>
                <w:rFonts w:hint="default" w:ascii="方正黑体_GBK" w:hAnsi="方正黑体_GBK" w:eastAsia="方正黑体_GBK" w:cs="方正黑体_GBK"/>
                <w:b w:val="0"/>
                <w:bCs w:val="0"/>
                <w:color w:val="auto"/>
                <w:kern w:val="0"/>
                <w:sz w:val="24"/>
                <w:szCs w:val="24"/>
                <w:highlight w:val="none"/>
              </w:rPr>
              <w:t>八、眼科医院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b/>
                <w:bCs/>
                <w:color w:val="auto"/>
                <w:kern w:val="0"/>
                <w:sz w:val="24"/>
                <w:szCs w:val="24"/>
                <w:highlight w:val="none"/>
              </w:rPr>
            </w:pPr>
            <w:r>
              <w:rPr>
                <w:rFonts w:hint="default" w:ascii="Times New Roman" w:hAnsi="Times New Roman" w:eastAsia="方正仿宋_GBK" w:cs="Times New Roman"/>
                <w:b/>
                <w:bCs/>
                <w:color w:val="auto"/>
                <w:kern w:val="0"/>
                <w:sz w:val="24"/>
                <w:szCs w:val="24"/>
                <w:highlight w:val="none"/>
              </w:rPr>
              <w:t>住院重点手术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 白内障  主要诊断 ICD-10 编码：H25.0，H25.1，H25.2，H25.8，H25.9，H26，H28，Q12.0且伴主要手术 ICD-9-CM-3编码：13.1至13.9的手术出院患者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 原发性急性闭角型青光眼  主要诊断 ICD-10 编码：H26.2，H40.0，H40.2，H40.9 且伴主要手术 ICD-9-CM-3 编码：10.1，10.49，10.6，10.91，10.99，12.11，12.12，12.64，12.66，12.67，12.71 至 12.73，12.79，12.83，12.85，12.87，12.91，12.92，12.99，</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13.19，13.3，13.41，13.59，13.70，13.71，13.90，14.73，14.74，14.79 的手术出院患者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 复杂性视网膜脱离  主要诊断 ICD-10 编码：E10.3，E11.3，E14.3，H33.0至 H33.5，H59.8，且伴主要手术 ICD-9-CM-3 编码：13.19，13.3，13.41，13.42，13.43，13.59，</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13.64，13.65，13.69，13.70，13.71，13.8，13.90，14.29，14.31，14.49</w:t>
            </w:r>
            <w:r>
              <w:rPr>
                <w:rFonts w:hint="default" w:ascii="Times New Roman" w:hAnsi="Times New Roman" w:eastAsia="方正仿宋_GBK" w:cs="Times New Roman"/>
                <w:color w:val="auto"/>
                <w:sz w:val="24"/>
                <w:szCs w:val="24"/>
                <w:highlight w:val="none"/>
              </w:rPr>
              <w:t xml:space="preserve"> </w:t>
            </w:r>
            <w:r>
              <w:rPr>
                <w:rFonts w:hint="default" w:ascii="Times New Roman" w:hAnsi="Times New Roman" w:eastAsia="方正仿宋_GBK" w:cs="Times New Roman"/>
                <w:color w:val="auto"/>
                <w:kern w:val="0"/>
                <w:sz w:val="24"/>
                <w:szCs w:val="24"/>
                <w:highlight w:val="none"/>
              </w:rPr>
              <w:t>14.51，14.52，14.53，14.54，14.59，14.71，14.72，14.73，14.74，14.75，14.9 的手术出院患者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 慢性泪囊炎  主要诊断 ICD-10 编码：H04.401且伴主要手术 ICD-9-CM-3 编码：09.8的手术出院患者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方正黑体_GBK" w:hAnsi="方正黑体_GBK" w:eastAsia="方正黑体_GBK" w:cs="方正黑体_GBK"/>
                <w:b w:val="0"/>
                <w:bCs w:val="0"/>
                <w:color w:val="auto"/>
                <w:kern w:val="0"/>
                <w:sz w:val="24"/>
                <w:szCs w:val="24"/>
                <w:highlight w:val="none"/>
              </w:rPr>
            </w:pPr>
            <w:r>
              <w:rPr>
                <w:rFonts w:hint="default" w:ascii="方正黑体_GBK" w:hAnsi="方正黑体_GBK" w:eastAsia="方正黑体_GBK" w:cs="方正黑体_GBK"/>
                <w:b w:val="0"/>
                <w:bCs w:val="0"/>
                <w:color w:val="auto"/>
                <w:kern w:val="0"/>
                <w:sz w:val="24"/>
                <w:szCs w:val="24"/>
                <w:highlight w:val="none"/>
              </w:rPr>
              <w:t>九、康复医院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b/>
                <w:bCs/>
                <w:color w:val="auto"/>
                <w:kern w:val="0"/>
                <w:sz w:val="24"/>
                <w:szCs w:val="24"/>
                <w:highlight w:val="none"/>
              </w:rPr>
            </w:pPr>
            <w:bookmarkStart w:id="249" w:name="_Hlk81152820"/>
            <w:r>
              <w:rPr>
                <w:rFonts w:hint="default" w:ascii="Times New Roman" w:hAnsi="Times New Roman" w:eastAsia="方正仿宋_GBK" w:cs="Times New Roman"/>
                <w:b/>
                <w:bCs/>
                <w:color w:val="auto"/>
                <w:kern w:val="0"/>
                <w:sz w:val="24"/>
                <w:szCs w:val="24"/>
                <w:highlight w:val="none"/>
              </w:rPr>
              <w:t>住院重点疾病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 脑</w:t>
            </w:r>
            <w:r>
              <w:rPr>
                <w:rFonts w:hint="default" w:ascii="Times New Roman" w:hAnsi="Times New Roman" w:eastAsia="方正仿宋_GBK" w:cs="Times New Roman"/>
                <w:color w:val="auto"/>
                <w:spacing w:val="-6"/>
                <w:kern w:val="0"/>
                <w:sz w:val="24"/>
                <w:szCs w:val="24"/>
                <w:highlight w:val="none"/>
              </w:rPr>
              <w:t>血管病 主要诊断ICD-10编码：I60.0－I69.8脑血管病及其后遗症的非产妇出院患者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 颅内损伤 主要诊断 ICD-10编码：S06.0 － S06.9 、T90.0 － T90.9 颅内损伤及其后遗症的非产妇出院患者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numPr>
                <w:ilvl w:val="0"/>
                <w:numId w:val="54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脊髓损伤 主要诊断 ICD-10编码：S14. 1、S24. 1、S34. 1、T09.3、T91.3 脊髓损伤及其后遗症的非产妇出院患者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numPr>
                <w:ilvl w:val="0"/>
                <w:numId w:val="54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上肢损伤 主要诊断 ICD-10编码：S40.0 － S69.9 、T92.0 －T92.9 上肢各部位骨折、损伤及其后遗症的非产妇出院患者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numPr>
                <w:ilvl w:val="0"/>
                <w:numId w:val="54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下肢损伤 主要诊断 ICD-10编码：S70.0 － S99.9 、T93.0 －T93.9下肢各部位骨折、损伤及其后遗症的非产妇出院患者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numPr>
                <w:ilvl w:val="0"/>
                <w:numId w:val="54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缺氧性脑损害 主要诊断 ICD-10编码：G80.0 － G80.9 、G93. 1脑瘫、 缺氧缺血性脑病的非产妇、非新生儿出院患者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numPr>
                <w:ilvl w:val="0"/>
                <w:numId w:val="54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言语和语言发育障碍 主要诊断 ICD-10编码：F80.0 － F80.9 言语和语言发育障碍的非产妇、出院患者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numPr>
                <w:ilvl w:val="0"/>
                <w:numId w:val="54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精神发育迟滞 主要诊断 ICD-10编码：F79.0－ F79.9精神发育迟滞的非产妇、非新生儿出院患者</w:t>
            </w:r>
          </w:p>
        </w:tc>
      </w:tr>
      <w:bookmarkEnd w:id="24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numPr>
                <w:ilvl w:val="0"/>
                <w:numId w:val="54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帕金森病主要诊断 ICD-10编码：G20.x00帕金森病的非产妇出院患者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vAlign w:val="center"/>
          </w:tcPr>
          <w:p>
            <w:pPr>
              <w:keepNext w:val="0"/>
              <w:keepLines w:val="0"/>
              <w:pageBreakBefore w:val="0"/>
              <w:widowControl/>
              <w:numPr>
                <w:ilvl w:val="0"/>
                <w:numId w:val="54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冠状动脉粥样硬化性心脏病 主要诊断 ICD-10编码：I25.103冠状动脉粥样硬化性心脏病的非产妇出院患者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numPr>
                <w:ilvl w:val="0"/>
                <w:numId w:val="54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慢性阻塞性肺疾病 主要诊断 ICD-10编码：J44.0,J44.1,J44.9慢性阻塞性肺疾病的非产妇出院患者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numPr>
                <w:ilvl w:val="0"/>
                <w:numId w:val="54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颈椎间盘突出 主要诊断 ICD-10编码：M50.201颈椎间盘突出的非产妇出院患者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numPr>
                <w:ilvl w:val="0"/>
                <w:numId w:val="548"/>
              </w:numPr>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腰椎间盘突出 主要诊断 ICD-10编码：M51.202腰椎间盘突出的非产妇出院患者</w:t>
            </w:r>
          </w:p>
        </w:tc>
      </w:tr>
    </w:tbl>
    <w:p>
      <w:pPr>
        <w:widowControl/>
        <w:rPr>
          <w:rFonts w:cs="宋体" w:asciiTheme="minorEastAsia" w:hAnsiTheme="minorEastAsia" w:eastAsiaTheme="minorEastAsia"/>
          <w:color w:val="auto"/>
          <w:kern w:val="0"/>
          <w:szCs w:val="21"/>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sectPr>
      <w:footerReference r:id="rId8" w:type="default"/>
      <w:pgSz w:w="11906" w:h="16838"/>
      <w:pgMar w:top="1134" w:right="1587" w:bottom="1134" w:left="1587" w:header="1134" w:footer="1134" w:gutter="0"/>
      <w:pgNumType w:fmt="decimal" w:start="1"/>
      <w:cols w:space="0" w:num="1"/>
      <w:rtlGutter w:val="0"/>
      <w:docGrid w:type="linesAndChars" w:linePitch="662" w:charSpace="-16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CC632E2-F171-4428-91B5-359AC05CB67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2" w:fontKey="{CAB69D35-F355-40F2-9066-3365F89669F2}"/>
  </w:font>
  <w:font w:name="小标宋">
    <w:altName w:val="微软雅黑"/>
    <w:panose1 w:val="03000509000000000000"/>
    <w:charset w:val="86"/>
    <w:family w:val="auto"/>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embedRegular r:id="rId3" w:fontKey="{0C6EDA5C-C1CB-4644-8801-512CE5223B62}"/>
  </w:font>
  <w:font w:name="等线">
    <w:panose1 w:val="02010600030101010101"/>
    <w:charset w:val="86"/>
    <w:family w:val="auto"/>
    <w:pitch w:val="default"/>
    <w:sig w:usb0="A00002BF" w:usb1="38CF7CFA" w:usb2="00000016" w:usb3="00000000" w:csb0="0004000F" w:csb1="00000000"/>
  </w:font>
  <w:font w:name="DFKai-SB">
    <w:altName w:val="Microsoft JhengHei Light"/>
    <w:panose1 w:val="03000509000000000000"/>
    <w:charset w:val="88"/>
    <w:family w:val="script"/>
    <w:pitch w:val="default"/>
    <w:sig w:usb0="00000000" w:usb1="00000000" w:usb2="00000016" w:usb3="00000000" w:csb0="00100001" w:csb1="00000000"/>
  </w:font>
  <w:font w:name="PMingLiUfalt">
    <w:altName w:val="MingLiU-ExtB"/>
    <w:panose1 w:val="00000000000000000000"/>
    <w:charset w:val="88"/>
    <w:family w:val="roman"/>
    <w:pitch w:val="default"/>
    <w:sig w:usb0="00000000" w:usb1="00000000" w:usb2="00000010" w:usb3="00000000" w:csb0="00100000" w:csb1="00000000"/>
  </w:font>
  <w:font w:name="仿宋_GB2312">
    <w:panose1 w:val="02010609030101010101"/>
    <w:charset w:val="86"/>
    <w:family w:val="modern"/>
    <w:pitch w:val="default"/>
    <w:sig w:usb0="00000001" w:usb1="080E0000" w:usb2="00000000" w:usb3="00000000" w:csb0="00040000" w:csb1="00000000"/>
    <w:embedRegular r:id="rId4" w:fontKey="{05FE60DF-93FD-444B-BC17-69026EC241E9}"/>
  </w:font>
  <w:font w:name="方正小标宋简体">
    <w:panose1 w:val="02000000000000000000"/>
    <w:charset w:val="86"/>
    <w:family w:val="auto"/>
    <w:pitch w:val="default"/>
    <w:sig w:usb0="A00002BF" w:usb1="184F6CFA" w:usb2="00000012" w:usb3="00000000" w:csb0="00040001" w:csb1="00000000"/>
    <w:embedRegular r:id="rId5" w:fontKey="{BC260EFA-B45D-4551-A121-7BE090B6077C}"/>
  </w:font>
  <w:font w:name="方正小标宋_GBK">
    <w:panose1 w:val="03000509000000000000"/>
    <w:charset w:val="86"/>
    <w:family w:val="auto"/>
    <w:pitch w:val="default"/>
    <w:sig w:usb0="00000001" w:usb1="080E0000" w:usb2="00000000" w:usb3="00000000" w:csb0="00040000" w:csb1="00000000"/>
    <w:embedRegular r:id="rId6" w:fontKey="{A289418C-8031-4C1B-B31B-56445DDBA978}"/>
  </w:font>
  <w:font w:name="方正楷体_GBK">
    <w:panose1 w:val="03000509000000000000"/>
    <w:charset w:val="86"/>
    <w:family w:val="auto"/>
    <w:pitch w:val="default"/>
    <w:sig w:usb0="00000001" w:usb1="080E0000" w:usb2="00000000" w:usb3="00000000" w:csb0="00040000" w:csb1="00000000"/>
    <w:embedRegular r:id="rId7" w:fontKey="{677BFDB9-3BCE-4577-A4F0-8DFC5815EF76}"/>
  </w:font>
  <w:font w:name="楷体">
    <w:panose1 w:val="02010609060101010101"/>
    <w:charset w:val="86"/>
    <w:family w:val="modern"/>
    <w:pitch w:val="default"/>
    <w:sig w:usb0="800002BF" w:usb1="38CF7CFA" w:usb2="00000016" w:usb3="00000000" w:csb0="00040001" w:csb1="00000000"/>
    <w:embedRegular r:id="rId8" w:fontKey="{6ED740AA-6998-42EA-9A83-D1149DBD50DE}"/>
  </w:font>
  <w:font w:name="微软雅黑">
    <w:panose1 w:val="020B0503020204020204"/>
    <w:charset w:val="86"/>
    <w:family w:val="auto"/>
    <w:pitch w:val="default"/>
    <w:sig w:usb0="80000287" w:usb1="2ACF3C50" w:usb2="00000016" w:usb3="00000000" w:csb0="0004001F" w:csb1="00000000"/>
  </w:font>
  <w:font w:name="Microsoft JhengHei Light">
    <w:panose1 w:val="020B0304030504040204"/>
    <w:charset w:val="88"/>
    <w:family w:val="auto"/>
    <w:pitch w:val="default"/>
    <w:sig w:usb0="800002A7" w:usb1="28CF4400" w:usb2="00000016" w:usb3="00000000" w:csb0="00100009"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39BB96"/>
    <w:multiLevelType w:val="singleLevel"/>
    <w:tmpl w:val="8039BB96"/>
    <w:lvl w:ilvl="0" w:tentative="0">
      <w:start w:val="1"/>
      <w:numFmt w:val="decimal"/>
      <w:suff w:val="space"/>
      <w:lvlText w:val="%1."/>
      <w:lvlJc w:val="left"/>
      <w:rPr>
        <w:rFonts w:cs="Times New Roman"/>
      </w:rPr>
    </w:lvl>
  </w:abstractNum>
  <w:abstractNum w:abstractNumId="1">
    <w:nsid w:val="80CA72FF"/>
    <w:multiLevelType w:val="singleLevel"/>
    <w:tmpl w:val="80CA72FF"/>
    <w:lvl w:ilvl="0" w:tentative="0">
      <w:start w:val="1"/>
      <w:numFmt w:val="decimal"/>
      <w:lvlText w:val="%1."/>
      <w:lvlJc w:val="left"/>
      <w:pPr>
        <w:tabs>
          <w:tab w:val="left" w:pos="312"/>
        </w:tabs>
      </w:pPr>
    </w:lvl>
  </w:abstractNum>
  <w:abstractNum w:abstractNumId="2">
    <w:nsid w:val="81A9CA53"/>
    <w:multiLevelType w:val="singleLevel"/>
    <w:tmpl w:val="81A9CA53"/>
    <w:lvl w:ilvl="0" w:tentative="0">
      <w:start w:val="1"/>
      <w:numFmt w:val="decimal"/>
      <w:suff w:val="space"/>
      <w:lvlText w:val="%1."/>
      <w:lvlJc w:val="left"/>
      <w:rPr>
        <w:rFonts w:cs="Times New Roman"/>
      </w:rPr>
    </w:lvl>
  </w:abstractNum>
  <w:abstractNum w:abstractNumId="3">
    <w:nsid w:val="820188DE"/>
    <w:multiLevelType w:val="singleLevel"/>
    <w:tmpl w:val="820188DE"/>
    <w:lvl w:ilvl="0" w:tentative="0">
      <w:start w:val="1"/>
      <w:numFmt w:val="decimal"/>
      <w:suff w:val="space"/>
      <w:lvlText w:val="%1."/>
      <w:lvlJc w:val="left"/>
      <w:rPr>
        <w:rFonts w:cs="Times New Roman"/>
      </w:rPr>
    </w:lvl>
  </w:abstractNum>
  <w:abstractNum w:abstractNumId="4">
    <w:nsid w:val="82630672"/>
    <w:multiLevelType w:val="singleLevel"/>
    <w:tmpl w:val="82630672"/>
    <w:lvl w:ilvl="0" w:tentative="0">
      <w:start w:val="1"/>
      <w:numFmt w:val="decimal"/>
      <w:suff w:val="space"/>
      <w:lvlText w:val="%1."/>
      <w:lvlJc w:val="left"/>
      <w:rPr>
        <w:rFonts w:cs="Times New Roman"/>
      </w:rPr>
    </w:lvl>
  </w:abstractNum>
  <w:abstractNum w:abstractNumId="5">
    <w:nsid w:val="82662703"/>
    <w:multiLevelType w:val="singleLevel"/>
    <w:tmpl w:val="82662703"/>
    <w:lvl w:ilvl="0" w:tentative="0">
      <w:start w:val="1"/>
      <w:numFmt w:val="decimal"/>
      <w:suff w:val="space"/>
      <w:lvlText w:val="%1."/>
      <w:lvlJc w:val="left"/>
      <w:rPr>
        <w:rFonts w:cs="Times New Roman"/>
      </w:rPr>
    </w:lvl>
  </w:abstractNum>
  <w:abstractNum w:abstractNumId="6">
    <w:nsid w:val="8289494B"/>
    <w:multiLevelType w:val="singleLevel"/>
    <w:tmpl w:val="8289494B"/>
    <w:lvl w:ilvl="0" w:tentative="0">
      <w:start w:val="1"/>
      <w:numFmt w:val="decimal"/>
      <w:lvlText w:val="%1."/>
      <w:lvlJc w:val="left"/>
      <w:pPr>
        <w:tabs>
          <w:tab w:val="left" w:pos="312"/>
        </w:tabs>
      </w:pPr>
      <w:rPr>
        <w:rFonts w:cs="Times New Roman"/>
      </w:rPr>
    </w:lvl>
  </w:abstractNum>
  <w:abstractNum w:abstractNumId="7">
    <w:nsid w:val="828AC08A"/>
    <w:multiLevelType w:val="singleLevel"/>
    <w:tmpl w:val="828AC08A"/>
    <w:lvl w:ilvl="0" w:tentative="0">
      <w:start w:val="1"/>
      <w:numFmt w:val="decimal"/>
      <w:suff w:val="space"/>
      <w:lvlText w:val="%1."/>
      <w:lvlJc w:val="left"/>
    </w:lvl>
  </w:abstractNum>
  <w:abstractNum w:abstractNumId="8">
    <w:nsid w:val="82B3C703"/>
    <w:multiLevelType w:val="singleLevel"/>
    <w:tmpl w:val="82B3C703"/>
    <w:lvl w:ilvl="0" w:tentative="0">
      <w:start w:val="1"/>
      <w:numFmt w:val="decimal"/>
      <w:suff w:val="space"/>
      <w:lvlText w:val="%1."/>
      <w:lvlJc w:val="left"/>
    </w:lvl>
  </w:abstractNum>
  <w:abstractNum w:abstractNumId="9">
    <w:nsid w:val="8344ED54"/>
    <w:multiLevelType w:val="singleLevel"/>
    <w:tmpl w:val="8344ED54"/>
    <w:lvl w:ilvl="0" w:tentative="0">
      <w:start w:val="1"/>
      <w:numFmt w:val="decimal"/>
      <w:suff w:val="space"/>
      <w:lvlText w:val="%1."/>
      <w:lvlJc w:val="left"/>
      <w:rPr>
        <w:rFonts w:cs="Times New Roman"/>
      </w:rPr>
    </w:lvl>
  </w:abstractNum>
  <w:abstractNum w:abstractNumId="10">
    <w:nsid w:val="838BD168"/>
    <w:multiLevelType w:val="singleLevel"/>
    <w:tmpl w:val="838BD168"/>
    <w:lvl w:ilvl="0" w:tentative="0">
      <w:start w:val="1"/>
      <w:numFmt w:val="decimal"/>
      <w:suff w:val="space"/>
      <w:lvlText w:val="%1."/>
      <w:lvlJc w:val="left"/>
    </w:lvl>
  </w:abstractNum>
  <w:abstractNum w:abstractNumId="11">
    <w:nsid w:val="83B7FDC4"/>
    <w:multiLevelType w:val="singleLevel"/>
    <w:tmpl w:val="83B7FDC4"/>
    <w:lvl w:ilvl="0" w:tentative="0">
      <w:start w:val="1"/>
      <w:numFmt w:val="decimal"/>
      <w:suff w:val="space"/>
      <w:lvlText w:val="%1."/>
      <w:lvlJc w:val="left"/>
    </w:lvl>
  </w:abstractNum>
  <w:abstractNum w:abstractNumId="12">
    <w:nsid w:val="8586690C"/>
    <w:multiLevelType w:val="singleLevel"/>
    <w:tmpl w:val="8586690C"/>
    <w:lvl w:ilvl="0" w:tentative="0">
      <w:start w:val="1"/>
      <w:numFmt w:val="decimal"/>
      <w:suff w:val="space"/>
      <w:lvlText w:val="%1."/>
      <w:lvlJc w:val="left"/>
      <w:rPr>
        <w:rFonts w:cs="Times New Roman"/>
      </w:rPr>
    </w:lvl>
  </w:abstractNum>
  <w:abstractNum w:abstractNumId="13">
    <w:nsid w:val="865DBBE4"/>
    <w:multiLevelType w:val="singleLevel"/>
    <w:tmpl w:val="865DBBE4"/>
    <w:lvl w:ilvl="0" w:tentative="0">
      <w:start w:val="1"/>
      <w:numFmt w:val="decimal"/>
      <w:suff w:val="space"/>
      <w:lvlText w:val="%1."/>
      <w:lvlJc w:val="left"/>
      <w:rPr>
        <w:rFonts w:cs="Times New Roman"/>
      </w:rPr>
    </w:lvl>
  </w:abstractNum>
  <w:abstractNum w:abstractNumId="14">
    <w:nsid w:val="87EC9B8D"/>
    <w:multiLevelType w:val="singleLevel"/>
    <w:tmpl w:val="87EC9B8D"/>
    <w:lvl w:ilvl="0" w:tentative="0">
      <w:start w:val="1"/>
      <w:numFmt w:val="decimal"/>
      <w:suff w:val="space"/>
      <w:lvlText w:val="%1."/>
      <w:lvlJc w:val="left"/>
    </w:lvl>
  </w:abstractNum>
  <w:abstractNum w:abstractNumId="15">
    <w:nsid w:val="89276570"/>
    <w:multiLevelType w:val="singleLevel"/>
    <w:tmpl w:val="89276570"/>
    <w:lvl w:ilvl="0" w:tentative="0">
      <w:start w:val="1"/>
      <w:numFmt w:val="decimal"/>
      <w:suff w:val="space"/>
      <w:lvlText w:val="%1."/>
      <w:lvlJc w:val="left"/>
      <w:rPr>
        <w:rFonts w:cs="Times New Roman"/>
      </w:rPr>
    </w:lvl>
  </w:abstractNum>
  <w:abstractNum w:abstractNumId="16">
    <w:nsid w:val="8999F1A0"/>
    <w:multiLevelType w:val="singleLevel"/>
    <w:tmpl w:val="8999F1A0"/>
    <w:lvl w:ilvl="0" w:tentative="0">
      <w:start w:val="1"/>
      <w:numFmt w:val="decimal"/>
      <w:lvlText w:val="%1."/>
      <w:lvlJc w:val="left"/>
      <w:pPr>
        <w:tabs>
          <w:tab w:val="left" w:pos="312"/>
        </w:tabs>
      </w:pPr>
      <w:rPr>
        <w:rFonts w:cs="Times New Roman"/>
      </w:rPr>
    </w:lvl>
  </w:abstractNum>
  <w:abstractNum w:abstractNumId="17">
    <w:nsid w:val="89D813A7"/>
    <w:multiLevelType w:val="singleLevel"/>
    <w:tmpl w:val="89D813A7"/>
    <w:lvl w:ilvl="0" w:tentative="0">
      <w:start w:val="1"/>
      <w:numFmt w:val="decimal"/>
      <w:suff w:val="space"/>
      <w:lvlText w:val="%1."/>
      <w:lvlJc w:val="left"/>
    </w:lvl>
  </w:abstractNum>
  <w:abstractNum w:abstractNumId="18">
    <w:nsid w:val="8AD1BCAD"/>
    <w:multiLevelType w:val="singleLevel"/>
    <w:tmpl w:val="8AD1BCAD"/>
    <w:lvl w:ilvl="0" w:tentative="0">
      <w:start w:val="1"/>
      <w:numFmt w:val="decimal"/>
      <w:suff w:val="space"/>
      <w:lvlText w:val="%1."/>
      <w:lvlJc w:val="left"/>
      <w:rPr>
        <w:rFonts w:cs="Times New Roman"/>
      </w:rPr>
    </w:lvl>
  </w:abstractNum>
  <w:abstractNum w:abstractNumId="19">
    <w:nsid w:val="8B631C32"/>
    <w:multiLevelType w:val="singleLevel"/>
    <w:tmpl w:val="8B631C32"/>
    <w:lvl w:ilvl="0" w:tentative="0">
      <w:start w:val="1"/>
      <w:numFmt w:val="decimal"/>
      <w:suff w:val="space"/>
      <w:lvlText w:val="%1."/>
      <w:lvlJc w:val="left"/>
      <w:rPr>
        <w:rFonts w:cs="Times New Roman"/>
      </w:rPr>
    </w:lvl>
  </w:abstractNum>
  <w:abstractNum w:abstractNumId="20">
    <w:nsid w:val="8BAC0EBA"/>
    <w:multiLevelType w:val="singleLevel"/>
    <w:tmpl w:val="8BAC0EBA"/>
    <w:lvl w:ilvl="0" w:tentative="0">
      <w:start w:val="1"/>
      <w:numFmt w:val="decimal"/>
      <w:suff w:val="space"/>
      <w:lvlText w:val="%1."/>
      <w:lvlJc w:val="left"/>
      <w:rPr>
        <w:rFonts w:cs="Times New Roman"/>
      </w:rPr>
    </w:lvl>
  </w:abstractNum>
  <w:abstractNum w:abstractNumId="21">
    <w:nsid w:val="8BF3738B"/>
    <w:multiLevelType w:val="singleLevel"/>
    <w:tmpl w:val="8BF3738B"/>
    <w:lvl w:ilvl="0" w:tentative="0">
      <w:start w:val="1"/>
      <w:numFmt w:val="decimal"/>
      <w:suff w:val="space"/>
      <w:lvlText w:val="%1."/>
      <w:lvlJc w:val="left"/>
      <w:rPr>
        <w:rFonts w:cs="Times New Roman"/>
      </w:rPr>
    </w:lvl>
  </w:abstractNum>
  <w:abstractNum w:abstractNumId="22">
    <w:nsid w:val="8BF454DD"/>
    <w:multiLevelType w:val="singleLevel"/>
    <w:tmpl w:val="8BF454DD"/>
    <w:lvl w:ilvl="0" w:tentative="0">
      <w:start w:val="1"/>
      <w:numFmt w:val="decimal"/>
      <w:suff w:val="space"/>
      <w:lvlText w:val="%1."/>
      <w:lvlJc w:val="left"/>
    </w:lvl>
  </w:abstractNum>
  <w:abstractNum w:abstractNumId="23">
    <w:nsid w:val="8C083FA5"/>
    <w:multiLevelType w:val="singleLevel"/>
    <w:tmpl w:val="8C083FA5"/>
    <w:lvl w:ilvl="0" w:tentative="0">
      <w:start w:val="1"/>
      <w:numFmt w:val="decimal"/>
      <w:suff w:val="space"/>
      <w:lvlText w:val="%1."/>
      <w:lvlJc w:val="left"/>
      <w:rPr>
        <w:rFonts w:cs="Times New Roman"/>
      </w:rPr>
    </w:lvl>
  </w:abstractNum>
  <w:abstractNum w:abstractNumId="24">
    <w:nsid w:val="8D0372E5"/>
    <w:multiLevelType w:val="singleLevel"/>
    <w:tmpl w:val="8D0372E5"/>
    <w:lvl w:ilvl="0" w:tentative="0">
      <w:start w:val="1"/>
      <w:numFmt w:val="decimal"/>
      <w:suff w:val="space"/>
      <w:lvlText w:val="%1."/>
      <w:lvlJc w:val="left"/>
      <w:rPr>
        <w:rFonts w:cs="Times New Roman"/>
      </w:rPr>
    </w:lvl>
  </w:abstractNum>
  <w:abstractNum w:abstractNumId="25">
    <w:nsid w:val="8DD81464"/>
    <w:multiLevelType w:val="singleLevel"/>
    <w:tmpl w:val="8DD81464"/>
    <w:lvl w:ilvl="0" w:tentative="0">
      <w:start w:val="1"/>
      <w:numFmt w:val="decimal"/>
      <w:suff w:val="space"/>
      <w:lvlText w:val="%1."/>
      <w:lvlJc w:val="left"/>
      <w:rPr>
        <w:rFonts w:cs="Times New Roman"/>
      </w:rPr>
    </w:lvl>
  </w:abstractNum>
  <w:abstractNum w:abstractNumId="26">
    <w:nsid w:val="8F1BBCA1"/>
    <w:multiLevelType w:val="singleLevel"/>
    <w:tmpl w:val="8F1BBCA1"/>
    <w:lvl w:ilvl="0" w:tentative="0">
      <w:start w:val="1"/>
      <w:numFmt w:val="decimal"/>
      <w:suff w:val="space"/>
      <w:lvlText w:val="%1."/>
      <w:lvlJc w:val="left"/>
    </w:lvl>
  </w:abstractNum>
  <w:abstractNum w:abstractNumId="27">
    <w:nsid w:val="8F316A41"/>
    <w:multiLevelType w:val="singleLevel"/>
    <w:tmpl w:val="8F316A41"/>
    <w:lvl w:ilvl="0" w:tentative="0">
      <w:start w:val="1"/>
      <w:numFmt w:val="decimal"/>
      <w:suff w:val="space"/>
      <w:lvlText w:val="%1."/>
      <w:lvlJc w:val="left"/>
    </w:lvl>
  </w:abstractNum>
  <w:abstractNum w:abstractNumId="28">
    <w:nsid w:val="8F5C9095"/>
    <w:multiLevelType w:val="singleLevel"/>
    <w:tmpl w:val="8F5C9095"/>
    <w:lvl w:ilvl="0" w:tentative="0">
      <w:start w:val="1"/>
      <w:numFmt w:val="decimal"/>
      <w:suff w:val="space"/>
      <w:lvlText w:val="%1."/>
      <w:lvlJc w:val="left"/>
    </w:lvl>
  </w:abstractNum>
  <w:abstractNum w:abstractNumId="29">
    <w:nsid w:val="904411FF"/>
    <w:multiLevelType w:val="singleLevel"/>
    <w:tmpl w:val="904411FF"/>
    <w:lvl w:ilvl="0" w:tentative="0">
      <w:start w:val="1"/>
      <w:numFmt w:val="decimal"/>
      <w:suff w:val="space"/>
      <w:lvlText w:val="%1."/>
      <w:lvlJc w:val="left"/>
    </w:lvl>
  </w:abstractNum>
  <w:abstractNum w:abstractNumId="30">
    <w:nsid w:val="9084D5E7"/>
    <w:multiLevelType w:val="singleLevel"/>
    <w:tmpl w:val="9084D5E7"/>
    <w:lvl w:ilvl="0" w:tentative="0">
      <w:start w:val="1"/>
      <w:numFmt w:val="decimal"/>
      <w:suff w:val="space"/>
      <w:lvlText w:val="%1."/>
      <w:lvlJc w:val="left"/>
      <w:rPr>
        <w:rFonts w:cs="Times New Roman"/>
      </w:rPr>
    </w:lvl>
  </w:abstractNum>
  <w:abstractNum w:abstractNumId="31">
    <w:nsid w:val="9157E5AC"/>
    <w:multiLevelType w:val="singleLevel"/>
    <w:tmpl w:val="9157E5AC"/>
    <w:lvl w:ilvl="0" w:tentative="0">
      <w:start w:val="1"/>
      <w:numFmt w:val="decimal"/>
      <w:suff w:val="space"/>
      <w:lvlText w:val="%1."/>
      <w:lvlJc w:val="left"/>
      <w:rPr>
        <w:rFonts w:cs="Times New Roman"/>
      </w:rPr>
    </w:lvl>
  </w:abstractNum>
  <w:abstractNum w:abstractNumId="32">
    <w:nsid w:val="91D755F5"/>
    <w:multiLevelType w:val="singleLevel"/>
    <w:tmpl w:val="91D755F5"/>
    <w:lvl w:ilvl="0" w:tentative="0">
      <w:start w:val="1"/>
      <w:numFmt w:val="decimal"/>
      <w:suff w:val="space"/>
      <w:lvlText w:val="%1."/>
      <w:lvlJc w:val="left"/>
    </w:lvl>
  </w:abstractNum>
  <w:abstractNum w:abstractNumId="33">
    <w:nsid w:val="921D3AD8"/>
    <w:multiLevelType w:val="singleLevel"/>
    <w:tmpl w:val="921D3AD8"/>
    <w:lvl w:ilvl="0" w:tentative="0">
      <w:start w:val="1"/>
      <w:numFmt w:val="decimal"/>
      <w:suff w:val="space"/>
      <w:lvlText w:val="%1."/>
      <w:lvlJc w:val="left"/>
      <w:rPr>
        <w:rFonts w:cs="Times New Roman"/>
      </w:rPr>
    </w:lvl>
  </w:abstractNum>
  <w:abstractNum w:abstractNumId="34">
    <w:nsid w:val="923005FB"/>
    <w:multiLevelType w:val="singleLevel"/>
    <w:tmpl w:val="923005FB"/>
    <w:lvl w:ilvl="0" w:tentative="0">
      <w:start w:val="1"/>
      <w:numFmt w:val="decimal"/>
      <w:suff w:val="space"/>
      <w:lvlText w:val="%1."/>
      <w:lvlJc w:val="left"/>
    </w:lvl>
  </w:abstractNum>
  <w:abstractNum w:abstractNumId="35">
    <w:nsid w:val="9344B029"/>
    <w:multiLevelType w:val="singleLevel"/>
    <w:tmpl w:val="9344B029"/>
    <w:lvl w:ilvl="0" w:tentative="0">
      <w:start w:val="1"/>
      <w:numFmt w:val="decimal"/>
      <w:suff w:val="space"/>
      <w:lvlText w:val="%1."/>
      <w:lvlJc w:val="left"/>
      <w:rPr>
        <w:rFonts w:cs="Times New Roman"/>
      </w:rPr>
    </w:lvl>
  </w:abstractNum>
  <w:abstractNum w:abstractNumId="36">
    <w:nsid w:val="94524C7A"/>
    <w:multiLevelType w:val="singleLevel"/>
    <w:tmpl w:val="94524C7A"/>
    <w:lvl w:ilvl="0" w:tentative="0">
      <w:start w:val="1"/>
      <w:numFmt w:val="decimal"/>
      <w:suff w:val="space"/>
      <w:lvlText w:val="%1."/>
      <w:lvlJc w:val="left"/>
      <w:rPr>
        <w:rFonts w:cs="Times New Roman"/>
      </w:rPr>
    </w:lvl>
  </w:abstractNum>
  <w:abstractNum w:abstractNumId="37">
    <w:nsid w:val="94917FE3"/>
    <w:multiLevelType w:val="singleLevel"/>
    <w:tmpl w:val="94917FE3"/>
    <w:lvl w:ilvl="0" w:tentative="0">
      <w:start w:val="1"/>
      <w:numFmt w:val="decimal"/>
      <w:suff w:val="space"/>
      <w:lvlText w:val="%1."/>
      <w:lvlJc w:val="left"/>
      <w:rPr>
        <w:rFonts w:cs="Times New Roman"/>
      </w:rPr>
    </w:lvl>
  </w:abstractNum>
  <w:abstractNum w:abstractNumId="38">
    <w:nsid w:val="95039E8D"/>
    <w:multiLevelType w:val="singleLevel"/>
    <w:tmpl w:val="95039E8D"/>
    <w:lvl w:ilvl="0" w:tentative="0">
      <w:start w:val="1"/>
      <w:numFmt w:val="decimal"/>
      <w:suff w:val="nothing"/>
      <w:lvlText w:val="（%1）"/>
      <w:lvlJc w:val="left"/>
    </w:lvl>
  </w:abstractNum>
  <w:abstractNum w:abstractNumId="39">
    <w:nsid w:val="95277DDC"/>
    <w:multiLevelType w:val="singleLevel"/>
    <w:tmpl w:val="95277DDC"/>
    <w:lvl w:ilvl="0" w:tentative="0">
      <w:start w:val="1"/>
      <w:numFmt w:val="decimal"/>
      <w:suff w:val="space"/>
      <w:lvlText w:val="%1."/>
      <w:lvlJc w:val="left"/>
    </w:lvl>
  </w:abstractNum>
  <w:abstractNum w:abstractNumId="40">
    <w:nsid w:val="9546EBC7"/>
    <w:multiLevelType w:val="singleLevel"/>
    <w:tmpl w:val="9546EBC7"/>
    <w:lvl w:ilvl="0" w:tentative="0">
      <w:start w:val="1"/>
      <w:numFmt w:val="decimal"/>
      <w:suff w:val="space"/>
      <w:lvlText w:val="%1."/>
      <w:lvlJc w:val="left"/>
      <w:rPr>
        <w:rFonts w:cs="Times New Roman"/>
      </w:rPr>
    </w:lvl>
  </w:abstractNum>
  <w:abstractNum w:abstractNumId="41">
    <w:nsid w:val="95BFF446"/>
    <w:multiLevelType w:val="singleLevel"/>
    <w:tmpl w:val="95BFF446"/>
    <w:lvl w:ilvl="0" w:tentative="0">
      <w:start w:val="1"/>
      <w:numFmt w:val="decimal"/>
      <w:suff w:val="space"/>
      <w:lvlText w:val="%1."/>
      <w:lvlJc w:val="left"/>
      <w:rPr>
        <w:rFonts w:cs="Times New Roman"/>
      </w:rPr>
    </w:lvl>
  </w:abstractNum>
  <w:abstractNum w:abstractNumId="42">
    <w:nsid w:val="96D42A18"/>
    <w:multiLevelType w:val="singleLevel"/>
    <w:tmpl w:val="96D42A18"/>
    <w:lvl w:ilvl="0" w:tentative="0">
      <w:start w:val="1"/>
      <w:numFmt w:val="decimal"/>
      <w:suff w:val="space"/>
      <w:lvlText w:val="%1."/>
      <w:lvlJc w:val="left"/>
    </w:lvl>
  </w:abstractNum>
  <w:abstractNum w:abstractNumId="43">
    <w:nsid w:val="96F9E105"/>
    <w:multiLevelType w:val="singleLevel"/>
    <w:tmpl w:val="96F9E105"/>
    <w:lvl w:ilvl="0" w:tentative="0">
      <w:start w:val="1"/>
      <w:numFmt w:val="decimal"/>
      <w:suff w:val="space"/>
      <w:lvlText w:val="%1."/>
      <w:lvlJc w:val="left"/>
      <w:rPr>
        <w:rFonts w:cs="Times New Roman"/>
      </w:rPr>
    </w:lvl>
  </w:abstractNum>
  <w:abstractNum w:abstractNumId="44">
    <w:nsid w:val="96FE0A2A"/>
    <w:multiLevelType w:val="singleLevel"/>
    <w:tmpl w:val="96FE0A2A"/>
    <w:lvl w:ilvl="0" w:tentative="0">
      <w:start w:val="1"/>
      <w:numFmt w:val="decimal"/>
      <w:suff w:val="space"/>
      <w:lvlText w:val="%1."/>
      <w:lvlJc w:val="left"/>
    </w:lvl>
  </w:abstractNum>
  <w:abstractNum w:abstractNumId="45">
    <w:nsid w:val="971BB987"/>
    <w:multiLevelType w:val="singleLevel"/>
    <w:tmpl w:val="971BB987"/>
    <w:lvl w:ilvl="0" w:tentative="0">
      <w:start w:val="1"/>
      <w:numFmt w:val="decimal"/>
      <w:suff w:val="space"/>
      <w:lvlText w:val="%1."/>
      <w:lvlJc w:val="left"/>
      <w:rPr>
        <w:rFonts w:cs="Times New Roman"/>
      </w:rPr>
    </w:lvl>
  </w:abstractNum>
  <w:abstractNum w:abstractNumId="46">
    <w:nsid w:val="971F9986"/>
    <w:multiLevelType w:val="singleLevel"/>
    <w:tmpl w:val="971F9986"/>
    <w:lvl w:ilvl="0" w:tentative="0">
      <w:start w:val="1"/>
      <w:numFmt w:val="decimal"/>
      <w:suff w:val="space"/>
      <w:lvlText w:val="%1."/>
      <w:lvlJc w:val="left"/>
      <w:rPr>
        <w:rFonts w:cs="Times New Roman"/>
      </w:rPr>
    </w:lvl>
  </w:abstractNum>
  <w:abstractNum w:abstractNumId="47">
    <w:nsid w:val="97997B39"/>
    <w:multiLevelType w:val="singleLevel"/>
    <w:tmpl w:val="97997B39"/>
    <w:lvl w:ilvl="0" w:tentative="0">
      <w:start w:val="1"/>
      <w:numFmt w:val="decimal"/>
      <w:suff w:val="space"/>
      <w:lvlText w:val="%1."/>
      <w:lvlJc w:val="left"/>
      <w:rPr>
        <w:rFonts w:cs="Times New Roman"/>
      </w:rPr>
    </w:lvl>
  </w:abstractNum>
  <w:abstractNum w:abstractNumId="48">
    <w:nsid w:val="993CE70A"/>
    <w:multiLevelType w:val="singleLevel"/>
    <w:tmpl w:val="993CE70A"/>
    <w:lvl w:ilvl="0" w:tentative="0">
      <w:start w:val="1"/>
      <w:numFmt w:val="decimal"/>
      <w:suff w:val="space"/>
      <w:lvlText w:val="%1."/>
      <w:lvlJc w:val="left"/>
      <w:rPr>
        <w:rFonts w:cs="Times New Roman"/>
      </w:rPr>
    </w:lvl>
  </w:abstractNum>
  <w:abstractNum w:abstractNumId="49">
    <w:nsid w:val="994FC033"/>
    <w:multiLevelType w:val="singleLevel"/>
    <w:tmpl w:val="994FC033"/>
    <w:lvl w:ilvl="0" w:tentative="0">
      <w:start w:val="1"/>
      <w:numFmt w:val="decimal"/>
      <w:suff w:val="space"/>
      <w:lvlText w:val="%1."/>
      <w:lvlJc w:val="left"/>
      <w:rPr>
        <w:rFonts w:cs="Times New Roman"/>
      </w:rPr>
    </w:lvl>
  </w:abstractNum>
  <w:abstractNum w:abstractNumId="50">
    <w:nsid w:val="99F83CA2"/>
    <w:multiLevelType w:val="singleLevel"/>
    <w:tmpl w:val="99F83CA2"/>
    <w:lvl w:ilvl="0" w:tentative="0">
      <w:start w:val="1"/>
      <w:numFmt w:val="decimal"/>
      <w:suff w:val="space"/>
      <w:lvlText w:val="%1."/>
      <w:lvlJc w:val="left"/>
      <w:rPr>
        <w:rFonts w:cs="Times New Roman"/>
      </w:rPr>
    </w:lvl>
  </w:abstractNum>
  <w:abstractNum w:abstractNumId="51">
    <w:nsid w:val="9A1DA048"/>
    <w:multiLevelType w:val="singleLevel"/>
    <w:tmpl w:val="9A1DA048"/>
    <w:lvl w:ilvl="0" w:tentative="0">
      <w:start w:val="1"/>
      <w:numFmt w:val="decimal"/>
      <w:suff w:val="space"/>
      <w:lvlText w:val="%1."/>
      <w:lvlJc w:val="left"/>
      <w:rPr>
        <w:rFonts w:cs="Times New Roman"/>
      </w:rPr>
    </w:lvl>
  </w:abstractNum>
  <w:abstractNum w:abstractNumId="52">
    <w:nsid w:val="9A5D1293"/>
    <w:multiLevelType w:val="singleLevel"/>
    <w:tmpl w:val="9A5D1293"/>
    <w:lvl w:ilvl="0" w:tentative="0">
      <w:start w:val="1"/>
      <w:numFmt w:val="decimal"/>
      <w:suff w:val="space"/>
      <w:lvlText w:val="%1."/>
      <w:lvlJc w:val="left"/>
      <w:rPr>
        <w:rFonts w:cs="Times New Roman"/>
      </w:rPr>
    </w:lvl>
  </w:abstractNum>
  <w:abstractNum w:abstractNumId="53">
    <w:nsid w:val="9DE7AFD4"/>
    <w:multiLevelType w:val="singleLevel"/>
    <w:tmpl w:val="9DE7AFD4"/>
    <w:lvl w:ilvl="0" w:tentative="0">
      <w:start w:val="1"/>
      <w:numFmt w:val="decimal"/>
      <w:suff w:val="space"/>
      <w:lvlText w:val="%1."/>
      <w:lvlJc w:val="left"/>
    </w:lvl>
  </w:abstractNum>
  <w:abstractNum w:abstractNumId="54">
    <w:nsid w:val="9DEB8720"/>
    <w:multiLevelType w:val="singleLevel"/>
    <w:tmpl w:val="9DEB8720"/>
    <w:lvl w:ilvl="0" w:tentative="0">
      <w:start w:val="1"/>
      <w:numFmt w:val="decimal"/>
      <w:suff w:val="space"/>
      <w:lvlText w:val="%1."/>
      <w:lvlJc w:val="left"/>
      <w:rPr>
        <w:rFonts w:cs="Times New Roman"/>
      </w:rPr>
    </w:lvl>
  </w:abstractNum>
  <w:abstractNum w:abstractNumId="55">
    <w:nsid w:val="9E10A402"/>
    <w:multiLevelType w:val="singleLevel"/>
    <w:tmpl w:val="9E10A402"/>
    <w:lvl w:ilvl="0" w:tentative="0">
      <w:start w:val="1"/>
      <w:numFmt w:val="decimal"/>
      <w:suff w:val="space"/>
      <w:lvlText w:val="%1."/>
      <w:lvlJc w:val="left"/>
    </w:lvl>
  </w:abstractNum>
  <w:abstractNum w:abstractNumId="56">
    <w:nsid w:val="9E42D921"/>
    <w:multiLevelType w:val="singleLevel"/>
    <w:tmpl w:val="9E42D921"/>
    <w:lvl w:ilvl="0" w:tentative="0">
      <w:start w:val="1"/>
      <w:numFmt w:val="decimal"/>
      <w:suff w:val="space"/>
      <w:lvlText w:val="%1."/>
      <w:lvlJc w:val="left"/>
    </w:lvl>
  </w:abstractNum>
  <w:abstractNum w:abstractNumId="57">
    <w:nsid w:val="9EA229F4"/>
    <w:multiLevelType w:val="singleLevel"/>
    <w:tmpl w:val="9EA229F4"/>
    <w:lvl w:ilvl="0" w:tentative="0">
      <w:start w:val="1"/>
      <w:numFmt w:val="decimal"/>
      <w:suff w:val="space"/>
      <w:lvlText w:val="%1."/>
      <w:lvlJc w:val="left"/>
    </w:lvl>
  </w:abstractNum>
  <w:abstractNum w:abstractNumId="58">
    <w:nsid w:val="9F04E8D0"/>
    <w:multiLevelType w:val="singleLevel"/>
    <w:tmpl w:val="9F04E8D0"/>
    <w:lvl w:ilvl="0" w:tentative="0">
      <w:start w:val="1"/>
      <w:numFmt w:val="decimal"/>
      <w:suff w:val="space"/>
      <w:lvlText w:val="%1."/>
      <w:lvlJc w:val="left"/>
      <w:rPr>
        <w:rFonts w:cs="Times New Roman"/>
      </w:rPr>
    </w:lvl>
  </w:abstractNum>
  <w:abstractNum w:abstractNumId="59">
    <w:nsid w:val="9F2D152F"/>
    <w:multiLevelType w:val="singleLevel"/>
    <w:tmpl w:val="9F2D152F"/>
    <w:lvl w:ilvl="0" w:tentative="0">
      <w:start w:val="1"/>
      <w:numFmt w:val="decimal"/>
      <w:suff w:val="space"/>
      <w:lvlText w:val="%1."/>
      <w:lvlJc w:val="left"/>
      <w:rPr>
        <w:rFonts w:cs="Times New Roman"/>
      </w:rPr>
    </w:lvl>
  </w:abstractNum>
  <w:abstractNum w:abstractNumId="60">
    <w:nsid w:val="9FA993A2"/>
    <w:multiLevelType w:val="singleLevel"/>
    <w:tmpl w:val="9FA993A2"/>
    <w:lvl w:ilvl="0" w:tentative="0">
      <w:start w:val="1"/>
      <w:numFmt w:val="decimal"/>
      <w:suff w:val="space"/>
      <w:lvlText w:val="%1."/>
      <w:lvlJc w:val="left"/>
      <w:rPr>
        <w:rFonts w:cs="Times New Roman"/>
      </w:rPr>
    </w:lvl>
  </w:abstractNum>
  <w:abstractNum w:abstractNumId="61">
    <w:nsid w:val="A07C2AD5"/>
    <w:multiLevelType w:val="singleLevel"/>
    <w:tmpl w:val="A07C2AD5"/>
    <w:lvl w:ilvl="0" w:tentative="0">
      <w:start w:val="1"/>
      <w:numFmt w:val="decimal"/>
      <w:suff w:val="space"/>
      <w:lvlText w:val="%1."/>
      <w:lvlJc w:val="left"/>
    </w:lvl>
  </w:abstractNum>
  <w:abstractNum w:abstractNumId="62">
    <w:nsid w:val="A0C6F10A"/>
    <w:multiLevelType w:val="singleLevel"/>
    <w:tmpl w:val="A0C6F10A"/>
    <w:lvl w:ilvl="0" w:tentative="0">
      <w:start w:val="1"/>
      <w:numFmt w:val="decimal"/>
      <w:suff w:val="space"/>
      <w:lvlText w:val="%1."/>
      <w:lvlJc w:val="left"/>
      <w:rPr>
        <w:rFonts w:cs="Times New Roman"/>
      </w:rPr>
    </w:lvl>
  </w:abstractNum>
  <w:abstractNum w:abstractNumId="63">
    <w:nsid w:val="A182AE77"/>
    <w:multiLevelType w:val="singleLevel"/>
    <w:tmpl w:val="A182AE77"/>
    <w:lvl w:ilvl="0" w:tentative="0">
      <w:start w:val="1"/>
      <w:numFmt w:val="decimal"/>
      <w:suff w:val="space"/>
      <w:lvlText w:val="%1."/>
      <w:lvlJc w:val="left"/>
      <w:rPr>
        <w:rFonts w:cs="Times New Roman"/>
      </w:rPr>
    </w:lvl>
  </w:abstractNum>
  <w:abstractNum w:abstractNumId="64">
    <w:nsid w:val="A34DBEFF"/>
    <w:multiLevelType w:val="singleLevel"/>
    <w:tmpl w:val="A34DBEFF"/>
    <w:lvl w:ilvl="0" w:tentative="0">
      <w:start w:val="1"/>
      <w:numFmt w:val="decimal"/>
      <w:suff w:val="space"/>
      <w:lvlText w:val="%1."/>
      <w:lvlJc w:val="left"/>
      <w:rPr>
        <w:rFonts w:cs="Times New Roman"/>
      </w:rPr>
    </w:lvl>
  </w:abstractNum>
  <w:abstractNum w:abstractNumId="65">
    <w:nsid w:val="A357B9D7"/>
    <w:multiLevelType w:val="singleLevel"/>
    <w:tmpl w:val="A357B9D7"/>
    <w:lvl w:ilvl="0" w:tentative="0">
      <w:start w:val="1"/>
      <w:numFmt w:val="decimal"/>
      <w:suff w:val="space"/>
      <w:lvlText w:val="%1."/>
      <w:lvlJc w:val="left"/>
      <w:rPr>
        <w:rFonts w:cs="Times New Roman"/>
      </w:rPr>
    </w:lvl>
  </w:abstractNum>
  <w:abstractNum w:abstractNumId="66">
    <w:nsid w:val="A36194B7"/>
    <w:multiLevelType w:val="singleLevel"/>
    <w:tmpl w:val="A36194B7"/>
    <w:lvl w:ilvl="0" w:tentative="0">
      <w:start w:val="1"/>
      <w:numFmt w:val="decimal"/>
      <w:suff w:val="space"/>
      <w:lvlText w:val="%1."/>
      <w:lvlJc w:val="left"/>
      <w:rPr>
        <w:rFonts w:cs="Times New Roman"/>
      </w:rPr>
    </w:lvl>
  </w:abstractNum>
  <w:abstractNum w:abstractNumId="67">
    <w:nsid w:val="A5244DD9"/>
    <w:multiLevelType w:val="singleLevel"/>
    <w:tmpl w:val="A5244DD9"/>
    <w:lvl w:ilvl="0" w:tentative="0">
      <w:start w:val="1"/>
      <w:numFmt w:val="decimal"/>
      <w:suff w:val="space"/>
      <w:lvlText w:val="%1."/>
      <w:lvlJc w:val="left"/>
      <w:rPr>
        <w:rFonts w:cs="Times New Roman"/>
      </w:rPr>
    </w:lvl>
  </w:abstractNum>
  <w:abstractNum w:abstractNumId="68">
    <w:nsid w:val="A5CCA45C"/>
    <w:multiLevelType w:val="singleLevel"/>
    <w:tmpl w:val="A5CCA45C"/>
    <w:lvl w:ilvl="0" w:tentative="0">
      <w:start w:val="1"/>
      <w:numFmt w:val="decimal"/>
      <w:suff w:val="space"/>
      <w:lvlText w:val="%1."/>
      <w:lvlJc w:val="left"/>
      <w:rPr>
        <w:rFonts w:cs="Times New Roman"/>
      </w:rPr>
    </w:lvl>
  </w:abstractNum>
  <w:abstractNum w:abstractNumId="69">
    <w:nsid w:val="A626758F"/>
    <w:multiLevelType w:val="singleLevel"/>
    <w:tmpl w:val="A626758F"/>
    <w:lvl w:ilvl="0" w:tentative="0">
      <w:start w:val="1"/>
      <w:numFmt w:val="decimal"/>
      <w:suff w:val="space"/>
      <w:lvlText w:val="%1."/>
      <w:lvlJc w:val="left"/>
    </w:lvl>
  </w:abstractNum>
  <w:abstractNum w:abstractNumId="70">
    <w:nsid w:val="A6960223"/>
    <w:multiLevelType w:val="singleLevel"/>
    <w:tmpl w:val="A6960223"/>
    <w:lvl w:ilvl="0" w:tentative="0">
      <w:start w:val="1"/>
      <w:numFmt w:val="decimal"/>
      <w:suff w:val="space"/>
      <w:lvlText w:val="%1."/>
      <w:lvlJc w:val="left"/>
      <w:rPr>
        <w:rFonts w:cs="Times New Roman"/>
      </w:rPr>
    </w:lvl>
  </w:abstractNum>
  <w:abstractNum w:abstractNumId="71">
    <w:nsid w:val="A6C76CE4"/>
    <w:multiLevelType w:val="singleLevel"/>
    <w:tmpl w:val="A6C76CE4"/>
    <w:lvl w:ilvl="0" w:tentative="0">
      <w:start w:val="1"/>
      <w:numFmt w:val="decimal"/>
      <w:suff w:val="space"/>
      <w:lvlText w:val="%1."/>
      <w:lvlJc w:val="left"/>
      <w:rPr>
        <w:rFonts w:cs="Times New Roman"/>
      </w:rPr>
    </w:lvl>
  </w:abstractNum>
  <w:abstractNum w:abstractNumId="72">
    <w:nsid w:val="A7819EC8"/>
    <w:multiLevelType w:val="singleLevel"/>
    <w:tmpl w:val="A7819EC8"/>
    <w:lvl w:ilvl="0" w:tentative="0">
      <w:start w:val="1"/>
      <w:numFmt w:val="decimal"/>
      <w:suff w:val="space"/>
      <w:lvlText w:val="%1."/>
      <w:lvlJc w:val="left"/>
    </w:lvl>
  </w:abstractNum>
  <w:abstractNum w:abstractNumId="73">
    <w:nsid w:val="A7B5521E"/>
    <w:multiLevelType w:val="singleLevel"/>
    <w:tmpl w:val="A7B5521E"/>
    <w:lvl w:ilvl="0" w:tentative="0">
      <w:start w:val="1"/>
      <w:numFmt w:val="decimal"/>
      <w:suff w:val="space"/>
      <w:lvlText w:val="%1."/>
      <w:lvlJc w:val="left"/>
      <w:rPr>
        <w:rFonts w:cs="Times New Roman"/>
      </w:rPr>
    </w:lvl>
  </w:abstractNum>
  <w:abstractNum w:abstractNumId="74">
    <w:nsid w:val="A832B7A4"/>
    <w:multiLevelType w:val="singleLevel"/>
    <w:tmpl w:val="A832B7A4"/>
    <w:lvl w:ilvl="0" w:tentative="0">
      <w:start w:val="1"/>
      <w:numFmt w:val="decimal"/>
      <w:suff w:val="space"/>
      <w:lvlText w:val="%1."/>
      <w:lvlJc w:val="left"/>
      <w:rPr>
        <w:rFonts w:cs="Times New Roman"/>
      </w:rPr>
    </w:lvl>
  </w:abstractNum>
  <w:abstractNum w:abstractNumId="75">
    <w:nsid w:val="A9189A25"/>
    <w:multiLevelType w:val="singleLevel"/>
    <w:tmpl w:val="A9189A25"/>
    <w:lvl w:ilvl="0" w:tentative="0">
      <w:start w:val="1"/>
      <w:numFmt w:val="decimal"/>
      <w:suff w:val="space"/>
      <w:lvlText w:val="%1."/>
      <w:lvlJc w:val="left"/>
      <w:rPr>
        <w:rFonts w:cs="Times New Roman"/>
      </w:rPr>
    </w:lvl>
  </w:abstractNum>
  <w:abstractNum w:abstractNumId="76">
    <w:nsid w:val="A93718F1"/>
    <w:multiLevelType w:val="singleLevel"/>
    <w:tmpl w:val="A93718F1"/>
    <w:lvl w:ilvl="0" w:tentative="0">
      <w:start w:val="1"/>
      <w:numFmt w:val="decimal"/>
      <w:suff w:val="space"/>
      <w:lvlText w:val="%1."/>
      <w:lvlJc w:val="left"/>
      <w:rPr>
        <w:rFonts w:cs="Times New Roman"/>
      </w:rPr>
    </w:lvl>
  </w:abstractNum>
  <w:abstractNum w:abstractNumId="77">
    <w:nsid w:val="A9CC5541"/>
    <w:multiLevelType w:val="singleLevel"/>
    <w:tmpl w:val="A9CC5541"/>
    <w:lvl w:ilvl="0" w:tentative="0">
      <w:start w:val="1"/>
      <w:numFmt w:val="decimal"/>
      <w:suff w:val="space"/>
      <w:lvlText w:val="%1."/>
      <w:lvlJc w:val="left"/>
    </w:lvl>
  </w:abstractNum>
  <w:abstractNum w:abstractNumId="78">
    <w:nsid w:val="AA45AB62"/>
    <w:multiLevelType w:val="singleLevel"/>
    <w:tmpl w:val="AA45AB62"/>
    <w:lvl w:ilvl="0" w:tentative="0">
      <w:start w:val="1"/>
      <w:numFmt w:val="decimal"/>
      <w:suff w:val="space"/>
      <w:lvlText w:val="%1."/>
      <w:lvlJc w:val="left"/>
      <w:rPr>
        <w:rFonts w:cs="Times New Roman"/>
      </w:rPr>
    </w:lvl>
  </w:abstractNum>
  <w:abstractNum w:abstractNumId="79">
    <w:nsid w:val="AACEEB59"/>
    <w:multiLevelType w:val="singleLevel"/>
    <w:tmpl w:val="AACEEB59"/>
    <w:lvl w:ilvl="0" w:tentative="0">
      <w:start w:val="1"/>
      <w:numFmt w:val="decimal"/>
      <w:suff w:val="space"/>
      <w:lvlText w:val="%1."/>
      <w:lvlJc w:val="left"/>
      <w:rPr>
        <w:rFonts w:cs="Times New Roman"/>
      </w:rPr>
    </w:lvl>
  </w:abstractNum>
  <w:abstractNum w:abstractNumId="80">
    <w:nsid w:val="AB4CC0C3"/>
    <w:multiLevelType w:val="singleLevel"/>
    <w:tmpl w:val="AB4CC0C3"/>
    <w:lvl w:ilvl="0" w:tentative="0">
      <w:start w:val="1"/>
      <w:numFmt w:val="decimal"/>
      <w:suff w:val="space"/>
      <w:lvlText w:val="%1."/>
      <w:lvlJc w:val="left"/>
    </w:lvl>
  </w:abstractNum>
  <w:abstractNum w:abstractNumId="81">
    <w:nsid w:val="AB59B29E"/>
    <w:multiLevelType w:val="singleLevel"/>
    <w:tmpl w:val="AB59B29E"/>
    <w:lvl w:ilvl="0" w:tentative="0">
      <w:start w:val="1"/>
      <w:numFmt w:val="decimal"/>
      <w:suff w:val="space"/>
      <w:lvlText w:val="%1."/>
      <w:lvlJc w:val="left"/>
    </w:lvl>
  </w:abstractNum>
  <w:abstractNum w:abstractNumId="82">
    <w:nsid w:val="AC502758"/>
    <w:multiLevelType w:val="singleLevel"/>
    <w:tmpl w:val="AC502758"/>
    <w:lvl w:ilvl="0" w:tentative="0">
      <w:start w:val="1"/>
      <w:numFmt w:val="decimal"/>
      <w:suff w:val="space"/>
      <w:lvlText w:val="%1."/>
      <w:lvlJc w:val="left"/>
    </w:lvl>
  </w:abstractNum>
  <w:abstractNum w:abstractNumId="83">
    <w:nsid w:val="AC71DF18"/>
    <w:multiLevelType w:val="singleLevel"/>
    <w:tmpl w:val="AC71DF18"/>
    <w:lvl w:ilvl="0" w:tentative="0">
      <w:start w:val="1"/>
      <w:numFmt w:val="decimal"/>
      <w:suff w:val="space"/>
      <w:lvlText w:val="%1."/>
      <w:lvlJc w:val="left"/>
      <w:rPr>
        <w:rFonts w:cs="Times New Roman"/>
      </w:rPr>
    </w:lvl>
  </w:abstractNum>
  <w:abstractNum w:abstractNumId="84">
    <w:nsid w:val="ACB32FE8"/>
    <w:multiLevelType w:val="singleLevel"/>
    <w:tmpl w:val="ACB32FE8"/>
    <w:lvl w:ilvl="0" w:tentative="0">
      <w:start w:val="1"/>
      <w:numFmt w:val="decimal"/>
      <w:suff w:val="space"/>
      <w:lvlText w:val="%1."/>
      <w:lvlJc w:val="left"/>
    </w:lvl>
  </w:abstractNum>
  <w:abstractNum w:abstractNumId="85">
    <w:nsid w:val="AD18F625"/>
    <w:multiLevelType w:val="singleLevel"/>
    <w:tmpl w:val="AD18F625"/>
    <w:lvl w:ilvl="0" w:tentative="0">
      <w:start w:val="1"/>
      <w:numFmt w:val="decimal"/>
      <w:suff w:val="space"/>
      <w:lvlText w:val="%1."/>
      <w:lvlJc w:val="left"/>
    </w:lvl>
  </w:abstractNum>
  <w:abstractNum w:abstractNumId="86">
    <w:nsid w:val="AD295AD1"/>
    <w:multiLevelType w:val="singleLevel"/>
    <w:tmpl w:val="AD295AD1"/>
    <w:lvl w:ilvl="0" w:tentative="0">
      <w:start w:val="1"/>
      <w:numFmt w:val="decimal"/>
      <w:suff w:val="space"/>
      <w:lvlText w:val="%1."/>
      <w:lvlJc w:val="left"/>
      <w:rPr>
        <w:rFonts w:cs="Times New Roman"/>
      </w:rPr>
    </w:lvl>
  </w:abstractNum>
  <w:abstractNum w:abstractNumId="87">
    <w:nsid w:val="AD53CA3C"/>
    <w:multiLevelType w:val="singleLevel"/>
    <w:tmpl w:val="AD53CA3C"/>
    <w:lvl w:ilvl="0" w:tentative="0">
      <w:start w:val="1"/>
      <w:numFmt w:val="decimal"/>
      <w:suff w:val="space"/>
      <w:lvlText w:val="%1."/>
      <w:lvlJc w:val="left"/>
    </w:lvl>
  </w:abstractNum>
  <w:abstractNum w:abstractNumId="88">
    <w:nsid w:val="AE3341B1"/>
    <w:multiLevelType w:val="singleLevel"/>
    <w:tmpl w:val="AE3341B1"/>
    <w:lvl w:ilvl="0" w:tentative="0">
      <w:start w:val="1"/>
      <w:numFmt w:val="decimal"/>
      <w:suff w:val="space"/>
      <w:lvlText w:val="%1."/>
      <w:lvlJc w:val="left"/>
    </w:lvl>
  </w:abstractNum>
  <w:abstractNum w:abstractNumId="89">
    <w:nsid w:val="AEAC4628"/>
    <w:multiLevelType w:val="singleLevel"/>
    <w:tmpl w:val="AEAC4628"/>
    <w:lvl w:ilvl="0" w:tentative="0">
      <w:start w:val="1"/>
      <w:numFmt w:val="decimal"/>
      <w:suff w:val="space"/>
      <w:lvlText w:val="%1."/>
      <w:lvlJc w:val="left"/>
      <w:rPr>
        <w:rFonts w:cs="Times New Roman"/>
      </w:rPr>
    </w:lvl>
  </w:abstractNum>
  <w:abstractNum w:abstractNumId="90">
    <w:nsid w:val="AFD8A54F"/>
    <w:multiLevelType w:val="singleLevel"/>
    <w:tmpl w:val="AFD8A54F"/>
    <w:lvl w:ilvl="0" w:tentative="0">
      <w:start w:val="1"/>
      <w:numFmt w:val="decimal"/>
      <w:suff w:val="nothing"/>
      <w:lvlText w:val="（%1）"/>
      <w:lvlJc w:val="left"/>
    </w:lvl>
  </w:abstractNum>
  <w:abstractNum w:abstractNumId="91">
    <w:nsid w:val="B00709B0"/>
    <w:multiLevelType w:val="singleLevel"/>
    <w:tmpl w:val="B00709B0"/>
    <w:lvl w:ilvl="0" w:tentative="0">
      <w:start w:val="1"/>
      <w:numFmt w:val="decimal"/>
      <w:suff w:val="space"/>
      <w:lvlText w:val="%1."/>
      <w:lvlJc w:val="left"/>
      <w:rPr>
        <w:rFonts w:cs="Times New Roman"/>
      </w:rPr>
    </w:lvl>
  </w:abstractNum>
  <w:abstractNum w:abstractNumId="92">
    <w:nsid w:val="B134FFA1"/>
    <w:multiLevelType w:val="singleLevel"/>
    <w:tmpl w:val="B134FFA1"/>
    <w:lvl w:ilvl="0" w:tentative="0">
      <w:start w:val="1"/>
      <w:numFmt w:val="decimal"/>
      <w:suff w:val="space"/>
      <w:lvlText w:val="%1."/>
      <w:lvlJc w:val="left"/>
    </w:lvl>
  </w:abstractNum>
  <w:abstractNum w:abstractNumId="93">
    <w:nsid w:val="B2245F5A"/>
    <w:multiLevelType w:val="singleLevel"/>
    <w:tmpl w:val="B2245F5A"/>
    <w:lvl w:ilvl="0" w:tentative="0">
      <w:start w:val="1"/>
      <w:numFmt w:val="decimal"/>
      <w:lvlText w:val="%1."/>
      <w:lvlJc w:val="left"/>
      <w:pPr>
        <w:tabs>
          <w:tab w:val="left" w:pos="312"/>
        </w:tabs>
      </w:pPr>
    </w:lvl>
  </w:abstractNum>
  <w:abstractNum w:abstractNumId="94">
    <w:nsid w:val="B2680D85"/>
    <w:multiLevelType w:val="singleLevel"/>
    <w:tmpl w:val="B2680D85"/>
    <w:lvl w:ilvl="0" w:tentative="0">
      <w:start w:val="1"/>
      <w:numFmt w:val="decimal"/>
      <w:suff w:val="space"/>
      <w:lvlText w:val="%1."/>
      <w:lvlJc w:val="left"/>
      <w:rPr>
        <w:rFonts w:cs="Times New Roman"/>
      </w:rPr>
    </w:lvl>
  </w:abstractNum>
  <w:abstractNum w:abstractNumId="95">
    <w:nsid w:val="B29AF1F4"/>
    <w:multiLevelType w:val="singleLevel"/>
    <w:tmpl w:val="B29AF1F4"/>
    <w:lvl w:ilvl="0" w:tentative="0">
      <w:start w:val="1"/>
      <w:numFmt w:val="decimal"/>
      <w:suff w:val="space"/>
      <w:lvlText w:val="%1."/>
      <w:lvlJc w:val="left"/>
      <w:rPr>
        <w:rFonts w:cs="Times New Roman"/>
      </w:rPr>
    </w:lvl>
  </w:abstractNum>
  <w:abstractNum w:abstractNumId="96">
    <w:nsid w:val="B2AC2E65"/>
    <w:multiLevelType w:val="singleLevel"/>
    <w:tmpl w:val="B2AC2E65"/>
    <w:lvl w:ilvl="0" w:tentative="0">
      <w:start w:val="1"/>
      <w:numFmt w:val="decimal"/>
      <w:suff w:val="space"/>
      <w:lvlText w:val="%1."/>
      <w:lvlJc w:val="left"/>
      <w:rPr>
        <w:rFonts w:cs="Times New Roman"/>
      </w:rPr>
    </w:lvl>
  </w:abstractNum>
  <w:abstractNum w:abstractNumId="97">
    <w:nsid w:val="B3A2906A"/>
    <w:multiLevelType w:val="singleLevel"/>
    <w:tmpl w:val="B3A2906A"/>
    <w:lvl w:ilvl="0" w:tentative="0">
      <w:start w:val="1"/>
      <w:numFmt w:val="decimal"/>
      <w:suff w:val="space"/>
      <w:lvlText w:val="%1."/>
      <w:lvlJc w:val="left"/>
      <w:rPr>
        <w:rFonts w:cs="Times New Roman"/>
      </w:rPr>
    </w:lvl>
  </w:abstractNum>
  <w:abstractNum w:abstractNumId="98">
    <w:nsid w:val="B4074987"/>
    <w:multiLevelType w:val="singleLevel"/>
    <w:tmpl w:val="B4074987"/>
    <w:lvl w:ilvl="0" w:tentative="0">
      <w:start w:val="1"/>
      <w:numFmt w:val="decimal"/>
      <w:suff w:val="space"/>
      <w:lvlText w:val="%1."/>
      <w:lvlJc w:val="left"/>
      <w:rPr>
        <w:rFonts w:cs="Times New Roman"/>
      </w:rPr>
    </w:lvl>
  </w:abstractNum>
  <w:abstractNum w:abstractNumId="99">
    <w:nsid w:val="B47977F0"/>
    <w:multiLevelType w:val="singleLevel"/>
    <w:tmpl w:val="B47977F0"/>
    <w:lvl w:ilvl="0" w:tentative="0">
      <w:start w:val="1"/>
      <w:numFmt w:val="decimal"/>
      <w:suff w:val="space"/>
      <w:lvlText w:val="%1."/>
      <w:lvlJc w:val="left"/>
      <w:rPr>
        <w:rFonts w:cs="Times New Roman"/>
      </w:rPr>
    </w:lvl>
  </w:abstractNum>
  <w:abstractNum w:abstractNumId="100">
    <w:nsid w:val="B55DC1A2"/>
    <w:multiLevelType w:val="singleLevel"/>
    <w:tmpl w:val="B55DC1A2"/>
    <w:lvl w:ilvl="0" w:tentative="0">
      <w:start w:val="1"/>
      <w:numFmt w:val="decimal"/>
      <w:suff w:val="space"/>
      <w:lvlText w:val="%1."/>
      <w:lvlJc w:val="left"/>
      <w:rPr>
        <w:rFonts w:cs="Times New Roman"/>
      </w:rPr>
    </w:lvl>
  </w:abstractNum>
  <w:abstractNum w:abstractNumId="101">
    <w:nsid w:val="B57ECE79"/>
    <w:multiLevelType w:val="singleLevel"/>
    <w:tmpl w:val="B57ECE79"/>
    <w:lvl w:ilvl="0" w:tentative="0">
      <w:start w:val="1"/>
      <w:numFmt w:val="decimal"/>
      <w:suff w:val="space"/>
      <w:lvlText w:val="%1."/>
      <w:lvlJc w:val="left"/>
    </w:lvl>
  </w:abstractNum>
  <w:abstractNum w:abstractNumId="102">
    <w:nsid w:val="B5BB9B3D"/>
    <w:multiLevelType w:val="singleLevel"/>
    <w:tmpl w:val="B5BB9B3D"/>
    <w:lvl w:ilvl="0" w:tentative="0">
      <w:start w:val="1"/>
      <w:numFmt w:val="decimal"/>
      <w:suff w:val="space"/>
      <w:lvlText w:val="%1."/>
      <w:lvlJc w:val="left"/>
      <w:rPr>
        <w:rFonts w:cs="Times New Roman"/>
      </w:rPr>
    </w:lvl>
  </w:abstractNum>
  <w:abstractNum w:abstractNumId="103">
    <w:nsid w:val="B6786467"/>
    <w:multiLevelType w:val="singleLevel"/>
    <w:tmpl w:val="B6786467"/>
    <w:lvl w:ilvl="0" w:tentative="0">
      <w:start w:val="1"/>
      <w:numFmt w:val="decimal"/>
      <w:suff w:val="space"/>
      <w:lvlText w:val="%1."/>
      <w:lvlJc w:val="left"/>
    </w:lvl>
  </w:abstractNum>
  <w:abstractNum w:abstractNumId="104">
    <w:nsid w:val="B69A196D"/>
    <w:multiLevelType w:val="singleLevel"/>
    <w:tmpl w:val="B69A196D"/>
    <w:lvl w:ilvl="0" w:tentative="0">
      <w:start w:val="1"/>
      <w:numFmt w:val="decimal"/>
      <w:suff w:val="space"/>
      <w:lvlText w:val="%1."/>
      <w:lvlJc w:val="left"/>
      <w:rPr>
        <w:rFonts w:cs="Times New Roman"/>
      </w:rPr>
    </w:lvl>
  </w:abstractNum>
  <w:abstractNum w:abstractNumId="105">
    <w:nsid w:val="B6B53C86"/>
    <w:multiLevelType w:val="singleLevel"/>
    <w:tmpl w:val="B6B53C86"/>
    <w:lvl w:ilvl="0" w:tentative="0">
      <w:start w:val="1"/>
      <w:numFmt w:val="decimal"/>
      <w:suff w:val="space"/>
      <w:lvlText w:val="%1."/>
      <w:lvlJc w:val="left"/>
      <w:rPr>
        <w:rFonts w:cs="Times New Roman"/>
      </w:rPr>
    </w:lvl>
  </w:abstractNum>
  <w:abstractNum w:abstractNumId="106">
    <w:nsid w:val="B6C858F5"/>
    <w:multiLevelType w:val="singleLevel"/>
    <w:tmpl w:val="B6C858F5"/>
    <w:lvl w:ilvl="0" w:tentative="0">
      <w:start w:val="1"/>
      <w:numFmt w:val="decimal"/>
      <w:suff w:val="space"/>
      <w:lvlText w:val="%1."/>
      <w:lvlJc w:val="left"/>
    </w:lvl>
  </w:abstractNum>
  <w:abstractNum w:abstractNumId="107">
    <w:nsid w:val="B729AA6E"/>
    <w:multiLevelType w:val="singleLevel"/>
    <w:tmpl w:val="B729AA6E"/>
    <w:lvl w:ilvl="0" w:tentative="0">
      <w:start w:val="1"/>
      <w:numFmt w:val="decimal"/>
      <w:suff w:val="space"/>
      <w:lvlText w:val="%1."/>
      <w:lvlJc w:val="left"/>
    </w:lvl>
  </w:abstractNum>
  <w:abstractNum w:abstractNumId="108">
    <w:nsid w:val="B76C0BBB"/>
    <w:multiLevelType w:val="singleLevel"/>
    <w:tmpl w:val="B76C0BBB"/>
    <w:lvl w:ilvl="0" w:tentative="0">
      <w:start w:val="1"/>
      <w:numFmt w:val="decimal"/>
      <w:lvlText w:val="%1."/>
      <w:lvlJc w:val="left"/>
      <w:pPr>
        <w:tabs>
          <w:tab w:val="left" w:pos="312"/>
        </w:tabs>
      </w:pPr>
    </w:lvl>
  </w:abstractNum>
  <w:abstractNum w:abstractNumId="109">
    <w:nsid w:val="B8D7A000"/>
    <w:multiLevelType w:val="singleLevel"/>
    <w:tmpl w:val="B8D7A000"/>
    <w:lvl w:ilvl="0" w:tentative="0">
      <w:start w:val="1"/>
      <w:numFmt w:val="decimal"/>
      <w:lvlText w:val="%1."/>
      <w:lvlJc w:val="left"/>
      <w:pPr>
        <w:tabs>
          <w:tab w:val="left" w:pos="312"/>
        </w:tabs>
      </w:pPr>
      <w:rPr>
        <w:rFonts w:cs="Times New Roman"/>
      </w:rPr>
    </w:lvl>
  </w:abstractNum>
  <w:abstractNum w:abstractNumId="110">
    <w:nsid w:val="B92C1C69"/>
    <w:multiLevelType w:val="singleLevel"/>
    <w:tmpl w:val="B92C1C69"/>
    <w:lvl w:ilvl="0" w:tentative="0">
      <w:start w:val="1"/>
      <w:numFmt w:val="decimal"/>
      <w:suff w:val="space"/>
      <w:lvlText w:val="%1."/>
      <w:lvlJc w:val="left"/>
      <w:rPr>
        <w:rFonts w:cs="Times New Roman"/>
      </w:rPr>
    </w:lvl>
  </w:abstractNum>
  <w:abstractNum w:abstractNumId="111">
    <w:nsid w:val="B934047D"/>
    <w:multiLevelType w:val="singleLevel"/>
    <w:tmpl w:val="B934047D"/>
    <w:lvl w:ilvl="0" w:tentative="0">
      <w:start w:val="1"/>
      <w:numFmt w:val="decimal"/>
      <w:suff w:val="space"/>
      <w:lvlText w:val="%1."/>
      <w:lvlJc w:val="left"/>
      <w:rPr>
        <w:rFonts w:cs="Times New Roman"/>
      </w:rPr>
    </w:lvl>
  </w:abstractNum>
  <w:abstractNum w:abstractNumId="112">
    <w:nsid w:val="B93615FB"/>
    <w:multiLevelType w:val="singleLevel"/>
    <w:tmpl w:val="B93615FB"/>
    <w:lvl w:ilvl="0" w:tentative="0">
      <w:start w:val="1"/>
      <w:numFmt w:val="decimal"/>
      <w:suff w:val="space"/>
      <w:lvlText w:val="%1."/>
      <w:lvlJc w:val="left"/>
      <w:rPr>
        <w:rFonts w:cs="Times New Roman"/>
      </w:rPr>
    </w:lvl>
  </w:abstractNum>
  <w:abstractNum w:abstractNumId="113">
    <w:nsid w:val="B9CA549E"/>
    <w:multiLevelType w:val="singleLevel"/>
    <w:tmpl w:val="B9CA549E"/>
    <w:lvl w:ilvl="0" w:tentative="0">
      <w:start w:val="1"/>
      <w:numFmt w:val="decimal"/>
      <w:suff w:val="space"/>
      <w:lvlText w:val="%1."/>
      <w:lvlJc w:val="left"/>
    </w:lvl>
  </w:abstractNum>
  <w:abstractNum w:abstractNumId="114">
    <w:nsid w:val="BA905052"/>
    <w:multiLevelType w:val="singleLevel"/>
    <w:tmpl w:val="BA905052"/>
    <w:lvl w:ilvl="0" w:tentative="0">
      <w:start w:val="1"/>
      <w:numFmt w:val="decimal"/>
      <w:suff w:val="space"/>
      <w:lvlText w:val="%1."/>
      <w:lvlJc w:val="left"/>
    </w:lvl>
  </w:abstractNum>
  <w:abstractNum w:abstractNumId="115">
    <w:nsid w:val="BAA53F61"/>
    <w:multiLevelType w:val="singleLevel"/>
    <w:tmpl w:val="BAA53F61"/>
    <w:lvl w:ilvl="0" w:tentative="0">
      <w:start w:val="1"/>
      <w:numFmt w:val="decimal"/>
      <w:suff w:val="space"/>
      <w:lvlText w:val="%1."/>
      <w:lvlJc w:val="left"/>
    </w:lvl>
  </w:abstractNum>
  <w:abstractNum w:abstractNumId="116">
    <w:nsid w:val="BB8708BE"/>
    <w:multiLevelType w:val="singleLevel"/>
    <w:tmpl w:val="BB8708BE"/>
    <w:lvl w:ilvl="0" w:tentative="0">
      <w:start w:val="1"/>
      <w:numFmt w:val="decimal"/>
      <w:suff w:val="space"/>
      <w:lvlText w:val="%1."/>
      <w:lvlJc w:val="left"/>
      <w:rPr>
        <w:rFonts w:cs="Times New Roman"/>
      </w:rPr>
    </w:lvl>
  </w:abstractNum>
  <w:abstractNum w:abstractNumId="117">
    <w:nsid w:val="BBA5FC29"/>
    <w:multiLevelType w:val="singleLevel"/>
    <w:tmpl w:val="BBA5FC29"/>
    <w:lvl w:ilvl="0" w:tentative="0">
      <w:start w:val="1"/>
      <w:numFmt w:val="decimal"/>
      <w:suff w:val="space"/>
      <w:lvlText w:val="%1."/>
      <w:lvlJc w:val="left"/>
    </w:lvl>
  </w:abstractNum>
  <w:abstractNum w:abstractNumId="118">
    <w:nsid w:val="BC723F26"/>
    <w:multiLevelType w:val="singleLevel"/>
    <w:tmpl w:val="BC723F26"/>
    <w:lvl w:ilvl="0" w:tentative="0">
      <w:start w:val="1"/>
      <w:numFmt w:val="decimal"/>
      <w:suff w:val="space"/>
      <w:lvlText w:val="%1."/>
      <w:lvlJc w:val="left"/>
      <w:rPr>
        <w:rFonts w:cs="Times New Roman"/>
      </w:rPr>
    </w:lvl>
  </w:abstractNum>
  <w:abstractNum w:abstractNumId="119">
    <w:nsid w:val="BC98C400"/>
    <w:multiLevelType w:val="singleLevel"/>
    <w:tmpl w:val="BC98C400"/>
    <w:lvl w:ilvl="0" w:tentative="0">
      <w:start w:val="1"/>
      <w:numFmt w:val="decimal"/>
      <w:suff w:val="space"/>
      <w:lvlText w:val="%1."/>
      <w:lvlJc w:val="left"/>
      <w:rPr>
        <w:rFonts w:cs="Times New Roman"/>
      </w:rPr>
    </w:lvl>
  </w:abstractNum>
  <w:abstractNum w:abstractNumId="120">
    <w:nsid w:val="BCAAB249"/>
    <w:multiLevelType w:val="singleLevel"/>
    <w:tmpl w:val="BCAAB249"/>
    <w:lvl w:ilvl="0" w:tentative="0">
      <w:start w:val="1"/>
      <w:numFmt w:val="decimal"/>
      <w:suff w:val="space"/>
      <w:lvlText w:val="%1."/>
      <w:lvlJc w:val="left"/>
      <w:rPr>
        <w:rFonts w:cs="Times New Roman"/>
      </w:rPr>
    </w:lvl>
  </w:abstractNum>
  <w:abstractNum w:abstractNumId="121">
    <w:nsid w:val="BCDE7B4A"/>
    <w:multiLevelType w:val="singleLevel"/>
    <w:tmpl w:val="BCDE7B4A"/>
    <w:lvl w:ilvl="0" w:tentative="0">
      <w:start w:val="1"/>
      <w:numFmt w:val="decimal"/>
      <w:suff w:val="space"/>
      <w:lvlText w:val="%1."/>
      <w:lvlJc w:val="left"/>
      <w:rPr>
        <w:rFonts w:cs="Times New Roman"/>
      </w:rPr>
    </w:lvl>
  </w:abstractNum>
  <w:abstractNum w:abstractNumId="122">
    <w:nsid w:val="BD1E8472"/>
    <w:multiLevelType w:val="singleLevel"/>
    <w:tmpl w:val="BD1E8472"/>
    <w:lvl w:ilvl="0" w:tentative="0">
      <w:start w:val="1"/>
      <w:numFmt w:val="decimal"/>
      <w:suff w:val="space"/>
      <w:lvlText w:val="%1."/>
      <w:lvlJc w:val="left"/>
      <w:rPr>
        <w:rFonts w:cs="Times New Roman"/>
      </w:rPr>
    </w:lvl>
  </w:abstractNum>
  <w:abstractNum w:abstractNumId="123">
    <w:nsid w:val="BE8B12D2"/>
    <w:multiLevelType w:val="singleLevel"/>
    <w:tmpl w:val="BE8B12D2"/>
    <w:lvl w:ilvl="0" w:tentative="0">
      <w:start w:val="1"/>
      <w:numFmt w:val="decimal"/>
      <w:suff w:val="space"/>
      <w:lvlText w:val="%1."/>
      <w:lvlJc w:val="left"/>
      <w:rPr>
        <w:rFonts w:cs="Times New Roman"/>
      </w:rPr>
    </w:lvl>
  </w:abstractNum>
  <w:abstractNum w:abstractNumId="124">
    <w:nsid w:val="BECB6139"/>
    <w:multiLevelType w:val="singleLevel"/>
    <w:tmpl w:val="BECB6139"/>
    <w:lvl w:ilvl="0" w:tentative="0">
      <w:start w:val="1"/>
      <w:numFmt w:val="decimal"/>
      <w:suff w:val="space"/>
      <w:lvlText w:val="%1."/>
      <w:lvlJc w:val="left"/>
      <w:rPr>
        <w:rFonts w:cs="Times New Roman"/>
      </w:rPr>
    </w:lvl>
  </w:abstractNum>
  <w:abstractNum w:abstractNumId="125">
    <w:nsid w:val="BEF0F5B7"/>
    <w:multiLevelType w:val="singleLevel"/>
    <w:tmpl w:val="BEF0F5B7"/>
    <w:lvl w:ilvl="0" w:tentative="0">
      <w:start w:val="1"/>
      <w:numFmt w:val="decimal"/>
      <w:suff w:val="space"/>
      <w:lvlText w:val="%1."/>
      <w:lvlJc w:val="left"/>
      <w:rPr>
        <w:rFonts w:cs="Times New Roman"/>
      </w:rPr>
    </w:lvl>
  </w:abstractNum>
  <w:abstractNum w:abstractNumId="126">
    <w:nsid w:val="BF804C9F"/>
    <w:multiLevelType w:val="singleLevel"/>
    <w:tmpl w:val="BF804C9F"/>
    <w:lvl w:ilvl="0" w:tentative="0">
      <w:start w:val="1"/>
      <w:numFmt w:val="decimal"/>
      <w:suff w:val="space"/>
      <w:lvlText w:val="%1."/>
      <w:lvlJc w:val="left"/>
      <w:rPr>
        <w:rFonts w:cs="Times New Roman"/>
      </w:rPr>
    </w:lvl>
  </w:abstractNum>
  <w:abstractNum w:abstractNumId="127">
    <w:nsid w:val="C0114C0A"/>
    <w:multiLevelType w:val="singleLevel"/>
    <w:tmpl w:val="C0114C0A"/>
    <w:lvl w:ilvl="0" w:tentative="0">
      <w:start w:val="1"/>
      <w:numFmt w:val="decimal"/>
      <w:suff w:val="space"/>
      <w:lvlText w:val="%1."/>
      <w:lvlJc w:val="left"/>
      <w:rPr>
        <w:rFonts w:cs="Times New Roman"/>
      </w:rPr>
    </w:lvl>
  </w:abstractNum>
  <w:abstractNum w:abstractNumId="128">
    <w:nsid w:val="C03E9747"/>
    <w:multiLevelType w:val="singleLevel"/>
    <w:tmpl w:val="C03E9747"/>
    <w:lvl w:ilvl="0" w:tentative="0">
      <w:start w:val="1"/>
      <w:numFmt w:val="decimal"/>
      <w:suff w:val="space"/>
      <w:lvlText w:val="%1."/>
      <w:lvlJc w:val="left"/>
      <w:rPr>
        <w:rFonts w:cs="Times New Roman"/>
      </w:rPr>
    </w:lvl>
  </w:abstractNum>
  <w:abstractNum w:abstractNumId="129">
    <w:nsid w:val="C069A7E0"/>
    <w:multiLevelType w:val="singleLevel"/>
    <w:tmpl w:val="C069A7E0"/>
    <w:lvl w:ilvl="0" w:tentative="0">
      <w:start w:val="1"/>
      <w:numFmt w:val="decimal"/>
      <w:suff w:val="space"/>
      <w:lvlText w:val="%1."/>
      <w:lvlJc w:val="left"/>
      <w:rPr>
        <w:rFonts w:cs="Times New Roman"/>
      </w:rPr>
    </w:lvl>
  </w:abstractNum>
  <w:abstractNum w:abstractNumId="130">
    <w:nsid w:val="C1634C35"/>
    <w:multiLevelType w:val="singleLevel"/>
    <w:tmpl w:val="C1634C35"/>
    <w:lvl w:ilvl="0" w:tentative="0">
      <w:start w:val="1"/>
      <w:numFmt w:val="decimal"/>
      <w:suff w:val="space"/>
      <w:lvlText w:val="%1."/>
      <w:lvlJc w:val="left"/>
      <w:rPr>
        <w:rFonts w:cs="Times New Roman"/>
      </w:rPr>
    </w:lvl>
  </w:abstractNum>
  <w:abstractNum w:abstractNumId="131">
    <w:nsid w:val="C175F165"/>
    <w:multiLevelType w:val="singleLevel"/>
    <w:tmpl w:val="C175F165"/>
    <w:lvl w:ilvl="0" w:tentative="0">
      <w:start w:val="1"/>
      <w:numFmt w:val="decimal"/>
      <w:suff w:val="space"/>
      <w:lvlText w:val="%1."/>
      <w:lvlJc w:val="left"/>
      <w:rPr>
        <w:rFonts w:cs="Times New Roman"/>
      </w:rPr>
    </w:lvl>
  </w:abstractNum>
  <w:abstractNum w:abstractNumId="132">
    <w:nsid w:val="C19C3043"/>
    <w:multiLevelType w:val="singleLevel"/>
    <w:tmpl w:val="C19C3043"/>
    <w:lvl w:ilvl="0" w:tentative="0">
      <w:start w:val="1"/>
      <w:numFmt w:val="decimal"/>
      <w:suff w:val="space"/>
      <w:lvlText w:val="%1."/>
      <w:lvlJc w:val="left"/>
      <w:rPr>
        <w:rFonts w:cs="Times New Roman"/>
      </w:rPr>
    </w:lvl>
  </w:abstractNum>
  <w:abstractNum w:abstractNumId="133">
    <w:nsid w:val="C21E5D33"/>
    <w:multiLevelType w:val="singleLevel"/>
    <w:tmpl w:val="C21E5D33"/>
    <w:lvl w:ilvl="0" w:tentative="0">
      <w:start w:val="1"/>
      <w:numFmt w:val="decimal"/>
      <w:suff w:val="space"/>
      <w:lvlText w:val="%1."/>
      <w:lvlJc w:val="left"/>
      <w:rPr>
        <w:rFonts w:cs="Times New Roman"/>
      </w:rPr>
    </w:lvl>
  </w:abstractNum>
  <w:abstractNum w:abstractNumId="134">
    <w:nsid w:val="C22B8EDC"/>
    <w:multiLevelType w:val="singleLevel"/>
    <w:tmpl w:val="C22B8EDC"/>
    <w:lvl w:ilvl="0" w:tentative="0">
      <w:start w:val="1"/>
      <w:numFmt w:val="decimal"/>
      <w:suff w:val="space"/>
      <w:lvlText w:val="%1."/>
      <w:lvlJc w:val="left"/>
      <w:rPr>
        <w:rFonts w:cs="Times New Roman"/>
      </w:rPr>
    </w:lvl>
  </w:abstractNum>
  <w:abstractNum w:abstractNumId="135">
    <w:nsid w:val="C2876C0F"/>
    <w:multiLevelType w:val="singleLevel"/>
    <w:tmpl w:val="C2876C0F"/>
    <w:lvl w:ilvl="0" w:tentative="0">
      <w:start w:val="1"/>
      <w:numFmt w:val="decimal"/>
      <w:suff w:val="space"/>
      <w:lvlText w:val="%1."/>
      <w:lvlJc w:val="left"/>
      <w:rPr>
        <w:rFonts w:cs="Times New Roman"/>
      </w:rPr>
    </w:lvl>
  </w:abstractNum>
  <w:abstractNum w:abstractNumId="136">
    <w:nsid w:val="C2FE8A47"/>
    <w:multiLevelType w:val="singleLevel"/>
    <w:tmpl w:val="C2FE8A47"/>
    <w:lvl w:ilvl="0" w:tentative="0">
      <w:start w:val="1"/>
      <w:numFmt w:val="decimal"/>
      <w:suff w:val="space"/>
      <w:lvlText w:val="%1."/>
      <w:lvlJc w:val="left"/>
      <w:rPr>
        <w:rFonts w:cs="Times New Roman"/>
      </w:rPr>
    </w:lvl>
  </w:abstractNum>
  <w:abstractNum w:abstractNumId="137">
    <w:nsid w:val="C3375FED"/>
    <w:multiLevelType w:val="singleLevel"/>
    <w:tmpl w:val="C3375FED"/>
    <w:lvl w:ilvl="0" w:tentative="0">
      <w:start w:val="1"/>
      <w:numFmt w:val="decimal"/>
      <w:suff w:val="space"/>
      <w:lvlText w:val="%1."/>
      <w:lvlJc w:val="left"/>
      <w:rPr>
        <w:rFonts w:cs="Times New Roman"/>
      </w:rPr>
    </w:lvl>
  </w:abstractNum>
  <w:abstractNum w:abstractNumId="138">
    <w:nsid w:val="C383159F"/>
    <w:multiLevelType w:val="singleLevel"/>
    <w:tmpl w:val="C383159F"/>
    <w:lvl w:ilvl="0" w:tentative="0">
      <w:start w:val="1"/>
      <w:numFmt w:val="decimal"/>
      <w:suff w:val="space"/>
      <w:lvlText w:val="%1."/>
      <w:lvlJc w:val="left"/>
    </w:lvl>
  </w:abstractNum>
  <w:abstractNum w:abstractNumId="139">
    <w:nsid w:val="C3CD037F"/>
    <w:multiLevelType w:val="singleLevel"/>
    <w:tmpl w:val="C3CD037F"/>
    <w:lvl w:ilvl="0" w:tentative="0">
      <w:start w:val="1"/>
      <w:numFmt w:val="decimal"/>
      <w:suff w:val="space"/>
      <w:lvlText w:val="%1."/>
      <w:lvlJc w:val="left"/>
      <w:rPr>
        <w:rFonts w:cs="Times New Roman"/>
      </w:rPr>
    </w:lvl>
  </w:abstractNum>
  <w:abstractNum w:abstractNumId="140">
    <w:nsid w:val="C3CF7E61"/>
    <w:multiLevelType w:val="singleLevel"/>
    <w:tmpl w:val="C3CF7E61"/>
    <w:lvl w:ilvl="0" w:tentative="0">
      <w:start w:val="1"/>
      <w:numFmt w:val="decimal"/>
      <w:suff w:val="space"/>
      <w:lvlText w:val="%1."/>
      <w:lvlJc w:val="left"/>
    </w:lvl>
  </w:abstractNum>
  <w:abstractNum w:abstractNumId="141">
    <w:nsid w:val="C3EB1BAA"/>
    <w:multiLevelType w:val="singleLevel"/>
    <w:tmpl w:val="C3EB1BAA"/>
    <w:lvl w:ilvl="0" w:tentative="0">
      <w:start w:val="1"/>
      <w:numFmt w:val="decimal"/>
      <w:suff w:val="space"/>
      <w:lvlText w:val="%1."/>
      <w:lvlJc w:val="left"/>
      <w:rPr>
        <w:rFonts w:cs="Times New Roman"/>
      </w:rPr>
    </w:lvl>
  </w:abstractNum>
  <w:abstractNum w:abstractNumId="142">
    <w:nsid w:val="C417ECBB"/>
    <w:multiLevelType w:val="singleLevel"/>
    <w:tmpl w:val="C417ECBB"/>
    <w:lvl w:ilvl="0" w:tentative="0">
      <w:start w:val="1"/>
      <w:numFmt w:val="decimal"/>
      <w:suff w:val="space"/>
      <w:lvlText w:val="%1."/>
      <w:lvlJc w:val="left"/>
    </w:lvl>
  </w:abstractNum>
  <w:abstractNum w:abstractNumId="143">
    <w:nsid w:val="C496E30B"/>
    <w:multiLevelType w:val="singleLevel"/>
    <w:tmpl w:val="C496E30B"/>
    <w:lvl w:ilvl="0" w:tentative="0">
      <w:start w:val="1"/>
      <w:numFmt w:val="decimal"/>
      <w:suff w:val="space"/>
      <w:lvlText w:val="%1."/>
      <w:lvlJc w:val="left"/>
    </w:lvl>
  </w:abstractNum>
  <w:abstractNum w:abstractNumId="144">
    <w:nsid w:val="C5916105"/>
    <w:multiLevelType w:val="singleLevel"/>
    <w:tmpl w:val="C5916105"/>
    <w:lvl w:ilvl="0" w:tentative="0">
      <w:start w:val="1"/>
      <w:numFmt w:val="decimal"/>
      <w:suff w:val="space"/>
      <w:lvlText w:val="%1."/>
      <w:lvlJc w:val="left"/>
      <w:rPr>
        <w:rFonts w:cs="Times New Roman"/>
      </w:rPr>
    </w:lvl>
  </w:abstractNum>
  <w:abstractNum w:abstractNumId="145">
    <w:nsid w:val="C5D233AC"/>
    <w:multiLevelType w:val="singleLevel"/>
    <w:tmpl w:val="C5D233AC"/>
    <w:lvl w:ilvl="0" w:tentative="0">
      <w:start w:val="1"/>
      <w:numFmt w:val="decimal"/>
      <w:suff w:val="space"/>
      <w:lvlText w:val="%1."/>
      <w:lvlJc w:val="left"/>
    </w:lvl>
  </w:abstractNum>
  <w:abstractNum w:abstractNumId="146">
    <w:nsid w:val="C6D3864E"/>
    <w:multiLevelType w:val="singleLevel"/>
    <w:tmpl w:val="C6D3864E"/>
    <w:lvl w:ilvl="0" w:tentative="0">
      <w:start w:val="1"/>
      <w:numFmt w:val="decimal"/>
      <w:suff w:val="space"/>
      <w:lvlText w:val="%1."/>
      <w:lvlJc w:val="left"/>
      <w:rPr>
        <w:rFonts w:cs="Times New Roman"/>
      </w:rPr>
    </w:lvl>
  </w:abstractNum>
  <w:abstractNum w:abstractNumId="147">
    <w:nsid w:val="C6E1FE78"/>
    <w:multiLevelType w:val="singleLevel"/>
    <w:tmpl w:val="C6E1FE78"/>
    <w:lvl w:ilvl="0" w:tentative="0">
      <w:start w:val="1"/>
      <w:numFmt w:val="decimal"/>
      <w:suff w:val="space"/>
      <w:lvlText w:val="%1."/>
      <w:lvlJc w:val="left"/>
      <w:rPr>
        <w:rFonts w:cs="Times New Roman"/>
      </w:rPr>
    </w:lvl>
  </w:abstractNum>
  <w:abstractNum w:abstractNumId="148">
    <w:nsid w:val="C70ED4C0"/>
    <w:multiLevelType w:val="singleLevel"/>
    <w:tmpl w:val="C70ED4C0"/>
    <w:lvl w:ilvl="0" w:tentative="0">
      <w:start w:val="1"/>
      <w:numFmt w:val="decimal"/>
      <w:suff w:val="space"/>
      <w:lvlText w:val="%1."/>
      <w:lvlJc w:val="left"/>
      <w:rPr>
        <w:rFonts w:cs="Times New Roman"/>
      </w:rPr>
    </w:lvl>
  </w:abstractNum>
  <w:abstractNum w:abstractNumId="149">
    <w:nsid w:val="C790F541"/>
    <w:multiLevelType w:val="singleLevel"/>
    <w:tmpl w:val="C790F541"/>
    <w:lvl w:ilvl="0" w:tentative="0">
      <w:start w:val="1"/>
      <w:numFmt w:val="decimal"/>
      <w:suff w:val="space"/>
      <w:lvlText w:val="%1."/>
      <w:lvlJc w:val="left"/>
      <w:rPr>
        <w:rFonts w:cs="Times New Roman"/>
      </w:rPr>
    </w:lvl>
  </w:abstractNum>
  <w:abstractNum w:abstractNumId="150">
    <w:nsid w:val="C79CC15B"/>
    <w:multiLevelType w:val="singleLevel"/>
    <w:tmpl w:val="C79CC15B"/>
    <w:lvl w:ilvl="0" w:tentative="0">
      <w:start w:val="1"/>
      <w:numFmt w:val="decimal"/>
      <w:suff w:val="space"/>
      <w:lvlText w:val="%1."/>
      <w:lvlJc w:val="left"/>
    </w:lvl>
  </w:abstractNum>
  <w:abstractNum w:abstractNumId="151">
    <w:nsid w:val="C7C417C5"/>
    <w:multiLevelType w:val="singleLevel"/>
    <w:tmpl w:val="C7C417C5"/>
    <w:lvl w:ilvl="0" w:tentative="0">
      <w:start w:val="1"/>
      <w:numFmt w:val="decimal"/>
      <w:suff w:val="space"/>
      <w:lvlText w:val="%1."/>
      <w:lvlJc w:val="left"/>
      <w:rPr>
        <w:rFonts w:cs="Times New Roman"/>
      </w:rPr>
    </w:lvl>
  </w:abstractNum>
  <w:abstractNum w:abstractNumId="152">
    <w:nsid w:val="C9A5222F"/>
    <w:multiLevelType w:val="singleLevel"/>
    <w:tmpl w:val="C9A5222F"/>
    <w:lvl w:ilvl="0" w:tentative="0">
      <w:start w:val="1"/>
      <w:numFmt w:val="decimal"/>
      <w:suff w:val="space"/>
      <w:lvlText w:val="%1."/>
      <w:lvlJc w:val="left"/>
      <w:rPr>
        <w:rFonts w:cs="Times New Roman"/>
      </w:rPr>
    </w:lvl>
  </w:abstractNum>
  <w:abstractNum w:abstractNumId="153">
    <w:nsid w:val="CB1DC7A5"/>
    <w:multiLevelType w:val="singleLevel"/>
    <w:tmpl w:val="CB1DC7A5"/>
    <w:lvl w:ilvl="0" w:tentative="0">
      <w:start w:val="1"/>
      <w:numFmt w:val="decimal"/>
      <w:suff w:val="space"/>
      <w:lvlText w:val="%1."/>
      <w:lvlJc w:val="left"/>
      <w:rPr>
        <w:rFonts w:cs="Times New Roman"/>
      </w:rPr>
    </w:lvl>
  </w:abstractNum>
  <w:abstractNum w:abstractNumId="154">
    <w:nsid w:val="CB95D84E"/>
    <w:multiLevelType w:val="singleLevel"/>
    <w:tmpl w:val="CB95D84E"/>
    <w:lvl w:ilvl="0" w:tentative="0">
      <w:start w:val="1"/>
      <w:numFmt w:val="decimal"/>
      <w:suff w:val="space"/>
      <w:lvlText w:val="%1."/>
      <w:lvlJc w:val="left"/>
    </w:lvl>
  </w:abstractNum>
  <w:abstractNum w:abstractNumId="155">
    <w:nsid w:val="CBA118B0"/>
    <w:multiLevelType w:val="singleLevel"/>
    <w:tmpl w:val="CBA118B0"/>
    <w:lvl w:ilvl="0" w:tentative="0">
      <w:start w:val="1"/>
      <w:numFmt w:val="decimal"/>
      <w:suff w:val="space"/>
      <w:lvlText w:val="%1."/>
      <w:lvlJc w:val="left"/>
      <w:rPr>
        <w:rFonts w:cs="Times New Roman"/>
      </w:rPr>
    </w:lvl>
  </w:abstractNum>
  <w:abstractNum w:abstractNumId="156">
    <w:nsid w:val="CCD39620"/>
    <w:multiLevelType w:val="singleLevel"/>
    <w:tmpl w:val="CCD39620"/>
    <w:lvl w:ilvl="0" w:tentative="0">
      <w:start w:val="1"/>
      <w:numFmt w:val="decimal"/>
      <w:suff w:val="space"/>
      <w:lvlText w:val="%1."/>
      <w:lvlJc w:val="left"/>
    </w:lvl>
  </w:abstractNum>
  <w:abstractNum w:abstractNumId="157">
    <w:nsid w:val="CD059FB5"/>
    <w:multiLevelType w:val="singleLevel"/>
    <w:tmpl w:val="CD059FB5"/>
    <w:lvl w:ilvl="0" w:tentative="0">
      <w:start w:val="1"/>
      <w:numFmt w:val="decimal"/>
      <w:suff w:val="space"/>
      <w:lvlText w:val="%1."/>
      <w:lvlJc w:val="left"/>
    </w:lvl>
  </w:abstractNum>
  <w:abstractNum w:abstractNumId="158">
    <w:nsid w:val="CD329BA8"/>
    <w:multiLevelType w:val="singleLevel"/>
    <w:tmpl w:val="CD329BA8"/>
    <w:lvl w:ilvl="0" w:tentative="0">
      <w:start w:val="1"/>
      <w:numFmt w:val="decimal"/>
      <w:suff w:val="space"/>
      <w:lvlText w:val="%1."/>
      <w:lvlJc w:val="left"/>
      <w:rPr>
        <w:rFonts w:cs="Times New Roman"/>
      </w:rPr>
    </w:lvl>
  </w:abstractNum>
  <w:abstractNum w:abstractNumId="159">
    <w:nsid w:val="CD38C016"/>
    <w:multiLevelType w:val="singleLevel"/>
    <w:tmpl w:val="CD38C016"/>
    <w:lvl w:ilvl="0" w:tentative="0">
      <w:start w:val="1"/>
      <w:numFmt w:val="decimal"/>
      <w:suff w:val="space"/>
      <w:lvlText w:val="%1."/>
      <w:lvlJc w:val="left"/>
      <w:rPr>
        <w:rFonts w:cs="Times New Roman"/>
      </w:rPr>
    </w:lvl>
  </w:abstractNum>
  <w:abstractNum w:abstractNumId="160">
    <w:nsid w:val="CD4C2501"/>
    <w:multiLevelType w:val="singleLevel"/>
    <w:tmpl w:val="CD4C2501"/>
    <w:lvl w:ilvl="0" w:tentative="0">
      <w:start w:val="1"/>
      <w:numFmt w:val="decimal"/>
      <w:suff w:val="space"/>
      <w:lvlText w:val="%1."/>
      <w:lvlJc w:val="left"/>
    </w:lvl>
  </w:abstractNum>
  <w:abstractNum w:abstractNumId="161">
    <w:nsid w:val="CDCC21BF"/>
    <w:multiLevelType w:val="singleLevel"/>
    <w:tmpl w:val="CDCC21BF"/>
    <w:lvl w:ilvl="0" w:tentative="0">
      <w:start w:val="1"/>
      <w:numFmt w:val="decimal"/>
      <w:suff w:val="space"/>
      <w:lvlText w:val="%1."/>
      <w:lvlJc w:val="left"/>
      <w:rPr>
        <w:rFonts w:cs="Times New Roman"/>
      </w:rPr>
    </w:lvl>
  </w:abstractNum>
  <w:abstractNum w:abstractNumId="162">
    <w:nsid w:val="CDF6D700"/>
    <w:multiLevelType w:val="singleLevel"/>
    <w:tmpl w:val="CDF6D700"/>
    <w:lvl w:ilvl="0" w:tentative="0">
      <w:start w:val="1"/>
      <w:numFmt w:val="decimal"/>
      <w:suff w:val="space"/>
      <w:lvlText w:val="%1."/>
      <w:lvlJc w:val="left"/>
    </w:lvl>
  </w:abstractNum>
  <w:abstractNum w:abstractNumId="163">
    <w:nsid w:val="CF6D8534"/>
    <w:multiLevelType w:val="singleLevel"/>
    <w:tmpl w:val="CF6D8534"/>
    <w:lvl w:ilvl="0" w:tentative="0">
      <w:start w:val="1"/>
      <w:numFmt w:val="decimal"/>
      <w:suff w:val="space"/>
      <w:lvlText w:val="%1."/>
      <w:lvlJc w:val="left"/>
      <w:rPr>
        <w:rFonts w:cs="Times New Roman"/>
      </w:rPr>
    </w:lvl>
  </w:abstractNum>
  <w:abstractNum w:abstractNumId="164">
    <w:nsid w:val="CF8EF767"/>
    <w:multiLevelType w:val="singleLevel"/>
    <w:tmpl w:val="CF8EF767"/>
    <w:lvl w:ilvl="0" w:tentative="0">
      <w:start w:val="1"/>
      <w:numFmt w:val="decimal"/>
      <w:suff w:val="space"/>
      <w:lvlText w:val="%1."/>
      <w:lvlJc w:val="left"/>
      <w:rPr>
        <w:rFonts w:cs="Times New Roman"/>
      </w:rPr>
    </w:lvl>
  </w:abstractNum>
  <w:abstractNum w:abstractNumId="165">
    <w:nsid w:val="D03F1790"/>
    <w:multiLevelType w:val="singleLevel"/>
    <w:tmpl w:val="D03F1790"/>
    <w:lvl w:ilvl="0" w:tentative="0">
      <w:start w:val="1"/>
      <w:numFmt w:val="decimal"/>
      <w:suff w:val="space"/>
      <w:lvlText w:val="%1."/>
      <w:lvlJc w:val="left"/>
    </w:lvl>
  </w:abstractNum>
  <w:abstractNum w:abstractNumId="166">
    <w:nsid w:val="D0FF995A"/>
    <w:multiLevelType w:val="singleLevel"/>
    <w:tmpl w:val="D0FF995A"/>
    <w:lvl w:ilvl="0" w:tentative="0">
      <w:start w:val="1"/>
      <w:numFmt w:val="decimal"/>
      <w:suff w:val="space"/>
      <w:lvlText w:val="%1."/>
      <w:lvlJc w:val="left"/>
    </w:lvl>
  </w:abstractNum>
  <w:abstractNum w:abstractNumId="167">
    <w:nsid w:val="D16B6B8B"/>
    <w:multiLevelType w:val="singleLevel"/>
    <w:tmpl w:val="D16B6B8B"/>
    <w:lvl w:ilvl="0" w:tentative="0">
      <w:start w:val="1"/>
      <w:numFmt w:val="decimal"/>
      <w:suff w:val="space"/>
      <w:lvlText w:val="%1."/>
      <w:lvlJc w:val="left"/>
      <w:rPr>
        <w:rFonts w:cs="Times New Roman"/>
      </w:rPr>
    </w:lvl>
  </w:abstractNum>
  <w:abstractNum w:abstractNumId="168">
    <w:nsid w:val="D241F23C"/>
    <w:multiLevelType w:val="singleLevel"/>
    <w:tmpl w:val="D241F23C"/>
    <w:lvl w:ilvl="0" w:tentative="0">
      <w:start w:val="1"/>
      <w:numFmt w:val="decimal"/>
      <w:suff w:val="space"/>
      <w:lvlText w:val="%1."/>
      <w:lvlJc w:val="left"/>
      <w:rPr>
        <w:rFonts w:cs="Times New Roman"/>
      </w:rPr>
    </w:lvl>
  </w:abstractNum>
  <w:abstractNum w:abstractNumId="169">
    <w:nsid w:val="D2713E63"/>
    <w:multiLevelType w:val="singleLevel"/>
    <w:tmpl w:val="D2713E63"/>
    <w:lvl w:ilvl="0" w:tentative="0">
      <w:start w:val="1"/>
      <w:numFmt w:val="decimal"/>
      <w:suff w:val="space"/>
      <w:lvlText w:val="%1."/>
      <w:lvlJc w:val="left"/>
      <w:rPr>
        <w:rFonts w:cs="Times New Roman"/>
      </w:rPr>
    </w:lvl>
  </w:abstractNum>
  <w:abstractNum w:abstractNumId="170">
    <w:nsid w:val="D29A1847"/>
    <w:multiLevelType w:val="singleLevel"/>
    <w:tmpl w:val="D29A1847"/>
    <w:lvl w:ilvl="0" w:tentative="0">
      <w:start w:val="1"/>
      <w:numFmt w:val="decimal"/>
      <w:suff w:val="space"/>
      <w:lvlText w:val="%1."/>
      <w:lvlJc w:val="left"/>
      <w:rPr>
        <w:rFonts w:cs="Times New Roman"/>
      </w:rPr>
    </w:lvl>
  </w:abstractNum>
  <w:abstractNum w:abstractNumId="171">
    <w:nsid w:val="D2A1305F"/>
    <w:multiLevelType w:val="singleLevel"/>
    <w:tmpl w:val="D2A1305F"/>
    <w:lvl w:ilvl="0" w:tentative="0">
      <w:start w:val="1"/>
      <w:numFmt w:val="decimal"/>
      <w:suff w:val="space"/>
      <w:lvlText w:val="%1."/>
      <w:lvlJc w:val="left"/>
      <w:rPr>
        <w:rFonts w:cs="Times New Roman"/>
      </w:rPr>
    </w:lvl>
  </w:abstractNum>
  <w:abstractNum w:abstractNumId="172">
    <w:nsid w:val="D2A3D4A6"/>
    <w:multiLevelType w:val="singleLevel"/>
    <w:tmpl w:val="D2A3D4A6"/>
    <w:lvl w:ilvl="0" w:tentative="0">
      <w:start w:val="1"/>
      <w:numFmt w:val="decimal"/>
      <w:suff w:val="space"/>
      <w:lvlText w:val="%1."/>
      <w:lvlJc w:val="left"/>
      <w:rPr>
        <w:rFonts w:cs="Times New Roman"/>
      </w:rPr>
    </w:lvl>
  </w:abstractNum>
  <w:abstractNum w:abstractNumId="173">
    <w:nsid w:val="D38A4BAE"/>
    <w:multiLevelType w:val="singleLevel"/>
    <w:tmpl w:val="D38A4BAE"/>
    <w:lvl w:ilvl="0" w:tentative="0">
      <w:start w:val="1"/>
      <w:numFmt w:val="decimal"/>
      <w:suff w:val="space"/>
      <w:lvlText w:val="%1."/>
      <w:lvlJc w:val="left"/>
    </w:lvl>
  </w:abstractNum>
  <w:abstractNum w:abstractNumId="174">
    <w:nsid w:val="D3DA1A60"/>
    <w:multiLevelType w:val="singleLevel"/>
    <w:tmpl w:val="D3DA1A60"/>
    <w:lvl w:ilvl="0" w:tentative="0">
      <w:start w:val="1"/>
      <w:numFmt w:val="decimal"/>
      <w:suff w:val="space"/>
      <w:lvlText w:val="%1."/>
      <w:lvlJc w:val="left"/>
    </w:lvl>
  </w:abstractNum>
  <w:abstractNum w:abstractNumId="175">
    <w:nsid w:val="D3E7549C"/>
    <w:multiLevelType w:val="singleLevel"/>
    <w:tmpl w:val="D3E7549C"/>
    <w:lvl w:ilvl="0" w:tentative="0">
      <w:start w:val="1"/>
      <w:numFmt w:val="decimal"/>
      <w:suff w:val="space"/>
      <w:lvlText w:val="%1."/>
      <w:lvlJc w:val="left"/>
      <w:rPr>
        <w:rFonts w:cs="Times New Roman"/>
      </w:rPr>
    </w:lvl>
  </w:abstractNum>
  <w:abstractNum w:abstractNumId="176">
    <w:nsid w:val="D3F5CB7F"/>
    <w:multiLevelType w:val="singleLevel"/>
    <w:tmpl w:val="D3F5CB7F"/>
    <w:lvl w:ilvl="0" w:tentative="0">
      <w:start w:val="1"/>
      <w:numFmt w:val="decimal"/>
      <w:suff w:val="space"/>
      <w:lvlText w:val="%1."/>
      <w:lvlJc w:val="left"/>
    </w:lvl>
  </w:abstractNum>
  <w:abstractNum w:abstractNumId="177">
    <w:nsid w:val="D4336400"/>
    <w:multiLevelType w:val="singleLevel"/>
    <w:tmpl w:val="D4336400"/>
    <w:lvl w:ilvl="0" w:tentative="0">
      <w:start w:val="1"/>
      <w:numFmt w:val="decimal"/>
      <w:suff w:val="space"/>
      <w:lvlText w:val="%1."/>
      <w:lvlJc w:val="left"/>
      <w:rPr>
        <w:rFonts w:cs="Times New Roman"/>
      </w:rPr>
    </w:lvl>
  </w:abstractNum>
  <w:abstractNum w:abstractNumId="178">
    <w:nsid w:val="D4F317B2"/>
    <w:multiLevelType w:val="singleLevel"/>
    <w:tmpl w:val="D4F317B2"/>
    <w:lvl w:ilvl="0" w:tentative="0">
      <w:start w:val="1"/>
      <w:numFmt w:val="decimal"/>
      <w:suff w:val="space"/>
      <w:lvlText w:val="%1."/>
      <w:lvlJc w:val="left"/>
      <w:rPr>
        <w:rFonts w:cs="Times New Roman"/>
      </w:rPr>
    </w:lvl>
  </w:abstractNum>
  <w:abstractNum w:abstractNumId="179">
    <w:nsid w:val="D6B66BF7"/>
    <w:multiLevelType w:val="singleLevel"/>
    <w:tmpl w:val="D6B66BF7"/>
    <w:lvl w:ilvl="0" w:tentative="0">
      <w:start w:val="1"/>
      <w:numFmt w:val="decimal"/>
      <w:suff w:val="space"/>
      <w:lvlText w:val="%1."/>
      <w:lvlJc w:val="left"/>
    </w:lvl>
  </w:abstractNum>
  <w:abstractNum w:abstractNumId="180">
    <w:nsid w:val="D6DA2CA2"/>
    <w:multiLevelType w:val="singleLevel"/>
    <w:tmpl w:val="D6DA2CA2"/>
    <w:lvl w:ilvl="0" w:tentative="0">
      <w:start w:val="1"/>
      <w:numFmt w:val="decimal"/>
      <w:suff w:val="space"/>
      <w:lvlText w:val="%1."/>
      <w:lvlJc w:val="left"/>
      <w:rPr>
        <w:rFonts w:cs="Times New Roman"/>
      </w:rPr>
    </w:lvl>
  </w:abstractNum>
  <w:abstractNum w:abstractNumId="181">
    <w:nsid w:val="D70F0AD8"/>
    <w:multiLevelType w:val="singleLevel"/>
    <w:tmpl w:val="D70F0AD8"/>
    <w:lvl w:ilvl="0" w:tentative="0">
      <w:start w:val="1"/>
      <w:numFmt w:val="decimal"/>
      <w:suff w:val="space"/>
      <w:lvlText w:val="%1."/>
      <w:lvlJc w:val="left"/>
      <w:rPr>
        <w:rFonts w:cs="Times New Roman"/>
      </w:rPr>
    </w:lvl>
  </w:abstractNum>
  <w:abstractNum w:abstractNumId="182">
    <w:nsid w:val="D852B71F"/>
    <w:multiLevelType w:val="singleLevel"/>
    <w:tmpl w:val="D852B71F"/>
    <w:lvl w:ilvl="0" w:tentative="0">
      <w:start w:val="1"/>
      <w:numFmt w:val="decimal"/>
      <w:suff w:val="space"/>
      <w:lvlText w:val="%1."/>
      <w:lvlJc w:val="left"/>
      <w:rPr>
        <w:rFonts w:cs="Times New Roman"/>
      </w:rPr>
    </w:lvl>
  </w:abstractNum>
  <w:abstractNum w:abstractNumId="183">
    <w:nsid w:val="D9E831CF"/>
    <w:multiLevelType w:val="singleLevel"/>
    <w:tmpl w:val="D9E831CF"/>
    <w:lvl w:ilvl="0" w:tentative="0">
      <w:start w:val="1"/>
      <w:numFmt w:val="decimal"/>
      <w:suff w:val="space"/>
      <w:lvlText w:val="%1."/>
      <w:lvlJc w:val="left"/>
      <w:rPr>
        <w:rFonts w:cs="Times New Roman"/>
      </w:rPr>
    </w:lvl>
  </w:abstractNum>
  <w:abstractNum w:abstractNumId="184">
    <w:nsid w:val="DA6F9DE1"/>
    <w:multiLevelType w:val="singleLevel"/>
    <w:tmpl w:val="DA6F9DE1"/>
    <w:lvl w:ilvl="0" w:tentative="0">
      <w:start w:val="1"/>
      <w:numFmt w:val="decimal"/>
      <w:suff w:val="space"/>
      <w:lvlText w:val="%1."/>
      <w:lvlJc w:val="left"/>
      <w:rPr>
        <w:rFonts w:cs="Times New Roman"/>
      </w:rPr>
    </w:lvl>
  </w:abstractNum>
  <w:abstractNum w:abstractNumId="185">
    <w:nsid w:val="DAF0360B"/>
    <w:multiLevelType w:val="singleLevel"/>
    <w:tmpl w:val="DAF0360B"/>
    <w:lvl w:ilvl="0" w:tentative="0">
      <w:start w:val="1"/>
      <w:numFmt w:val="decimal"/>
      <w:suff w:val="space"/>
      <w:lvlText w:val="%1."/>
      <w:lvlJc w:val="left"/>
    </w:lvl>
  </w:abstractNum>
  <w:abstractNum w:abstractNumId="186">
    <w:nsid w:val="DB4D2FE8"/>
    <w:multiLevelType w:val="singleLevel"/>
    <w:tmpl w:val="DB4D2FE8"/>
    <w:lvl w:ilvl="0" w:tentative="0">
      <w:start w:val="1"/>
      <w:numFmt w:val="decimal"/>
      <w:suff w:val="space"/>
      <w:lvlText w:val="%1."/>
      <w:lvlJc w:val="left"/>
    </w:lvl>
  </w:abstractNum>
  <w:abstractNum w:abstractNumId="187">
    <w:nsid w:val="DBB18A2E"/>
    <w:multiLevelType w:val="singleLevel"/>
    <w:tmpl w:val="DBB18A2E"/>
    <w:lvl w:ilvl="0" w:tentative="0">
      <w:start w:val="1"/>
      <w:numFmt w:val="decimal"/>
      <w:suff w:val="space"/>
      <w:lvlText w:val="%1."/>
      <w:lvlJc w:val="left"/>
      <w:rPr>
        <w:rFonts w:cs="Times New Roman"/>
      </w:rPr>
    </w:lvl>
  </w:abstractNum>
  <w:abstractNum w:abstractNumId="188">
    <w:nsid w:val="DC046D06"/>
    <w:multiLevelType w:val="singleLevel"/>
    <w:tmpl w:val="DC046D06"/>
    <w:lvl w:ilvl="0" w:tentative="0">
      <w:start w:val="1"/>
      <w:numFmt w:val="decimal"/>
      <w:suff w:val="space"/>
      <w:lvlText w:val="%1."/>
      <w:lvlJc w:val="left"/>
    </w:lvl>
  </w:abstractNum>
  <w:abstractNum w:abstractNumId="189">
    <w:nsid w:val="DCB0F607"/>
    <w:multiLevelType w:val="singleLevel"/>
    <w:tmpl w:val="DCB0F607"/>
    <w:lvl w:ilvl="0" w:tentative="0">
      <w:start w:val="1"/>
      <w:numFmt w:val="decimal"/>
      <w:suff w:val="space"/>
      <w:lvlText w:val="%1."/>
      <w:lvlJc w:val="left"/>
    </w:lvl>
  </w:abstractNum>
  <w:abstractNum w:abstractNumId="190">
    <w:nsid w:val="DCDAB00B"/>
    <w:multiLevelType w:val="singleLevel"/>
    <w:tmpl w:val="DCDAB00B"/>
    <w:lvl w:ilvl="0" w:tentative="0">
      <w:start w:val="1"/>
      <w:numFmt w:val="decimal"/>
      <w:suff w:val="space"/>
      <w:lvlText w:val="%1."/>
      <w:lvlJc w:val="left"/>
      <w:rPr>
        <w:rFonts w:cs="Times New Roman"/>
      </w:rPr>
    </w:lvl>
  </w:abstractNum>
  <w:abstractNum w:abstractNumId="191">
    <w:nsid w:val="DCDBD622"/>
    <w:multiLevelType w:val="singleLevel"/>
    <w:tmpl w:val="DCDBD622"/>
    <w:lvl w:ilvl="0" w:tentative="0">
      <w:start w:val="1"/>
      <w:numFmt w:val="decimal"/>
      <w:suff w:val="space"/>
      <w:lvlText w:val="%1."/>
      <w:lvlJc w:val="left"/>
      <w:rPr>
        <w:rFonts w:cs="Times New Roman"/>
      </w:rPr>
    </w:lvl>
  </w:abstractNum>
  <w:abstractNum w:abstractNumId="192">
    <w:nsid w:val="DD56366B"/>
    <w:multiLevelType w:val="singleLevel"/>
    <w:tmpl w:val="DD56366B"/>
    <w:lvl w:ilvl="0" w:tentative="0">
      <w:start w:val="1"/>
      <w:numFmt w:val="decimal"/>
      <w:suff w:val="space"/>
      <w:lvlText w:val="%1."/>
      <w:lvlJc w:val="left"/>
    </w:lvl>
  </w:abstractNum>
  <w:abstractNum w:abstractNumId="193">
    <w:nsid w:val="DDF4D9DD"/>
    <w:multiLevelType w:val="singleLevel"/>
    <w:tmpl w:val="DDF4D9DD"/>
    <w:lvl w:ilvl="0" w:tentative="0">
      <w:start w:val="1"/>
      <w:numFmt w:val="decimal"/>
      <w:suff w:val="space"/>
      <w:lvlText w:val="%1."/>
      <w:lvlJc w:val="left"/>
      <w:rPr>
        <w:rFonts w:cs="Times New Roman"/>
      </w:rPr>
    </w:lvl>
  </w:abstractNum>
  <w:abstractNum w:abstractNumId="194">
    <w:nsid w:val="DE0E1C49"/>
    <w:multiLevelType w:val="singleLevel"/>
    <w:tmpl w:val="DE0E1C49"/>
    <w:lvl w:ilvl="0" w:tentative="0">
      <w:start w:val="1"/>
      <w:numFmt w:val="decimal"/>
      <w:suff w:val="space"/>
      <w:lvlText w:val="%1."/>
      <w:lvlJc w:val="left"/>
    </w:lvl>
  </w:abstractNum>
  <w:abstractNum w:abstractNumId="195">
    <w:nsid w:val="DE6313E8"/>
    <w:multiLevelType w:val="singleLevel"/>
    <w:tmpl w:val="DE6313E8"/>
    <w:lvl w:ilvl="0" w:tentative="0">
      <w:start w:val="1"/>
      <w:numFmt w:val="decimal"/>
      <w:suff w:val="space"/>
      <w:lvlText w:val="%1."/>
      <w:lvlJc w:val="left"/>
      <w:rPr>
        <w:rFonts w:cs="Times New Roman"/>
      </w:rPr>
    </w:lvl>
  </w:abstractNum>
  <w:abstractNum w:abstractNumId="196">
    <w:nsid w:val="DEAEC139"/>
    <w:multiLevelType w:val="singleLevel"/>
    <w:tmpl w:val="DEAEC139"/>
    <w:lvl w:ilvl="0" w:tentative="0">
      <w:start w:val="1"/>
      <w:numFmt w:val="decimal"/>
      <w:suff w:val="space"/>
      <w:lvlText w:val="%1."/>
      <w:lvlJc w:val="left"/>
      <w:rPr>
        <w:rFonts w:cs="Times New Roman"/>
      </w:rPr>
    </w:lvl>
  </w:abstractNum>
  <w:abstractNum w:abstractNumId="197">
    <w:nsid w:val="DEC060A3"/>
    <w:multiLevelType w:val="singleLevel"/>
    <w:tmpl w:val="DEC060A3"/>
    <w:lvl w:ilvl="0" w:tentative="0">
      <w:start w:val="1"/>
      <w:numFmt w:val="decimal"/>
      <w:suff w:val="space"/>
      <w:lvlText w:val="%1."/>
      <w:lvlJc w:val="left"/>
      <w:rPr>
        <w:rFonts w:cs="Times New Roman"/>
      </w:rPr>
    </w:lvl>
  </w:abstractNum>
  <w:abstractNum w:abstractNumId="198">
    <w:nsid w:val="DEFA30B4"/>
    <w:multiLevelType w:val="singleLevel"/>
    <w:tmpl w:val="DEFA30B4"/>
    <w:lvl w:ilvl="0" w:tentative="0">
      <w:start w:val="1"/>
      <w:numFmt w:val="decimal"/>
      <w:lvlText w:val="%1."/>
      <w:lvlJc w:val="left"/>
      <w:pPr>
        <w:tabs>
          <w:tab w:val="left" w:pos="312"/>
        </w:tabs>
      </w:pPr>
    </w:lvl>
  </w:abstractNum>
  <w:abstractNum w:abstractNumId="199">
    <w:nsid w:val="DF9D4603"/>
    <w:multiLevelType w:val="singleLevel"/>
    <w:tmpl w:val="DF9D4603"/>
    <w:lvl w:ilvl="0" w:tentative="0">
      <w:start w:val="1"/>
      <w:numFmt w:val="decimal"/>
      <w:suff w:val="space"/>
      <w:lvlText w:val="%1."/>
      <w:lvlJc w:val="left"/>
    </w:lvl>
  </w:abstractNum>
  <w:abstractNum w:abstractNumId="200">
    <w:nsid w:val="DFBDA344"/>
    <w:multiLevelType w:val="singleLevel"/>
    <w:tmpl w:val="DFBDA344"/>
    <w:lvl w:ilvl="0" w:tentative="0">
      <w:start w:val="1"/>
      <w:numFmt w:val="decimal"/>
      <w:suff w:val="space"/>
      <w:lvlText w:val="%1."/>
      <w:lvlJc w:val="left"/>
    </w:lvl>
  </w:abstractNum>
  <w:abstractNum w:abstractNumId="201">
    <w:nsid w:val="E0E8E8C3"/>
    <w:multiLevelType w:val="singleLevel"/>
    <w:tmpl w:val="E0E8E8C3"/>
    <w:lvl w:ilvl="0" w:tentative="0">
      <w:start w:val="1"/>
      <w:numFmt w:val="decimal"/>
      <w:suff w:val="space"/>
      <w:lvlText w:val="%1."/>
      <w:lvlJc w:val="left"/>
      <w:rPr>
        <w:rFonts w:cs="Times New Roman"/>
      </w:rPr>
    </w:lvl>
  </w:abstractNum>
  <w:abstractNum w:abstractNumId="202">
    <w:nsid w:val="E0F05C46"/>
    <w:multiLevelType w:val="singleLevel"/>
    <w:tmpl w:val="E0F05C46"/>
    <w:lvl w:ilvl="0" w:tentative="0">
      <w:start w:val="1"/>
      <w:numFmt w:val="decimal"/>
      <w:lvlText w:val="%1."/>
      <w:lvlJc w:val="left"/>
      <w:pPr>
        <w:tabs>
          <w:tab w:val="left" w:pos="312"/>
        </w:tabs>
      </w:pPr>
    </w:lvl>
  </w:abstractNum>
  <w:abstractNum w:abstractNumId="203">
    <w:nsid w:val="E166FA4D"/>
    <w:multiLevelType w:val="singleLevel"/>
    <w:tmpl w:val="E166FA4D"/>
    <w:lvl w:ilvl="0" w:tentative="0">
      <w:start w:val="1"/>
      <w:numFmt w:val="decimal"/>
      <w:suff w:val="space"/>
      <w:lvlText w:val="%1."/>
      <w:lvlJc w:val="left"/>
    </w:lvl>
  </w:abstractNum>
  <w:abstractNum w:abstractNumId="204">
    <w:nsid w:val="E192740D"/>
    <w:multiLevelType w:val="singleLevel"/>
    <w:tmpl w:val="E192740D"/>
    <w:lvl w:ilvl="0" w:tentative="0">
      <w:start w:val="1"/>
      <w:numFmt w:val="decimal"/>
      <w:suff w:val="space"/>
      <w:lvlText w:val="%1."/>
      <w:lvlJc w:val="left"/>
      <w:rPr>
        <w:rFonts w:cs="Times New Roman"/>
      </w:rPr>
    </w:lvl>
  </w:abstractNum>
  <w:abstractNum w:abstractNumId="205">
    <w:nsid w:val="E1E34CEB"/>
    <w:multiLevelType w:val="singleLevel"/>
    <w:tmpl w:val="E1E34CEB"/>
    <w:lvl w:ilvl="0" w:tentative="0">
      <w:start w:val="1"/>
      <w:numFmt w:val="decimal"/>
      <w:suff w:val="space"/>
      <w:lvlText w:val="%1."/>
      <w:lvlJc w:val="left"/>
      <w:rPr>
        <w:rFonts w:cs="Times New Roman"/>
      </w:rPr>
    </w:lvl>
  </w:abstractNum>
  <w:abstractNum w:abstractNumId="206">
    <w:nsid w:val="E2A1DC0E"/>
    <w:multiLevelType w:val="singleLevel"/>
    <w:tmpl w:val="E2A1DC0E"/>
    <w:lvl w:ilvl="0" w:tentative="0">
      <w:start w:val="1"/>
      <w:numFmt w:val="decimal"/>
      <w:suff w:val="space"/>
      <w:lvlText w:val="%1."/>
      <w:lvlJc w:val="left"/>
      <w:rPr>
        <w:rFonts w:cs="Times New Roman"/>
      </w:rPr>
    </w:lvl>
  </w:abstractNum>
  <w:abstractNum w:abstractNumId="207">
    <w:nsid w:val="E2E7D8B0"/>
    <w:multiLevelType w:val="singleLevel"/>
    <w:tmpl w:val="E2E7D8B0"/>
    <w:lvl w:ilvl="0" w:tentative="0">
      <w:start w:val="1"/>
      <w:numFmt w:val="decimal"/>
      <w:suff w:val="space"/>
      <w:lvlText w:val="%1."/>
      <w:lvlJc w:val="left"/>
      <w:rPr>
        <w:rFonts w:cs="Times New Roman"/>
      </w:rPr>
    </w:lvl>
  </w:abstractNum>
  <w:abstractNum w:abstractNumId="208">
    <w:nsid w:val="E442C4EF"/>
    <w:multiLevelType w:val="singleLevel"/>
    <w:tmpl w:val="E442C4EF"/>
    <w:lvl w:ilvl="0" w:tentative="0">
      <w:start w:val="1"/>
      <w:numFmt w:val="decimal"/>
      <w:suff w:val="space"/>
      <w:lvlText w:val="%1."/>
      <w:lvlJc w:val="left"/>
      <w:rPr>
        <w:rFonts w:cs="Times New Roman"/>
      </w:rPr>
    </w:lvl>
  </w:abstractNum>
  <w:abstractNum w:abstractNumId="209">
    <w:nsid w:val="E4680DDF"/>
    <w:multiLevelType w:val="singleLevel"/>
    <w:tmpl w:val="E4680DDF"/>
    <w:lvl w:ilvl="0" w:tentative="0">
      <w:start w:val="1"/>
      <w:numFmt w:val="decimal"/>
      <w:suff w:val="space"/>
      <w:lvlText w:val="%1."/>
      <w:lvlJc w:val="left"/>
    </w:lvl>
  </w:abstractNum>
  <w:abstractNum w:abstractNumId="210">
    <w:nsid w:val="E602375D"/>
    <w:multiLevelType w:val="singleLevel"/>
    <w:tmpl w:val="E602375D"/>
    <w:lvl w:ilvl="0" w:tentative="0">
      <w:start w:val="1"/>
      <w:numFmt w:val="decimal"/>
      <w:suff w:val="space"/>
      <w:lvlText w:val="%1."/>
      <w:lvlJc w:val="left"/>
      <w:rPr>
        <w:rFonts w:cs="Times New Roman"/>
      </w:rPr>
    </w:lvl>
  </w:abstractNum>
  <w:abstractNum w:abstractNumId="211">
    <w:nsid w:val="E686AC23"/>
    <w:multiLevelType w:val="singleLevel"/>
    <w:tmpl w:val="E686AC23"/>
    <w:lvl w:ilvl="0" w:tentative="0">
      <w:start w:val="1"/>
      <w:numFmt w:val="decimal"/>
      <w:suff w:val="space"/>
      <w:lvlText w:val="%1."/>
      <w:lvlJc w:val="left"/>
      <w:rPr>
        <w:rFonts w:cs="Times New Roman"/>
      </w:rPr>
    </w:lvl>
  </w:abstractNum>
  <w:abstractNum w:abstractNumId="212">
    <w:nsid w:val="E81B5073"/>
    <w:multiLevelType w:val="singleLevel"/>
    <w:tmpl w:val="E81B5073"/>
    <w:lvl w:ilvl="0" w:tentative="0">
      <w:start w:val="1"/>
      <w:numFmt w:val="decimal"/>
      <w:suff w:val="space"/>
      <w:lvlText w:val="%1."/>
      <w:lvlJc w:val="left"/>
    </w:lvl>
  </w:abstractNum>
  <w:abstractNum w:abstractNumId="213">
    <w:nsid w:val="E82BCE6F"/>
    <w:multiLevelType w:val="singleLevel"/>
    <w:tmpl w:val="E82BCE6F"/>
    <w:lvl w:ilvl="0" w:tentative="0">
      <w:start w:val="1"/>
      <w:numFmt w:val="decimal"/>
      <w:suff w:val="space"/>
      <w:lvlText w:val="%1."/>
      <w:lvlJc w:val="left"/>
    </w:lvl>
  </w:abstractNum>
  <w:abstractNum w:abstractNumId="214">
    <w:nsid w:val="E94EC974"/>
    <w:multiLevelType w:val="singleLevel"/>
    <w:tmpl w:val="E94EC974"/>
    <w:lvl w:ilvl="0" w:tentative="0">
      <w:start w:val="1"/>
      <w:numFmt w:val="decimal"/>
      <w:suff w:val="space"/>
      <w:lvlText w:val="%1."/>
      <w:lvlJc w:val="left"/>
      <w:rPr>
        <w:rFonts w:cs="Times New Roman"/>
      </w:rPr>
    </w:lvl>
  </w:abstractNum>
  <w:abstractNum w:abstractNumId="215">
    <w:nsid w:val="E9D9D862"/>
    <w:multiLevelType w:val="singleLevel"/>
    <w:tmpl w:val="E9D9D862"/>
    <w:lvl w:ilvl="0" w:tentative="0">
      <w:start w:val="1"/>
      <w:numFmt w:val="decimal"/>
      <w:suff w:val="space"/>
      <w:lvlText w:val="%1."/>
      <w:lvlJc w:val="left"/>
      <w:rPr>
        <w:rFonts w:cs="Times New Roman"/>
      </w:rPr>
    </w:lvl>
  </w:abstractNum>
  <w:abstractNum w:abstractNumId="216">
    <w:nsid w:val="EC1B083E"/>
    <w:multiLevelType w:val="singleLevel"/>
    <w:tmpl w:val="EC1B083E"/>
    <w:lvl w:ilvl="0" w:tentative="0">
      <w:start w:val="1"/>
      <w:numFmt w:val="decimal"/>
      <w:suff w:val="space"/>
      <w:lvlText w:val="%1."/>
      <w:lvlJc w:val="left"/>
      <w:rPr>
        <w:rFonts w:cs="Times New Roman"/>
      </w:rPr>
    </w:lvl>
  </w:abstractNum>
  <w:abstractNum w:abstractNumId="217">
    <w:nsid w:val="EC1CACEC"/>
    <w:multiLevelType w:val="singleLevel"/>
    <w:tmpl w:val="EC1CACEC"/>
    <w:lvl w:ilvl="0" w:tentative="0">
      <w:start w:val="1"/>
      <w:numFmt w:val="decimal"/>
      <w:suff w:val="space"/>
      <w:lvlText w:val="%1."/>
      <w:lvlJc w:val="left"/>
      <w:rPr>
        <w:rFonts w:cs="Times New Roman"/>
      </w:rPr>
    </w:lvl>
  </w:abstractNum>
  <w:abstractNum w:abstractNumId="218">
    <w:nsid w:val="EE4D1FF3"/>
    <w:multiLevelType w:val="singleLevel"/>
    <w:tmpl w:val="EE4D1FF3"/>
    <w:lvl w:ilvl="0" w:tentative="0">
      <w:start w:val="1"/>
      <w:numFmt w:val="decimal"/>
      <w:suff w:val="space"/>
      <w:lvlText w:val="%1."/>
      <w:lvlJc w:val="left"/>
    </w:lvl>
  </w:abstractNum>
  <w:abstractNum w:abstractNumId="219">
    <w:nsid w:val="F2017312"/>
    <w:multiLevelType w:val="singleLevel"/>
    <w:tmpl w:val="F2017312"/>
    <w:lvl w:ilvl="0" w:tentative="0">
      <w:start w:val="1"/>
      <w:numFmt w:val="decimal"/>
      <w:suff w:val="space"/>
      <w:lvlText w:val="%1."/>
      <w:lvlJc w:val="left"/>
    </w:lvl>
  </w:abstractNum>
  <w:abstractNum w:abstractNumId="220">
    <w:nsid w:val="F214F092"/>
    <w:multiLevelType w:val="singleLevel"/>
    <w:tmpl w:val="F214F092"/>
    <w:lvl w:ilvl="0" w:tentative="0">
      <w:start w:val="1"/>
      <w:numFmt w:val="decimal"/>
      <w:suff w:val="space"/>
      <w:lvlText w:val="%1."/>
      <w:lvlJc w:val="left"/>
    </w:lvl>
  </w:abstractNum>
  <w:abstractNum w:abstractNumId="221">
    <w:nsid w:val="F2651D60"/>
    <w:multiLevelType w:val="singleLevel"/>
    <w:tmpl w:val="F2651D60"/>
    <w:lvl w:ilvl="0" w:tentative="0">
      <w:start w:val="1"/>
      <w:numFmt w:val="decimal"/>
      <w:suff w:val="space"/>
      <w:lvlText w:val="%1."/>
      <w:lvlJc w:val="left"/>
    </w:lvl>
  </w:abstractNum>
  <w:abstractNum w:abstractNumId="222">
    <w:nsid w:val="F2B82392"/>
    <w:multiLevelType w:val="singleLevel"/>
    <w:tmpl w:val="F2B82392"/>
    <w:lvl w:ilvl="0" w:tentative="0">
      <w:start w:val="1"/>
      <w:numFmt w:val="decimal"/>
      <w:suff w:val="space"/>
      <w:lvlText w:val="%1."/>
      <w:lvlJc w:val="left"/>
    </w:lvl>
  </w:abstractNum>
  <w:abstractNum w:abstractNumId="223">
    <w:nsid w:val="F3196FC3"/>
    <w:multiLevelType w:val="singleLevel"/>
    <w:tmpl w:val="F3196FC3"/>
    <w:lvl w:ilvl="0" w:tentative="0">
      <w:start w:val="1"/>
      <w:numFmt w:val="decimal"/>
      <w:suff w:val="space"/>
      <w:lvlText w:val="%1."/>
      <w:lvlJc w:val="left"/>
    </w:lvl>
  </w:abstractNum>
  <w:abstractNum w:abstractNumId="224">
    <w:nsid w:val="F32DFAFF"/>
    <w:multiLevelType w:val="singleLevel"/>
    <w:tmpl w:val="F32DFAFF"/>
    <w:lvl w:ilvl="0" w:tentative="0">
      <w:start w:val="1"/>
      <w:numFmt w:val="decimal"/>
      <w:suff w:val="space"/>
      <w:lvlText w:val="%1."/>
      <w:lvlJc w:val="left"/>
      <w:rPr>
        <w:rFonts w:cs="Times New Roman"/>
      </w:rPr>
    </w:lvl>
  </w:abstractNum>
  <w:abstractNum w:abstractNumId="225">
    <w:nsid w:val="F4AC35D5"/>
    <w:multiLevelType w:val="singleLevel"/>
    <w:tmpl w:val="F4AC35D5"/>
    <w:lvl w:ilvl="0" w:tentative="0">
      <w:start w:val="1"/>
      <w:numFmt w:val="decimal"/>
      <w:suff w:val="space"/>
      <w:lvlText w:val="%1."/>
      <w:lvlJc w:val="left"/>
      <w:rPr>
        <w:rFonts w:cs="Times New Roman"/>
      </w:rPr>
    </w:lvl>
  </w:abstractNum>
  <w:abstractNum w:abstractNumId="226">
    <w:nsid w:val="F4D55193"/>
    <w:multiLevelType w:val="singleLevel"/>
    <w:tmpl w:val="F4D55193"/>
    <w:lvl w:ilvl="0" w:tentative="0">
      <w:start w:val="1"/>
      <w:numFmt w:val="decimal"/>
      <w:suff w:val="space"/>
      <w:lvlText w:val="%1."/>
      <w:lvlJc w:val="left"/>
      <w:rPr>
        <w:rFonts w:cs="Times New Roman"/>
      </w:rPr>
    </w:lvl>
  </w:abstractNum>
  <w:abstractNum w:abstractNumId="227">
    <w:nsid w:val="F5364239"/>
    <w:multiLevelType w:val="singleLevel"/>
    <w:tmpl w:val="F5364239"/>
    <w:lvl w:ilvl="0" w:tentative="0">
      <w:start w:val="1"/>
      <w:numFmt w:val="decimal"/>
      <w:suff w:val="space"/>
      <w:lvlText w:val="%1."/>
      <w:lvlJc w:val="left"/>
    </w:lvl>
  </w:abstractNum>
  <w:abstractNum w:abstractNumId="228">
    <w:nsid w:val="F5A58568"/>
    <w:multiLevelType w:val="singleLevel"/>
    <w:tmpl w:val="F5A58568"/>
    <w:lvl w:ilvl="0" w:tentative="0">
      <w:start w:val="1"/>
      <w:numFmt w:val="decimal"/>
      <w:suff w:val="space"/>
      <w:lvlText w:val="%1."/>
      <w:lvlJc w:val="left"/>
      <w:rPr>
        <w:rFonts w:cs="Times New Roman"/>
      </w:rPr>
    </w:lvl>
  </w:abstractNum>
  <w:abstractNum w:abstractNumId="229">
    <w:nsid w:val="F5D87C72"/>
    <w:multiLevelType w:val="singleLevel"/>
    <w:tmpl w:val="F5D87C72"/>
    <w:lvl w:ilvl="0" w:tentative="0">
      <w:start w:val="1"/>
      <w:numFmt w:val="decimal"/>
      <w:suff w:val="space"/>
      <w:lvlText w:val="%1."/>
      <w:lvlJc w:val="left"/>
      <w:rPr>
        <w:rFonts w:cs="Times New Roman"/>
      </w:rPr>
    </w:lvl>
  </w:abstractNum>
  <w:abstractNum w:abstractNumId="230">
    <w:nsid w:val="F5FCF43A"/>
    <w:multiLevelType w:val="singleLevel"/>
    <w:tmpl w:val="F5FCF43A"/>
    <w:lvl w:ilvl="0" w:tentative="0">
      <w:start w:val="1"/>
      <w:numFmt w:val="decimal"/>
      <w:suff w:val="space"/>
      <w:lvlText w:val="%1."/>
      <w:lvlJc w:val="left"/>
    </w:lvl>
  </w:abstractNum>
  <w:abstractNum w:abstractNumId="231">
    <w:nsid w:val="F60B3393"/>
    <w:multiLevelType w:val="singleLevel"/>
    <w:tmpl w:val="F60B3393"/>
    <w:lvl w:ilvl="0" w:tentative="0">
      <w:start w:val="1"/>
      <w:numFmt w:val="decimal"/>
      <w:suff w:val="space"/>
      <w:lvlText w:val="%1."/>
      <w:lvlJc w:val="left"/>
      <w:rPr>
        <w:rFonts w:cs="Times New Roman"/>
      </w:rPr>
    </w:lvl>
  </w:abstractNum>
  <w:abstractNum w:abstractNumId="232">
    <w:nsid w:val="F661C2B5"/>
    <w:multiLevelType w:val="singleLevel"/>
    <w:tmpl w:val="F661C2B5"/>
    <w:lvl w:ilvl="0" w:tentative="0">
      <w:start w:val="1"/>
      <w:numFmt w:val="decimal"/>
      <w:suff w:val="space"/>
      <w:lvlText w:val="%1."/>
      <w:lvlJc w:val="left"/>
    </w:lvl>
  </w:abstractNum>
  <w:abstractNum w:abstractNumId="233">
    <w:nsid w:val="F6BDF6B8"/>
    <w:multiLevelType w:val="singleLevel"/>
    <w:tmpl w:val="F6BDF6B8"/>
    <w:lvl w:ilvl="0" w:tentative="0">
      <w:start w:val="1"/>
      <w:numFmt w:val="decimal"/>
      <w:suff w:val="space"/>
      <w:lvlText w:val="%1."/>
      <w:lvlJc w:val="left"/>
    </w:lvl>
  </w:abstractNum>
  <w:abstractNum w:abstractNumId="234">
    <w:nsid w:val="F730496A"/>
    <w:multiLevelType w:val="singleLevel"/>
    <w:tmpl w:val="F730496A"/>
    <w:lvl w:ilvl="0" w:tentative="0">
      <w:start w:val="1"/>
      <w:numFmt w:val="decimal"/>
      <w:suff w:val="space"/>
      <w:lvlText w:val="%1."/>
      <w:lvlJc w:val="left"/>
      <w:rPr>
        <w:rFonts w:cs="Times New Roman"/>
      </w:rPr>
    </w:lvl>
  </w:abstractNum>
  <w:abstractNum w:abstractNumId="235">
    <w:nsid w:val="F74B41F2"/>
    <w:multiLevelType w:val="singleLevel"/>
    <w:tmpl w:val="F74B41F2"/>
    <w:lvl w:ilvl="0" w:tentative="0">
      <w:start w:val="1"/>
      <w:numFmt w:val="decimal"/>
      <w:suff w:val="space"/>
      <w:lvlText w:val="%1."/>
      <w:lvlJc w:val="left"/>
      <w:rPr>
        <w:rFonts w:cs="Times New Roman"/>
      </w:rPr>
    </w:lvl>
  </w:abstractNum>
  <w:abstractNum w:abstractNumId="236">
    <w:nsid w:val="F7AE752E"/>
    <w:multiLevelType w:val="singleLevel"/>
    <w:tmpl w:val="F7AE752E"/>
    <w:lvl w:ilvl="0" w:tentative="0">
      <w:start w:val="1"/>
      <w:numFmt w:val="decimal"/>
      <w:suff w:val="space"/>
      <w:lvlText w:val="%1."/>
      <w:lvlJc w:val="left"/>
    </w:lvl>
  </w:abstractNum>
  <w:abstractNum w:abstractNumId="237">
    <w:nsid w:val="F9DDFDA2"/>
    <w:multiLevelType w:val="singleLevel"/>
    <w:tmpl w:val="F9DDFDA2"/>
    <w:lvl w:ilvl="0" w:tentative="0">
      <w:start w:val="1"/>
      <w:numFmt w:val="decimal"/>
      <w:suff w:val="space"/>
      <w:lvlText w:val="%1."/>
      <w:lvlJc w:val="left"/>
      <w:rPr>
        <w:rFonts w:cs="Times New Roman"/>
      </w:rPr>
    </w:lvl>
  </w:abstractNum>
  <w:abstractNum w:abstractNumId="238">
    <w:nsid w:val="FA002EA5"/>
    <w:multiLevelType w:val="singleLevel"/>
    <w:tmpl w:val="FA002EA5"/>
    <w:lvl w:ilvl="0" w:tentative="0">
      <w:start w:val="1"/>
      <w:numFmt w:val="decimal"/>
      <w:suff w:val="space"/>
      <w:lvlText w:val="%1."/>
      <w:lvlJc w:val="left"/>
      <w:rPr>
        <w:rFonts w:cs="Times New Roman"/>
      </w:rPr>
    </w:lvl>
  </w:abstractNum>
  <w:abstractNum w:abstractNumId="239">
    <w:nsid w:val="FA0BCA89"/>
    <w:multiLevelType w:val="singleLevel"/>
    <w:tmpl w:val="FA0BCA89"/>
    <w:lvl w:ilvl="0" w:tentative="0">
      <w:start w:val="1"/>
      <w:numFmt w:val="decimal"/>
      <w:suff w:val="space"/>
      <w:lvlText w:val="%1."/>
      <w:lvlJc w:val="left"/>
    </w:lvl>
  </w:abstractNum>
  <w:abstractNum w:abstractNumId="240">
    <w:nsid w:val="FB2D80C4"/>
    <w:multiLevelType w:val="singleLevel"/>
    <w:tmpl w:val="FB2D80C4"/>
    <w:lvl w:ilvl="0" w:tentative="0">
      <w:start w:val="1"/>
      <w:numFmt w:val="decimal"/>
      <w:suff w:val="space"/>
      <w:lvlText w:val="%1."/>
      <w:lvlJc w:val="left"/>
      <w:rPr>
        <w:rFonts w:cs="Times New Roman"/>
      </w:rPr>
    </w:lvl>
  </w:abstractNum>
  <w:abstractNum w:abstractNumId="241">
    <w:nsid w:val="FB4C3793"/>
    <w:multiLevelType w:val="singleLevel"/>
    <w:tmpl w:val="FB4C3793"/>
    <w:lvl w:ilvl="0" w:tentative="0">
      <w:start w:val="1"/>
      <w:numFmt w:val="decimal"/>
      <w:suff w:val="space"/>
      <w:lvlText w:val="%1."/>
      <w:lvlJc w:val="left"/>
      <w:rPr>
        <w:rFonts w:cs="Times New Roman"/>
      </w:rPr>
    </w:lvl>
  </w:abstractNum>
  <w:abstractNum w:abstractNumId="242">
    <w:nsid w:val="FB68D836"/>
    <w:multiLevelType w:val="singleLevel"/>
    <w:tmpl w:val="FB68D836"/>
    <w:lvl w:ilvl="0" w:tentative="0">
      <w:start w:val="1"/>
      <w:numFmt w:val="decimal"/>
      <w:suff w:val="space"/>
      <w:lvlText w:val="%1."/>
      <w:lvlJc w:val="left"/>
    </w:lvl>
  </w:abstractNum>
  <w:abstractNum w:abstractNumId="243">
    <w:nsid w:val="FBAC5AFB"/>
    <w:multiLevelType w:val="singleLevel"/>
    <w:tmpl w:val="FBAC5AFB"/>
    <w:lvl w:ilvl="0" w:tentative="0">
      <w:start w:val="1"/>
      <w:numFmt w:val="decimal"/>
      <w:suff w:val="space"/>
      <w:lvlText w:val="%1."/>
      <w:lvlJc w:val="left"/>
      <w:rPr>
        <w:rFonts w:cs="Times New Roman"/>
      </w:rPr>
    </w:lvl>
  </w:abstractNum>
  <w:abstractNum w:abstractNumId="244">
    <w:nsid w:val="FC6ECB0F"/>
    <w:multiLevelType w:val="singleLevel"/>
    <w:tmpl w:val="FC6ECB0F"/>
    <w:lvl w:ilvl="0" w:tentative="0">
      <w:start w:val="1"/>
      <w:numFmt w:val="decimal"/>
      <w:suff w:val="space"/>
      <w:lvlText w:val="%1."/>
      <w:lvlJc w:val="left"/>
    </w:lvl>
  </w:abstractNum>
  <w:abstractNum w:abstractNumId="245">
    <w:nsid w:val="FC8B7D1D"/>
    <w:multiLevelType w:val="singleLevel"/>
    <w:tmpl w:val="FC8B7D1D"/>
    <w:lvl w:ilvl="0" w:tentative="0">
      <w:start w:val="1"/>
      <w:numFmt w:val="decimal"/>
      <w:suff w:val="space"/>
      <w:lvlText w:val="%1."/>
      <w:lvlJc w:val="left"/>
      <w:rPr>
        <w:rFonts w:cs="Times New Roman"/>
      </w:rPr>
    </w:lvl>
  </w:abstractNum>
  <w:abstractNum w:abstractNumId="246">
    <w:nsid w:val="FC952BD6"/>
    <w:multiLevelType w:val="singleLevel"/>
    <w:tmpl w:val="FC952BD6"/>
    <w:lvl w:ilvl="0" w:tentative="0">
      <w:start w:val="1"/>
      <w:numFmt w:val="decimal"/>
      <w:suff w:val="space"/>
      <w:lvlText w:val="%1."/>
      <w:lvlJc w:val="left"/>
    </w:lvl>
  </w:abstractNum>
  <w:abstractNum w:abstractNumId="247">
    <w:nsid w:val="FCBEEE3D"/>
    <w:multiLevelType w:val="singleLevel"/>
    <w:tmpl w:val="FCBEEE3D"/>
    <w:lvl w:ilvl="0" w:tentative="0">
      <w:start w:val="1"/>
      <w:numFmt w:val="decimal"/>
      <w:suff w:val="space"/>
      <w:lvlText w:val="%1."/>
      <w:lvlJc w:val="left"/>
    </w:lvl>
  </w:abstractNum>
  <w:abstractNum w:abstractNumId="248">
    <w:nsid w:val="FCE35A89"/>
    <w:multiLevelType w:val="singleLevel"/>
    <w:tmpl w:val="FCE35A89"/>
    <w:lvl w:ilvl="0" w:tentative="0">
      <w:start w:val="1"/>
      <w:numFmt w:val="decimal"/>
      <w:suff w:val="space"/>
      <w:lvlText w:val="%1."/>
      <w:lvlJc w:val="left"/>
    </w:lvl>
  </w:abstractNum>
  <w:abstractNum w:abstractNumId="249">
    <w:nsid w:val="FDDCE347"/>
    <w:multiLevelType w:val="singleLevel"/>
    <w:tmpl w:val="FDDCE347"/>
    <w:lvl w:ilvl="0" w:tentative="0">
      <w:start w:val="1"/>
      <w:numFmt w:val="decimal"/>
      <w:suff w:val="space"/>
      <w:lvlText w:val="%1."/>
      <w:lvlJc w:val="left"/>
    </w:lvl>
  </w:abstractNum>
  <w:abstractNum w:abstractNumId="250">
    <w:nsid w:val="FE4CAE12"/>
    <w:multiLevelType w:val="singleLevel"/>
    <w:tmpl w:val="FE4CAE12"/>
    <w:lvl w:ilvl="0" w:tentative="0">
      <w:start w:val="1"/>
      <w:numFmt w:val="decimal"/>
      <w:suff w:val="nothing"/>
      <w:lvlText w:val="（%1）"/>
      <w:lvlJc w:val="left"/>
    </w:lvl>
  </w:abstractNum>
  <w:abstractNum w:abstractNumId="251">
    <w:nsid w:val="FF671D73"/>
    <w:multiLevelType w:val="singleLevel"/>
    <w:tmpl w:val="FF671D73"/>
    <w:lvl w:ilvl="0" w:tentative="0">
      <w:start w:val="1"/>
      <w:numFmt w:val="decimal"/>
      <w:suff w:val="space"/>
      <w:lvlText w:val="%1."/>
      <w:lvlJc w:val="left"/>
      <w:rPr>
        <w:rFonts w:cs="Times New Roman"/>
      </w:rPr>
    </w:lvl>
  </w:abstractNum>
  <w:abstractNum w:abstractNumId="252">
    <w:nsid w:val="FFCDD29C"/>
    <w:multiLevelType w:val="singleLevel"/>
    <w:tmpl w:val="FFCDD29C"/>
    <w:lvl w:ilvl="0" w:tentative="0">
      <w:start w:val="1"/>
      <w:numFmt w:val="decimal"/>
      <w:suff w:val="space"/>
      <w:lvlText w:val="%1，"/>
      <w:lvlJc w:val="left"/>
    </w:lvl>
  </w:abstractNum>
  <w:abstractNum w:abstractNumId="253">
    <w:nsid w:val="001CE403"/>
    <w:multiLevelType w:val="singleLevel"/>
    <w:tmpl w:val="001CE403"/>
    <w:lvl w:ilvl="0" w:tentative="0">
      <w:start w:val="1"/>
      <w:numFmt w:val="decimal"/>
      <w:suff w:val="space"/>
      <w:lvlText w:val="%1."/>
      <w:lvlJc w:val="left"/>
    </w:lvl>
  </w:abstractNum>
  <w:abstractNum w:abstractNumId="254">
    <w:nsid w:val="0096B9EA"/>
    <w:multiLevelType w:val="singleLevel"/>
    <w:tmpl w:val="0096B9EA"/>
    <w:lvl w:ilvl="0" w:tentative="0">
      <w:start w:val="1"/>
      <w:numFmt w:val="decimal"/>
      <w:lvlText w:val="%1."/>
      <w:lvlJc w:val="left"/>
      <w:pPr>
        <w:tabs>
          <w:tab w:val="left" w:pos="312"/>
        </w:tabs>
      </w:pPr>
    </w:lvl>
  </w:abstractNum>
  <w:abstractNum w:abstractNumId="255">
    <w:nsid w:val="00AE3B50"/>
    <w:multiLevelType w:val="singleLevel"/>
    <w:tmpl w:val="00AE3B50"/>
    <w:lvl w:ilvl="0" w:tentative="0">
      <w:start w:val="1"/>
      <w:numFmt w:val="decimal"/>
      <w:suff w:val="space"/>
      <w:lvlText w:val="%1."/>
      <w:lvlJc w:val="left"/>
      <w:rPr>
        <w:rFonts w:cs="Times New Roman"/>
      </w:rPr>
    </w:lvl>
  </w:abstractNum>
  <w:abstractNum w:abstractNumId="256">
    <w:nsid w:val="01AA1381"/>
    <w:multiLevelType w:val="singleLevel"/>
    <w:tmpl w:val="01AA1381"/>
    <w:lvl w:ilvl="0" w:tentative="0">
      <w:start w:val="1"/>
      <w:numFmt w:val="decimal"/>
      <w:suff w:val="space"/>
      <w:lvlText w:val="%1."/>
      <w:lvlJc w:val="left"/>
      <w:rPr>
        <w:rFonts w:cs="Times New Roman"/>
      </w:rPr>
    </w:lvl>
  </w:abstractNum>
  <w:abstractNum w:abstractNumId="257">
    <w:nsid w:val="01CE45FB"/>
    <w:multiLevelType w:val="singleLevel"/>
    <w:tmpl w:val="01CE45FB"/>
    <w:lvl w:ilvl="0" w:tentative="0">
      <w:start w:val="1"/>
      <w:numFmt w:val="decimal"/>
      <w:suff w:val="space"/>
      <w:lvlText w:val="%1."/>
      <w:lvlJc w:val="left"/>
      <w:rPr>
        <w:rFonts w:cs="Times New Roman"/>
      </w:rPr>
    </w:lvl>
  </w:abstractNum>
  <w:abstractNum w:abstractNumId="258">
    <w:nsid w:val="037323D8"/>
    <w:multiLevelType w:val="singleLevel"/>
    <w:tmpl w:val="037323D8"/>
    <w:lvl w:ilvl="0" w:tentative="0">
      <w:start w:val="1"/>
      <w:numFmt w:val="decimal"/>
      <w:suff w:val="space"/>
      <w:lvlText w:val="%1."/>
      <w:lvlJc w:val="left"/>
      <w:rPr>
        <w:rFonts w:cs="Times New Roman"/>
      </w:rPr>
    </w:lvl>
  </w:abstractNum>
  <w:abstractNum w:abstractNumId="259">
    <w:nsid w:val="03F75159"/>
    <w:multiLevelType w:val="singleLevel"/>
    <w:tmpl w:val="03F75159"/>
    <w:lvl w:ilvl="0" w:tentative="0">
      <w:start w:val="1"/>
      <w:numFmt w:val="decimal"/>
      <w:suff w:val="space"/>
      <w:lvlText w:val="%1."/>
      <w:lvlJc w:val="left"/>
    </w:lvl>
  </w:abstractNum>
  <w:abstractNum w:abstractNumId="260">
    <w:nsid w:val="0423DD7E"/>
    <w:multiLevelType w:val="singleLevel"/>
    <w:tmpl w:val="0423DD7E"/>
    <w:lvl w:ilvl="0" w:tentative="0">
      <w:start w:val="1"/>
      <w:numFmt w:val="decimal"/>
      <w:suff w:val="space"/>
      <w:lvlText w:val="%1."/>
      <w:lvlJc w:val="left"/>
      <w:rPr>
        <w:rFonts w:cs="Times New Roman"/>
      </w:rPr>
    </w:lvl>
  </w:abstractNum>
  <w:abstractNum w:abstractNumId="261">
    <w:nsid w:val="044876C1"/>
    <w:multiLevelType w:val="singleLevel"/>
    <w:tmpl w:val="044876C1"/>
    <w:lvl w:ilvl="0" w:tentative="0">
      <w:start w:val="1"/>
      <w:numFmt w:val="decimal"/>
      <w:suff w:val="space"/>
      <w:lvlText w:val="%1."/>
      <w:lvlJc w:val="left"/>
      <w:rPr>
        <w:rFonts w:cs="Times New Roman"/>
      </w:rPr>
    </w:lvl>
  </w:abstractNum>
  <w:abstractNum w:abstractNumId="262">
    <w:nsid w:val="05D2C984"/>
    <w:multiLevelType w:val="singleLevel"/>
    <w:tmpl w:val="05D2C984"/>
    <w:lvl w:ilvl="0" w:tentative="0">
      <w:start w:val="1"/>
      <w:numFmt w:val="decimal"/>
      <w:suff w:val="space"/>
      <w:lvlText w:val="%1."/>
      <w:lvlJc w:val="left"/>
      <w:rPr>
        <w:rFonts w:cs="Times New Roman"/>
      </w:rPr>
    </w:lvl>
  </w:abstractNum>
  <w:abstractNum w:abstractNumId="263">
    <w:nsid w:val="0725D720"/>
    <w:multiLevelType w:val="singleLevel"/>
    <w:tmpl w:val="0725D720"/>
    <w:lvl w:ilvl="0" w:tentative="0">
      <w:start w:val="1"/>
      <w:numFmt w:val="decimal"/>
      <w:suff w:val="space"/>
      <w:lvlText w:val="%1."/>
      <w:lvlJc w:val="left"/>
      <w:rPr>
        <w:rFonts w:cs="Times New Roman"/>
      </w:rPr>
    </w:lvl>
  </w:abstractNum>
  <w:abstractNum w:abstractNumId="264">
    <w:nsid w:val="079F9C77"/>
    <w:multiLevelType w:val="singleLevel"/>
    <w:tmpl w:val="079F9C77"/>
    <w:lvl w:ilvl="0" w:tentative="0">
      <w:start w:val="1"/>
      <w:numFmt w:val="decimal"/>
      <w:suff w:val="space"/>
      <w:lvlText w:val="%1."/>
      <w:lvlJc w:val="left"/>
      <w:rPr>
        <w:rFonts w:cs="Times New Roman"/>
      </w:rPr>
    </w:lvl>
  </w:abstractNum>
  <w:abstractNum w:abstractNumId="265">
    <w:nsid w:val="07D56E07"/>
    <w:multiLevelType w:val="singleLevel"/>
    <w:tmpl w:val="07D56E07"/>
    <w:lvl w:ilvl="0" w:tentative="0">
      <w:start w:val="1"/>
      <w:numFmt w:val="decimal"/>
      <w:suff w:val="space"/>
      <w:lvlText w:val="%1."/>
      <w:lvlJc w:val="left"/>
      <w:rPr>
        <w:rFonts w:cs="Times New Roman"/>
      </w:rPr>
    </w:lvl>
  </w:abstractNum>
  <w:abstractNum w:abstractNumId="266">
    <w:nsid w:val="07F4703D"/>
    <w:multiLevelType w:val="singleLevel"/>
    <w:tmpl w:val="07F4703D"/>
    <w:lvl w:ilvl="0" w:tentative="0">
      <w:start w:val="1"/>
      <w:numFmt w:val="decimal"/>
      <w:lvlText w:val="%1."/>
      <w:lvlJc w:val="left"/>
      <w:pPr>
        <w:tabs>
          <w:tab w:val="left" w:pos="312"/>
        </w:tabs>
      </w:pPr>
      <w:rPr>
        <w:rFonts w:cs="Times New Roman"/>
      </w:rPr>
    </w:lvl>
  </w:abstractNum>
  <w:abstractNum w:abstractNumId="267">
    <w:nsid w:val="080EB5A9"/>
    <w:multiLevelType w:val="singleLevel"/>
    <w:tmpl w:val="080EB5A9"/>
    <w:lvl w:ilvl="0" w:tentative="0">
      <w:start w:val="1"/>
      <w:numFmt w:val="decimal"/>
      <w:suff w:val="space"/>
      <w:lvlText w:val="%1."/>
      <w:lvlJc w:val="left"/>
    </w:lvl>
  </w:abstractNum>
  <w:abstractNum w:abstractNumId="268">
    <w:nsid w:val="08494A0A"/>
    <w:multiLevelType w:val="singleLevel"/>
    <w:tmpl w:val="08494A0A"/>
    <w:lvl w:ilvl="0" w:tentative="0">
      <w:start w:val="1"/>
      <w:numFmt w:val="decimal"/>
      <w:suff w:val="space"/>
      <w:lvlText w:val="%1."/>
      <w:lvlJc w:val="left"/>
      <w:rPr>
        <w:rFonts w:cs="Times New Roman"/>
      </w:rPr>
    </w:lvl>
  </w:abstractNum>
  <w:abstractNum w:abstractNumId="269">
    <w:nsid w:val="0854D9DB"/>
    <w:multiLevelType w:val="singleLevel"/>
    <w:tmpl w:val="0854D9DB"/>
    <w:lvl w:ilvl="0" w:tentative="0">
      <w:start w:val="1"/>
      <w:numFmt w:val="decimal"/>
      <w:suff w:val="space"/>
      <w:lvlText w:val="%1."/>
      <w:lvlJc w:val="left"/>
    </w:lvl>
  </w:abstractNum>
  <w:abstractNum w:abstractNumId="270">
    <w:nsid w:val="08B81EF3"/>
    <w:multiLevelType w:val="singleLevel"/>
    <w:tmpl w:val="08B81EF3"/>
    <w:lvl w:ilvl="0" w:tentative="0">
      <w:start w:val="1"/>
      <w:numFmt w:val="decimal"/>
      <w:suff w:val="space"/>
      <w:lvlText w:val="%1."/>
      <w:lvlJc w:val="left"/>
    </w:lvl>
  </w:abstractNum>
  <w:abstractNum w:abstractNumId="271">
    <w:nsid w:val="092377AA"/>
    <w:multiLevelType w:val="singleLevel"/>
    <w:tmpl w:val="092377AA"/>
    <w:lvl w:ilvl="0" w:tentative="0">
      <w:start w:val="1"/>
      <w:numFmt w:val="decimal"/>
      <w:suff w:val="space"/>
      <w:lvlText w:val="%1."/>
      <w:lvlJc w:val="left"/>
    </w:lvl>
  </w:abstractNum>
  <w:abstractNum w:abstractNumId="272">
    <w:nsid w:val="09833AB1"/>
    <w:multiLevelType w:val="singleLevel"/>
    <w:tmpl w:val="09833AB1"/>
    <w:lvl w:ilvl="0" w:tentative="0">
      <w:start w:val="1"/>
      <w:numFmt w:val="decimal"/>
      <w:suff w:val="space"/>
      <w:lvlText w:val="%1."/>
      <w:lvlJc w:val="left"/>
      <w:rPr>
        <w:rFonts w:cs="Times New Roman"/>
      </w:rPr>
    </w:lvl>
  </w:abstractNum>
  <w:abstractNum w:abstractNumId="273">
    <w:nsid w:val="099E92C5"/>
    <w:multiLevelType w:val="singleLevel"/>
    <w:tmpl w:val="099E92C5"/>
    <w:lvl w:ilvl="0" w:tentative="0">
      <w:start w:val="1"/>
      <w:numFmt w:val="decimal"/>
      <w:suff w:val="space"/>
      <w:lvlText w:val="%1."/>
      <w:lvlJc w:val="left"/>
      <w:rPr>
        <w:rFonts w:cs="Times New Roman"/>
      </w:rPr>
    </w:lvl>
  </w:abstractNum>
  <w:abstractNum w:abstractNumId="274">
    <w:nsid w:val="09C67AE1"/>
    <w:multiLevelType w:val="singleLevel"/>
    <w:tmpl w:val="09C67AE1"/>
    <w:lvl w:ilvl="0" w:tentative="0">
      <w:start w:val="1"/>
      <w:numFmt w:val="decimal"/>
      <w:suff w:val="space"/>
      <w:lvlText w:val="%1."/>
      <w:lvlJc w:val="left"/>
      <w:rPr>
        <w:rFonts w:cs="Times New Roman"/>
      </w:rPr>
    </w:lvl>
  </w:abstractNum>
  <w:abstractNum w:abstractNumId="275">
    <w:nsid w:val="09CCD2B3"/>
    <w:multiLevelType w:val="singleLevel"/>
    <w:tmpl w:val="09CCD2B3"/>
    <w:lvl w:ilvl="0" w:tentative="0">
      <w:start w:val="1"/>
      <w:numFmt w:val="decimal"/>
      <w:suff w:val="space"/>
      <w:lvlText w:val="%1."/>
      <w:lvlJc w:val="left"/>
      <w:rPr>
        <w:rFonts w:cs="Times New Roman"/>
      </w:rPr>
    </w:lvl>
  </w:abstractNum>
  <w:abstractNum w:abstractNumId="276">
    <w:nsid w:val="0A1FAF82"/>
    <w:multiLevelType w:val="singleLevel"/>
    <w:tmpl w:val="0A1FAF82"/>
    <w:lvl w:ilvl="0" w:tentative="0">
      <w:start w:val="1"/>
      <w:numFmt w:val="decimal"/>
      <w:suff w:val="space"/>
      <w:lvlText w:val="%1."/>
      <w:lvlJc w:val="left"/>
      <w:rPr>
        <w:rFonts w:cs="Times New Roman"/>
      </w:rPr>
    </w:lvl>
  </w:abstractNum>
  <w:abstractNum w:abstractNumId="277">
    <w:nsid w:val="0B3A17E9"/>
    <w:multiLevelType w:val="singleLevel"/>
    <w:tmpl w:val="0B3A17E9"/>
    <w:lvl w:ilvl="0" w:tentative="0">
      <w:start w:val="1"/>
      <w:numFmt w:val="decimal"/>
      <w:suff w:val="space"/>
      <w:lvlText w:val="%1."/>
      <w:lvlJc w:val="left"/>
    </w:lvl>
  </w:abstractNum>
  <w:abstractNum w:abstractNumId="278">
    <w:nsid w:val="0B40E654"/>
    <w:multiLevelType w:val="singleLevel"/>
    <w:tmpl w:val="0B40E654"/>
    <w:lvl w:ilvl="0" w:tentative="0">
      <w:start w:val="1"/>
      <w:numFmt w:val="decimal"/>
      <w:suff w:val="space"/>
      <w:lvlText w:val="%1."/>
      <w:lvlJc w:val="left"/>
      <w:rPr>
        <w:rFonts w:cs="Times New Roman"/>
      </w:rPr>
    </w:lvl>
  </w:abstractNum>
  <w:abstractNum w:abstractNumId="279">
    <w:nsid w:val="0C94E243"/>
    <w:multiLevelType w:val="singleLevel"/>
    <w:tmpl w:val="0C94E243"/>
    <w:lvl w:ilvl="0" w:tentative="0">
      <w:start w:val="1"/>
      <w:numFmt w:val="decimal"/>
      <w:suff w:val="space"/>
      <w:lvlText w:val="%1."/>
      <w:lvlJc w:val="left"/>
    </w:lvl>
  </w:abstractNum>
  <w:abstractNum w:abstractNumId="280">
    <w:nsid w:val="0CCB90E5"/>
    <w:multiLevelType w:val="singleLevel"/>
    <w:tmpl w:val="0CCB90E5"/>
    <w:lvl w:ilvl="0" w:tentative="0">
      <w:start w:val="1"/>
      <w:numFmt w:val="decimal"/>
      <w:suff w:val="space"/>
      <w:lvlText w:val="%1."/>
      <w:lvlJc w:val="left"/>
      <w:rPr>
        <w:rFonts w:cs="Times New Roman"/>
      </w:rPr>
    </w:lvl>
  </w:abstractNum>
  <w:abstractNum w:abstractNumId="281">
    <w:nsid w:val="0D48AB09"/>
    <w:multiLevelType w:val="singleLevel"/>
    <w:tmpl w:val="0D48AB09"/>
    <w:lvl w:ilvl="0" w:tentative="0">
      <w:start w:val="1"/>
      <w:numFmt w:val="decimal"/>
      <w:lvlText w:val="%1."/>
      <w:lvlJc w:val="left"/>
      <w:pPr>
        <w:tabs>
          <w:tab w:val="left" w:pos="312"/>
        </w:tabs>
      </w:pPr>
      <w:rPr>
        <w:rFonts w:cs="Times New Roman"/>
      </w:rPr>
    </w:lvl>
  </w:abstractNum>
  <w:abstractNum w:abstractNumId="282">
    <w:nsid w:val="0D504FA9"/>
    <w:multiLevelType w:val="singleLevel"/>
    <w:tmpl w:val="0D504FA9"/>
    <w:lvl w:ilvl="0" w:tentative="0">
      <w:start w:val="1"/>
      <w:numFmt w:val="decimal"/>
      <w:suff w:val="space"/>
      <w:lvlText w:val="%1."/>
      <w:lvlJc w:val="left"/>
      <w:rPr>
        <w:rFonts w:cs="Times New Roman"/>
      </w:rPr>
    </w:lvl>
  </w:abstractNum>
  <w:abstractNum w:abstractNumId="283">
    <w:nsid w:val="0E2114AA"/>
    <w:multiLevelType w:val="singleLevel"/>
    <w:tmpl w:val="0E2114AA"/>
    <w:lvl w:ilvl="0" w:tentative="0">
      <w:start w:val="1"/>
      <w:numFmt w:val="decimal"/>
      <w:suff w:val="space"/>
      <w:lvlText w:val="%1."/>
      <w:lvlJc w:val="left"/>
      <w:rPr>
        <w:rFonts w:cs="Times New Roman"/>
      </w:rPr>
    </w:lvl>
  </w:abstractNum>
  <w:abstractNum w:abstractNumId="284">
    <w:nsid w:val="0E8DB060"/>
    <w:multiLevelType w:val="singleLevel"/>
    <w:tmpl w:val="0E8DB060"/>
    <w:lvl w:ilvl="0" w:tentative="0">
      <w:start w:val="1"/>
      <w:numFmt w:val="decimal"/>
      <w:suff w:val="space"/>
      <w:lvlText w:val="%1."/>
      <w:lvlJc w:val="left"/>
    </w:lvl>
  </w:abstractNum>
  <w:abstractNum w:abstractNumId="285">
    <w:nsid w:val="0EB5B1C0"/>
    <w:multiLevelType w:val="singleLevel"/>
    <w:tmpl w:val="0EB5B1C0"/>
    <w:lvl w:ilvl="0" w:tentative="0">
      <w:start w:val="1"/>
      <w:numFmt w:val="decimal"/>
      <w:suff w:val="space"/>
      <w:lvlText w:val="%1."/>
      <w:lvlJc w:val="left"/>
      <w:rPr>
        <w:rFonts w:cs="Times New Roman"/>
      </w:rPr>
    </w:lvl>
  </w:abstractNum>
  <w:abstractNum w:abstractNumId="286">
    <w:nsid w:val="0FC9C776"/>
    <w:multiLevelType w:val="singleLevel"/>
    <w:tmpl w:val="0FC9C776"/>
    <w:lvl w:ilvl="0" w:tentative="0">
      <w:start w:val="1"/>
      <w:numFmt w:val="decimal"/>
      <w:suff w:val="space"/>
      <w:lvlText w:val="%1."/>
      <w:lvlJc w:val="left"/>
    </w:lvl>
  </w:abstractNum>
  <w:abstractNum w:abstractNumId="287">
    <w:nsid w:val="1000AA10"/>
    <w:multiLevelType w:val="singleLevel"/>
    <w:tmpl w:val="1000AA10"/>
    <w:lvl w:ilvl="0" w:tentative="0">
      <w:start w:val="6"/>
      <w:numFmt w:val="chineseCounting"/>
      <w:suff w:val="nothing"/>
      <w:lvlText w:val="（%1）"/>
      <w:lvlJc w:val="left"/>
      <w:rPr>
        <w:rFonts w:hint="eastAsia"/>
      </w:rPr>
    </w:lvl>
  </w:abstractNum>
  <w:abstractNum w:abstractNumId="288">
    <w:nsid w:val="108F4F2A"/>
    <w:multiLevelType w:val="singleLevel"/>
    <w:tmpl w:val="108F4F2A"/>
    <w:lvl w:ilvl="0" w:tentative="0">
      <w:start w:val="1"/>
      <w:numFmt w:val="decimal"/>
      <w:suff w:val="space"/>
      <w:lvlText w:val="%1."/>
      <w:lvlJc w:val="left"/>
      <w:rPr>
        <w:rFonts w:cs="Times New Roman"/>
      </w:rPr>
    </w:lvl>
  </w:abstractNum>
  <w:abstractNum w:abstractNumId="289">
    <w:nsid w:val="113AFD38"/>
    <w:multiLevelType w:val="singleLevel"/>
    <w:tmpl w:val="113AFD38"/>
    <w:lvl w:ilvl="0" w:tentative="0">
      <w:start w:val="1"/>
      <w:numFmt w:val="decimal"/>
      <w:suff w:val="nothing"/>
      <w:lvlText w:val="（%1）"/>
      <w:lvlJc w:val="left"/>
    </w:lvl>
  </w:abstractNum>
  <w:abstractNum w:abstractNumId="290">
    <w:nsid w:val="118C5EC1"/>
    <w:multiLevelType w:val="singleLevel"/>
    <w:tmpl w:val="118C5EC1"/>
    <w:lvl w:ilvl="0" w:tentative="0">
      <w:start w:val="1"/>
      <w:numFmt w:val="decimal"/>
      <w:suff w:val="space"/>
      <w:lvlText w:val="%1."/>
      <w:lvlJc w:val="left"/>
      <w:rPr>
        <w:rFonts w:cs="Times New Roman"/>
      </w:rPr>
    </w:lvl>
  </w:abstractNum>
  <w:abstractNum w:abstractNumId="291">
    <w:nsid w:val="119566FB"/>
    <w:multiLevelType w:val="singleLevel"/>
    <w:tmpl w:val="119566FB"/>
    <w:lvl w:ilvl="0" w:tentative="0">
      <w:start w:val="1"/>
      <w:numFmt w:val="decimal"/>
      <w:suff w:val="space"/>
      <w:lvlText w:val="%1."/>
      <w:lvlJc w:val="left"/>
      <w:rPr>
        <w:rFonts w:cs="Times New Roman"/>
      </w:rPr>
    </w:lvl>
  </w:abstractNum>
  <w:abstractNum w:abstractNumId="292">
    <w:nsid w:val="11ED0904"/>
    <w:multiLevelType w:val="singleLevel"/>
    <w:tmpl w:val="11ED0904"/>
    <w:lvl w:ilvl="0" w:tentative="0">
      <w:start w:val="1"/>
      <w:numFmt w:val="decimal"/>
      <w:suff w:val="space"/>
      <w:lvlText w:val="%1."/>
      <w:lvlJc w:val="left"/>
      <w:rPr>
        <w:rFonts w:cs="Times New Roman"/>
      </w:rPr>
    </w:lvl>
  </w:abstractNum>
  <w:abstractNum w:abstractNumId="293">
    <w:nsid w:val="124E0382"/>
    <w:multiLevelType w:val="singleLevel"/>
    <w:tmpl w:val="124E0382"/>
    <w:lvl w:ilvl="0" w:tentative="0">
      <w:start w:val="1"/>
      <w:numFmt w:val="decimal"/>
      <w:suff w:val="space"/>
      <w:lvlText w:val="%1."/>
      <w:lvlJc w:val="left"/>
      <w:rPr>
        <w:rFonts w:cs="Times New Roman"/>
      </w:rPr>
    </w:lvl>
  </w:abstractNum>
  <w:abstractNum w:abstractNumId="294">
    <w:nsid w:val="128B1C30"/>
    <w:multiLevelType w:val="singleLevel"/>
    <w:tmpl w:val="128B1C30"/>
    <w:lvl w:ilvl="0" w:tentative="0">
      <w:start w:val="1"/>
      <w:numFmt w:val="decimal"/>
      <w:suff w:val="space"/>
      <w:lvlText w:val="%1."/>
      <w:lvlJc w:val="left"/>
      <w:rPr>
        <w:rFonts w:cs="Times New Roman"/>
      </w:rPr>
    </w:lvl>
  </w:abstractNum>
  <w:abstractNum w:abstractNumId="295">
    <w:nsid w:val="12971F3E"/>
    <w:multiLevelType w:val="singleLevel"/>
    <w:tmpl w:val="12971F3E"/>
    <w:lvl w:ilvl="0" w:tentative="0">
      <w:start w:val="1"/>
      <w:numFmt w:val="decimal"/>
      <w:suff w:val="space"/>
      <w:lvlText w:val="%1."/>
      <w:lvlJc w:val="left"/>
    </w:lvl>
  </w:abstractNum>
  <w:abstractNum w:abstractNumId="296">
    <w:nsid w:val="12F3A608"/>
    <w:multiLevelType w:val="singleLevel"/>
    <w:tmpl w:val="12F3A608"/>
    <w:lvl w:ilvl="0" w:tentative="0">
      <w:start w:val="1"/>
      <w:numFmt w:val="decimal"/>
      <w:suff w:val="space"/>
      <w:lvlText w:val="%1."/>
      <w:lvlJc w:val="left"/>
      <w:rPr>
        <w:rFonts w:cs="Times New Roman"/>
      </w:rPr>
    </w:lvl>
  </w:abstractNum>
  <w:abstractNum w:abstractNumId="297">
    <w:nsid w:val="134042B5"/>
    <w:multiLevelType w:val="multilevel"/>
    <w:tmpl w:val="134042B5"/>
    <w:lvl w:ilvl="0" w:tentative="0">
      <w:start w:val="1"/>
      <w:numFmt w:val="upperLetter"/>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98">
    <w:nsid w:val="14187056"/>
    <w:multiLevelType w:val="singleLevel"/>
    <w:tmpl w:val="14187056"/>
    <w:lvl w:ilvl="0" w:tentative="0">
      <w:start w:val="1"/>
      <w:numFmt w:val="decimal"/>
      <w:suff w:val="space"/>
      <w:lvlText w:val="%1."/>
      <w:lvlJc w:val="left"/>
      <w:rPr>
        <w:rFonts w:cs="Times New Roman"/>
      </w:rPr>
    </w:lvl>
  </w:abstractNum>
  <w:abstractNum w:abstractNumId="299">
    <w:nsid w:val="14513F50"/>
    <w:multiLevelType w:val="singleLevel"/>
    <w:tmpl w:val="14513F50"/>
    <w:lvl w:ilvl="0" w:tentative="0">
      <w:start w:val="1"/>
      <w:numFmt w:val="decimal"/>
      <w:suff w:val="space"/>
      <w:lvlText w:val="%1."/>
      <w:lvlJc w:val="left"/>
    </w:lvl>
  </w:abstractNum>
  <w:abstractNum w:abstractNumId="300">
    <w:nsid w:val="153C0563"/>
    <w:multiLevelType w:val="singleLevel"/>
    <w:tmpl w:val="153C0563"/>
    <w:lvl w:ilvl="0" w:tentative="0">
      <w:start w:val="1"/>
      <w:numFmt w:val="decimal"/>
      <w:suff w:val="space"/>
      <w:lvlText w:val="%1."/>
      <w:lvlJc w:val="left"/>
      <w:rPr>
        <w:rFonts w:cs="Times New Roman"/>
      </w:rPr>
    </w:lvl>
  </w:abstractNum>
  <w:abstractNum w:abstractNumId="301">
    <w:nsid w:val="1559F13E"/>
    <w:multiLevelType w:val="singleLevel"/>
    <w:tmpl w:val="1559F13E"/>
    <w:lvl w:ilvl="0" w:tentative="0">
      <w:start w:val="1"/>
      <w:numFmt w:val="decimal"/>
      <w:suff w:val="space"/>
      <w:lvlText w:val="%1."/>
      <w:lvlJc w:val="left"/>
      <w:rPr>
        <w:rFonts w:cs="Times New Roman"/>
      </w:rPr>
    </w:lvl>
  </w:abstractNum>
  <w:abstractNum w:abstractNumId="302">
    <w:nsid w:val="16BAB311"/>
    <w:multiLevelType w:val="singleLevel"/>
    <w:tmpl w:val="16BAB311"/>
    <w:lvl w:ilvl="0" w:tentative="0">
      <w:start w:val="1"/>
      <w:numFmt w:val="decimal"/>
      <w:suff w:val="space"/>
      <w:lvlText w:val="%1."/>
      <w:lvlJc w:val="left"/>
    </w:lvl>
  </w:abstractNum>
  <w:abstractNum w:abstractNumId="303">
    <w:nsid w:val="16BB00A9"/>
    <w:multiLevelType w:val="singleLevel"/>
    <w:tmpl w:val="16BB00A9"/>
    <w:lvl w:ilvl="0" w:tentative="0">
      <w:start w:val="1"/>
      <w:numFmt w:val="decimal"/>
      <w:suff w:val="space"/>
      <w:lvlText w:val="%1."/>
      <w:lvlJc w:val="left"/>
    </w:lvl>
  </w:abstractNum>
  <w:abstractNum w:abstractNumId="304">
    <w:nsid w:val="170D08B1"/>
    <w:multiLevelType w:val="singleLevel"/>
    <w:tmpl w:val="170D08B1"/>
    <w:lvl w:ilvl="0" w:tentative="0">
      <w:start w:val="1"/>
      <w:numFmt w:val="decimal"/>
      <w:lvlText w:val="%1."/>
      <w:lvlJc w:val="left"/>
      <w:pPr>
        <w:tabs>
          <w:tab w:val="left" w:pos="312"/>
        </w:tabs>
      </w:pPr>
      <w:rPr>
        <w:rFonts w:cs="Times New Roman"/>
      </w:rPr>
    </w:lvl>
  </w:abstractNum>
  <w:abstractNum w:abstractNumId="305">
    <w:nsid w:val="178621F6"/>
    <w:multiLevelType w:val="multilevel"/>
    <w:tmpl w:val="178621F6"/>
    <w:lvl w:ilvl="0" w:tentative="0">
      <w:start w:val="1"/>
      <w:numFmt w:val="upperLetter"/>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06">
    <w:nsid w:val="17A2BA76"/>
    <w:multiLevelType w:val="singleLevel"/>
    <w:tmpl w:val="17A2BA76"/>
    <w:lvl w:ilvl="0" w:tentative="0">
      <w:start w:val="1"/>
      <w:numFmt w:val="decimal"/>
      <w:lvlText w:val="%1."/>
      <w:lvlJc w:val="left"/>
      <w:pPr>
        <w:tabs>
          <w:tab w:val="left" w:pos="312"/>
        </w:tabs>
      </w:pPr>
    </w:lvl>
  </w:abstractNum>
  <w:abstractNum w:abstractNumId="307">
    <w:nsid w:val="1829A4FB"/>
    <w:multiLevelType w:val="singleLevel"/>
    <w:tmpl w:val="1829A4FB"/>
    <w:lvl w:ilvl="0" w:tentative="0">
      <w:start w:val="1"/>
      <w:numFmt w:val="decimal"/>
      <w:suff w:val="space"/>
      <w:lvlText w:val="%1."/>
      <w:lvlJc w:val="left"/>
      <w:rPr>
        <w:rFonts w:cs="Times New Roman"/>
      </w:rPr>
    </w:lvl>
  </w:abstractNum>
  <w:abstractNum w:abstractNumId="308">
    <w:nsid w:val="18F969C1"/>
    <w:multiLevelType w:val="singleLevel"/>
    <w:tmpl w:val="18F969C1"/>
    <w:lvl w:ilvl="0" w:tentative="0">
      <w:start w:val="1"/>
      <w:numFmt w:val="decimal"/>
      <w:lvlText w:val="%1."/>
      <w:lvlJc w:val="left"/>
      <w:pPr>
        <w:tabs>
          <w:tab w:val="left" w:pos="312"/>
        </w:tabs>
      </w:pPr>
      <w:rPr>
        <w:rFonts w:cs="Times New Roman"/>
      </w:rPr>
    </w:lvl>
  </w:abstractNum>
  <w:abstractNum w:abstractNumId="309">
    <w:nsid w:val="1907D16A"/>
    <w:multiLevelType w:val="singleLevel"/>
    <w:tmpl w:val="1907D16A"/>
    <w:lvl w:ilvl="0" w:tentative="0">
      <w:start w:val="1"/>
      <w:numFmt w:val="decimal"/>
      <w:lvlText w:val="%1."/>
      <w:lvlJc w:val="left"/>
      <w:pPr>
        <w:tabs>
          <w:tab w:val="left" w:pos="312"/>
        </w:tabs>
      </w:pPr>
      <w:rPr>
        <w:rFonts w:cs="Times New Roman"/>
      </w:rPr>
    </w:lvl>
  </w:abstractNum>
  <w:abstractNum w:abstractNumId="310">
    <w:nsid w:val="1A851D10"/>
    <w:multiLevelType w:val="singleLevel"/>
    <w:tmpl w:val="1A851D10"/>
    <w:lvl w:ilvl="0" w:tentative="0">
      <w:start w:val="1"/>
      <w:numFmt w:val="decimal"/>
      <w:suff w:val="space"/>
      <w:lvlText w:val="%1."/>
      <w:lvlJc w:val="left"/>
    </w:lvl>
  </w:abstractNum>
  <w:abstractNum w:abstractNumId="311">
    <w:nsid w:val="1ABA22C9"/>
    <w:multiLevelType w:val="singleLevel"/>
    <w:tmpl w:val="1ABA22C9"/>
    <w:lvl w:ilvl="0" w:tentative="0">
      <w:start w:val="1"/>
      <w:numFmt w:val="decimal"/>
      <w:suff w:val="space"/>
      <w:lvlText w:val="%1."/>
      <w:lvlJc w:val="left"/>
    </w:lvl>
  </w:abstractNum>
  <w:abstractNum w:abstractNumId="312">
    <w:nsid w:val="1AC43FA1"/>
    <w:multiLevelType w:val="singleLevel"/>
    <w:tmpl w:val="1AC43FA1"/>
    <w:lvl w:ilvl="0" w:tentative="0">
      <w:start w:val="1"/>
      <w:numFmt w:val="decimal"/>
      <w:suff w:val="space"/>
      <w:lvlText w:val="%1."/>
      <w:lvlJc w:val="left"/>
      <w:rPr>
        <w:rFonts w:cs="Times New Roman"/>
      </w:rPr>
    </w:lvl>
  </w:abstractNum>
  <w:abstractNum w:abstractNumId="313">
    <w:nsid w:val="1AE9373B"/>
    <w:multiLevelType w:val="singleLevel"/>
    <w:tmpl w:val="1AE9373B"/>
    <w:lvl w:ilvl="0" w:tentative="0">
      <w:start w:val="1"/>
      <w:numFmt w:val="decimal"/>
      <w:suff w:val="space"/>
      <w:lvlText w:val="%1."/>
      <w:lvlJc w:val="left"/>
    </w:lvl>
  </w:abstractNum>
  <w:abstractNum w:abstractNumId="314">
    <w:nsid w:val="1B1F4387"/>
    <w:multiLevelType w:val="singleLevel"/>
    <w:tmpl w:val="1B1F4387"/>
    <w:lvl w:ilvl="0" w:tentative="0">
      <w:start w:val="1"/>
      <w:numFmt w:val="decimal"/>
      <w:suff w:val="space"/>
      <w:lvlText w:val="%1."/>
      <w:lvlJc w:val="left"/>
    </w:lvl>
  </w:abstractNum>
  <w:abstractNum w:abstractNumId="315">
    <w:nsid w:val="1B69C8EE"/>
    <w:multiLevelType w:val="singleLevel"/>
    <w:tmpl w:val="1B69C8EE"/>
    <w:lvl w:ilvl="0" w:tentative="0">
      <w:start w:val="1"/>
      <w:numFmt w:val="decimal"/>
      <w:suff w:val="space"/>
      <w:lvlText w:val="%1."/>
      <w:lvlJc w:val="left"/>
      <w:rPr>
        <w:rFonts w:cs="Times New Roman"/>
      </w:rPr>
    </w:lvl>
  </w:abstractNum>
  <w:abstractNum w:abstractNumId="316">
    <w:nsid w:val="1BCCFAC9"/>
    <w:multiLevelType w:val="singleLevel"/>
    <w:tmpl w:val="1BCCFAC9"/>
    <w:lvl w:ilvl="0" w:tentative="0">
      <w:start w:val="1"/>
      <w:numFmt w:val="decimal"/>
      <w:suff w:val="space"/>
      <w:lvlText w:val="%1."/>
      <w:lvlJc w:val="left"/>
      <w:rPr>
        <w:rFonts w:cs="Times New Roman"/>
      </w:rPr>
    </w:lvl>
  </w:abstractNum>
  <w:abstractNum w:abstractNumId="317">
    <w:nsid w:val="1BD0986D"/>
    <w:multiLevelType w:val="singleLevel"/>
    <w:tmpl w:val="1BD0986D"/>
    <w:lvl w:ilvl="0" w:tentative="0">
      <w:start w:val="1"/>
      <w:numFmt w:val="decimal"/>
      <w:suff w:val="space"/>
      <w:lvlText w:val="%1."/>
      <w:lvlJc w:val="left"/>
      <w:rPr>
        <w:rFonts w:cs="Times New Roman"/>
      </w:rPr>
    </w:lvl>
  </w:abstractNum>
  <w:abstractNum w:abstractNumId="318">
    <w:nsid w:val="1BD8CB04"/>
    <w:multiLevelType w:val="singleLevel"/>
    <w:tmpl w:val="1BD8CB04"/>
    <w:lvl w:ilvl="0" w:tentative="0">
      <w:start w:val="1"/>
      <w:numFmt w:val="decimal"/>
      <w:suff w:val="space"/>
      <w:lvlText w:val="%1."/>
      <w:lvlJc w:val="left"/>
      <w:rPr>
        <w:rFonts w:cs="Times New Roman"/>
      </w:rPr>
    </w:lvl>
  </w:abstractNum>
  <w:abstractNum w:abstractNumId="319">
    <w:nsid w:val="1CF0DB42"/>
    <w:multiLevelType w:val="singleLevel"/>
    <w:tmpl w:val="1CF0DB42"/>
    <w:lvl w:ilvl="0" w:tentative="0">
      <w:start w:val="1"/>
      <w:numFmt w:val="decimal"/>
      <w:suff w:val="space"/>
      <w:lvlText w:val="%1."/>
      <w:lvlJc w:val="left"/>
      <w:rPr>
        <w:rFonts w:cs="Times New Roman"/>
      </w:rPr>
    </w:lvl>
  </w:abstractNum>
  <w:abstractNum w:abstractNumId="320">
    <w:nsid w:val="1CF8A386"/>
    <w:multiLevelType w:val="singleLevel"/>
    <w:tmpl w:val="1CF8A386"/>
    <w:lvl w:ilvl="0" w:tentative="0">
      <w:start w:val="1"/>
      <w:numFmt w:val="decimal"/>
      <w:suff w:val="space"/>
      <w:lvlText w:val="%1."/>
      <w:lvlJc w:val="left"/>
      <w:rPr>
        <w:rFonts w:cs="Times New Roman"/>
      </w:rPr>
    </w:lvl>
  </w:abstractNum>
  <w:abstractNum w:abstractNumId="321">
    <w:nsid w:val="1DE32DAF"/>
    <w:multiLevelType w:val="singleLevel"/>
    <w:tmpl w:val="1DE32DAF"/>
    <w:lvl w:ilvl="0" w:tentative="0">
      <w:start w:val="1"/>
      <w:numFmt w:val="decimal"/>
      <w:suff w:val="space"/>
      <w:lvlText w:val="%1."/>
      <w:lvlJc w:val="left"/>
    </w:lvl>
  </w:abstractNum>
  <w:abstractNum w:abstractNumId="322">
    <w:nsid w:val="1E0AF9AB"/>
    <w:multiLevelType w:val="singleLevel"/>
    <w:tmpl w:val="1E0AF9AB"/>
    <w:lvl w:ilvl="0" w:tentative="0">
      <w:start w:val="1"/>
      <w:numFmt w:val="decimal"/>
      <w:suff w:val="space"/>
      <w:lvlText w:val="%1."/>
      <w:lvlJc w:val="left"/>
      <w:rPr>
        <w:rFonts w:cs="Times New Roman"/>
      </w:rPr>
    </w:lvl>
  </w:abstractNum>
  <w:abstractNum w:abstractNumId="323">
    <w:nsid w:val="1E2312FE"/>
    <w:multiLevelType w:val="singleLevel"/>
    <w:tmpl w:val="1E2312FE"/>
    <w:lvl w:ilvl="0" w:tentative="0">
      <w:start w:val="1"/>
      <w:numFmt w:val="decimal"/>
      <w:suff w:val="space"/>
      <w:lvlText w:val="%1."/>
      <w:lvlJc w:val="left"/>
    </w:lvl>
  </w:abstractNum>
  <w:abstractNum w:abstractNumId="324">
    <w:nsid w:val="1EEC5949"/>
    <w:multiLevelType w:val="singleLevel"/>
    <w:tmpl w:val="1EEC5949"/>
    <w:lvl w:ilvl="0" w:tentative="0">
      <w:start w:val="1"/>
      <w:numFmt w:val="decimal"/>
      <w:suff w:val="space"/>
      <w:lvlText w:val="%1."/>
      <w:lvlJc w:val="left"/>
      <w:rPr>
        <w:rFonts w:cs="Times New Roman"/>
      </w:rPr>
    </w:lvl>
  </w:abstractNum>
  <w:abstractNum w:abstractNumId="325">
    <w:nsid w:val="1F13A3E8"/>
    <w:multiLevelType w:val="singleLevel"/>
    <w:tmpl w:val="1F13A3E8"/>
    <w:lvl w:ilvl="0" w:tentative="0">
      <w:start w:val="1"/>
      <w:numFmt w:val="decimal"/>
      <w:suff w:val="space"/>
      <w:lvlText w:val="%1."/>
      <w:lvlJc w:val="left"/>
      <w:rPr>
        <w:rFonts w:cs="Times New Roman"/>
      </w:rPr>
    </w:lvl>
  </w:abstractNum>
  <w:abstractNum w:abstractNumId="326">
    <w:nsid w:val="2021070E"/>
    <w:multiLevelType w:val="singleLevel"/>
    <w:tmpl w:val="2021070E"/>
    <w:lvl w:ilvl="0" w:tentative="0">
      <w:start w:val="1"/>
      <w:numFmt w:val="decimal"/>
      <w:suff w:val="space"/>
      <w:lvlText w:val="%1."/>
      <w:lvlJc w:val="left"/>
    </w:lvl>
  </w:abstractNum>
  <w:abstractNum w:abstractNumId="327">
    <w:nsid w:val="202C817D"/>
    <w:multiLevelType w:val="singleLevel"/>
    <w:tmpl w:val="202C817D"/>
    <w:lvl w:ilvl="0" w:tentative="0">
      <w:start w:val="1"/>
      <w:numFmt w:val="decimal"/>
      <w:suff w:val="space"/>
      <w:lvlText w:val="%1."/>
      <w:lvlJc w:val="left"/>
      <w:rPr>
        <w:rFonts w:cs="Times New Roman"/>
      </w:rPr>
    </w:lvl>
  </w:abstractNum>
  <w:abstractNum w:abstractNumId="328">
    <w:nsid w:val="205C5FE5"/>
    <w:multiLevelType w:val="singleLevel"/>
    <w:tmpl w:val="205C5FE5"/>
    <w:lvl w:ilvl="0" w:tentative="0">
      <w:start w:val="1"/>
      <w:numFmt w:val="decimal"/>
      <w:suff w:val="space"/>
      <w:lvlText w:val="%1."/>
      <w:lvlJc w:val="left"/>
      <w:rPr>
        <w:rFonts w:cs="Times New Roman"/>
      </w:rPr>
    </w:lvl>
  </w:abstractNum>
  <w:abstractNum w:abstractNumId="329">
    <w:nsid w:val="210D3F57"/>
    <w:multiLevelType w:val="singleLevel"/>
    <w:tmpl w:val="210D3F57"/>
    <w:lvl w:ilvl="0" w:tentative="0">
      <w:start w:val="1"/>
      <w:numFmt w:val="decimal"/>
      <w:suff w:val="space"/>
      <w:lvlText w:val="%1."/>
      <w:lvlJc w:val="left"/>
    </w:lvl>
  </w:abstractNum>
  <w:abstractNum w:abstractNumId="330">
    <w:nsid w:val="21118E0C"/>
    <w:multiLevelType w:val="singleLevel"/>
    <w:tmpl w:val="21118E0C"/>
    <w:lvl w:ilvl="0" w:tentative="0">
      <w:start w:val="1"/>
      <w:numFmt w:val="decimal"/>
      <w:suff w:val="space"/>
      <w:lvlText w:val="%1."/>
      <w:lvlJc w:val="left"/>
    </w:lvl>
  </w:abstractNum>
  <w:abstractNum w:abstractNumId="331">
    <w:nsid w:val="217E01AD"/>
    <w:multiLevelType w:val="singleLevel"/>
    <w:tmpl w:val="217E01AD"/>
    <w:lvl w:ilvl="0" w:tentative="0">
      <w:start w:val="1"/>
      <w:numFmt w:val="decimal"/>
      <w:suff w:val="space"/>
      <w:lvlText w:val="%1."/>
      <w:lvlJc w:val="left"/>
    </w:lvl>
  </w:abstractNum>
  <w:abstractNum w:abstractNumId="332">
    <w:nsid w:val="21A86B27"/>
    <w:multiLevelType w:val="singleLevel"/>
    <w:tmpl w:val="21A86B27"/>
    <w:lvl w:ilvl="0" w:tentative="0">
      <w:start w:val="1"/>
      <w:numFmt w:val="decimal"/>
      <w:suff w:val="space"/>
      <w:lvlText w:val="%1."/>
      <w:lvlJc w:val="left"/>
      <w:rPr>
        <w:rFonts w:cs="Times New Roman"/>
      </w:rPr>
    </w:lvl>
  </w:abstractNum>
  <w:abstractNum w:abstractNumId="333">
    <w:nsid w:val="21EE10D5"/>
    <w:multiLevelType w:val="singleLevel"/>
    <w:tmpl w:val="21EE10D5"/>
    <w:lvl w:ilvl="0" w:tentative="0">
      <w:start w:val="1"/>
      <w:numFmt w:val="decimal"/>
      <w:suff w:val="space"/>
      <w:lvlText w:val="%1."/>
      <w:lvlJc w:val="left"/>
      <w:rPr>
        <w:rFonts w:cs="Times New Roman"/>
      </w:rPr>
    </w:lvl>
  </w:abstractNum>
  <w:abstractNum w:abstractNumId="334">
    <w:nsid w:val="22D143E7"/>
    <w:multiLevelType w:val="singleLevel"/>
    <w:tmpl w:val="22D143E7"/>
    <w:lvl w:ilvl="0" w:tentative="0">
      <w:start w:val="1"/>
      <w:numFmt w:val="decimal"/>
      <w:suff w:val="space"/>
      <w:lvlText w:val="%1."/>
      <w:lvlJc w:val="left"/>
      <w:rPr>
        <w:rFonts w:cs="Times New Roman"/>
      </w:rPr>
    </w:lvl>
  </w:abstractNum>
  <w:abstractNum w:abstractNumId="335">
    <w:nsid w:val="231CC2CB"/>
    <w:multiLevelType w:val="singleLevel"/>
    <w:tmpl w:val="231CC2CB"/>
    <w:lvl w:ilvl="0" w:tentative="0">
      <w:start w:val="1"/>
      <w:numFmt w:val="decimal"/>
      <w:suff w:val="space"/>
      <w:lvlText w:val="%1."/>
      <w:lvlJc w:val="left"/>
      <w:rPr>
        <w:rFonts w:cs="Times New Roman"/>
      </w:rPr>
    </w:lvl>
  </w:abstractNum>
  <w:abstractNum w:abstractNumId="336">
    <w:nsid w:val="23B7C75F"/>
    <w:multiLevelType w:val="singleLevel"/>
    <w:tmpl w:val="23B7C75F"/>
    <w:lvl w:ilvl="0" w:tentative="0">
      <w:start w:val="1"/>
      <w:numFmt w:val="decimal"/>
      <w:suff w:val="space"/>
      <w:lvlText w:val="%1."/>
      <w:lvlJc w:val="left"/>
      <w:rPr>
        <w:rFonts w:cs="Times New Roman"/>
      </w:rPr>
    </w:lvl>
  </w:abstractNum>
  <w:abstractNum w:abstractNumId="337">
    <w:nsid w:val="2448817F"/>
    <w:multiLevelType w:val="singleLevel"/>
    <w:tmpl w:val="2448817F"/>
    <w:lvl w:ilvl="0" w:tentative="0">
      <w:start w:val="1"/>
      <w:numFmt w:val="decimal"/>
      <w:suff w:val="space"/>
      <w:lvlText w:val="%1."/>
      <w:lvlJc w:val="left"/>
    </w:lvl>
  </w:abstractNum>
  <w:abstractNum w:abstractNumId="338">
    <w:nsid w:val="25087C6F"/>
    <w:multiLevelType w:val="singleLevel"/>
    <w:tmpl w:val="25087C6F"/>
    <w:lvl w:ilvl="0" w:tentative="0">
      <w:start w:val="1"/>
      <w:numFmt w:val="decimal"/>
      <w:suff w:val="space"/>
      <w:lvlText w:val="%1."/>
      <w:lvlJc w:val="left"/>
    </w:lvl>
  </w:abstractNum>
  <w:abstractNum w:abstractNumId="339">
    <w:nsid w:val="253F909A"/>
    <w:multiLevelType w:val="singleLevel"/>
    <w:tmpl w:val="253F909A"/>
    <w:lvl w:ilvl="0" w:tentative="0">
      <w:start w:val="1"/>
      <w:numFmt w:val="decimal"/>
      <w:suff w:val="space"/>
      <w:lvlText w:val="%1."/>
      <w:lvlJc w:val="left"/>
    </w:lvl>
  </w:abstractNum>
  <w:abstractNum w:abstractNumId="340">
    <w:nsid w:val="25F57077"/>
    <w:multiLevelType w:val="singleLevel"/>
    <w:tmpl w:val="25F57077"/>
    <w:lvl w:ilvl="0" w:tentative="0">
      <w:start w:val="1"/>
      <w:numFmt w:val="decimal"/>
      <w:suff w:val="space"/>
      <w:lvlText w:val="%1."/>
      <w:lvlJc w:val="left"/>
    </w:lvl>
  </w:abstractNum>
  <w:abstractNum w:abstractNumId="341">
    <w:nsid w:val="267990F1"/>
    <w:multiLevelType w:val="singleLevel"/>
    <w:tmpl w:val="267990F1"/>
    <w:lvl w:ilvl="0" w:tentative="0">
      <w:start w:val="1"/>
      <w:numFmt w:val="decimal"/>
      <w:suff w:val="space"/>
      <w:lvlText w:val="%1."/>
      <w:lvlJc w:val="left"/>
      <w:rPr>
        <w:rFonts w:cs="Times New Roman"/>
      </w:rPr>
    </w:lvl>
  </w:abstractNum>
  <w:abstractNum w:abstractNumId="342">
    <w:nsid w:val="26D26624"/>
    <w:multiLevelType w:val="singleLevel"/>
    <w:tmpl w:val="26D26624"/>
    <w:lvl w:ilvl="0" w:tentative="0">
      <w:start w:val="1"/>
      <w:numFmt w:val="decimal"/>
      <w:suff w:val="space"/>
      <w:lvlText w:val="%1."/>
      <w:lvlJc w:val="left"/>
      <w:rPr>
        <w:rFonts w:cs="Times New Roman"/>
      </w:rPr>
    </w:lvl>
  </w:abstractNum>
  <w:abstractNum w:abstractNumId="343">
    <w:nsid w:val="270AC66C"/>
    <w:multiLevelType w:val="singleLevel"/>
    <w:tmpl w:val="270AC66C"/>
    <w:lvl w:ilvl="0" w:tentative="0">
      <w:start w:val="1"/>
      <w:numFmt w:val="decimal"/>
      <w:suff w:val="space"/>
      <w:lvlText w:val="%1."/>
      <w:lvlJc w:val="left"/>
      <w:rPr>
        <w:rFonts w:cs="Times New Roman"/>
      </w:rPr>
    </w:lvl>
  </w:abstractNum>
  <w:abstractNum w:abstractNumId="344">
    <w:nsid w:val="276FE5A5"/>
    <w:multiLevelType w:val="singleLevel"/>
    <w:tmpl w:val="276FE5A5"/>
    <w:lvl w:ilvl="0" w:tentative="0">
      <w:start w:val="1"/>
      <w:numFmt w:val="decimal"/>
      <w:suff w:val="space"/>
      <w:lvlText w:val="%1."/>
      <w:lvlJc w:val="left"/>
      <w:rPr>
        <w:rFonts w:cs="Times New Roman"/>
      </w:rPr>
    </w:lvl>
  </w:abstractNum>
  <w:abstractNum w:abstractNumId="345">
    <w:nsid w:val="27B3D851"/>
    <w:multiLevelType w:val="singleLevel"/>
    <w:tmpl w:val="27B3D851"/>
    <w:lvl w:ilvl="0" w:tentative="0">
      <w:start w:val="1"/>
      <w:numFmt w:val="decimal"/>
      <w:suff w:val="space"/>
      <w:lvlText w:val="%1."/>
      <w:lvlJc w:val="left"/>
      <w:rPr>
        <w:rFonts w:cs="Times New Roman"/>
      </w:rPr>
    </w:lvl>
  </w:abstractNum>
  <w:abstractNum w:abstractNumId="346">
    <w:nsid w:val="286BA447"/>
    <w:multiLevelType w:val="singleLevel"/>
    <w:tmpl w:val="286BA447"/>
    <w:lvl w:ilvl="0" w:tentative="0">
      <w:start w:val="1"/>
      <w:numFmt w:val="decimal"/>
      <w:suff w:val="space"/>
      <w:lvlText w:val="%1."/>
      <w:lvlJc w:val="left"/>
      <w:rPr>
        <w:rFonts w:cs="Times New Roman"/>
      </w:rPr>
    </w:lvl>
  </w:abstractNum>
  <w:abstractNum w:abstractNumId="347">
    <w:nsid w:val="286E0383"/>
    <w:multiLevelType w:val="singleLevel"/>
    <w:tmpl w:val="286E0383"/>
    <w:lvl w:ilvl="0" w:tentative="0">
      <w:start w:val="1"/>
      <w:numFmt w:val="decimal"/>
      <w:suff w:val="space"/>
      <w:lvlText w:val="%1."/>
      <w:lvlJc w:val="left"/>
      <w:rPr>
        <w:rFonts w:cs="Times New Roman"/>
      </w:rPr>
    </w:lvl>
  </w:abstractNum>
  <w:abstractNum w:abstractNumId="348">
    <w:nsid w:val="28887F0F"/>
    <w:multiLevelType w:val="singleLevel"/>
    <w:tmpl w:val="28887F0F"/>
    <w:lvl w:ilvl="0" w:tentative="0">
      <w:start w:val="1"/>
      <w:numFmt w:val="decimal"/>
      <w:suff w:val="space"/>
      <w:lvlText w:val="%1."/>
      <w:lvlJc w:val="left"/>
      <w:rPr>
        <w:rFonts w:cs="Times New Roman"/>
      </w:rPr>
    </w:lvl>
  </w:abstractNum>
  <w:abstractNum w:abstractNumId="349">
    <w:nsid w:val="28D48E10"/>
    <w:multiLevelType w:val="singleLevel"/>
    <w:tmpl w:val="28D48E10"/>
    <w:lvl w:ilvl="0" w:tentative="0">
      <w:start w:val="1"/>
      <w:numFmt w:val="decimal"/>
      <w:suff w:val="space"/>
      <w:lvlText w:val="%1."/>
      <w:lvlJc w:val="left"/>
    </w:lvl>
  </w:abstractNum>
  <w:abstractNum w:abstractNumId="350">
    <w:nsid w:val="28D84AEF"/>
    <w:multiLevelType w:val="singleLevel"/>
    <w:tmpl w:val="28D84AEF"/>
    <w:lvl w:ilvl="0" w:tentative="0">
      <w:start w:val="1"/>
      <w:numFmt w:val="decimal"/>
      <w:suff w:val="space"/>
      <w:lvlText w:val="%1."/>
      <w:lvlJc w:val="left"/>
      <w:rPr>
        <w:rFonts w:cs="Times New Roman"/>
      </w:rPr>
    </w:lvl>
  </w:abstractNum>
  <w:abstractNum w:abstractNumId="351">
    <w:nsid w:val="2A6584A3"/>
    <w:multiLevelType w:val="singleLevel"/>
    <w:tmpl w:val="2A6584A3"/>
    <w:lvl w:ilvl="0" w:tentative="0">
      <w:start w:val="1"/>
      <w:numFmt w:val="decimal"/>
      <w:suff w:val="space"/>
      <w:lvlText w:val="%1."/>
      <w:lvlJc w:val="left"/>
      <w:rPr>
        <w:rFonts w:cs="Times New Roman"/>
      </w:rPr>
    </w:lvl>
  </w:abstractNum>
  <w:abstractNum w:abstractNumId="352">
    <w:nsid w:val="2C0D86F8"/>
    <w:multiLevelType w:val="singleLevel"/>
    <w:tmpl w:val="2C0D86F8"/>
    <w:lvl w:ilvl="0" w:tentative="0">
      <w:start w:val="1"/>
      <w:numFmt w:val="decimal"/>
      <w:suff w:val="space"/>
      <w:lvlText w:val="%1."/>
      <w:lvlJc w:val="left"/>
      <w:rPr>
        <w:rFonts w:cs="Times New Roman"/>
      </w:rPr>
    </w:lvl>
  </w:abstractNum>
  <w:abstractNum w:abstractNumId="353">
    <w:nsid w:val="2DB640C9"/>
    <w:multiLevelType w:val="singleLevel"/>
    <w:tmpl w:val="2DB640C9"/>
    <w:lvl w:ilvl="0" w:tentative="0">
      <w:start w:val="1"/>
      <w:numFmt w:val="decimal"/>
      <w:suff w:val="space"/>
      <w:lvlText w:val="%1."/>
      <w:lvlJc w:val="left"/>
    </w:lvl>
  </w:abstractNum>
  <w:abstractNum w:abstractNumId="354">
    <w:nsid w:val="2DCDA063"/>
    <w:multiLevelType w:val="singleLevel"/>
    <w:tmpl w:val="2DCDA063"/>
    <w:lvl w:ilvl="0" w:tentative="0">
      <w:start w:val="1"/>
      <w:numFmt w:val="decimal"/>
      <w:suff w:val="space"/>
      <w:lvlText w:val="%1."/>
      <w:lvlJc w:val="left"/>
      <w:rPr>
        <w:rFonts w:cs="Times New Roman"/>
      </w:rPr>
    </w:lvl>
  </w:abstractNum>
  <w:abstractNum w:abstractNumId="355">
    <w:nsid w:val="2E0501C3"/>
    <w:multiLevelType w:val="singleLevel"/>
    <w:tmpl w:val="2E0501C3"/>
    <w:lvl w:ilvl="0" w:tentative="0">
      <w:start w:val="1"/>
      <w:numFmt w:val="decimal"/>
      <w:suff w:val="space"/>
      <w:lvlText w:val="%1."/>
      <w:lvlJc w:val="left"/>
      <w:rPr>
        <w:rFonts w:cs="Times New Roman"/>
      </w:rPr>
    </w:lvl>
  </w:abstractNum>
  <w:abstractNum w:abstractNumId="356">
    <w:nsid w:val="2E678E2F"/>
    <w:multiLevelType w:val="singleLevel"/>
    <w:tmpl w:val="2E678E2F"/>
    <w:lvl w:ilvl="0" w:tentative="0">
      <w:start w:val="1"/>
      <w:numFmt w:val="decimal"/>
      <w:suff w:val="space"/>
      <w:lvlText w:val="%1."/>
      <w:lvlJc w:val="left"/>
    </w:lvl>
  </w:abstractNum>
  <w:abstractNum w:abstractNumId="357">
    <w:nsid w:val="2F438D9F"/>
    <w:multiLevelType w:val="singleLevel"/>
    <w:tmpl w:val="2F438D9F"/>
    <w:lvl w:ilvl="0" w:tentative="0">
      <w:start w:val="1"/>
      <w:numFmt w:val="decimal"/>
      <w:suff w:val="space"/>
      <w:lvlText w:val="%1."/>
      <w:lvlJc w:val="left"/>
      <w:rPr>
        <w:rFonts w:cs="Times New Roman"/>
      </w:rPr>
    </w:lvl>
  </w:abstractNum>
  <w:abstractNum w:abstractNumId="358">
    <w:nsid w:val="3004ADC8"/>
    <w:multiLevelType w:val="singleLevel"/>
    <w:tmpl w:val="3004ADC8"/>
    <w:lvl w:ilvl="0" w:tentative="0">
      <w:start w:val="1"/>
      <w:numFmt w:val="decimal"/>
      <w:suff w:val="nothing"/>
      <w:lvlText w:val="（%1）"/>
      <w:lvlJc w:val="left"/>
    </w:lvl>
  </w:abstractNum>
  <w:abstractNum w:abstractNumId="359">
    <w:nsid w:val="308840A2"/>
    <w:multiLevelType w:val="singleLevel"/>
    <w:tmpl w:val="308840A2"/>
    <w:lvl w:ilvl="0" w:tentative="0">
      <w:start w:val="1"/>
      <w:numFmt w:val="decimal"/>
      <w:suff w:val="space"/>
      <w:lvlText w:val="%1."/>
      <w:lvlJc w:val="left"/>
      <w:rPr>
        <w:rFonts w:cs="Times New Roman"/>
      </w:rPr>
    </w:lvl>
  </w:abstractNum>
  <w:abstractNum w:abstractNumId="360">
    <w:nsid w:val="30C50CFE"/>
    <w:multiLevelType w:val="singleLevel"/>
    <w:tmpl w:val="30C50CFE"/>
    <w:lvl w:ilvl="0" w:tentative="0">
      <w:start w:val="1"/>
      <w:numFmt w:val="decimal"/>
      <w:suff w:val="space"/>
      <w:lvlText w:val="%1."/>
      <w:lvlJc w:val="left"/>
      <w:rPr>
        <w:rFonts w:cs="Times New Roman"/>
      </w:rPr>
    </w:lvl>
  </w:abstractNum>
  <w:abstractNum w:abstractNumId="361">
    <w:nsid w:val="30ED269A"/>
    <w:multiLevelType w:val="singleLevel"/>
    <w:tmpl w:val="30ED269A"/>
    <w:lvl w:ilvl="0" w:tentative="0">
      <w:start w:val="1"/>
      <w:numFmt w:val="decimal"/>
      <w:suff w:val="space"/>
      <w:lvlText w:val="%1."/>
      <w:lvlJc w:val="left"/>
      <w:rPr>
        <w:rFonts w:cs="Times New Roman"/>
      </w:rPr>
    </w:lvl>
  </w:abstractNum>
  <w:abstractNum w:abstractNumId="362">
    <w:nsid w:val="31BD64EB"/>
    <w:multiLevelType w:val="multilevel"/>
    <w:tmpl w:val="31BD64EB"/>
    <w:lvl w:ilvl="0" w:tentative="0">
      <w:start w:val="1"/>
      <w:numFmt w:val="upperLetter"/>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63">
    <w:nsid w:val="31CAC085"/>
    <w:multiLevelType w:val="singleLevel"/>
    <w:tmpl w:val="31CAC085"/>
    <w:lvl w:ilvl="0" w:tentative="0">
      <w:start w:val="1"/>
      <w:numFmt w:val="decimal"/>
      <w:suff w:val="space"/>
      <w:lvlText w:val="%1."/>
      <w:lvlJc w:val="left"/>
    </w:lvl>
  </w:abstractNum>
  <w:abstractNum w:abstractNumId="364">
    <w:nsid w:val="323ECD87"/>
    <w:multiLevelType w:val="singleLevel"/>
    <w:tmpl w:val="323ECD87"/>
    <w:lvl w:ilvl="0" w:tentative="0">
      <w:start w:val="1"/>
      <w:numFmt w:val="decimal"/>
      <w:suff w:val="space"/>
      <w:lvlText w:val="%1."/>
      <w:lvlJc w:val="left"/>
      <w:rPr>
        <w:rFonts w:cs="Times New Roman"/>
      </w:rPr>
    </w:lvl>
  </w:abstractNum>
  <w:abstractNum w:abstractNumId="365">
    <w:nsid w:val="32436F45"/>
    <w:multiLevelType w:val="singleLevel"/>
    <w:tmpl w:val="32436F45"/>
    <w:lvl w:ilvl="0" w:tentative="0">
      <w:start w:val="1"/>
      <w:numFmt w:val="decimal"/>
      <w:suff w:val="space"/>
      <w:lvlText w:val="%1."/>
      <w:lvlJc w:val="left"/>
      <w:rPr>
        <w:rFonts w:cs="Times New Roman"/>
      </w:rPr>
    </w:lvl>
  </w:abstractNum>
  <w:abstractNum w:abstractNumId="366">
    <w:nsid w:val="32916D70"/>
    <w:multiLevelType w:val="singleLevel"/>
    <w:tmpl w:val="32916D70"/>
    <w:lvl w:ilvl="0" w:tentative="0">
      <w:start w:val="1"/>
      <w:numFmt w:val="decimal"/>
      <w:suff w:val="space"/>
      <w:lvlText w:val="%1."/>
      <w:lvlJc w:val="left"/>
      <w:rPr>
        <w:rFonts w:cs="Times New Roman"/>
      </w:rPr>
    </w:lvl>
  </w:abstractNum>
  <w:abstractNum w:abstractNumId="367">
    <w:nsid w:val="32D34D06"/>
    <w:multiLevelType w:val="singleLevel"/>
    <w:tmpl w:val="32D34D06"/>
    <w:lvl w:ilvl="0" w:tentative="0">
      <w:start w:val="1"/>
      <w:numFmt w:val="decimal"/>
      <w:suff w:val="space"/>
      <w:lvlText w:val="%1."/>
      <w:lvlJc w:val="left"/>
    </w:lvl>
  </w:abstractNum>
  <w:abstractNum w:abstractNumId="368">
    <w:nsid w:val="32D3806C"/>
    <w:multiLevelType w:val="singleLevel"/>
    <w:tmpl w:val="32D3806C"/>
    <w:lvl w:ilvl="0" w:tentative="0">
      <w:start w:val="1"/>
      <w:numFmt w:val="decimal"/>
      <w:suff w:val="space"/>
      <w:lvlText w:val="%1."/>
      <w:lvlJc w:val="left"/>
    </w:lvl>
  </w:abstractNum>
  <w:abstractNum w:abstractNumId="369">
    <w:nsid w:val="32FBF80B"/>
    <w:multiLevelType w:val="singleLevel"/>
    <w:tmpl w:val="32FBF80B"/>
    <w:lvl w:ilvl="0" w:tentative="0">
      <w:start w:val="1"/>
      <w:numFmt w:val="decimal"/>
      <w:suff w:val="space"/>
      <w:lvlText w:val="%1."/>
      <w:lvlJc w:val="left"/>
      <w:rPr>
        <w:rFonts w:cs="Times New Roman"/>
      </w:rPr>
    </w:lvl>
  </w:abstractNum>
  <w:abstractNum w:abstractNumId="370">
    <w:nsid w:val="335506D8"/>
    <w:multiLevelType w:val="singleLevel"/>
    <w:tmpl w:val="335506D8"/>
    <w:lvl w:ilvl="0" w:tentative="0">
      <w:start w:val="1"/>
      <w:numFmt w:val="decimal"/>
      <w:suff w:val="space"/>
      <w:lvlText w:val="%1."/>
      <w:lvlJc w:val="left"/>
      <w:rPr>
        <w:rFonts w:cs="Times New Roman"/>
      </w:rPr>
    </w:lvl>
  </w:abstractNum>
  <w:abstractNum w:abstractNumId="371">
    <w:nsid w:val="339F6CA9"/>
    <w:multiLevelType w:val="singleLevel"/>
    <w:tmpl w:val="339F6CA9"/>
    <w:lvl w:ilvl="0" w:tentative="0">
      <w:start w:val="1"/>
      <w:numFmt w:val="decimal"/>
      <w:suff w:val="space"/>
      <w:lvlText w:val="%1."/>
      <w:lvlJc w:val="left"/>
      <w:rPr>
        <w:rFonts w:cs="Times New Roman"/>
      </w:rPr>
    </w:lvl>
  </w:abstractNum>
  <w:abstractNum w:abstractNumId="372">
    <w:nsid w:val="3464C5C2"/>
    <w:multiLevelType w:val="singleLevel"/>
    <w:tmpl w:val="3464C5C2"/>
    <w:lvl w:ilvl="0" w:tentative="0">
      <w:start w:val="1"/>
      <w:numFmt w:val="decimal"/>
      <w:suff w:val="space"/>
      <w:lvlText w:val="%1."/>
      <w:lvlJc w:val="left"/>
    </w:lvl>
  </w:abstractNum>
  <w:abstractNum w:abstractNumId="373">
    <w:nsid w:val="350F3944"/>
    <w:multiLevelType w:val="singleLevel"/>
    <w:tmpl w:val="350F3944"/>
    <w:lvl w:ilvl="0" w:tentative="0">
      <w:start w:val="1"/>
      <w:numFmt w:val="decimal"/>
      <w:suff w:val="space"/>
      <w:lvlText w:val="%1."/>
      <w:lvlJc w:val="left"/>
      <w:rPr>
        <w:rFonts w:cs="Times New Roman"/>
      </w:rPr>
    </w:lvl>
  </w:abstractNum>
  <w:abstractNum w:abstractNumId="374">
    <w:nsid w:val="36372667"/>
    <w:multiLevelType w:val="singleLevel"/>
    <w:tmpl w:val="36372667"/>
    <w:lvl w:ilvl="0" w:tentative="0">
      <w:start w:val="1"/>
      <w:numFmt w:val="decimal"/>
      <w:suff w:val="space"/>
      <w:lvlText w:val="%1."/>
      <w:lvlJc w:val="left"/>
    </w:lvl>
  </w:abstractNum>
  <w:abstractNum w:abstractNumId="375">
    <w:nsid w:val="36AD78A3"/>
    <w:multiLevelType w:val="singleLevel"/>
    <w:tmpl w:val="36AD78A3"/>
    <w:lvl w:ilvl="0" w:tentative="0">
      <w:start w:val="1"/>
      <w:numFmt w:val="decimal"/>
      <w:suff w:val="space"/>
      <w:lvlText w:val="%1."/>
      <w:lvlJc w:val="left"/>
    </w:lvl>
  </w:abstractNum>
  <w:abstractNum w:abstractNumId="376">
    <w:nsid w:val="36B85371"/>
    <w:multiLevelType w:val="singleLevel"/>
    <w:tmpl w:val="36B85371"/>
    <w:lvl w:ilvl="0" w:tentative="0">
      <w:start w:val="1"/>
      <w:numFmt w:val="decimal"/>
      <w:suff w:val="space"/>
      <w:lvlText w:val="%1."/>
      <w:lvlJc w:val="left"/>
      <w:rPr>
        <w:rFonts w:cs="Times New Roman"/>
      </w:rPr>
    </w:lvl>
  </w:abstractNum>
  <w:abstractNum w:abstractNumId="377">
    <w:nsid w:val="36E506A3"/>
    <w:multiLevelType w:val="singleLevel"/>
    <w:tmpl w:val="36E506A3"/>
    <w:lvl w:ilvl="0" w:tentative="0">
      <w:start w:val="1"/>
      <w:numFmt w:val="decimal"/>
      <w:suff w:val="space"/>
      <w:lvlText w:val="%1."/>
      <w:lvlJc w:val="left"/>
      <w:rPr>
        <w:rFonts w:cs="Times New Roman"/>
      </w:rPr>
    </w:lvl>
  </w:abstractNum>
  <w:abstractNum w:abstractNumId="378">
    <w:nsid w:val="370123FA"/>
    <w:multiLevelType w:val="singleLevel"/>
    <w:tmpl w:val="370123FA"/>
    <w:lvl w:ilvl="0" w:tentative="0">
      <w:start w:val="1"/>
      <w:numFmt w:val="decimal"/>
      <w:suff w:val="space"/>
      <w:lvlText w:val="%1."/>
      <w:lvlJc w:val="left"/>
      <w:rPr>
        <w:rFonts w:cs="Times New Roman"/>
      </w:rPr>
    </w:lvl>
  </w:abstractNum>
  <w:abstractNum w:abstractNumId="379">
    <w:nsid w:val="3730320B"/>
    <w:multiLevelType w:val="singleLevel"/>
    <w:tmpl w:val="3730320B"/>
    <w:lvl w:ilvl="0" w:tentative="0">
      <w:start w:val="1"/>
      <w:numFmt w:val="decimal"/>
      <w:suff w:val="space"/>
      <w:lvlText w:val="%1."/>
      <w:lvlJc w:val="left"/>
    </w:lvl>
  </w:abstractNum>
  <w:abstractNum w:abstractNumId="380">
    <w:nsid w:val="37FE7F00"/>
    <w:multiLevelType w:val="singleLevel"/>
    <w:tmpl w:val="37FE7F00"/>
    <w:lvl w:ilvl="0" w:tentative="0">
      <w:start w:val="1"/>
      <w:numFmt w:val="decimal"/>
      <w:suff w:val="space"/>
      <w:lvlText w:val="%1."/>
      <w:lvlJc w:val="left"/>
      <w:rPr>
        <w:rFonts w:cs="Times New Roman"/>
      </w:rPr>
    </w:lvl>
  </w:abstractNum>
  <w:abstractNum w:abstractNumId="381">
    <w:nsid w:val="38E40A38"/>
    <w:multiLevelType w:val="singleLevel"/>
    <w:tmpl w:val="38E40A38"/>
    <w:lvl w:ilvl="0" w:tentative="0">
      <w:start w:val="1"/>
      <w:numFmt w:val="decimal"/>
      <w:suff w:val="space"/>
      <w:lvlText w:val="%1."/>
      <w:lvlJc w:val="left"/>
    </w:lvl>
  </w:abstractNum>
  <w:abstractNum w:abstractNumId="382">
    <w:nsid w:val="3945962D"/>
    <w:multiLevelType w:val="singleLevel"/>
    <w:tmpl w:val="3945962D"/>
    <w:lvl w:ilvl="0" w:tentative="0">
      <w:start w:val="1"/>
      <w:numFmt w:val="decimal"/>
      <w:suff w:val="space"/>
      <w:lvlText w:val="%1."/>
      <w:lvlJc w:val="left"/>
      <w:rPr>
        <w:rFonts w:cs="Times New Roman"/>
      </w:rPr>
    </w:lvl>
  </w:abstractNum>
  <w:abstractNum w:abstractNumId="383">
    <w:nsid w:val="397F4212"/>
    <w:multiLevelType w:val="singleLevel"/>
    <w:tmpl w:val="397F4212"/>
    <w:lvl w:ilvl="0" w:tentative="0">
      <w:start w:val="1"/>
      <w:numFmt w:val="decimal"/>
      <w:suff w:val="space"/>
      <w:lvlText w:val="%1."/>
      <w:lvlJc w:val="left"/>
      <w:rPr>
        <w:rFonts w:cs="Times New Roman"/>
      </w:rPr>
    </w:lvl>
  </w:abstractNum>
  <w:abstractNum w:abstractNumId="384">
    <w:nsid w:val="398D5FCF"/>
    <w:multiLevelType w:val="singleLevel"/>
    <w:tmpl w:val="398D5FCF"/>
    <w:lvl w:ilvl="0" w:tentative="0">
      <w:start w:val="1"/>
      <w:numFmt w:val="decimal"/>
      <w:suff w:val="space"/>
      <w:lvlText w:val="%1."/>
      <w:lvlJc w:val="left"/>
      <w:rPr>
        <w:rFonts w:cs="Times New Roman"/>
      </w:rPr>
    </w:lvl>
  </w:abstractNum>
  <w:abstractNum w:abstractNumId="385">
    <w:nsid w:val="39ABC0D0"/>
    <w:multiLevelType w:val="singleLevel"/>
    <w:tmpl w:val="39ABC0D0"/>
    <w:lvl w:ilvl="0" w:tentative="0">
      <w:start w:val="1"/>
      <w:numFmt w:val="decimal"/>
      <w:suff w:val="space"/>
      <w:lvlText w:val="%1."/>
      <w:lvlJc w:val="left"/>
      <w:rPr>
        <w:rFonts w:cs="Times New Roman"/>
      </w:rPr>
    </w:lvl>
  </w:abstractNum>
  <w:abstractNum w:abstractNumId="386">
    <w:nsid w:val="39C4E039"/>
    <w:multiLevelType w:val="singleLevel"/>
    <w:tmpl w:val="39C4E039"/>
    <w:lvl w:ilvl="0" w:tentative="0">
      <w:start w:val="1"/>
      <w:numFmt w:val="decimal"/>
      <w:suff w:val="space"/>
      <w:lvlText w:val="%1."/>
      <w:lvlJc w:val="left"/>
      <w:rPr>
        <w:rFonts w:cs="Times New Roman"/>
      </w:rPr>
    </w:lvl>
  </w:abstractNum>
  <w:abstractNum w:abstractNumId="387">
    <w:nsid w:val="3A53148E"/>
    <w:multiLevelType w:val="singleLevel"/>
    <w:tmpl w:val="3A53148E"/>
    <w:lvl w:ilvl="0" w:tentative="0">
      <w:start w:val="1"/>
      <w:numFmt w:val="decimal"/>
      <w:suff w:val="space"/>
      <w:lvlText w:val="%1."/>
      <w:lvlJc w:val="left"/>
      <w:rPr>
        <w:rFonts w:cs="Times New Roman"/>
      </w:rPr>
    </w:lvl>
  </w:abstractNum>
  <w:abstractNum w:abstractNumId="388">
    <w:nsid w:val="3AC70B4A"/>
    <w:multiLevelType w:val="singleLevel"/>
    <w:tmpl w:val="3AC70B4A"/>
    <w:lvl w:ilvl="0" w:tentative="0">
      <w:start w:val="1"/>
      <w:numFmt w:val="decimal"/>
      <w:suff w:val="space"/>
      <w:lvlText w:val="%1."/>
      <w:lvlJc w:val="left"/>
      <w:rPr>
        <w:rFonts w:cs="Times New Roman"/>
      </w:rPr>
    </w:lvl>
  </w:abstractNum>
  <w:abstractNum w:abstractNumId="389">
    <w:nsid w:val="3B36CA7B"/>
    <w:multiLevelType w:val="singleLevel"/>
    <w:tmpl w:val="3B36CA7B"/>
    <w:lvl w:ilvl="0" w:tentative="0">
      <w:start w:val="1"/>
      <w:numFmt w:val="decimal"/>
      <w:suff w:val="space"/>
      <w:lvlText w:val="%1."/>
      <w:lvlJc w:val="left"/>
      <w:rPr>
        <w:rFonts w:cs="Times New Roman"/>
      </w:rPr>
    </w:lvl>
  </w:abstractNum>
  <w:abstractNum w:abstractNumId="390">
    <w:nsid w:val="3C06CDF0"/>
    <w:multiLevelType w:val="singleLevel"/>
    <w:tmpl w:val="3C06CDF0"/>
    <w:lvl w:ilvl="0" w:tentative="0">
      <w:start w:val="1"/>
      <w:numFmt w:val="decimal"/>
      <w:suff w:val="space"/>
      <w:lvlText w:val="%1."/>
      <w:lvlJc w:val="left"/>
    </w:lvl>
  </w:abstractNum>
  <w:abstractNum w:abstractNumId="391">
    <w:nsid w:val="3C16E084"/>
    <w:multiLevelType w:val="singleLevel"/>
    <w:tmpl w:val="3C16E084"/>
    <w:lvl w:ilvl="0" w:tentative="0">
      <w:start w:val="1"/>
      <w:numFmt w:val="decimal"/>
      <w:suff w:val="space"/>
      <w:lvlText w:val="%1."/>
      <w:lvlJc w:val="left"/>
    </w:lvl>
  </w:abstractNum>
  <w:abstractNum w:abstractNumId="392">
    <w:nsid w:val="3D09E060"/>
    <w:multiLevelType w:val="singleLevel"/>
    <w:tmpl w:val="3D09E060"/>
    <w:lvl w:ilvl="0" w:tentative="0">
      <w:start w:val="1"/>
      <w:numFmt w:val="decimal"/>
      <w:suff w:val="space"/>
      <w:lvlText w:val="%1."/>
      <w:lvlJc w:val="left"/>
      <w:rPr>
        <w:rFonts w:cs="Times New Roman"/>
      </w:rPr>
    </w:lvl>
  </w:abstractNum>
  <w:abstractNum w:abstractNumId="393">
    <w:nsid w:val="3D53CA8C"/>
    <w:multiLevelType w:val="singleLevel"/>
    <w:tmpl w:val="3D53CA8C"/>
    <w:lvl w:ilvl="0" w:tentative="0">
      <w:start w:val="1"/>
      <w:numFmt w:val="decimal"/>
      <w:suff w:val="space"/>
      <w:lvlText w:val="%1."/>
      <w:lvlJc w:val="left"/>
      <w:rPr>
        <w:rFonts w:cs="Times New Roman"/>
      </w:rPr>
    </w:lvl>
  </w:abstractNum>
  <w:abstractNum w:abstractNumId="394">
    <w:nsid w:val="3D58E295"/>
    <w:multiLevelType w:val="singleLevel"/>
    <w:tmpl w:val="3D58E295"/>
    <w:lvl w:ilvl="0" w:tentative="0">
      <w:start w:val="1"/>
      <w:numFmt w:val="decimal"/>
      <w:suff w:val="space"/>
      <w:lvlText w:val="%1."/>
      <w:lvlJc w:val="left"/>
      <w:rPr>
        <w:rFonts w:cs="Times New Roman"/>
      </w:rPr>
    </w:lvl>
  </w:abstractNum>
  <w:abstractNum w:abstractNumId="395">
    <w:nsid w:val="3D7AFEB7"/>
    <w:multiLevelType w:val="singleLevel"/>
    <w:tmpl w:val="3D7AFEB7"/>
    <w:lvl w:ilvl="0" w:tentative="0">
      <w:start w:val="1"/>
      <w:numFmt w:val="decimal"/>
      <w:suff w:val="space"/>
      <w:lvlText w:val="%1."/>
      <w:lvlJc w:val="left"/>
      <w:rPr>
        <w:rFonts w:cs="Times New Roman"/>
      </w:rPr>
    </w:lvl>
  </w:abstractNum>
  <w:abstractNum w:abstractNumId="396">
    <w:nsid w:val="3E20EEC6"/>
    <w:multiLevelType w:val="singleLevel"/>
    <w:tmpl w:val="3E20EEC6"/>
    <w:lvl w:ilvl="0" w:tentative="0">
      <w:start w:val="1"/>
      <w:numFmt w:val="decimal"/>
      <w:lvlText w:val="%1."/>
      <w:lvlJc w:val="left"/>
      <w:pPr>
        <w:tabs>
          <w:tab w:val="left" w:pos="312"/>
        </w:tabs>
      </w:pPr>
    </w:lvl>
  </w:abstractNum>
  <w:abstractNum w:abstractNumId="397">
    <w:nsid w:val="3E7D6730"/>
    <w:multiLevelType w:val="singleLevel"/>
    <w:tmpl w:val="3E7D6730"/>
    <w:lvl w:ilvl="0" w:tentative="0">
      <w:start w:val="1"/>
      <w:numFmt w:val="decimal"/>
      <w:suff w:val="space"/>
      <w:lvlText w:val="%1."/>
      <w:lvlJc w:val="left"/>
      <w:rPr>
        <w:rFonts w:cs="Times New Roman"/>
      </w:rPr>
    </w:lvl>
  </w:abstractNum>
  <w:abstractNum w:abstractNumId="398">
    <w:nsid w:val="3EAAD9A3"/>
    <w:multiLevelType w:val="singleLevel"/>
    <w:tmpl w:val="3EAAD9A3"/>
    <w:lvl w:ilvl="0" w:tentative="0">
      <w:start w:val="1"/>
      <w:numFmt w:val="decimal"/>
      <w:suff w:val="space"/>
      <w:lvlText w:val="%1."/>
      <w:lvlJc w:val="left"/>
    </w:lvl>
  </w:abstractNum>
  <w:abstractNum w:abstractNumId="399">
    <w:nsid w:val="3F1B54AC"/>
    <w:multiLevelType w:val="singleLevel"/>
    <w:tmpl w:val="3F1B54AC"/>
    <w:lvl w:ilvl="0" w:tentative="0">
      <w:start w:val="1"/>
      <w:numFmt w:val="decimal"/>
      <w:suff w:val="space"/>
      <w:lvlText w:val="%1."/>
      <w:lvlJc w:val="left"/>
      <w:rPr>
        <w:rFonts w:cs="Times New Roman"/>
      </w:rPr>
    </w:lvl>
  </w:abstractNum>
  <w:abstractNum w:abstractNumId="400">
    <w:nsid w:val="3F39CADF"/>
    <w:multiLevelType w:val="singleLevel"/>
    <w:tmpl w:val="3F39CADF"/>
    <w:lvl w:ilvl="0" w:tentative="0">
      <w:start w:val="1"/>
      <w:numFmt w:val="decimal"/>
      <w:suff w:val="space"/>
      <w:lvlText w:val="%1."/>
      <w:lvlJc w:val="left"/>
      <w:rPr>
        <w:rFonts w:cs="Times New Roman"/>
      </w:rPr>
    </w:lvl>
  </w:abstractNum>
  <w:abstractNum w:abstractNumId="401">
    <w:nsid w:val="3F8F1A7C"/>
    <w:multiLevelType w:val="multilevel"/>
    <w:tmpl w:val="3F8F1A7C"/>
    <w:lvl w:ilvl="0" w:tentative="0">
      <w:start w:val="1"/>
      <w:numFmt w:val="upperLetter"/>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2">
    <w:nsid w:val="3FF7716D"/>
    <w:multiLevelType w:val="singleLevel"/>
    <w:tmpl w:val="3FF7716D"/>
    <w:lvl w:ilvl="0" w:tentative="0">
      <w:start w:val="1"/>
      <w:numFmt w:val="decimal"/>
      <w:suff w:val="space"/>
      <w:lvlText w:val="%1."/>
      <w:lvlJc w:val="left"/>
    </w:lvl>
  </w:abstractNum>
  <w:abstractNum w:abstractNumId="403">
    <w:nsid w:val="416B4DAE"/>
    <w:multiLevelType w:val="singleLevel"/>
    <w:tmpl w:val="416B4DAE"/>
    <w:lvl w:ilvl="0" w:tentative="0">
      <w:start w:val="1"/>
      <w:numFmt w:val="decimal"/>
      <w:suff w:val="space"/>
      <w:lvlText w:val="%1."/>
      <w:lvlJc w:val="left"/>
      <w:rPr>
        <w:rFonts w:cs="Times New Roman"/>
      </w:rPr>
    </w:lvl>
  </w:abstractNum>
  <w:abstractNum w:abstractNumId="404">
    <w:nsid w:val="41CA4B19"/>
    <w:multiLevelType w:val="singleLevel"/>
    <w:tmpl w:val="41CA4B19"/>
    <w:lvl w:ilvl="0" w:tentative="0">
      <w:start w:val="1"/>
      <w:numFmt w:val="decimal"/>
      <w:lvlText w:val="%1."/>
      <w:lvlJc w:val="left"/>
      <w:pPr>
        <w:tabs>
          <w:tab w:val="left" w:pos="312"/>
        </w:tabs>
      </w:pPr>
    </w:lvl>
  </w:abstractNum>
  <w:abstractNum w:abstractNumId="405">
    <w:nsid w:val="41EC4580"/>
    <w:multiLevelType w:val="singleLevel"/>
    <w:tmpl w:val="41EC4580"/>
    <w:lvl w:ilvl="0" w:tentative="0">
      <w:start w:val="1"/>
      <w:numFmt w:val="decimal"/>
      <w:suff w:val="space"/>
      <w:lvlText w:val="%1."/>
      <w:lvlJc w:val="left"/>
    </w:lvl>
  </w:abstractNum>
  <w:abstractNum w:abstractNumId="406">
    <w:nsid w:val="426E8874"/>
    <w:multiLevelType w:val="singleLevel"/>
    <w:tmpl w:val="426E8874"/>
    <w:lvl w:ilvl="0" w:tentative="0">
      <w:start w:val="1"/>
      <w:numFmt w:val="decimal"/>
      <w:lvlText w:val="%1."/>
      <w:lvlJc w:val="left"/>
      <w:pPr>
        <w:tabs>
          <w:tab w:val="left" w:pos="312"/>
        </w:tabs>
      </w:pPr>
      <w:rPr>
        <w:rFonts w:cs="Times New Roman"/>
      </w:rPr>
    </w:lvl>
  </w:abstractNum>
  <w:abstractNum w:abstractNumId="407">
    <w:nsid w:val="42F1F39A"/>
    <w:multiLevelType w:val="singleLevel"/>
    <w:tmpl w:val="42F1F39A"/>
    <w:lvl w:ilvl="0" w:tentative="0">
      <w:start w:val="1"/>
      <w:numFmt w:val="decimal"/>
      <w:suff w:val="space"/>
      <w:lvlText w:val="%1."/>
      <w:lvlJc w:val="left"/>
      <w:rPr>
        <w:rFonts w:cs="Times New Roman"/>
      </w:rPr>
    </w:lvl>
  </w:abstractNum>
  <w:abstractNum w:abstractNumId="408">
    <w:nsid w:val="43240174"/>
    <w:multiLevelType w:val="singleLevel"/>
    <w:tmpl w:val="43240174"/>
    <w:lvl w:ilvl="0" w:tentative="0">
      <w:start w:val="1"/>
      <w:numFmt w:val="decimal"/>
      <w:suff w:val="space"/>
      <w:lvlText w:val="%1."/>
      <w:lvlJc w:val="left"/>
      <w:rPr>
        <w:rFonts w:cs="Times New Roman"/>
      </w:rPr>
    </w:lvl>
  </w:abstractNum>
  <w:abstractNum w:abstractNumId="409">
    <w:nsid w:val="43DE5A53"/>
    <w:multiLevelType w:val="singleLevel"/>
    <w:tmpl w:val="43DE5A53"/>
    <w:lvl w:ilvl="0" w:tentative="0">
      <w:start w:val="1"/>
      <w:numFmt w:val="decimal"/>
      <w:suff w:val="space"/>
      <w:lvlText w:val="%1."/>
      <w:lvlJc w:val="left"/>
      <w:rPr>
        <w:rFonts w:cs="Times New Roman"/>
      </w:rPr>
    </w:lvl>
  </w:abstractNum>
  <w:abstractNum w:abstractNumId="410">
    <w:nsid w:val="4417F1C8"/>
    <w:multiLevelType w:val="singleLevel"/>
    <w:tmpl w:val="4417F1C8"/>
    <w:lvl w:ilvl="0" w:tentative="0">
      <w:start w:val="1"/>
      <w:numFmt w:val="decimal"/>
      <w:suff w:val="space"/>
      <w:lvlText w:val="%1."/>
      <w:lvlJc w:val="left"/>
      <w:rPr>
        <w:rFonts w:cs="Times New Roman"/>
      </w:rPr>
    </w:lvl>
  </w:abstractNum>
  <w:abstractNum w:abstractNumId="411">
    <w:nsid w:val="44918C14"/>
    <w:multiLevelType w:val="singleLevel"/>
    <w:tmpl w:val="44918C14"/>
    <w:lvl w:ilvl="0" w:tentative="0">
      <w:start w:val="1"/>
      <w:numFmt w:val="decimal"/>
      <w:suff w:val="space"/>
      <w:lvlText w:val="%1."/>
      <w:lvlJc w:val="left"/>
    </w:lvl>
  </w:abstractNum>
  <w:abstractNum w:abstractNumId="412">
    <w:nsid w:val="44997C79"/>
    <w:multiLevelType w:val="singleLevel"/>
    <w:tmpl w:val="44997C79"/>
    <w:lvl w:ilvl="0" w:tentative="0">
      <w:start w:val="1"/>
      <w:numFmt w:val="decimal"/>
      <w:suff w:val="space"/>
      <w:lvlText w:val="%1."/>
      <w:lvlJc w:val="left"/>
      <w:rPr>
        <w:rFonts w:cs="Times New Roman"/>
      </w:rPr>
    </w:lvl>
  </w:abstractNum>
  <w:abstractNum w:abstractNumId="413">
    <w:nsid w:val="44B18D7E"/>
    <w:multiLevelType w:val="singleLevel"/>
    <w:tmpl w:val="44B18D7E"/>
    <w:lvl w:ilvl="0" w:tentative="0">
      <w:start w:val="1"/>
      <w:numFmt w:val="decimal"/>
      <w:suff w:val="space"/>
      <w:lvlText w:val="%1."/>
      <w:lvlJc w:val="left"/>
      <w:rPr>
        <w:rFonts w:cs="Times New Roman"/>
      </w:rPr>
    </w:lvl>
  </w:abstractNum>
  <w:abstractNum w:abstractNumId="414">
    <w:nsid w:val="44E930D6"/>
    <w:multiLevelType w:val="singleLevel"/>
    <w:tmpl w:val="44E930D6"/>
    <w:lvl w:ilvl="0" w:tentative="0">
      <w:start w:val="1"/>
      <w:numFmt w:val="decimal"/>
      <w:suff w:val="space"/>
      <w:lvlText w:val="%1."/>
      <w:lvlJc w:val="left"/>
      <w:rPr>
        <w:rFonts w:cs="Times New Roman"/>
      </w:rPr>
    </w:lvl>
  </w:abstractNum>
  <w:abstractNum w:abstractNumId="415">
    <w:nsid w:val="45B3B29A"/>
    <w:multiLevelType w:val="singleLevel"/>
    <w:tmpl w:val="45B3B29A"/>
    <w:lvl w:ilvl="0" w:tentative="0">
      <w:start w:val="1"/>
      <w:numFmt w:val="decimal"/>
      <w:suff w:val="space"/>
      <w:lvlText w:val="%1."/>
      <w:lvlJc w:val="left"/>
      <w:rPr>
        <w:rFonts w:cs="Times New Roman"/>
      </w:rPr>
    </w:lvl>
  </w:abstractNum>
  <w:abstractNum w:abstractNumId="416">
    <w:nsid w:val="45DB280E"/>
    <w:multiLevelType w:val="multilevel"/>
    <w:tmpl w:val="45DB280E"/>
    <w:lvl w:ilvl="0" w:tentative="0">
      <w:start w:val="1"/>
      <w:numFmt w:val="decimal"/>
      <w:suff w:val="space"/>
      <w:lvlText w:val="%1."/>
      <w:lvlJc w:val="left"/>
      <w:pPr>
        <w:ind w:left="0" w:firstLine="0"/>
      </w:pPr>
      <w:rPr>
        <w:rFonts w:hint="eastAsia"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7">
    <w:nsid w:val="462F42D8"/>
    <w:multiLevelType w:val="singleLevel"/>
    <w:tmpl w:val="462F42D8"/>
    <w:lvl w:ilvl="0" w:tentative="0">
      <w:start w:val="1"/>
      <w:numFmt w:val="decimal"/>
      <w:suff w:val="space"/>
      <w:lvlText w:val="%1."/>
      <w:lvlJc w:val="left"/>
      <w:rPr>
        <w:rFonts w:cs="Times New Roman"/>
      </w:rPr>
    </w:lvl>
  </w:abstractNum>
  <w:abstractNum w:abstractNumId="418">
    <w:nsid w:val="469A350C"/>
    <w:multiLevelType w:val="singleLevel"/>
    <w:tmpl w:val="469A350C"/>
    <w:lvl w:ilvl="0" w:tentative="0">
      <w:start w:val="1"/>
      <w:numFmt w:val="decimal"/>
      <w:suff w:val="space"/>
      <w:lvlText w:val="%1."/>
      <w:lvlJc w:val="left"/>
    </w:lvl>
  </w:abstractNum>
  <w:abstractNum w:abstractNumId="419">
    <w:nsid w:val="46C8B2FD"/>
    <w:multiLevelType w:val="singleLevel"/>
    <w:tmpl w:val="46C8B2FD"/>
    <w:lvl w:ilvl="0" w:tentative="0">
      <w:start w:val="1"/>
      <w:numFmt w:val="decimal"/>
      <w:suff w:val="space"/>
      <w:lvlText w:val="%1."/>
      <w:lvlJc w:val="left"/>
    </w:lvl>
  </w:abstractNum>
  <w:abstractNum w:abstractNumId="420">
    <w:nsid w:val="46CBDDA4"/>
    <w:multiLevelType w:val="singleLevel"/>
    <w:tmpl w:val="46CBDDA4"/>
    <w:lvl w:ilvl="0" w:tentative="0">
      <w:start w:val="1"/>
      <w:numFmt w:val="decimal"/>
      <w:suff w:val="space"/>
      <w:lvlText w:val="%1."/>
      <w:lvlJc w:val="left"/>
      <w:rPr>
        <w:rFonts w:cs="Times New Roman"/>
      </w:rPr>
    </w:lvl>
  </w:abstractNum>
  <w:abstractNum w:abstractNumId="421">
    <w:nsid w:val="477D686F"/>
    <w:multiLevelType w:val="singleLevel"/>
    <w:tmpl w:val="477D686F"/>
    <w:lvl w:ilvl="0" w:tentative="0">
      <w:start w:val="1"/>
      <w:numFmt w:val="decimal"/>
      <w:suff w:val="space"/>
      <w:lvlText w:val="%1."/>
      <w:lvlJc w:val="left"/>
      <w:rPr>
        <w:rFonts w:cs="Times New Roman"/>
      </w:rPr>
    </w:lvl>
  </w:abstractNum>
  <w:abstractNum w:abstractNumId="422">
    <w:nsid w:val="47AF4312"/>
    <w:multiLevelType w:val="singleLevel"/>
    <w:tmpl w:val="47AF4312"/>
    <w:lvl w:ilvl="0" w:tentative="0">
      <w:start w:val="1"/>
      <w:numFmt w:val="decimal"/>
      <w:suff w:val="space"/>
      <w:lvlText w:val="%1."/>
      <w:lvlJc w:val="left"/>
      <w:rPr>
        <w:rFonts w:cs="Times New Roman"/>
      </w:rPr>
    </w:lvl>
  </w:abstractNum>
  <w:abstractNum w:abstractNumId="423">
    <w:nsid w:val="4887FF90"/>
    <w:multiLevelType w:val="singleLevel"/>
    <w:tmpl w:val="4887FF90"/>
    <w:lvl w:ilvl="0" w:tentative="0">
      <w:start w:val="1"/>
      <w:numFmt w:val="decimal"/>
      <w:suff w:val="space"/>
      <w:lvlText w:val="%1."/>
      <w:lvlJc w:val="left"/>
    </w:lvl>
  </w:abstractNum>
  <w:abstractNum w:abstractNumId="424">
    <w:nsid w:val="489A5B4E"/>
    <w:multiLevelType w:val="singleLevel"/>
    <w:tmpl w:val="489A5B4E"/>
    <w:lvl w:ilvl="0" w:tentative="0">
      <w:start w:val="1"/>
      <w:numFmt w:val="decimal"/>
      <w:suff w:val="space"/>
      <w:lvlText w:val="%1."/>
      <w:lvlJc w:val="left"/>
    </w:lvl>
  </w:abstractNum>
  <w:abstractNum w:abstractNumId="425">
    <w:nsid w:val="48E5BD9A"/>
    <w:multiLevelType w:val="singleLevel"/>
    <w:tmpl w:val="48E5BD9A"/>
    <w:lvl w:ilvl="0" w:tentative="0">
      <w:start w:val="1"/>
      <w:numFmt w:val="decimal"/>
      <w:suff w:val="space"/>
      <w:lvlText w:val="%1."/>
      <w:lvlJc w:val="left"/>
      <w:rPr>
        <w:rFonts w:cs="Times New Roman"/>
      </w:rPr>
    </w:lvl>
  </w:abstractNum>
  <w:abstractNum w:abstractNumId="426">
    <w:nsid w:val="48FDCC06"/>
    <w:multiLevelType w:val="singleLevel"/>
    <w:tmpl w:val="48FDCC06"/>
    <w:lvl w:ilvl="0" w:tentative="0">
      <w:start w:val="1"/>
      <w:numFmt w:val="decimal"/>
      <w:suff w:val="space"/>
      <w:lvlText w:val="%1."/>
      <w:lvlJc w:val="left"/>
    </w:lvl>
  </w:abstractNum>
  <w:abstractNum w:abstractNumId="427">
    <w:nsid w:val="49304A13"/>
    <w:multiLevelType w:val="singleLevel"/>
    <w:tmpl w:val="49304A13"/>
    <w:lvl w:ilvl="0" w:tentative="0">
      <w:start w:val="1"/>
      <w:numFmt w:val="decimal"/>
      <w:suff w:val="space"/>
      <w:lvlText w:val="%1."/>
      <w:lvlJc w:val="left"/>
      <w:rPr>
        <w:rFonts w:cs="Times New Roman"/>
      </w:rPr>
    </w:lvl>
  </w:abstractNum>
  <w:abstractNum w:abstractNumId="428">
    <w:nsid w:val="49BC18C0"/>
    <w:multiLevelType w:val="singleLevel"/>
    <w:tmpl w:val="49BC18C0"/>
    <w:lvl w:ilvl="0" w:tentative="0">
      <w:start w:val="1"/>
      <w:numFmt w:val="decimal"/>
      <w:suff w:val="space"/>
      <w:lvlText w:val="%1."/>
      <w:lvlJc w:val="left"/>
    </w:lvl>
  </w:abstractNum>
  <w:abstractNum w:abstractNumId="429">
    <w:nsid w:val="4B5A894F"/>
    <w:multiLevelType w:val="singleLevel"/>
    <w:tmpl w:val="4B5A894F"/>
    <w:lvl w:ilvl="0" w:tentative="0">
      <w:start w:val="1"/>
      <w:numFmt w:val="decimal"/>
      <w:suff w:val="space"/>
      <w:lvlText w:val="%1."/>
      <w:lvlJc w:val="left"/>
    </w:lvl>
  </w:abstractNum>
  <w:abstractNum w:abstractNumId="430">
    <w:nsid w:val="4B6753FF"/>
    <w:multiLevelType w:val="singleLevel"/>
    <w:tmpl w:val="4B6753FF"/>
    <w:lvl w:ilvl="0" w:tentative="0">
      <w:start w:val="1"/>
      <w:numFmt w:val="decimal"/>
      <w:suff w:val="space"/>
      <w:lvlText w:val="%1."/>
      <w:lvlJc w:val="left"/>
      <w:rPr>
        <w:rFonts w:cs="Times New Roman"/>
      </w:rPr>
    </w:lvl>
  </w:abstractNum>
  <w:abstractNum w:abstractNumId="431">
    <w:nsid w:val="4B7D7B68"/>
    <w:multiLevelType w:val="singleLevel"/>
    <w:tmpl w:val="4B7D7B68"/>
    <w:lvl w:ilvl="0" w:tentative="0">
      <w:start w:val="1"/>
      <w:numFmt w:val="decimal"/>
      <w:suff w:val="space"/>
      <w:lvlText w:val="%1."/>
      <w:lvlJc w:val="left"/>
      <w:rPr>
        <w:rFonts w:cs="Times New Roman"/>
      </w:rPr>
    </w:lvl>
  </w:abstractNum>
  <w:abstractNum w:abstractNumId="432">
    <w:nsid w:val="4BF762D6"/>
    <w:multiLevelType w:val="singleLevel"/>
    <w:tmpl w:val="4BF762D6"/>
    <w:lvl w:ilvl="0" w:tentative="0">
      <w:start w:val="1"/>
      <w:numFmt w:val="decimal"/>
      <w:lvlText w:val="%1."/>
      <w:lvlJc w:val="left"/>
      <w:pPr>
        <w:tabs>
          <w:tab w:val="left" w:pos="312"/>
        </w:tabs>
      </w:pPr>
    </w:lvl>
  </w:abstractNum>
  <w:abstractNum w:abstractNumId="433">
    <w:nsid w:val="4C053504"/>
    <w:multiLevelType w:val="singleLevel"/>
    <w:tmpl w:val="4C053504"/>
    <w:lvl w:ilvl="0" w:tentative="0">
      <w:start w:val="1"/>
      <w:numFmt w:val="decimal"/>
      <w:suff w:val="space"/>
      <w:lvlText w:val="%1."/>
      <w:lvlJc w:val="left"/>
      <w:rPr>
        <w:rFonts w:cs="Times New Roman"/>
      </w:rPr>
    </w:lvl>
  </w:abstractNum>
  <w:abstractNum w:abstractNumId="434">
    <w:nsid w:val="4C11DA3B"/>
    <w:multiLevelType w:val="singleLevel"/>
    <w:tmpl w:val="4C11DA3B"/>
    <w:lvl w:ilvl="0" w:tentative="0">
      <w:start w:val="1"/>
      <w:numFmt w:val="decimal"/>
      <w:suff w:val="space"/>
      <w:lvlText w:val="%1."/>
      <w:lvlJc w:val="left"/>
    </w:lvl>
  </w:abstractNum>
  <w:abstractNum w:abstractNumId="435">
    <w:nsid w:val="4C7C2231"/>
    <w:multiLevelType w:val="singleLevel"/>
    <w:tmpl w:val="4C7C2231"/>
    <w:lvl w:ilvl="0" w:tentative="0">
      <w:start w:val="1"/>
      <w:numFmt w:val="decimal"/>
      <w:suff w:val="space"/>
      <w:lvlText w:val="%1."/>
      <w:lvlJc w:val="left"/>
      <w:rPr>
        <w:rFonts w:cs="Times New Roman"/>
      </w:rPr>
    </w:lvl>
  </w:abstractNum>
  <w:abstractNum w:abstractNumId="436">
    <w:nsid w:val="4C841D37"/>
    <w:multiLevelType w:val="singleLevel"/>
    <w:tmpl w:val="4C841D37"/>
    <w:lvl w:ilvl="0" w:tentative="0">
      <w:start w:val="1"/>
      <w:numFmt w:val="decimal"/>
      <w:suff w:val="space"/>
      <w:lvlText w:val="%1."/>
      <w:lvlJc w:val="left"/>
      <w:rPr>
        <w:rFonts w:cs="Times New Roman"/>
      </w:rPr>
    </w:lvl>
  </w:abstractNum>
  <w:abstractNum w:abstractNumId="437">
    <w:nsid w:val="4CE58C2B"/>
    <w:multiLevelType w:val="singleLevel"/>
    <w:tmpl w:val="4CE58C2B"/>
    <w:lvl w:ilvl="0" w:tentative="0">
      <w:start w:val="1"/>
      <w:numFmt w:val="decimal"/>
      <w:suff w:val="space"/>
      <w:lvlText w:val="%1."/>
      <w:lvlJc w:val="left"/>
      <w:rPr>
        <w:rFonts w:cs="Times New Roman"/>
      </w:rPr>
    </w:lvl>
  </w:abstractNum>
  <w:abstractNum w:abstractNumId="438">
    <w:nsid w:val="4D1E2DDF"/>
    <w:multiLevelType w:val="singleLevel"/>
    <w:tmpl w:val="4D1E2DDF"/>
    <w:lvl w:ilvl="0" w:tentative="0">
      <w:start w:val="1"/>
      <w:numFmt w:val="decimal"/>
      <w:suff w:val="space"/>
      <w:lvlText w:val="%1."/>
      <w:lvlJc w:val="left"/>
      <w:rPr>
        <w:rFonts w:cs="Times New Roman"/>
      </w:rPr>
    </w:lvl>
  </w:abstractNum>
  <w:abstractNum w:abstractNumId="439">
    <w:nsid w:val="4DA6755A"/>
    <w:multiLevelType w:val="singleLevel"/>
    <w:tmpl w:val="4DA6755A"/>
    <w:lvl w:ilvl="0" w:tentative="0">
      <w:start w:val="1"/>
      <w:numFmt w:val="decimal"/>
      <w:suff w:val="space"/>
      <w:lvlText w:val="%1."/>
      <w:lvlJc w:val="left"/>
      <w:rPr>
        <w:rFonts w:cs="Times New Roman"/>
      </w:rPr>
    </w:lvl>
  </w:abstractNum>
  <w:abstractNum w:abstractNumId="440">
    <w:nsid w:val="4E19BCBB"/>
    <w:multiLevelType w:val="singleLevel"/>
    <w:tmpl w:val="4E19BCBB"/>
    <w:lvl w:ilvl="0" w:tentative="0">
      <w:start w:val="1"/>
      <w:numFmt w:val="decimal"/>
      <w:suff w:val="space"/>
      <w:lvlText w:val="%1."/>
      <w:lvlJc w:val="left"/>
    </w:lvl>
  </w:abstractNum>
  <w:abstractNum w:abstractNumId="441">
    <w:nsid w:val="4EB55237"/>
    <w:multiLevelType w:val="singleLevel"/>
    <w:tmpl w:val="4EB55237"/>
    <w:lvl w:ilvl="0" w:tentative="0">
      <w:start w:val="1"/>
      <w:numFmt w:val="decimal"/>
      <w:lvlText w:val="%1."/>
      <w:lvlJc w:val="left"/>
      <w:pPr>
        <w:tabs>
          <w:tab w:val="left" w:pos="312"/>
        </w:tabs>
      </w:pPr>
    </w:lvl>
  </w:abstractNum>
  <w:abstractNum w:abstractNumId="442">
    <w:nsid w:val="4EF6242B"/>
    <w:multiLevelType w:val="singleLevel"/>
    <w:tmpl w:val="4EF6242B"/>
    <w:lvl w:ilvl="0" w:tentative="0">
      <w:start w:val="1"/>
      <w:numFmt w:val="decimal"/>
      <w:suff w:val="space"/>
      <w:lvlText w:val="%1."/>
      <w:lvlJc w:val="left"/>
      <w:rPr>
        <w:rFonts w:cs="Times New Roman"/>
      </w:rPr>
    </w:lvl>
  </w:abstractNum>
  <w:abstractNum w:abstractNumId="443">
    <w:nsid w:val="4F6C09B5"/>
    <w:multiLevelType w:val="singleLevel"/>
    <w:tmpl w:val="4F6C09B5"/>
    <w:lvl w:ilvl="0" w:tentative="0">
      <w:start w:val="1"/>
      <w:numFmt w:val="decimal"/>
      <w:suff w:val="space"/>
      <w:lvlText w:val="%1."/>
      <w:lvlJc w:val="left"/>
      <w:rPr>
        <w:rFonts w:cs="Times New Roman"/>
      </w:rPr>
    </w:lvl>
  </w:abstractNum>
  <w:abstractNum w:abstractNumId="444">
    <w:nsid w:val="502F08CA"/>
    <w:multiLevelType w:val="singleLevel"/>
    <w:tmpl w:val="502F08CA"/>
    <w:lvl w:ilvl="0" w:tentative="0">
      <w:start w:val="1"/>
      <w:numFmt w:val="decimal"/>
      <w:suff w:val="space"/>
      <w:lvlText w:val="%1."/>
      <w:lvlJc w:val="left"/>
    </w:lvl>
  </w:abstractNum>
  <w:abstractNum w:abstractNumId="445">
    <w:nsid w:val="50E92701"/>
    <w:multiLevelType w:val="singleLevel"/>
    <w:tmpl w:val="50E92701"/>
    <w:lvl w:ilvl="0" w:tentative="0">
      <w:start w:val="1"/>
      <w:numFmt w:val="decimal"/>
      <w:suff w:val="space"/>
      <w:lvlText w:val="%1."/>
      <w:lvlJc w:val="left"/>
      <w:rPr>
        <w:rFonts w:cs="Times New Roman"/>
      </w:rPr>
    </w:lvl>
  </w:abstractNum>
  <w:abstractNum w:abstractNumId="446">
    <w:nsid w:val="523A4FC5"/>
    <w:multiLevelType w:val="singleLevel"/>
    <w:tmpl w:val="523A4FC5"/>
    <w:lvl w:ilvl="0" w:tentative="0">
      <w:start w:val="1"/>
      <w:numFmt w:val="decimal"/>
      <w:suff w:val="space"/>
      <w:lvlText w:val="%1."/>
      <w:lvlJc w:val="left"/>
      <w:rPr>
        <w:rFonts w:cs="Times New Roman"/>
      </w:rPr>
    </w:lvl>
  </w:abstractNum>
  <w:abstractNum w:abstractNumId="447">
    <w:nsid w:val="52B8A008"/>
    <w:multiLevelType w:val="singleLevel"/>
    <w:tmpl w:val="52B8A008"/>
    <w:lvl w:ilvl="0" w:tentative="0">
      <w:start w:val="1"/>
      <w:numFmt w:val="decimal"/>
      <w:suff w:val="space"/>
      <w:lvlText w:val="%1."/>
      <w:lvlJc w:val="left"/>
    </w:lvl>
  </w:abstractNum>
  <w:abstractNum w:abstractNumId="448">
    <w:nsid w:val="53F29C4C"/>
    <w:multiLevelType w:val="singleLevel"/>
    <w:tmpl w:val="53F29C4C"/>
    <w:lvl w:ilvl="0" w:tentative="0">
      <w:start w:val="1"/>
      <w:numFmt w:val="decimal"/>
      <w:suff w:val="space"/>
      <w:lvlText w:val="%1."/>
      <w:lvlJc w:val="left"/>
      <w:rPr>
        <w:rFonts w:cs="Times New Roman"/>
      </w:rPr>
    </w:lvl>
  </w:abstractNum>
  <w:abstractNum w:abstractNumId="449">
    <w:nsid w:val="55219BAF"/>
    <w:multiLevelType w:val="singleLevel"/>
    <w:tmpl w:val="55219BAF"/>
    <w:lvl w:ilvl="0" w:tentative="0">
      <w:start w:val="1"/>
      <w:numFmt w:val="decimal"/>
      <w:suff w:val="space"/>
      <w:lvlText w:val="%1."/>
      <w:lvlJc w:val="left"/>
      <w:rPr>
        <w:rFonts w:cs="Times New Roman"/>
      </w:rPr>
    </w:lvl>
  </w:abstractNum>
  <w:abstractNum w:abstractNumId="450">
    <w:nsid w:val="558607F4"/>
    <w:multiLevelType w:val="singleLevel"/>
    <w:tmpl w:val="558607F4"/>
    <w:lvl w:ilvl="0" w:tentative="0">
      <w:start w:val="1"/>
      <w:numFmt w:val="decimal"/>
      <w:suff w:val="space"/>
      <w:lvlText w:val="%1."/>
      <w:lvlJc w:val="left"/>
      <w:rPr>
        <w:rFonts w:cs="Times New Roman"/>
      </w:rPr>
    </w:lvl>
  </w:abstractNum>
  <w:abstractNum w:abstractNumId="451">
    <w:nsid w:val="55CD9D22"/>
    <w:multiLevelType w:val="singleLevel"/>
    <w:tmpl w:val="55CD9D22"/>
    <w:lvl w:ilvl="0" w:tentative="0">
      <w:start w:val="1"/>
      <w:numFmt w:val="decimal"/>
      <w:suff w:val="space"/>
      <w:lvlText w:val="%1."/>
      <w:lvlJc w:val="left"/>
      <w:rPr>
        <w:rFonts w:cs="Times New Roman"/>
      </w:rPr>
    </w:lvl>
  </w:abstractNum>
  <w:abstractNum w:abstractNumId="452">
    <w:nsid w:val="56166526"/>
    <w:multiLevelType w:val="singleLevel"/>
    <w:tmpl w:val="56166526"/>
    <w:lvl w:ilvl="0" w:tentative="0">
      <w:start w:val="1"/>
      <w:numFmt w:val="decimal"/>
      <w:suff w:val="space"/>
      <w:lvlText w:val="%1."/>
      <w:lvlJc w:val="left"/>
    </w:lvl>
  </w:abstractNum>
  <w:abstractNum w:abstractNumId="453">
    <w:nsid w:val="56B72893"/>
    <w:multiLevelType w:val="singleLevel"/>
    <w:tmpl w:val="56B72893"/>
    <w:lvl w:ilvl="0" w:tentative="0">
      <w:start w:val="1"/>
      <w:numFmt w:val="decimal"/>
      <w:suff w:val="space"/>
      <w:lvlText w:val="%1."/>
      <w:lvlJc w:val="left"/>
      <w:rPr>
        <w:rFonts w:cs="Times New Roman"/>
      </w:rPr>
    </w:lvl>
  </w:abstractNum>
  <w:abstractNum w:abstractNumId="454">
    <w:nsid w:val="571A4288"/>
    <w:multiLevelType w:val="singleLevel"/>
    <w:tmpl w:val="571A4288"/>
    <w:lvl w:ilvl="0" w:tentative="0">
      <w:start w:val="1"/>
      <w:numFmt w:val="decimal"/>
      <w:suff w:val="space"/>
      <w:lvlText w:val="%1."/>
      <w:lvlJc w:val="left"/>
      <w:rPr>
        <w:rFonts w:cs="Times New Roman"/>
      </w:rPr>
    </w:lvl>
  </w:abstractNum>
  <w:abstractNum w:abstractNumId="455">
    <w:nsid w:val="572780A1"/>
    <w:multiLevelType w:val="singleLevel"/>
    <w:tmpl w:val="572780A1"/>
    <w:lvl w:ilvl="0" w:tentative="0">
      <w:start w:val="1"/>
      <w:numFmt w:val="decimal"/>
      <w:suff w:val="space"/>
      <w:lvlText w:val="%1."/>
      <w:lvlJc w:val="left"/>
      <w:rPr>
        <w:rFonts w:cs="Times New Roman"/>
      </w:rPr>
    </w:lvl>
  </w:abstractNum>
  <w:abstractNum w:abstractNumId="456">
    <w:nsid w:val="575EC942"/>
    <w:multiLevelType w:val="singleLevel"/>
    <w:tmpl w:val="575EC942"/>
    <w:lvl w:ilvl="0" w:tentative="0">
      <w:start w:val="1"/>
      <w:numFmt w:val="decimal"/>
      <w:suff w:val="space"/>
      <w:lvlText w:val="%1."/>
      <w:lvlJc w:val="left"/>
      <w:rPr>
        <w:rFonts w:cs="Times New Roman"/>
      </w:rPr>
    </w:lvl>
  </w:abstractNum>
  <w:abstractNum w:abstractNumId="457">
    <w:nsid w:val="57609833"/>
    <w:multiLevelType w:val="singleLevel"/>
    <w:tmpl w:val="57609833"/>
    <w:lvl w:ilvl="0" w:tentative="0">
      <w:start w:val="1"/>
      <w:numFmt w:val="decimal"/>
      <w:suff w:val="space"/>
      <w:lvlText w:val="%1."/>
      <w:lvlJc w:val="left"/>
      <w:rPr>
        <w:rFonts w:cs="Times New Roman"/>
      </w:rPr>
    </w:lvl>
  </w:abstractNum>
  <w:abstractNum w:abstractNumId="458">
    <w:nsid w:val="57EFE2CC"/>
    <w:multiLevelType w:val="singleLevel"/>
    <w:tmpl w:val="57EFE2CC"/>
    <w:lvl w:ilvl="0" w:tentative="0">
      <w:start w:val="1"/>
      <w:numFmt w:val="decimal"/>
      <w:suff w:val="nothing"/>
      <w:lvlText w:val="（%1）"/>
      <w:lvlJc w:val="left"/>
    </w:lvl>
  </w:abstractNum>
  <w:abstractNum w:abstractNumId="459">
    <w:nsid w:val="582B0558"/>
    <w:multiLevelType w:val="singleLevel"/>
    <w:tmpl w:val="582B0558"/>
    <w:lvl w:ilvl="0" w:tentative="0">
      <w:start w:val="1"/>
      <w:numFmt w:val="decimal"/>
      <w:suff w:val="space"/>
      <w:lvlText w:val="%1."/>
      <w:lvlJc w:val="left"/>
    </w:lvl>
  </w:abstractNum>
  <w:abstractNum w:abstractNumId="460">
    <w:nsid w:val="589983DE"/>
    <w:multiLevelType w:val="singleLevel"/>
    <w:tmpl w:val="589983DE"/>
    <w:lvl w:ilvl="0" w:tentative="0">
      <w:start w:val="1"/>
      <w:numFmt w:val="decimal"/>
      <w:suff w:val="space"/>
      <w:lvlText w:val="%1."/>
      <w:lvlJc w:val="left"/>
    </w:lvl>
  </w:abstractNum>
  <w:abstractNum w:abstractNumId="461">
    <w:nsid w:val="5907278C"/>
    <w:multiLevelType w:val="multilevel"/>
    <w:tmpl w:val="5907278C"/>
    <w:lvl w:ilvl="0" w:tentative="0">
      <w:start w:val="1"/>
      <w:numFmt w:val="upperLetter"/>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62">
    <w:nsid w:val="591931D8"/>
    <w:multiLevelType w:val="singleLevel"/>
    <w:tmpl w:val="591931D8"/>
    <w:lvl w:ilvl="0" w:tentative="0">
      <w:start w:val="1"/>
      <w:numFmt w:val="decimal"/>
      <w:suff w:val="space"/>
      <w:lvlText w:val="%1."/>
      <w:lvlJc w:val="left"/>
      <w:rPr>
        <w:rFonts w:cs="Times New Roman"/>
      </w:rPr>
    </w:lvl>
  </w:abstractNum>
  <w:abstractNum w:abstractNumId="463">
    <w:nsid w:val="59A2CDA0"/>
    <w:multiLevelType w:val="singleLevel"/>
    <w:tmpl w:val="59A2CDA0"/>
    <w:lvl w:ilvl="0" w:tentative="0">
      <w:start w:val="1"/>
      <w:numFmt w:val="decimal"/>
      <w:suff w:val="space"/>
      <w:lvlText w:val="%1."/>
      <w:lvlJc w:val="left"/>
      <w:rPr>
        <w:rFonts w:cs="Times New Roman"/>
      </w:rPr>
    </w:lvl>
  </w:abstractNum>
  <w:abstractNum w:abstractNumId="464">
    <w:nsid w:val="5A39BAC7"/>
    <w:multiLevelType w:val="singleLevel"/>
    <w:tmpl w:val="5A39BAC7"/>
    <w:lvl w:ilvl="0" w:tentative="0">
      <w:start w:val="1"/>
      <w:numFmt w:val="decimal"/>
      <w:suff w:val="space"/>
      <w:lvlText w:val="%1."/>
      <w:lvlJc w:val="left"/>
      <w:rPr>
        <w:rFonts w:cs="Times New Roman"/>
      </w:rPr>
    </w:lvl>
  </w:abstractNum>
  <w:abstractNum w:abstractNumId="465">
    <w:nsid w:val="5AD92F90"/>
    <w:multiLevelType w:val="singleLevel"/>
    <w:tmpl w:val="5AD92F90"/>
    <w:lvl w:ilvl="0" w:tentative="0">
      <w:start w:val="1"/>
      <w:numFmt w:val="decimal"/>
      <w:suff w:val="space"/>
      <w:lvlText w:val="%1."/>
      <w:lvlJc w:val="left"/>
      <w:rPr>
        <w:rFonts w:cs="Times New Roman"/>
      </w:rPr>
    </w:lvl>
  </w:abstractNum>
  <w:abstractNum w:abstractNumId="466">
    <w:nsid w:val="5B094305"/>
    <w:multiLevelType w:val="multilevel"/>
    <w:tmpl w:val="5B094305"/>
    <w:lvl w:ilvl="0" w:tentative="0">
      <w:start w:val="1"/>
      <w:numFmt w:val="upperLetter"/>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67">
    <w:nsid w:val="5BE11028"/>
    <w:multiLevelType w:val="multilevel"/>
    <w:tmpl w:val="5BE11028"/>
    <w:lvl w:ilvl="0" w:tentative="0">
      <w:start w:val="1"/>
      <w:numFmt w:val="upperLetter"/>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68">
    <w:nsid w:val="5C08559E"/>
    <w:multiLevelType w:val="singleLevel"/>
    <w:tmpl w:val="5C08559E"/>
    <w:lvl w:ilvl="0" w:tentative="0">
      <w:start w:val="1"/>
      <w:numFmt w:val="decimal"/>
      <w:suff w:val="space"/>
      <w:lvlText w:val="%1."/>
      <w:lvlJc w:val="left"/>
    </w:lvl>
  </w:abstractNum>
  <w:abstractNum w:abstractNumId="469">
    <w:nsid w:val="5C0A9D6B"/>
    <w:multiLevelType w:val="singleLevel"/>
    <w:tmpl w:val="5C0A9D6B"/>
    <w:lvl w:ilvl="0" w:tentative="0">
      <w:start w:val="1"/>
      <w:numFmt w:val="decimal"/>
      <w:suff w:val="space"/>
      <w:lvlText w:val="%1."/>
      <w:lvlJc w:val="left"/>
      <w:rPr>
        <w:rFonts w:cs="Times New Roman"/>
      </w:rPr>
    </w:lvl>
  </w:abstractNum>
  <w:abstractNum w:abstractNumId="470">
    <w:nsid w:val="5C7D375A"/>
    <w:multiLevelType w:val="singleLevel"/>
    <w:tmpl w:val="5C7D375A"/>
    <w:lvl w:ilvl="0" w:tentative="0">
      <w:start w:val="1"/>
      <w:numFmt w:val="decimal"/>
      <w:suff w:val="space"/>
      <w:lvlText w:val="%1."/>
      <w:lvlJc w:val="left"/>
      <w:rPr>
        <w:rFonts w:cs="Times New Roman"/>
      </w:rPr>
    </w:lvl>
  </w:abstractNum>
  <w:abstractNum w:abstractNumId="471">
    <w:nsid w:val="5C7F0ACA"/>
    <w:multiLevelType w:val="singleLevel"/>
    <w:tmpl w:val="5C7F0ACA"/>
    <w:lvl w:ilvl="0" w:tentative="0">
      <w:start w:val="1"/>
      <w:numFmt w:val="decimal"/>
      <w:suff w:val="space"/>
      <w:lvlText w:val="%1."/>
      <w:lvlJc w:val="left"/>
      <w:rPr>
        <w:rFonts w:cs="Times New Roman"/>
      </w:rPr>
    </w:lvl>
  </w:abstractNum>
  <w:abstractNum w:abstractNumId="472">
    <w:nsid w:val="5D297B71"/>
    <w:multiLevelType w:val="singleLevel"/>
    <w:tmpl w:val="5D297B71"/>
    <w:lvl w:ilvl="0" w:tentative="0">
      <w:start w:val="1"/>
      <w:numFmt w:val="decimal"/>
      <w:suff w:val="space"/>
      <w:lvlText w:val="%1."/>
      <w:lvlJc w:val="left"/>
      <w:rPr>
        <w:rFonts w:cs="Times New Roman"/>
      </w:rPr>
    </w:lvl>
  </w:abstractNum>
  <w:abstractNum w:abstractNumId="473">
    <w:nsid w:val="5DB588D0"/>
    <w:multiLevelType w:val="singleLevel"/>
    <w:tmpl w:val="5DB588D0"/>
    <w:lvl w:ilvl="0" w:tentative="0">
      <w:start w:val="1"/>
      <w:numFmt w:val="decimal"/>
      <w:suff w:val="space"/>
      <w:lvlText w:val="%1."/>
      <w:lvlJc w:val="left"/>
      <w:rPr>
        <w:rFonts w:cs="Times New Roman"/>
      </w:rPr>
    </w:lvl>
  </w:abstractNum>
  <w:abstractNum w:abstractNumId="474">
    <w:nsid w:val="5DE5B38C"/>
    <w:multiLevelType w:val="singleLevel"/>
    <w:tmpl w:val="5DE5B38C"/>
    <w:lvl w:ilvl="0" w:tentative="0">
      <w:start w:val="1"/>
      <w:numFmt w:val="decimal"/>
      <w:suff w:val="space"/>
      <w:lvlText w:val="%1."/>
      <w:lvlJc w:val="left"/>
    </w:lvl>
  </w:abstractNum>
  <w:abstractNum w:abstractNumId="475">
    <w:nsid w:val="5E123A0F"/>
    <w:multiLevelType w:val="singleLevel"/>
    <w:tmpl w:val="5E123A0F"/>
    <w:lvl w:ilvl="0" w:tentative="0">
      <w:start w:val="1"/>
      <w:numFmt w:val="decimal"/>
      <w:suff w:val="space"/>
      <w:lvlText w:val="%1."/>
      <w:lvlJc w:val="left"/>
    </w:lvl>
  </w:abstractNum>
  <w:abstractNum w:abstractNumId="476">
    <w:nsid w:val="5E84A074"/>
    <w:multiLevelType w:val="singleLevel"/>
    <w:tmpl w:val="5E84A074"/>
    <w:lvl w:ilvl="0" w:tentative="0">
      <w:start w:val="1"/>
      <w:numFmt w:val="decimal"/>
      <w:lvlText w:val="%1."/>
      <w:lvlJc w:val="left"/>
      <w:pPr>
        <w:tabs>
          <w:tab w:val="left" w:pos="312"/>
        </w:tabs>
      </w:pPr>
      <w:rPr>
        <w:rFonts w:cs="Times New Roman"/>
      </w:rPr>
    </w:lvl>
  </w:abstractNum>
  <w:abstractNum w:abstractNumId="477">
    <w:nsid w:val="6019F7FF"/>
    <w:multiLevelType w:val="singleLevel"/>
    <w:tmpl w:val="6019F7FF"/>
    <w:lvl w:ilvl="0" w:tentative="0">
      <w:start w:val="1"/>
      <w:numFmt w:val="decimal"/>
      <w:suff w:val="space"/>
      <w:lvlText w:val="%1."/>
      <w:lvlJc w:val="left"/>
      <w:rPr>
        <w:rFonts w:cs="Times New Roman"/>
      </w:rPr>
    </w:lvl>
  </w:abstractNum>
  <w:abstractNum w:abstractNumId="478">
    <w:nsid w:val="6117E009"/>
    <w:multiLevelType w:val="singleLevel"/>
    <w:tmpl w:val="6117E009"/>
    <w:lvl w:ilvl="0" w:tentative="0">
      <w:start w:val="1"/>
      <w:numFmt w:val="decimal"/>
      <w:suff w:val="space"/>
      <w:lvlText w:val="%1."/>
      <w:lvlJc w:val="left"/>
      <w:rPr>
        <w:rFonts w:cs="Times New Roman"/>
      </w:rPr>
    </w:lvl>
  </w:abstractNum>
  <w:abstractNum w:abstractNumId="479">
    <w:nsid w:val="611AD5C2"/>
    <w:multiLevelType w:val="singleLevel"/>
    <w:tmpl w:val="611AD5C2"/>
    <w:lvl w:ilvl="0" w:tentative="0">
      <w:start w:val="1"/>
      <w:numFmt w:val="decimal"/>
      <w:suff w:val="space"/>
      <w:lvlText w:val="%1."/>
      <w:lvlJc w:val="left"/>
      <w:rPr>
        <w:rFonts w:cs="Times New Roman"/>
      </w:rPr>
    </w:lvl>
  </w:abstractNum>
  <w:abstractNum w:abstractNumId="480">
    <w:nsid w:val="61926B6B"/>
    <w:multiLevelType w:val="singleLevel"/>
    <w:tmpl w:val="61926B6B"/>
    <w:lvl w:ilvl="0" w:tentative="0">
      <w:start w:val="1"/>
      <w:numFmt w:val="decimal"/>
      <w:suff w:val="space"/>
      <w:lvlText w:val="%1."/>
      <w:lvlJc w:val="left"/>
    </w:lvl>
  </w:abstractNum>
  <w:abstractNum w:abstractNumId="481">
    <w:nsid w:val="619D3698"/>
    <w:multiLevelType w:val="singleLevel"/>
    <w:tmpl w:val="619D3698"/>
    <w:lvl w:ilvl="0" w:tentative="0">
      <w:start w:val="1"/>
      <w:numFmt w:val="decimal"/>
      <w:suff w:val="space"/>
      <w:lvlText w:val="%1."/>
      <w:lvlJc w:val="left"/>
      <w:rPr>
        <w:rFonts w:cs="Times New Roman"/>
      </w:rPr>
    </w:lvl>
  </w:abstractNum>
  <w:abstractNum w:abstractNumId="482">
    <w:nsid w:val="61BDA87D"/>
    <w:multiLevelType w:val="singleLevel"/>
    <w:tmpl w:val="61BDA87D"/>
    <w:lvl w:ilvl="0" w:tentative="0">
      <w:start w:val="1"/>
      <w:numFmt w:val="decimal"/>
      <w:lvlText w:val="%1."/>
      <w:lvlJc w:val="left"/>
      <w:pPr>
        <w:tabs>
          <w:tab w:val="left" w:pos="312"/>
        </w:tabs>
      </w:pPr>
    </w:lvl>
  </w:abstractNum>
  <w:abstractNum w:abstractNumId="483">
    <w:nsid w:val="6240C027"/>
    <w:multiLevelType w:val="singleLevel"/>
    <w:tmpl w:val="6240C027"/>
    <w:lvl w:ilvl="0" w:tentative="0">
      <w:start w:val="1"/>
      <w:numFmt w:val="decimal"/>
      <w:suff w:val="space"/>
      <w:lvlText w:val="%1."/>
      <w:lvlJc w:val="left"/>
      <w:rPr>
        <w:rFonts w:cs="Times New Roman"/>
      </w:rPr>
    </w:lvl>
  </w:abstractNum>
  <w:abstractNum w:abstractNumId="484">
    <w:nsid w:val="6244C0D7"/>
    <w:multiLevelType w:val="singleLevel"/>
    <w:tmpl w:val="6244C0D7"/>
    <w:lvl w:ilvl="0" w:tentative="0">
      <w:start w:val="1"/>
      <w:numFmt w:val="decimal"/>
      <w:suff w:val="space"/>
      <w:lvlText w:val="%1."/>
      <w:lvlJc w:val="left"/>
    </w:lvl>
  </w:abstractNum>
  <w:abstractNum w:abstractNumId="485">
    <w:nsid w:val="62DE063D"/>
    <w:multiLevelType w:val="singleLevel"/>
    <w:tmpl w:val="62DE063D"/>
    <w:lvl w:ilvl="0" w:tentative="0">
      <w:start w:val="1"/>
      <w:numFmt w:val="decimal"/>
      <w:suff w:val="space"/>
      <w:lvlText w:val="%1."/>
      <w:lvlJc w:val="left"/>
    </w:lvl>
  </w:abstractNum>
  <w:abstractNum w:abstractNumId="486">
    <w:nsid w:val="637433A3"/>
    <w:multiLevelType w:val="singleLevel"/>
    <w:tmpl w:val="637433A3"/>
    <w:lvl w:ilvl="0" w:tentative="0">
      <w:start w:val="1"/>
      <w:numFmt w:val="decimal"/>
      <w:suff w:val="nothing"/>
      <w:lvlText w:val="（%1）"/>
      <w:lvlJc w:val="left"/>
    </w:lvl>
  </w:abstractNum>
  <w:abstractNum w:abstractNumId="487">
    <w:nsid w:val="64362AD5"/>
    <w:multiLevelType w:val="singleLevel"/>
    <w:tmpl w:val="64362AD5"/>
    <w:lvl w:ilvl="0" w:tentative="0">
      <w:start w:val="1"/>
      <w:numFmt w:val="decimal"/>
      <w:suff w:val="space"/>
      <w:lvlText w:val="%1."/>
      <w:lvlJc w:val="left"/>
    </w:lvl>
  </w:abstractNum>
  <w:abstractNum w:abstractNumId="488">
    <w:nsid w:val="644C210F"/>
    <w:multiLevelType w:val="singleLevel"/>
    <w:tmpl w:val="644C210F"/>
    <w:lvl w:ilvl="0" w:tentative="0">
      <w:start w:val="1"/>
      <w:numFmt w:val="decimal"/>
      <w:suff w:val="space"/>
      <w:lvlText w:val="%1."/>
      <w:lvlJc w:val="left"/>
      <w:rPr>
        <w:rFonts w:cs="Times New Roman"/>
      </w:rPr>
    </w:lvl>
  </w:abstractNum>
  <w:abstractNum w:abstractNumId="489">
    <w:nsid w:val="64520C85"/>
    <w:multiLevelType w:val="singleLevel"/>
    <w:tmpl w:val="64520C85"/>
    <w:lvl w:ilvl="0" w:tentative="0">
      <w:start w:val="1"/>
      <w:numFmt w:val="decimal"/>
      <w:suff w:val="space"/>
      <w:lvlText w:val="%1."/>
      <w:lvlJc w:val="left"/>
      <w:rPr>
        <w:rFonts w:cs="Times New Roman"/>
      </w:rPr>
    </w:lvl>
  </w:abstractNum>
  <w:abstractNum w:abstractNumId="490">
    <w:nsid w:val="66AE358A"/>
    <w:multiLevelType w:val="singleLevel"/>
    <w:tmpl w:val="66AE358A"/>
    <w:lvl w:ilvl="0" w:tentative="0">
      <w:start w:val="1"/>
      <w:numFmt w:val="decimal"/>
      <w:suff w:val="space"/>
      <w:lvlText w:val="%1."/>
      <w:lvlJc w:val="left"/>
    </w:lvl>
  </w:abstractNum>
  <w:abstractNum w:abstractNumId="491">
    <w:nsid w:val="66B0D0AE"/>
    <w:multiLevelType w:val="singleLevel"/>
    <w:tmpl w:val="66B0D0AE"/>
    <w:lvl w:ilvl="0" w:tentative="0">
      <w:start w:val="1"/>
      <w:numFmt w:val="decimal"/>
      <w:suff w:val="space"/>
      <w:lvlText w:val="%1."/>
      <w:lvlJc w:val="left"/>
      <w:rPr>
        <w:rFonts w:cs="Times New Roman"/>
      </w:rPr>
    </w:lvl>
  </w:abstractNum>
  <w:abstractNum w:abstractNumId="492">
    <w:nsid w:val="66C60226"/>
    <w:multiLevelType w:val="singleLevel"/>
    <w:tmpl w:val="66C60226"/>
    <w:lvl w:ilvl="0" w:tentative="0">
      <w:start w:val="1"/>
      <w:numFmt w:val="decimal"/>
      <w:suff w:val="space"/>
      <w:lvlText w:val="%1."/>
      <w:lvlJc w:val="left"/>
    </w:lvl>
  </w:abstractNum>
  <w:abstractNum w:abstractNumId="493">
    <w:nsid w:val="66D15CB5"/>
    <w:multiLevelType w:val="singleLevel"/>
    <w:tmpl w:val="66D15CB5"/>
    <w:lvl w:ilvl="0" w:tentative="0">
      <w:start w:val="1"/>
      <w:numFmt w:val="decimal"/>
      <w:suff w:val="space"/>
      <w:lvlText w:val="%1."/>
      <w:lvlJc w:val="left"/>
      <w:rPr>
        <w:rFonts w:cs="Times New Roman"/>
      </w:rPr>
    </w:lvl>
  </w:abstractNum>
  <w:abstractNum w:abstractNumId="494">
    <w:nsid w:val="674AA523"/>
    <w:multiLevelType w:val="singleLevel"/>
    <w:tmpl w:val="674AA523"/>
    <w:lvl w:ilvl="0" w:tentative="0">
      <w:start w:val="1"/>
      <w:numFmt w:val="decimal"/>
      <w:suff w:val="space"/>
      <w:lvlText w:val="%1."/>
      <w:lvlJc w:val="left"/>
      <w:rPr>
        <w:rFonts w:cs="Times New Roman"/>
      </w:rPr>
    </w:lvl>
  </w:abstractNum>
  <w:abstractNum w:abstractNumId="495">
    <w:nsid w:val="674CDF0A"/>
    <w:multiLevelType w:val="singleLevel"/>
    <w:tmpl w:val="674CDF0A"/>
    <w:lvl w:ilvl="0" w:tentative="0">
      <w:start w:val="1"/>
      <w:numFmt w:val="decimal"/>
      <w:suff w:val="space"/>
      <w:lvlText w:val="%1."/>
      <w:lvlJc w:val="left"/>
    </w:lvl>
  </w:abstractNum>
  <w:abstractNum w:abstractNumId="496">
    <w:nsid w:val="6754291E"/>
    <w:multiLevelType w:val="singleLevel"/>
    <w:tmpl w:val="6754291E"/>
    <w:lvl w:ilvl="0" w:tentative="0">
      <w:start w:val="1"/>
      <w:numFmt w:val="decimal"/>
      <w:suff w:val="space"/>
      <w:lvlText w:val="%1."/>
      <w:lvlJc w:val="left"/>
      <w:rPr>
        <w:rFonts w:cs="Times New Roman"/>
      </w:rPr>
    </w:lvl>
  </w:abstractNum>
  <w:abstractNum w:abstractNumId="497">
    <w:nsid w:val="67AC7334"/>
    <w:multiLevelType w:val="singleLevel"/>
    <w:tmpl w:val="67AC7334"/>
    <w:lvl w:ilvl="0" w:tentative="0">
      <w:start w:val="1"/>
      <w:numFmt w:val="decimal"/>
      <w:suff w:val="space"/>
      <w:lvlText w:val="%1."/>
      <w:lvlJc w:val="left"/>
      <w:rPr>
        <w:rFonts w:cs="Times New Roman"/>
      </w:rPr>
    </w:lvl>
  </w:abstractNum>
  <w:abstractNum w:abstractNumId="498">
    <w:nsid w:val="67FAC716"/>
    <w:multiLevelType w:val="singleLevel"/>
    <w:tmpl w:val="67FAC716"/>
    <w:lvl w:ilvl="0" w:tentative="0">
      <w:start w:val="1"/>
      <w:numFmt w:val="decimal"/>
      <w:suff w:val="space"/>
      <w:lvlText w:val="%1."/>
      <w:lvlJc w:val="left"/>
      <w:rPr>
        <w:rFonts w:cs="Times New Roman"/>
      </w:rPr>
    </w:lvl>
  </w:abstractNum>
  <w:abstractNum w:abstractNumId="499">
    <w:nsid w:val="684EB3AB"/>
    <w:multiLevelType w:val="singleLevel"/>
    <w:tmpl w:val="684EB3AB"/>
    <w:lvl w:ilvl="0" w:tentative="0">
      <w:start w:val="1"/>
      <w:numFmt w:val="decimal"/>
      <w:suff w:val="space"/>
      <w:lvlText w:val="%1."/>
      <w:lvlJc w:val="left"/>
      <w:rPr>
        <w:rFonts w:cs="Times New Roman"/>
      </w:rPr>
    </w:lvl>
  </w:abstractNum>
  <w:abstractNum w:abstractNumId="500">
    <w:nsid w:val="6883E792"/>
    <w:multiLevelType w:val="singleLevel"/>
    <w:tmpl w:val="6883E792"/>
    <w:lvl w:ilvl="0" w:tentative="0">
      <w:start w:val="1"/>
      <w:numFmt w:val="decimal"/>
      <w:suff w:val="space"/>
      <w:lvlText w:val="%1."/>
      <w:lvlJc w:val="left"/>
      <w:rPr>
        <w:rFonts w:cs="Times New Roman"/>
      </w:rPr>
    </w:lvl>
  </w:abstractNum>
  <w:abstractNum w:abstractNumId="501">
    <w:nsid w:val="6A3197C5"/>
    <w:multiLevelType w:val="singleLevel"/>
    <w:tmpl w:val="6A3197C5"/>
    <w:lvl w:ilvl="0" w:tentative="0">
      <w:start w:val="1"/>
      <w:numFmt w:val="decimal"/>
      <w:suff w:val="space"/>
      <w:lvlText w:val="%1."/>
      <w:lvlJc w:val="left"/>
    </w:lvl>
  </w:abstractNum>
  <w:abstractNum w:abstractNumId="502">
    <w:nsid w:val="6A525A0B"/>
    <w:multiLevelType w:val="singleLevel"/>
    <w:tmpl w:val="6A525A0B"/>
    <w:lvl w:ilvl="0" w:tentative="0">
      <w:start w:val="1"/>
      <w:numFmt w:val="decimal"/>
      <w:suff w:val="space"/>
      <w:lvlText w:val="%1."/>
      <w:lvlJc w:val="left"/>
      <w:rPr>
        <w:rFonts w:cs="Times New Roman"/>
      </w:rPr>
    </w:lvl>
  </w:abstractNum>
  <w:abstractNum w:abstractNumId="503">
    <w:nsid w:val="6A7A22EF"/>
    <w:multiLevelType w:val="multilevel"/>
    <w:tmpl w:val="6A7A22EF"/>
    <w:lvl w:ilvl="0" w:tentative="0">
      <w:start w:val="1"/>
      <w:numFmt w:val="upperLetter"/>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04">
    <w:nsid w:val="6B28A35F"/>
    <w:multiLevelType w:val="singleLevel"/>
    <w:tmpl w:val="6B28A35F"/>
    <w:lvl w:ilvl="0" w:tentative="0">
      <w:start w:val="1"/>
      <w:numFmt w:val="decimal"/>
      <w:suff w:val="space"/>
      <w:lvlText w:val="%1."/>
      <w:lvlJc w:val="left"/>
    </w:lvl>
  </w:abstractNum>
  <w:abstractNum w:abstractNumId="505">
    <w:nsid w:val="6B6C6A7A"/>
    <w:multiLevelType w:val="singleLevel"/>
    <w:tmpl w:val="6B6C6A7A"/>
    <w:lvl w:ilvl="0" w:tentative="0">
      <w:start w:val="1"/>
      <w:numFmt w:val="decimal"/>
      <w:suff w:val="space"/>
      <w:lvlText w:val="%1."/>
      <w:lvlJc w:val="left"/>
      <w:rPr>
        <w:rFonts w:cs="Times New Roman"/>
      </w:rPr>
    </w:lvl>
  </w:abstractNum>
  <w:abstractNum w:abstractNumId="506">
    <w:nsid w:val="6B844FF9"/>
    <w:multiLevelType w:val="singleLevel"/>
    <w:tmpl w:val="6B844FF9"/>
    <w:lvl w:ilvl="0" w:tentative="0">
      <w:start w:val="1"/>
      <w:numFmt w:val="decimal"/>
      <w:suff w:val="space"/>
      <w:lvlText w:val="%1."/>
      <w:lvlJc w:val="left"/>
    </w:lvl>
  </w:abstractNum>
  <w:abstractNum w:abstractNumId="507">
    <w:nsid w:val="6C403A37"/>
    <w:multiLevelType w:val="singleLevel"/>
    <w:tmpl w:val="6C403A37"/>
    <w:lvl w:ilvl="0" w:tentative="0">
      <w:start w:val="1"/>
      <w:numFmt w:val="decimal"/>
      <w:suff w:val="space"/>
      <w:lvlText w:val="%1."/>
      <w:lvlJc w:val="left"/>
    </w:lvl>
  </w:abstractNum>
  <w:abstractNum w:abstractNumId="508">
    <w:nsid w:val="6C658A90"/>
    <w:multiLevelType w:val="singleLevel"/>
    <w:tmpl w:val="6C658A90"/>
    <w:lvl w:ilvl="0" w:tentative="0">
      <w:start w:val="1"/>
      <w:numFmt w:val="decimal"/>
      <w:suff w:val="space"/>
      <w:lvlText w:val="%1."/>
      <w:lvlJc w:val="left"/>
      <w:rPr>
        <w:rFonts w:cs="Times New Roman"/>
      </w:rPr>
    </w:lvl>
  </w:abstractNum>
  <w:abstractNum w:abstractNumId="509">
    <w:nsid w:val="6C837138"/>
    <w:multiLevelType w:val="singleLevel"/>
    <w:tmpl w:val="6C837138"/>
    <w:lvl w:ilvl="0" w:tentative="0">
      <w:start w:val="1"/>
      <w:numFmt w:val="decimal"/>
      <w:lvlText w:val="%1."/>
      <w:lvlJc w:val="left"/>
      <w:pPr>
        <w:tabs>
          <w:tab w:val="left" w:pos="312"/>
        </w:tabs>
      </w:pPr>
      <w:rPr>
        <w:rFonts w:cs="Times New Roman"/>
      </w:rPr>
    </w:lvl>
  </w:abstractNum>
  <w:abstractNum w:abstractNumId="510">
    <w:nsid w:val="6E14122A"/>
    <w:multiLevelType w:val="singleLevel"/>
    <w:tmpl w:val="6E14122A"/>
    <w:lvl w:ilvl="0" w:tentative="0">
      <w:start w:val="1"/>
      <w:numFmt w:val="decimal"/>
      <w:suff w:val="space"/>
      <w:lvlText w:val="%1."/>
      <w:lvlJc w:val="left"/>
    </w:lvl>
  </w:abstractNum>
  <w:abstractNum w:abstractNumId="511">
    <w:nsid w:val="6E33BE8D"/>
    <w:multiLevelType w:val="singleLevel"/>
    <w:tmpl w:val="6E33BE8D"/>
    <w:lvl w:ilvl="0" w:tentative="0">
      <w:start w:val="1"/>
      <w:numFmt w:val="decimal"/>
      <w:lvlText w:val="%1."/>
      <w:lvlJc w:val="left"/>
      <w:pPr>
        <w:tabs>
          <w:tab w:val="left" w:pos="312"/>
        </w:tabs>
      </w:pPr>
    </w:lvl>
  </w:abstractNum>
  <w:abstractNum w:abstractNumId="512">
    <w:nsid w:val="6E47B365"/>
    <w:multiLevelType w:val="singleLevel"/>
    <w:tmpl w:val="6E47B365"/>
    <w:lvl w:ilvl="0" w:tentative="0">
      <w:start w:val="1"/>
      <w:numFmt w:val="decimal"/>
      <w:suff w:val="space"/>
      <w:lvlText w:val="%1."/>
      <w:lvlJc w:val="left"/>
      <w:rPr>
        <w:rFonts w:cs="Times New Roman"/>
      </w:rPr>
    </w:lvl>
  </w:abstractNum>
  <w:abstractNum w:abstractNumId="513">
    <w:nsid w:val="6E6B4514"/>
    <w:multiLevelType w:val="singleLevel"/>
    <w:tmpl w:val="6E6B4514"/>
    <w:lvl w:ilvl="0" w:tentative="0">
      <w:start w:val="1"/>
      <w:numFmt w:val="decimal"/>
      <w:suff w:val="space"/>
      <w:lvlText w:val="%1."/>
      <w:lvlJc w:val="left"/>
    </w:lvl>
  </w:abstractNum>
  <w:abstractNum w:abstractNumId="514">
    <w:nsid w:val="6EBEC9BA"/>
    <w:multiLevelType w:val="singleLevel"/>
    <w:tmpl w:val="6EBEC9BA"/>
    <w:lvl w:ilvl="0" w:tentative="0">
      <w:start w:val="1"/>
      <w:numFmt w:val="decimal"/>
      <w:suff w:val="space"/>
      <w:lvlText w:val="%1."/>
      <w:lvlJc w:val="left"/>
      <w:rPr>
        <w:rFonts w:cs="Times New Roman"/>
      </w:rPr>
    </w:lvl>
  </w:abstractNum>
  <w:abstractNum w:abstractNumId="515">
    <w:nsid w:val="6F11BD19"/>
    <w:multiLevelType w:val="singleLevel"/>
    <w:tmpl w:val="6F11BD19"/>
    <w:lvl w:ilvl="0" w:tentative="0">
      <w:start w:val="1"/>
      <w:numFmt w:val="decimal"/>
      <w:suff w:val="space"/>
      <w:lvlText w:val="%1."/>
      <w:lvlJc w:val="left"/>
      <w:rPr>
        <w:rFonts w:cs="Times New Roman"/>
      </w:rPr>
    </w:lvl>
  </w:abstractNum>
  <w:abstractNum w:abstractNumId="516">
    <w:nsid w:val="6F78CB24"/>
    <w:multiLevelType w:val="singleLevel"/>
    <w:tmpl w:val="6F78CB24"/>
    <w:lvl w:ilvl="0" w:tentative="0">
      <w:start w:val="1"/>
      <w:numFmt w:val="decimal"/>
      <w:suff w:val="space"/>
      <w:lvlText w:val="%1."/>
      <w:lvlJc w:val="left"/>
    </w:lvl>
  </w:abstractNum>
  <w:abstractNum w:abstractNumId="517">
    <w:nsid w:val="6FC47D14"/>
    <w:multiLevelType w:val="singleLevel"/>
    <w:tmpl w:val="6FC47D14"/>
    <w:lvl w:ilvl="0" w:tentative="0">
      <w:start w:val="1"/>
      <w:numFmt w:val="decimal"/>
      <w:suff w:val="space"/>
      <w:lvlText w:val="%1."/>
      <w:lvlJc w:val="left"/>
    </w:lvl>
  </w:abstractNum>
  <w:abstractNum w:abstractNumId="518">
    <w:nsid w:val="700B3FD2"/>
    <w:multiLevelType w:val="singleLevel"/>
    <w:tmpl w:val="700B3FD2"/>
    <w:lvl w:ilvl="0" w:tentative="0">
      <w:start w:val="1"/>
      <w:numFmt w:val="decimal"/>
      <w:suff w:val="space"/>
      <w:lvlText w:val="%1."/>
      <w:lvlJc w:val="left"/>
      <w:rPr>
        <w:rFonts w:cs="Times New Roman"/>
      </w:rPr>
    </w:lvl>
  </w:abstractNum>
  <w:abstractNum w:abstractNumId="519">
    <w:nsid w:val="7030BF35"/>
    <w:multiLevelType w:val="singleLevel"/>
    <w:tmpl w:val="7030BF35"/>
    <w:lvl w:ilvl="0" w:tentative="0">
      <w:start w:val="1"/>
      <w:numFmt w:val="decimal"/>
      <w:suff w:val="space"/>
      <w:lvlText w:val="%1."/>
      <w:lvlJc w:val="left"/>
      <w:rPr>
        <w:rFonts w:cs="Times New Roman"/>
      </w:rPr>
    </w:lvl>
  </w:abstractNum>
  <w:abstractNum w:abstractNumId="520">
    <w:nsid w:val="703D6C8A"/>
    <w:multiLevelType w:val="singleLevel"/>
    <w:tmpl w:val="703D6C8A"/>
    <w:lvl w:ilvl="0" w:tentative="0">
      <w:start w:val="1"/>
      <w:numFmt w:val="decimal"/>
      <w:suff w:val="space"/>
      <w:lvlText w:val="%1."/>
      <w:lvlJc w:val="left"/>
      <w:rPr>
        <w:rFonts w:cs="Times New Roman"/>
      </w:rPr>
    </w:lvl>
  </w:abstractNum>
  <w:abstractNum w:abstractNumId="521">
    <w:nsid w:val="709AE829"/>
    <w:multiLevelType w:val="singleLevel"/>
    <w:tmpl w:val="709AE829"/>
    <w:lvl w:ilvl="0" w:tentative="0">
      <w:start w:val="1"/>
      <w:numFmt w:val="decimal"/>
      <w:suff w:val="space"/>
      <w:lvlText w:val="%1."/>
      <w:lvlJc w:val="left"/>
      <w:rPr>
        <w:rFonts w:cs="Times New Roman"/>
      </w:rPr>
    </w:lvl>
  </w:abstractNum>
  <w:abstractNum w:abstractNumId="522">
    <w:nsid w:val="70CCE89A"/>
    <w:multiLevelType w:val="singleLevel"/>
    <w:tmpl w:val="70CCE89A"/>
    <w:lvl w:ilvl="0" w:tentative="0">
      <w:start w:val="1"/>
      <w:numFmt w:val="decimal"/>
      <w:suff w:val="space"/>
      <w:lvlText w:val="%1."/>
      <w:lvlJc w:val="left"/>
    </w:lvl>
  </w:abstractNum>
  <w:abstractNum w:abstractNumId="523">
    <w:nsid w:val="710E0950"/>
    <w:multiLevelType w:val="multilevel"/>
    <w:tmpl w:val="710E0950"/>
    <w:lvl w:ilvl="0" w:tentative="0">
      <w:start w:val="1"/>
      <w:numFmt w:val="upperLetter"/>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24">
    <w:nsid w:val="714C8AC7"/>
    <w:multiLevelType w:val="singleLevel"/>
    <w:tmpl w:val="714C8AC7"/>
    <w:lvl w:ilvl="0" w:tentative="0">
      <w:start w:val="1"/>
      <w:numFmt w:val="decimal"/>
      <w:suff w:val="space"/>
      <w:lvlText w:val="%1."/>
      <w:lvlJc w:val="left"/>
      <w:rPr>
        <w:rFonts w:cs="Times New Roman"/>
      </w:rPr>
    </w:lvl>
  </w:abstractNum>
  <w:abstractNum w:abstractNumId="525">
    <w:nsid w:val="72615279"/>
    <w:multiLevelType w:val="singleLevel"/>
    <w:tmpl w:val="72615279"/>
    <w:lvl w:ilvl="0" w:tentative="0">
      <w:start w:val="1"/>
      <w:numFmt w:val="decimal"/>
      <w:suff w:val="space"/>
      <w:lvlText w:val="%1."/>
      <w:lvlJc w:val="left"/>
      <w:rPr>
        <w:rFonts w:cs="Times New Roman"/>
      </w:rPr>
    </w:lvl>
  </w:abstractNum>
  <w:abstractNum w:abstractNumId="526">
    <w:nsid w:val="7289674B"/>
    <w:multiLevelType w:val="singleLevel"/>
    <w:tmpl w:val="7289674B"/>
    <w:lvl w:ilvl="0" w:tentative="0">
      <w:start w:val="1"/>
      <w:numFmt w:val="decimal"/>
      <w:suff w:val="space"/>
      <w:lvlText w:val="%1."/>
      <w:lvlJc w:val="left"/>
      <w:rPr>
        <w:rFonts w:cs="Times New Roman"/>
      </w:rPr>
    </w:lvl>
  </w:abstractNum>
  <w:abstractNum w:abstractNumId="527">
    <w:nsid w:val="73885779"/>
    <w:multiLevelType w:val="singleLevel"/>
    <w:tmpl w:val="73885779"/>
    <w:lvl w:ilvl="0" w:tentative="0">
      <w:start w:val="1"/>
      <w:numFmt w:val="decimal"/>
      <w:suff w:val="space"/>
      <w:lvlText w:val="%1."/>
      <w:lvlJc w:val="left"/>
    </w:lvl>
  </w:abstractNum>
  <w:abstractNum w:abstractNumId="528">
    <w:nsid w:val="7447708C"/>
    <w:multiLevelType w:val="singleLevel"/>
    <w:tmpl w:val="7447708C"/>
    <w:lvl w:ilvl="0" w:tentative="0">
      <w:start w:val="1"/>
      <w:numFmt w:val="decimal"/>
      <w:suff w:val="space"/>
      <w:lvlText w:val="%1."/>
      <w:lvlJc w:val="left"/>
      <w:rPr>
        <w:rFonts w:cs="Times New Roman"/>
      </w:rPr>
    </w:lvl>
  </w:abstractNum>
  <w:abstractNum w:abstractNumId="529">
    <w:nsid w:val="74CD9D4E"/>
    <w:multiLevelType w:val="singleLevel"/>
    <w:tmpl w:val="74CD9D4E"/>
    <w:lvl w:ilvl="0" w:tentative="0">
      <w:start w:val="1"/>
      <w:numFmt w:val="decimal"/>
      <w:suff w:val="space"/>
      <w:lvlText w:val="%1."/>
      <w:lvlJc w:val="left"/>
    </w:lvl>
  </w:abstractNum>
  <w:abstractNum w:abstractNumId="530">
    <w:nsid w:val="751F0A08"/>
    <w:multiLevelType w:val="multilevel"/>
    <w:tmpl w:val="751F0A08"/>
    <w:lvl w:ilvl="0" w:tentative="0">
      <w:start w:val="1"/>
      <w:numFmt w:val="japaneseCounting"/>
      <w:lvlText w:val="第%1章"/>
      <w:lvlJc w:val="left"/>
      <w:pPr>
        <w:ind w:left="2980" w:hanging="109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31">
    <w:nsid w:val="75EB5813"/>
    <w:multiLevelType w:val="singleLevel"/>
    <w:tmpl w:val="75EB5813"/>
    <w:lvl w:ilvl="0" w:tentative="0">
      <w:start w:val="1"/>
      <w:numFmt w:val="decimal"/>
      <w:suff w:val="space"/>
      <w:lvlText w:val="%1."/>
      <w:lvlJc w:val="left"/>
      <w:rPr>
        <w:rFonts w:cs="Times New Roman"/>
      </w:rPr>
    </w:lvl>
  </w:abstractNum>
  <w:abstractNum w:abstractNumId="532">
    <w:nsid w:val="761C09F3"/>
    <w:multiLevelType w:val="singleLevel"/>
    <w:tmpl w:val="761C09F3"/>
    <w:lvl w:ilvl="0" w:tentative="0">
      <w:start w:val="1"/>
      <w:numFmt w:val="decimal"/>
      <w:suff w:val="space"/>
      <w:lvlText w:val="%1."/>
      <w:lvlJc w:val="left"/>
    </w:lvl>
  </w:abstractNum>
  <w:abstractNum w:abstractNumId="533">
    <w:nsid w:val="766CE618"/>
    <w:multiLevelType w:val="singleLevel"/>
    <w:tmpl w:val="766CE618"/>
    <w:lvl w:ilvl="0" w:tentative="0">
      <w:start w:val="1"/>
      <w:numFmt w:val="decimal"/>
      <w:suff w:val="space"/>
      <w:lvlText w:val="%1."/>
      <w:lvlJc w:val="left"/>
    </w:lvl>
  </w:abstractNum>
  <w:abstractNum w:abstractNumId="534">
    <w:nsid w:val="76E949BE"/>
    <w:multiLevelType w:val="singleLevel"/>
    <w:tmpl w:val="76E949BE"/>
    <w:lvl w:ilvl="0" w:tentative="0">
      <w:start w:val="1"/>
      <w:numFmt w:val="decimal"/>
      <w:suff w:val="space"/>
      <w:lvlText w:val="%1."/>
      <w:lvlJc w:val="left"/>
    </w:lvl>
  </w:abstractNum>
  <w:abstractNum w:abstractNumId="535">
    <w:nsid w:val="76FBC208"/>
    <w:multiLevelType w:val="singleLevel"/>
    <w:tmpl w:val="76FBC208"/>
    <w:lvl w:ilvl="0" w:tentative="0">
      <w:start w:val="1"/>
      <w:numFmt w:val="decimal"/>
      <w:suff w:val="space"/>
      <w:lvlText w:val="%1."/>
      <w:lvlJc w:val="left"/>
      <w:rPr>
        <w:rFonts w:cs="Times New Roman"/>
      </w:rPr>
    </w:lvl>
  </w:abstractNum>
  <w:abstractNum w:abstractNumId="536">
    <w:nsid w:val="773AA904"/>
    <w:multiLevelType w:val="singleLevel"/>
    <w:tmpl w:val="773AA904"/>
    <w:lvl w:ilvl="0" w:tentative="0">
      <w:start w:val="1"/>
      <w:numFmt w:val="decimal"/>
      <w:lvlText w:val="%1."/>
      <w:lvlJc w:val="left"/>
      <w:pPr>
        <w:tabs>
          <w:tab w:val="left" w:pos="312"/>
        </w:tabs>
      </w:pPr>
    </w:lvl>
  </w:abstractNum>
  <w:abstractNum w:abstractNumId="537">
    <w:nsid w:val="778196F0"/>
    <w:multiLevelType w:val="singleLevel"/>
    <w:tmpl w:val="778196F0"/>
    <w:lvl w:ilvl="0" w:tentative="0">
      <w:start w:val="1"/>
      <w:numFmt w:val="decimal"/>
      <w:suff w:val="space"/>
      <w:lvlText w:val="%1."/>
      <w:lvlJc w:val="left"/>
      <w:rPr>
        <w:rFonts w:cs="Times New Roman"/>
      </w:rPr>
    </w:lvl>
  </w:abstractNum>
  <w:abstractNum w:abstractNumId="538">
    <w:nsid w:val="77EFCEFA"/>
    <w:multiLevelType w:val="singleLevel"/>
    <w:tmpl w:val="77EFCEFA"/>
    <w:lvl w:ilvl="0" w:tentative="0">
      <w:start w:val="1"/>
      <w:numFmt w:val="decimal"/>
      <w:suff w:val="space"/>
      <w:lvlText w:val="%1."/>
      <w:lvlJc w:val="left"/>
      <w:rPr>
        <w:rFonts w:cs="Times New Roman"/>
      </w:rPr>
    </w:lvl>
  </w:abstractNum>
  <w:abstractNum w:abstractNumId="539">
    <w:nsid w:val="78551E3B"/>
    <w:multiLevelType w:val="singleLevel"/>
    <w:tmpl w:val="78551E3B"/>
    <w:lvl w:ilvl="0" w:tentative="0">
      <w:start w:val="1"/>
      <w:numFmt w:val="decimal"/>
      <w:suff w:val="space"/>
      <w:lvlText w:val="%1."/>
      <w:lvlJc w:val="left"/>
    </w:lvl>
  </w:abstractNum>
  <w:abstractNum w:abstractNumId="540">
    <w:nsid w:val="78AAC3B2"/>
    <w:multiLevelType w:val="singleLevel"/>
    <w:tmpl w:val="78AAC3B2"/>
    <w:lvl w:ilvl="0" w:tentative="0">
      <w:start w:val="1"/>
      <w:numFmt w:val="decimal"/>
      <w:suff w:val="space"/>
      <w:lvlText w:val="%1."/>
      <w:lvlJc w:val="left"/>
      <w:rPr>
        <w:rFonts w:cs="Times New Roman"/>
      </w:rPr>
    </w:lvl>
  </w:abstractNum>
  <w:abstractNum w:abstractNumId="541">
    <w:nsid w:val="79781AA7"/>
    <w:multiLevelType w:val="singleLevel"/>
    <w:tmpl w:val="79781AA7"/>
    <w:lvl w:ilvl="0" w:tentative="0">
      <w:start w:val="1"/>
      <w:numFmt w:val="decimal"/>
      <w:suff w:val="space"/>
      <w:lvlText w:val="%1."/>
      <w:lvlJc w:val="left"/>
      <w:rPr>
        <w:rFonts w:cs="Times New Roman"/>
      </w:rPr>
    </w:lvl>
  </w:abstractNum>
  <w:abstractNum w:abstractNumId="542">
    <w:nsid w:val="7A0B0294"/>
    <w:multiLevelType w:val="singleLevel"/>
    <w:tmpl w:val="7A0B0294"/>
    <w:lvl w:ilvl="0" w:tentative="0">
      <w:start w:val="1"/>
      <w:numFmt w:val="decimal"/>
      <w:suff w:val="space"/>
      <w:lvlText w:val="%1."/>
      <w:lvlJc w:val="left"/>
      <w:rPr>
        <w:rFonts w:cs="Times New Roman"/>
      </w:rPr>
    </w:lvl>
  </w:abstractNum>
  <w:abstractNum w:abstractNumId="543">
    <w:nsid w:val="7A39D2E5"/>
    <w:multiLevelType w:val="singleLevel"/>
    <w:tmpl w:val="7A39D2E5"/>
    <w:lvl w:ilvl="0" w:tentative="0">
      <w:start w:val="1"/>
      <w:numFmt w:val="decimal"/>
      <w:suff w:val="space"/>
      <w:lvlText w:val="%1."/>
      <w:lvlJc w:val="left"/>
      <w:rPr>
        <w:rFonts w:cs="Times New Roman"/>
      </w:rPr>
    </w:lvl>
  </w:abstractNum>
  <w:abstractNum w:abstractNumId="544">
    <w:nsid w:val="7AC9BD5B"/>
    <w:multiLevelType w:val="singleLevel"/>
    <w:tmpl w:val="7AC9BD5B"/>
    <w:lvl w:ilvl="0" w:tentative="0">
      <w:start w:val="1"/>
      <w:numFmt w:val="decimal"/>
      <w:suff w:val="space"/>
      <w:lvlText w:val="%1."/>
      <w:lvlJc w:val="left"/>
      <w:rPr>
        <w:rFonts w:cs="Times New Roman"/>
      </w:rPr>
    </w:lvl>
  </w:abstractNum>
  <w:abstractNum w:abstractNumId="545">
    <w:nsid w:val="7B511A2F"/>
    <w:multiLevelType w:val="singleLevel"/>
    <w:tmpl w:val="7B511A2F"/>
    <w:lvl w:ilvl="0" w:tentative="0">
      <w:start w:val="1"/>
      <w:numFmt w:val="decimal"/>
      <w:lvlText w:val="%1."/>
      <w:lvlJc w:val="left"/>
      <w:pPr>
        <w:tabs>
          <w:tab w:val="left" w:pos="312"/>
        </w:tabs>
      </w:pPr>
    </w:lvl>
  </w:abstractNum>
  <w:abstractNum w:abstractNumId="546">
    <w:nsid w:val="7B77D266"/>
    <w:multiLevelType w:val="singleLevel"/>
    <w:tmpl w:val="7B77D266"/>
    <w:lvl w:ilvl="0" w:tentative="0">
      <w:start w:val="1"/>
      <w:numFmt w:val="decimal"/>
      <w:suff w:val="space"/>
      <w:lvlText w:val="%1."/>
      <w:lvlJc w:val="left"/>
      <w:rPr>
        <w:rFonts w:cs="Times New Roman"/>
      </w:rPr>
    </w:lvl>
  </w:abstractNum>
  <w:abstractNum w:abstractNumId="547">
    <w:nsid w:val="7BDA7059"/>
    <w:multiLevelType w:val="singleLevel"/>
    <w:tmpl w:val="7BDA7059"/>
    <w:lvl w:ilvl="0" w:tentative="0">
      <w:start w:val="1"/>
      <w:numFmt w:val="decimal"/>
      <w:suff w:val="space"/>
      <w:lvlText w:val="%1."/>
      <w:lvlJc w:val="left"/>
      <w:rPr>
        <w:rFonts w:cs="Times New Roman"/>
      </w:rPr>
    </w:lvl>
  </w:abstractNum>
  <w:abstractNum w:abstractNumId="548">
    <w:nsid w:val="7CA880D2"/>
    <w:multiLevelType w:val="singleLevel"/>
    <w:tmpl w:val="7CA880D2"/>
    <w:lvl w:ilvl="0" w:tentative="0">
      <w:start w:val="1"/>
      <w:numFmt w:val="decimal"/>
      <w:suff w:val="space"/>
      <w:lvlText w:val="%1."/>
      <w:lvlJc w:val="left"/>
    </w:lvl>
  </w:abstractNum>
  <w:abstractNum w:abstractNumId="549">
    <w:nsid w:val="7D43F12A"/>
    <w:multiLevelType w:val="singleLevel"/>
    <w:tmpl w:val="7D43F12A"/>
    <w:lvl w:ilvl="0" w:tentative="0">
      <w:start w:val="1"/>
      <w:numFmt w:val="decimal"/>
      <w:suff w:val="nothing"/>
      <w:lvlText w:val="（%1）"/>
      <w:lvlJc w:val="left"/>
    </w:lvl>
  </w:abstractNum>
  <w:abstractNum w:abstractNumId="550">
    <w:nsid w:val="7D5476C9"/>
    <w:multiLevelType w:val="singleLevel"/>
    <w:tmpl w:val="7D5476C9"/>
    <w:lvl w:ilvl="0" w:tentative="0">
      <w:start w:val="1"/>
      <w:numFmt w:val="decimal"/>
      <w:suff w:val="space"/>
      <w:lvlText w:val="%1."/>
      <w:lvlJc w:val="left"/>
    </w:lvl>
  </w:abstractNum>
  <w:abstractNum w:abstractNumId="551">
    <w:nsid w:val="7DB8CE36"/>
    <w:multiLevelType w:val="singleLevel"/>
    <w:tmpl w:val="7DB8CE36"/>
    <w:lvl w:ilvl="0" w:tentative="0">
      <w:start w:val="1"/>
      <w:numFmt w:val="decimal"/>
      <w:suff w:val="space"/>
      <w:lvlText w:val="%1."/>
      <w:lvlJc w:val="left"/>
      <w:rPr>
        <w:rFonts w:cs="Times New Roman"/>
      </w:rPr>
    </w:lvl>
  </w:abstractNum>
  <w:abstractNum w:abstractNumId="552">
    <w:nsid w:val="7E5547DE"/>
    <w:multiLevelType w:val="singleLevel"/>
    <w:tmpl w:val="7E5547DE"/>
    <w:lvl w:ilvl="0" w:tentative="0">
      <w:start w:val="1"/>
      <w:numFmt w:val="decimal"/>
      <w:suff w:val="space"/>
      <w:lvlText w:val="%1."/>
      <w:lvlJc w:val="left"/>
      <w:rPr>
        <w:rFonts w:cs="Times New Roman"/>
      </w:rPr>
    </w:lvl>
  </w:abstractNum>
  <w:abstractNum w:abstractNumId="553">
    <w:nsid w:val="7EB535AE"/>
    <w:multiLevelType w:val="singleLevel"/>
    <w:tmpl w:val="7EB535AE"/>
    <w:lvl w:ilvl="0" w:tentative="0">
      <w:start w:val="1"/>
      <w:numFmt w:val="decimal"/>
      <w:suff w:val="space"/>
      <w:lvlText w:val="%1."/>
      <w:lvlJc w:val="left"/>
    </w:lvl>
  </w:abstractNum>
  <w:abstractNum w:abstractNumId="554">
    <w:nsid w:val="7EF9A389"/>
    <w:multiLevelType w:val="singleLevel"/>
    <w:tmpl w:val="7EF9A389"/>
    <w:lvl w:ilvl="0" w:tentative="0">
      <w:start w:val="1"/>
      <w:numFmt w:val="decimal"/>
      <w:suff w:val="space"/>
      <w:lvlText w:val="%1."/>
      <w:lvlJc w:val="left"/>
    </w:lvl>
  </w:abstractNum>
  <w:abstractNum w:abstractNumId="555">
    <w:nsid w:val="7F7ED3FF"/>
    <w:multiLevelType w:val="singleLevel"/>
    <w:tmpl w:val="7F7ED3FF"/>
    <w:lvl w:ilvl="0" w:tentative="0">
      <w:start w:val="1"/>
      <w:numFmt w:val="decimal"/>
      <w:suff w:val="space"/>
      <w:lvlText w:val="%1."/>
      <w:lvlJc w:val="left"/>
    </w:lvl>
  </w:abstractNum>
  <w:abstractNum w:abstractNumId="556">
    <w:nsid w:val="7FE3D155"/>
    <w:multiLevelType w:val="singleLevel"/>
    <w:tmpl w:val="7FE3D155"/>
    <w:lvl w:ilvl="0" w:tentative="0">
      <w:start w:val="1"/>
      <w:numFmt w:val="decimal"/>
      <w:suff w:val="space"/>
      <w:lvlText w:val="%1."/>
      <w:lvlJc w:val="left"/>
      <w:rPr>
        <w:rFonts w:cs="Times New Roman"/>
      </w:rPr>
    </w:lvl>
  </w:abstractNum>
  <w:num w:numId="1">
    <w:abstractNumId w:val="530"/>
  </w:num>
  <w:num w:numId="2">
    <w:abstractNumId w:val="287"/>
  </w:num>
  <w:num w:numId="3">
    <w:abstractNumId w:val="431"/>
  </w:num>
  <w:num w:numId="4">
    <w:abstractNumId w:val="129"/>
  </w:num>
  <w:num w:numId="5">
    <w:abstractNumId w:val="453"/>
  </w:num>
  <w:num w:numId="6">
    <w:abstractNumId w:val="120"/>
  </w:num>
  <w:num w:numId="7">
    <w:abstractNumId w:val="401"/>
  </w:num>
  <w:num w:numId="8">
    <w:abstractNumId w:val="196"/>
  </w:num>
  <w:num w:numId="9">
    <w:abstractNumId w:val="68"/>
  </w:num>
  <w:num w:numId="10">
    <w:abstractNumId w:val="315"/>
  </w:num>
  <w:num w:numId="11">
    <w:abstractNumId w:val="59"/>
  </w:num>
  <w:num w:numId="12">
    <w:abstractNumId w:val="400"/>
  </w:num>
  <w:num w:numId="13">
    <w:abstractNumId w:val="145"/>
  </w:num>
  <w:num w:numId="14">
    <w:abstractNumId w:val="35"/>
  </w:num>
  <w:num w:numId="15">
    <w:abstractNumId w:val="522"/>
  </w:num>
  <w:num w:numId="16">
    <w:abstractNumId w:val="280"/>
  </w:num>
  <w:num w:numId="17">
    <w:abstractNumId w:val="134"/>
  </w:num>
  <w:num w:numId="18">
    <w:abstractNumId w:val="99"/>
  </w:num>
  <w:num w:numId="19">
    <w:abstractNumId w:val="515"/>
  </w:num>
  <w:num w:numId="20">
    <w:abstractNumId w:val="195"/>
  </w:num>
  <w:num w:numId="21">
    <w:abstractNumId w:val="144"/>
  </w:num>
  <w:num w:numId="22">
    <w:abstractNumId w:val="73"/>
  </w:num>
  <w:num w:numId="23">
    <w:abstractNumId w:val="243"/>
  </w:num>
  <w:num w:numId="24">
    <w:abstractNumId w:val="151"/>
  </w:num>
  <w:num w:numId="25">
    <w:abstractNumId w:val="53"/>
  </w:num>
  <w:num w:numId="26">
    <w:abstractNumId w:val="43"/>
  </w:num>
  <w:num w:numId="27">
    <w:abstractNumId w:val="5"/>
  </w:num>
  <w:num w:numId="28">
    <w:abstractNumId w:val="482"/>
  </w:num>
  <w:num w:numId="29">
    <w:abstractNumId w:val="1"/>
  </w:num>
  <w:num w:numId="30">
    <w:abstractNumId w:val="427"/>
  </w:num>
  <w:num w:numId="31">
    <w:abstractNumId w:val="476"/>
  </w:num>
  <w:num w:numId="32">
    <w:abstractNumId w:val="258"/>
  </w:num>
  <w:num w:numId="33">
    <w:abstractNumId w:val="344"/>
  </w:num>
  <w:num w:numId="34">
    <w:abstractNumId w:val="98"/>
  </w:num>
  <w:num w:numId="35">
    <w:abstractNumId w:val="483"/>
  </w:num>
  <w:num w:numId="36">
    <w:abstractNumId w:val="307"/>
  </w:num>
  <w:num w:numId="37">
    <w:abstractNumId w:val="2"/>
  </w:num>
  <w:num w:numId="38">
    <w:abstractNumId w:val="399"/>
  </w:num>
  <w:num w:numId="39">
    <w:abstractNumId w:val="20"/>
  </w:num>
  <w:num w:numId="40">
    <w:abstractNumId w:val="161"/>
  </w:num>
  <w:num w:numId="41">
    <w:abstractNumId w:val="354"/>
  </w:num>
  <w:num w:numId="42">
    <w:abstractNumId w:val="438"/>
  </w:num>
  <w:num w:numId="43">
    <w:abstractNumId w:val="190"/>
  </w:num>
  <w:num w:numId="44">
    <w:abstractNumId w:val="135"/>
  </w:num>
  <w:num w:numId="45">
    <w:abstractNumId w:val="268"/>
  </w:num>
  <w:num w:numId="46">
    <w:abstractNumId w:val="56"/>
  </w:num>
  <w:num w:numId="47">
    <w:abstractNumId w:val="193"/>
  </w:num>
  <w:num w:numId="48">
    <w:abstractNumId w:val="471"/>
  </w:num>
  <w:num w:numId="49">
    <w:abstractNumId w:val="206"/>
  </w:num>
  <w:num w:numId="50">
    <w:abstractNumId w:val="91"/>
  </w:num>
  <w:num w:numId="51">
    <w:abstractNumId w:val="481"/>
  </w:num>
  <w:num w:numId="52">
    <w:abstractNumId w:val="184"/>
  </w:num>
  <w:num w:numId="53">
    <w:abstractNumId w:val="84"/>
  </w:num>
  <w:num w:numId="54">
    <w:abstractNumId w:val="291"/>
  </w:num>
  <w:num w:numId="55">
    <w:abstractNumId w:val="235"/>
  </w:num>
  <w:num w:numId="56">
    <w:abstractNumId w:val="325"/>
  </w:num>
  <w:num w:numId="57">
    <w:abstractNumId w:val="128"/>
  </w:num>
  <w:num w:numId="58">
    <w:abstractNumId w:val="407"/>
  </w:num>
  <w:num w:numId="59">
    <w:abstractNumId w:val="207"/>
  </w:num>
  <w:num w:numId="60">
    <w:abstractNumId w:val="520"/>
  </w:num>
  <w:num w:numId="61">
    <w:abstractNumId w:val="410"/>
  </w:num>
  <w:num w:numId="62">
    <w:abstractNumId w:val="60"/>
  </w:num>
  <w:num w:numId="63">
    <w:abstractNumId w:val="221"/>
  </w:num>
  <w:num w:numId="64">
    <w:abstractNumId w:val="238"/>
  </w:num>
  <w:num w:numId="65">
    <w:abstractNumId w:val="290"/>
  </w:num>
  <w:num w:numId="66">
    <w:abstractNumId w:val="71"/>
  </w:num>
  <w:num w:numId="67">
    <w:abstractNumId w:val="262"/>
  </w:num>
  <w:num w:numId="68">
    <w:abstractNumId w:val="454"/>
  </w:num>
  <w:num w:numId="69">
    <w:abstractNumId w:val="51"/>
  </w:num>
  <w:num w:numId="70">
    <w:abstractNumId w:val="245"/>
  </w:num>
  <w:num w:numId="71">
    <w:abstractNumId w:val="153"/>
  </w:num>
  <w:num w:numId="72">
    <w:abstractNumId w:val="455"/>
  </w:num>
  <w:num w:numId="73">
    <w:abstractNumId w:val="122"/>
  </w:num>
  <w:num w:numId="74">
    <w:abstractNumId w:val="100"/>
  </w:num>
  <w:num w:numId="75">
    <w:abstractNumId w:val="37"/>
  </w:num>
  <w:num w:numId="76">
    <w:abstractNumId w:val="322"/>
  </w:num>
  <w:num w:numId="77">
    <w:abstractNumId w:val="281"/>
  </w:num>
  <w:num w:numId="78">
    <w:abstractNumId w:val="456"/>
  </w:num>
  <w:num w:numId="79">
    <w:abstractNumId w:val="205"/>
  </w:num>
  <w:num w:numId="80">
    <w:abstractNumId w:val="260"/>
  </w:num>
  <w:num w:numId="81">
    <w:abstractNumId w:val="393"/>
  </w:num>
  <w:num w:numId="82">
    <w:abstractNumId w:val="182"/>
  </w:num>
  <w:num w:numId="83">
    <w:abstractNumId w:val="293"/>
  </w:num>
  <w:num w:numId="84">
    <w:abstractNumId w:val="269"/>
  </w:num>
  <w:num w:numId="85">
    <w:abstractNumId w:val="540"/>
  </w:num>
  <w:num w:numId="86">
    <w:abstractNumId w:val="378"/>
  </w:num>
  <w:num w:numId="87">
    <w:abstractNumId w:val="327"/>
  </w:num>
  <w:num w:numId="88">
    <w:abstractNumId w:val="343"/>
  </w:num>
  <w:num w:numId="89">
    <w:abstractNumId w:val="256"/>
  </w:num>
  <w:num w:numId="90">
    <w:abstractNumId w:val="152"/>
  </w:num>
  <w:num w:numId="91">
    <w:abstractNumId w:val="180"/>
  </w:num>
  <w:num w:numId="92">
    <w:abstractNumId w:val="556"/>
  </w:num>
  <w:num w:numId="93">
    <w:abstractNumId w:val="273"/>
  </w:num>
  <w:num w:numId="94">
    <w:abstractNumId w:val="488"/>
  </w:num>
  <w:num w:numId="95">
    <w:abstractNumId w:val="19"/>
  </w:num>
  <w:num w:numId="96">
    <w:abstractNumId w:val="517"/>
  </w:num>
  <w:num w:numId="97">
    <w:abstractNumId w:val="514"/>
  </w:num>
  <w:num w:numId="98">
    <w:abstractNumId w:val="58"/>
  </w:num>
  <w:num w:numId="99">
    <w:abstractNumId w:val="163"/>
  </w:num>
  <w:num w:numId="100">
    <w:abstractNumId w:val="175"/>
  </w:num>
  <w:num w:numId="101">
    <w:abstractNumId w:val="335"/>
  </w:num>
  <w:num w:numId="102">
    <w:abstractNumId w:val="30"/>
  </w:num>
  <w:num w:numId="103">
    <w:abstractNumId w:val="386"/>
  </w:num>
  <w:num w:numId="104">
    <w:abstractNumId w:val="528"/>
  </w:num>
  <w:num w:numId="105">
    <w:abstractNumId w:val="422"/>
  </w:num>
  <w:num w:numId="106">
    <w:abstractNumId w:val="224"/>
  </w:num>
  <w:num w:numId="107">
    <w:abstractNumId w:val="497"/>
  </w:num>
  <w:num w:numId="108">
    <w:abstractNumId w:val="70"/>
  </w:num>
  <w:num w:numId="109">
    <w:abstractNumId w:val="403"/>
  </w:num>
  <w:num w:numId="110">
    <w:abstractNumId w:val="233"/>
  </w:num>
  <w:num w:numId="111">
    <w:abstractNumId w:val="504"/>
  </w:num>
  <w:num w:numId="112">
    <w:abstractNumId w:val="194"/>
  </w:num>
  <w:num w:numId="113">
    <w:abstractNumId w:val="271"/>
  </w:num>
  <w:num w:numId="114">
    <w:abstractNumId w:val="229"/>
  </w:num>
  <w:num w:numId="115">
    <w:abstractNumId w:val="436"/>
  </w:num>
  <w:num w:numId="116">
    <w:abstractNumId w:val="133"/>
  </w:num>
  <w:num w:numId="117">
    <w:abstractNumId w:val="469"/>
  </w:num>
  <w:num w:numId="118">
    <w:abstractNumId w:val="47"/>
  </w:num>
  <w:num w:numId="119">
    <w:abstractNumId w:val="360"/>
  </w:num>
  <w:num w:numId="120">
    <w:abstractNumId w:val="215"/>
  </w:num>
  <w:num w:numId="121">
    <w:abstractNumId w:val="546"/>
  </w:num>
  <w:num w:numId="122">
    <w:abstractNumId w:val="201"/>
  </w:num>
  <w:num w:numId="123">
    <w:abstractNumId w:val="96"/>
  </w:num>
  <w:num w:numId="124">
    <w:abstractNumId w:val="449"/>
  </w:num>
  <w:num w:numId="125">
    <w:abstractNumId w:val="141"/>
  </w:num>
  <w:num w:numId="126">
    <w:abstractNumId w:val="54"/>
  </w:num>
  <w:num w:numId="127">
    <w:abstractNumId w:val="21"/>
  </w:num>
  <w:num w:numId="128">
    <w:abstractNumId w:val="448"/>
  </w:num>
  <w:num w:numId="129">
    <w:abstractNumId w:val="146"/>
  </w:num>
  <w:num w:numId="130">
    <w:abstractNumId w:val="445"/>
  </w:num>
  <w:num w:numId="131">
    <w:abstractNumId w:val="177"/>
  </w:num>
  <w:num w:numId="132">
    <w:abstractNumId w:val="52"/>
  </w:num>
  <w:num w:numId="133">
    <w:abstractNumId w:val="33"/>
  </w:num>
  <w:num w:numId="134">
    <w:abstractNumId w:val="102"/>
  </w:num>
  <w:num w:numId="135">
    <w:abstractNumId w:val="463"/>
  </w:num>
  <w:num w:numId="136">
    <w:abstractNumId w:val="124"/>
  </w:num>
  <w:num w:numId="137">
    <w:abstractNumId w:val="147"/>
  </w:num>
  <w:num w:numId="138">
    <w:abstractNumId w:val="121"/>
  </w:num>
  <w:num w:numId="139">
    <w:abstractNumId w:val="64"/>
  </w:num>
  <w:num w:numId="140">
    <w:abstractNumId w:val="392"/>
  </w:num>
  <w:num w:numId="141">
    <w:abstractNumId w:val="18"/>
  </w:num>
  <w:num w:numId="142">
    <w:abstractNumId w:val="36"/>
  </w:num>
  <w:num w:numId="143">
    <w:abstractNumId w:val="352"/>
  </w:num>
  <w:num w:numId="144">
    <w:abstractNumId w:val="15"/>
  </w:num>
  <w:num w:numId="145">
    <w:abstractNumId w:val="389"/>
  </w:num>
  <w:num w:numId="146">
    <w:abstractNumId w:val="394"/>
  </w:num>
  <w:num w:numId="147">
    <w:abstractNumId w:val="526"/>
  </w:num>
  <w:num w:numId="148">
    <w:abstractNumId w:val="439"/>
  </w:num>
  <w:num w:numId="149">
    <w:abstractNumId w:val="104"/>
  </w:num>
  <w:num w:numId="150">
    <w:abstractNumId w:val="314"/>
  </w:num>
  <w:num w:numId="151">
    <w:abstractNumId w:val="303"/>
  </w:num>
  <w:num w:numId="152">
    <w:abstractNumId w:val="254"/>
  </w:num>
  <w:num w:numId="153">
    <w:abstractNumId w:val="140"/>
  </w:num>
  <w:num w:numId="154">
    <w:abstractNumId w:val="302"/>
  </w:num>
  <w:num w:numId="155">
    <w:abstractNumId w:val="39"/>
  </w:num>
  <w:num w:numId="156">
    <w:abstractNumId w:val="226"/>
  </w:num>
  <w:num w:numId="157">
    <w:abstractNumId w:val="473"/>
  </w:num>
  <w:num w:numId="158">
    <w:abstractNumId w:val="67"/>
  </w:num>
  <w:num w:numId="159">
    <w:abstractNumId w:val="111"/>
  </w:num>
  <w:num w:numId="160">
    <w:abstractNumId w:val="312"/>
  </w:num>
  <w:num w:numId="161">
    <w:abstractNumId w:val="23"/>
  </w:num>
  <w:num w:numId="162">
    <w:abstractNumId w:val="275"/>
  </w:num>
  <w:num w:numId="163">
    <w:abstractNumId w:val="94"/>
  </w:num>
  <w:num w:numId="164">
    <w:abstractNumId w:val="25"/>
  </w:num>
  <w:num w:numId="165">
    <w:abstractNumId w:val="62"/>
  </w:num>
  <w:num w:numId="166">
    <w:abstractNumId w:val="387"/>
  </w:num>
  <w:num w:numId="167">
    <w:abstractNumId w:val="265"/>
  </w:num>
  <w:num w:numId="168">
    <w:abstractNumId w:val="385"/>
  </w:num>
  <w:num w:numId="169">
    <w:abstractNumId w:val="149"/>
  </w:num>
  <w:num w:numId="170">
    <w:abstractNumId w:val="300"/>
  </w:num>
  <w:num w:numId="171">
    <w:abstractNumId w:val="125"/>
  </w:num>
  <w:num w:numId="172">
    <w:abstractNumId w:val="89"/>
  </w:num>
  <w:num w:numId="173">
    <w:abstractNumId w:val="383"/>
  </w:num>
  <w:num w:numId="174">
    <w:abstractNumId w:val="288"/>
  </w:num>
  <w:num w:numId="175">
    <w:abstractNumId w:val="118"/>
  </w:num>
  <w:num w:numId="176">
    <w:abstractNumId w:val="537"/>
  </w:num>
  <w:num w:numId="177">
    <w:abstractNumId w:val="31"/>
  </w:num>
  <w:num w:numId="178">
    <w:abstractNumId w:val="304"/>
  </w:num>
  <w:num w:numId="179">
    <w:abstractNumId w:val="48"/>
  </w:num>
  <w:num w:numId="180">
    <w:abstractNumId w:val="544"/>
  </w:num>
  <w:num w:numId="181">
    <w:abstractNumId w:val="406"/>
  </w:num>
  <w:num w:numId="182">
    <w:abstractNumId w:val="336"/>
  </w:num>
  <w:num w:numId="183">
    <w:abstractNumId w:val="542"/>
  </w:num>
  <w:num w:numId="184">
    <w:abstractNumId w:val="370"/>
  </w:num>
  <w:num w:numId="185">
    <w:abstractNumId w:val="477"/>
  </w:num>
  <w:num w:numId="186">
    <w:abstractNumId w:val="417"/>
  </w:num>
  <w:num w:numId="187">
    <w:abstractNumId w:val="170"/>
  </w:num>
  <w:num w:numId="188">
    <w:abstractNumId w:val="137"/>
  </w:num>
  <w:num w:numId="189">
    <w:abstractNumId w:val="231"/>
  </w:num>
  <w:num w:numId="190">
    <w:abstractNumId w:val="76"/>
  </w:num>
  <w:num w:numId="191">
    <w:abstractNumId w:val="397"/>
  </w:num>
  <w:num w:numId="192">
    <w:abstractNumId w:val="197"/>
  </w:num>
  <w:num w:numId="193">
    <w:abstractNumId w:val="308"/>
  </w:num>
  <w:num w:numId="194">
    <w:abstractNumId w:val="350"/>
  </w:num>
  <w:num w:numId="195">
    <w:abstractNumId w:val="533"/>
  </w:num>
  <w:num w:numId="196">
    <w:abstractNumId w:val="539"/>
  </w:num>
  <w:num w:numId="197">
    <w:abstractNumId w:val="159"/>
  </w:num>
  <w:num w:numId="198">
    <w:abstractNumId w:val="296"/>
  </w:num>
  <w:num w:numId="199">
    <w:abstractNumId w:val="361"/>
  </w:num>
  <w:num w:numId="200">
    <w:abstractNumId w:val="319"/>
  </w:num>
  <w:num w:numId="201">
    <w:abstractNumId w:val="272"/>
  </w:num>
  <w:num w:numId="202">
    <w:abstractNumId w:val="191"/>
  </w:num>
  <w:num w:numId="203">
    <w:abstractNumId w:val="66"/>
  </w:num>
  <w:num w:numId="204">
    <w:abstractNumId w:val="521"/>
  </w:num>
  <w:num w:numId="205">
    <w:abstractNumId w:val="75"/>
  </w:num>
  <w:num w:numId="206">
    <w:abstractNumId w:val="294"/>
  </w:num>
  <w:num w:numId="207">
    <w:abstractNumId w:val="381"/>
  </w:num>
  <w:num w:numId="208">
    <w:abstractNumId w:val="257"/>
  </w:num>
  <w:num w:numId="209">
    <w:abstractNumId w:val="494"/>
  </w:num>
  <w:num w:numId="210">
    <w:abstractNumId w:val="373"/>
  </w:num>
  <w:num w:numId="211">
    <w:abstractNumId w:val="357"/>
  </w:num>
  <w:num w:numId="212">
    <w:abstractNumId w:val="396"/>
  </w:num>
  <w:num w:numId="213">
    <w:abstractNumId w:val="264"/>
  </w:num>
  <w:num w:numId="214">
    <w:abstractNumId w:val="412"/>
  </w:num>
  <w:num w:numId="215">
    <w:abstractNumId w:val="408"/>
  </w:num>
  <w:num w:numId="216">
    <w:abstractNumId w:val="535"/>
  </w:num>
  <w:num w:numId="217">
    <w:abstractNumId w:val="171"/>
  </w:num>
  <w:num w:numId="218">
    <w:abstractNumId w:val="409"/>
  </w:num>
  <w:num w:numId="219">
    <w:abstractNumId w:val="283"/>
  </w:num>
  <w:num w:numId="220">
    <w:abstractNumId w:val="348"/>
  </w:num>
  <w:num w:numId="221">
    <w:abstractNumId w:val="316"/>
  </w:num>
  <w:num w:numId="222">
    <w:abstractNumId w:val="446"/>
  </w:num>
  <w:num w:numId="223">
    <w:abstractNumId w:val="414"/>
  </w:num>
  <w:num w:numId="224">
    <w:abstractNumId w:val="351"/>
  </w:num>
  <w:num w:numId="225">
    <w:abstractNumId w:val="292"/>
  </w:num>
  <w:num w:numId="226">
    <w:abstractNumId w:val="187"/>
  </w:num>
  <w:num w:numId="227">
    <w:abstractNumId w:val="433"/>
  </w:num>
  <w:num w:numId="228">
    <w:abstractNumId w:val="525"/>
  </w:num>
  <w:num w:numId="229">
    <w:abstractNumId w:val="266"/>
  </w:num>
  <w:num w:numId="230">
    <w:abstractNumId w:val="164"/>
  </w:num>
  <w:num w:numId="231">
    <w:abstractNumId w:val="551"/>
  </w:num>
  <w:num w:numId="232">
    <w:abstractNumId w:val="109"/>
  </w:num>
  <w:num w:numId="233">
    <w:abstractNumId w:val="155"/>
  </w:num>
  <w:num w:numId="234">
    <w:abstractNumId w:val="450"/>
  </w:num>
  <w:num w:numId="235">
    <w:abstractNumId w:val="380"/>
  </w:num>
  <w:num w:numId="236">
    <w:abstractNumId w:val="464"/>
  </w:num>
  <w:num w:numId="237">
    <w:abstractNumId w:val="365"/>
  </w:num>
  <w:num w:numId="238">
    <w:abstractNumId w:val="493"/>
  </w:num>
  <w:num w:numId="239">
    <w:abstractNumId w:val="341"/>
  </w:num>
  <w:num w:numId="240">
    <w:abstractNumId w:val="443"/>
  </w:num>
  <w:num w:numId="241">
    <w:abstractNumId w:val="518"/>
  </w:num>
  <w:num w:numId="242">
    <w:abstractNumId w:val="130"/>
  </w:num>
  <w:num w:numId="243">
    <w:abstractNumId w:val="347"/>
  </w:num>
  <w:num w:numId="244">
    <w:abstractNumId w:val="78"/>
  </w:num>
  <w:num w:numId="245">
    <w:abstractNumId w:val="6"/>
  </w:num>
  <w:num w:numId="246">
    <w:abstractNumId w:val="0"/>
  </w:num>
  <w:num w:numId="247">
    <w:abstractNumId w:val="382"/>
  </w:num>
  <w:num w:numId="248">
    <w:abstractNumId w:val="261"/>
  </w:num>
  <w:num w:numId="249">
    <w:abstractNumId w:val="123"/>
  </w:num>
  <w:num w:numId="250">
    <w:abstractNumId w:val="285"/>
  </w:num>
  <w:num w:numId="251">
    <w:abstractNumId w:val="278"/>
  </w:num>
  <w:num w:numId="252">
    <w:abstractNumId w:val="74"/>
  </w:num>
  <w:num w:numId="253">
    <w:abstractNumId w:val="116"/>
  </w:num>
  <w:num w:numId="254">
    <w:abstractNumId w:val="324"/>
  </w:num>
  <w:num w:numId="255">
    <w:abstractNumId w:val="12"/>
  </w:num>
  <w:num w:numId="256">
    <w:abstractNumId w:val="181"/>
  </w:num>
  <w:num w:numId="257">
    <w:abstractNumId w:val="95"/>
  </w:num>
  <w:num w:numId="258">
    <w:abstractNumId w:val="496"/>
  </w:num>
  <w:num w:numId="259">
    <w:abstractNumId w:val="505"/>
  </w:num>
  <w:num w:numId="260">
    <w:abstractNumId w:val="79"/>
  </w:num>
  <w:num w:numId="261">
    <w:abstractNumId w:val="342"/>
  </w:num>
  <w:num w:numId="262">
    <w:abstractNumId w:val="359"/>
  </w:num>
  <w:num w:numId="263">
    <w:abstractNumId w:val="457"/>
  </w:num>
  <w:num w:numId="264">
    <w:abstractNumId w:val="49"/>
  </w:num>
  <w:num w:numId="265">
    <w:abstractNumId w:val="251"/>
  </w:num>
  <w:num w:numId="266">
    <w:abstractNumId w:val="472"/>
  </w:num>
  <w:num w:numId="267">
    <w:abstractNumId w:val="328"/>
  </w:num>
  <w:num w:numId="268">
    <w:abstractNumId w:val="442"/>
  </w:num>
  <w:num w:numId="269">
    <w:abstractNumId w:val="217"/>
  </w:num>
  <w:num w:numId="270">
    <w:abstractNumId w:val="46"/>
  </w:num>
  <w:num w:numId="271">
    <w:abstractNumId w:val="369"/>
  </w:num>
  <w:num w:numId="272">
    <w:abstractNumId w:val="479"/>
  </w:num>
  <w:num w:numId="273">
    <w:abstractNumId w:val="216"/>
  </w:num>
  <w:num w:numId="274">
    <w:abstractNumId w:val="425"/>
  </w:num>
  <w:num w:numId="275">
    <w:abstractNumId w:val="538"/>
  </w:num>
  <w:num w:numId="276">
    <w:abstractNumId w:val="83"/>
  </w:num>
  <w:num w:numId="277">
    <w:abstractNumId w:val="388"/>
  </w:num>
  <w:num w:numId="278">
    <w:abstractNumId w:val="50"/>
  </w:num>
  <w:num w:numId="279">
    <w:abstractNumId w:val="334"/>
  </w:num>
  <w:num w:numId="280">
    <w:abstractNumId w:val="451"/>
  </w:num>
  <w:num w:numId="281">
    <w:abstractNumId w:val="500"/>
  </w:num>
  <w:num w:numId="282">
    <w:abstractNumId w:val="524"/>
  </w:num>
  <w:num w:numId="283">
    <w:abstractNumId w:val="371"/>
  </w:num>
  <w:num w:numId="284">
    <w:abstractNumId w:val="470"/>
  </w:num>
  <w:num w:numId="285">
    <w:abstractNumId w:val="16"/>
  </w:num>
  <w:num w:numId="286">
    <w:abstractNumId w:val="512"/>
  </w:num>
  <w:num w:numId="287">
    <w:abstractNumId w:val="415"/>
  </w:num>
  <w:num w:numId="288">
    <w:abstractNumId w:val="45"/>
  </w:num>
  <w:num w:numId="289">
    <w:abstractNumId w:val="228"/>
  </w:num>
  <w:num w:numId="290">
    <w:abstractNumId w:val="13"/>
  </w:num>
  <w:num w:numId="291">
    <w:abstractNumId w:val="241"/>
  </w:num>
  <w:num w:numId="292">
    <w:abstractNumId w:val="4"/>
  </w:num>
  <w:num w:numId="293">
    <w:abstractNumId w:val="462"/>
  </w:num>
  <w:num w:numId="294">
    <w:abstractNumId w:val="502"/>
  </w:num>
  <w:num w:numId="295">
    <w:abstractNumId w:val="465"/>
  </w:num>
  <w:num w:numId="296">
    <w:abstractNumId w:val="320"/>
  </w:num>
  <w:num w:numId="297">
    <w:abstractNumId w:val="345"/>
  </w:num>
  <w:num w:numId="298">
    <w:abstractNumId w:val="377"/>
  </w:num>
  <w:num w:numId="299">
    <w:abstractNumId w:val="119"/>
  </w:num>
  <w:num w:numId="300">
    <w:abstractNumId w:val="276"/>
  </w:num>
  <w:num w:numId="301">
    <w:abstractNumId w:val="317"/>
  </w:num>
  <w:num w:numId="302">
    <w:abstractNumId w:val="3"/>
  </w:num>
  <w:num w:numId="303">
    <w:abstractNumId w:val="437"/>
  </w:num>
  <w:num w:numId="304">
    <w:abstractNumId w:val="178"/>
  </w:num>
  <w:num w:numId="305">
    <w:abstractNumId w:val="478"/>
  </w:num>
  <w:num w:numId="306">
    <w:abstractNumId w:val="421"/>
  </w:num>
  <w:num w:numId="307">
    <w:abstractNumId w:val="127"/>
  </w:num>
  <w:num w:numId="308">
    <w:abstractNumId w:val="552"/>
  </w:num>
  <w:num w:numId="309">
    <w:abstractNumId w:val="301"/>
  </w:num>
  <w:num w:numId="310">
    <w:abstractNumId w:val="158"/>
  </w:num>
  <w:num w:numId="311">
    <w:abstractNumId w:val="333"/>
  </w:num>
  <w:num w:numId="312">
    <w:abstractNumId w:val="225"/>
  </w:num>
  <w:num w:numId="313">
    <w:abstractNumId w:val="148"/>
  </w:num>
  <w:num w:numId="314">
    <w:abstractNumId w:val="97"/>
  </w:num>
  <w:num w:numId="315">
    <w:abstractNumId w:val="384"/>
  </w:num>
  <w:num w:numId="316">
    <w:abstractNumId w:val="395"/>
  </w:num>
  <w:num w:numId="317">
    <w:abstractNumId w:val="131"/>
  </w:num>
  <w:num w:numId="318">
    <w:abstractNumId w:val="309"/>
  </w:num>
  <w:num w:numId="319">
    <w:abstractNumId w:val="210"/>
  </w:num>
  <w:num w:numId="320">
    <w:abstractNumId w:val="24"/>
  </w:num>
  <w:num w:numId="321">
    <w:abstractNumId w:val="435"/>
  </w:num>
  <w:num w:numId="322">
    <w:abstractNumId w:val="531"/>
  </w:num>
  <w:num w:numId="323">
    <w:abstractNumId w:val="498"/>
  </w:num>
  <w:num w:numId="324">
    <w:abstractNumId w:val="168"/>
  </w:num>
  <w:num w:numId="325">
    <w:abstractNumId w:val="169"/>
  </w:num>
  <w:num w:numId="326">
    <w:abstractNumId w:val="547"/>
  </w:num>
  <w:num w:numId="327">
    <w:abstractNumId w:val="63"/>
  </w:num>
  <w:num w:numId="328">
    <w:abstractNumId w:val="86"/>
  </w:num>
  <w:num w:numId="329">
    <w:abstractNumId w:val="110"/>
  </w:num>
  <w:num w:numId="330">
    <w:abstractNumId w:val="366"/>
  </w:num>
  <w:num w:numId="331">
    <w:abstractNumId w:val="346"/>
  </w:num>
  <w:num w:numId="332">
    <w:abstractNumId w:val="65"/>
  </w:num>
  <w:num w:numId="333">
    <w:abstractNumId w:val="41"/>
  </w:num>
  <w:num w:numId="334">
    <w:abstractNumId w:val="541"/>
  </w:num>
  <w:num w:numId="335">
    <w:abstractNumId w:val="234"/>
  </w:num>
  <w:num w:numId="336">
    <w:abstractNumId w:val="255"/>
  </w:num>
  <w:num w:numId="337">
    <w:abstractNumId w:val="211"/>
  </w:num>
  <w:num w:numId="338">
    <w:abstractNumId w:val="274"/>
  </w:num>
  <w:num w:numId="339">
    <w:abstractNumId w:val="183"/>
  </w:num>
  <w:num w:numId="340">
    <w:abstractNumId w:val="240"/>
  </w:num>
  <w:num w:numId="341">
    <w:abstractNumId w:val="298"/>
  </w:num>
  <w:num w:numId="342">
    <w:abstractNumId w:val="105"/>
  </w:num>
  <w:num w:numId="343">
    <w:abstractNumId w:val="9"/>
  </w:num>
  <w:num w:numId="344">
    <w:abstractNumId w:val="489"/>
  </w:num>
  <w:num w:numId="345">
    <w:abstractNumId w:val="543"/>
  </w:num>
  <w:num w:numId="346">
    <w:abstractNumId w:val="167"/>
  </w:num>
  <w:num w:numId="347">
    <w:abstractNumId w:val="126"/>
  </w:num>
  <w:num w:numId="348">
    <w:abstractNumId w:val="499"/>
  </w:num>
  <w:num w:numId="349">
    <w:abstractNumId w:val="318"/>
  </w:num>
  <w:num w:numId="350">
    <w:abstractNumId w:val="139"/>
  </w:num>
  <w:num w:numId="351">
    <w:abstractNumId w:val="172"/>
  </w:num>
  <w:num w:numId="352">
    <w:abstractNumId w:val="420"/>
  </w:num>
  <w:num w:numId="353">
    <w:abstractNumId w:val="376"/>
  </w:num>
  <w:num w:numId="354">
    <w:abstractNumId w:val="263"/>
  </w:num>
  <w:num w:numId="355">
    <w:abstractNumId w:val="416"/>
  </w:num>
  <w:num w:numId="356">
    <w:abstractNumId w:val="189"/>
  </w:num>
  <w:num w:numId="357">
    <w:abstractNumId w:val="40"/>
  </w:num>
  <w:num w:numId="358">
    <w:abstractNumId w:val="519"/>
  </w:num>
  <w:num w:numId="359">
    <w:abstractNumId w:val="112"/>
  </w:num>
  <w:num w:numId="360">
    <w:abstractNumId w:val="136"/>
  </w:num>
  <w:num w:numId="361">
    <w:abstractNumId w:val="491"/>
  </w:num>
  <w:num w:numId="362">
    <w:abstractNumId w:val="332"/>
  </w:num>
  <w:num w:numId="363">
    <w:abstractNumId w:val="364"/>
  </w:num>
  <w:num w:numId="364">
    <w:abstractNumId w:val="208"/>
  </w:num>
  <w:num w:numId="365">
    <w:abstractNumId w:val="204"/>
  </w:num>
  <w:num w:numId="366">
    <w:abstractNumId w:val="355"/>
  </w:num>
  <w:num w:numId="367">
    <w:abstractNumId w:val="214"/>
  </w:num>
  <w:num w:numId="368">
    <w:abstractNumId w:val="282"/>
  </w:num>
  <w:num w:numId="369">
    <w:abstractNumId w:val="413"/>
  </w:num>
  <w:num w:numId="370">
    <w:abstractNumId w:val="132"/>
  </w:num>
  <w:num w:numId="371">
    <w:abstractNumId w:val="430"/>
  </w:num>
  <w:num w:numId="372">
    <w:abstractNumId w:val="509"/>
  </w:num>
  <w:num w:numId="373">
    <w:abstractNumId w:val="237"/>
  </w:num>
  <w:num w:numId="374">
    <w:abstractNumId w:val="508"/>
  </w:num>
  <w:num w:numId="375">
    <w:abstractNumId w:val="404"/>
  </w:num>
  <w:num w:numId="376">
    <w:abstractNumId w:val="468"/>
  </w:num>
  <w:num w:numId="377">
    <w:abstractNumId w:val="405"/>
  </w:num>
  <w:num w:numId="378">
    <w:abstractNumId w:val="362"/>
  </w:num>
  <w:num w:numId="379">
    <w:abstractNumId w:val="467"/>
  </w:num>
  <w:num w:numId="380">
    <w:abstractNumId w:val="466"/>
  </w:num>
  <w:num w:numId="381">
    <w:abstractNumId w:val="503"/>
  </w:num>
  <w:num w:numId="382">
    <w:abstractNumId w:val="297"/>
  </w:num>
  <w:num w:numId="383">
    <w:abstractNumId w:val="353"/>
  </w:num>
  <w:num w:numId="384">
    <w:abstractNumId w:val="246"/>
  </w:num>
  <w:num w:numId="385">
    <w:abstractNumId w:val="461"/>
  </w:num>
  <w:num w:numId="386">
    <w:abstractNumId w:val="523"/>
  </w:num>
  <w:num w:numId="387">
    <w:abstractNumId w:val="305"/>
  </w:num>
  <w:num w:numId="388">
    <w:abstractNumId w:val="188"/>
  </w:num>
  <w:num w:numId="389">
    <w:abstractNumId w:val="106"/>
  </w:num>
  <w:num w:numId="390">
    <w:abstractNumId w:val="510"/>
  </w:num>
  <w:num w:numId="391">
    <w:abstractNumId w:val="230"/>
  </w:num>
  <w:num w:numId="392">
    <w:abstractNumId w:val="8"/>
  </w:num>
  <w:num w:numId="393">
    <w:abstractNumId w:val="375"/>
  </w:num>
  <w:num w:numId="394">
    <w:abstractNumId w:val="419"/>
  </w:num>
  <w:num w:numId="395">
    <w:abstractNumId w:val="323"/>
  </w:num>
  <w:num w:numId="396">
    <w:abstractNumId w:val="553"/>
  </w:num>
  <w:num w:numId="397">
    <w:abstractNumId w:val="267"/>
  </w:num>
  <w:num w:numId="398">
    <w:abstractNumId w:val="372"/>
  </w:num>
  <w:num w:numId="399">
    <w:abstractNumId w:val="10"/>
  </w:num>
  <w:num w:numId="400">
    <w:abstractNumId w:val="186"/>
  </w:num>
  <w:num w:numId="401">
    <w:abstractNumId w:val="165"/>
  </w:num>
  <w:num w:numId="402">
    <w:abstractNumId w:val="532"/>
  </w:num>
  <w:num w:numId="403">
    <w:abstractNumId w:val="295"/>
  </w:num>
  <w:num w:numId="404">
    <w:abstractNumId w:val="212"/>
  </w:num>
  <w:num w:numId="405">
    <w:abstractNumId w:val="447"/>
  </w:num>
  <w:num w:numId="406">
    <w:abstractNumId w:val="14"/>
  </w:num>
  <w:num w:numId="407">
    <w:abstractNumId w:val="236"/>
  </w:num>
  <w:num w:numId="408">
    <w:abstractNumId w:val="142"/>
  </w:num>
  <w:num w:numId="409">
    <w:abstractNumId w:val="115"/>
  </w:num>
  <w:num w:numId="410">
    <w:abstractNumId w:val="219"/>
  </w:num>
  <w:num w:numId="411">
    <w:abstractNumId w:val="176"/>
  </w:num>
  <w:num w:numId="412">
    <w:abstractNumId w:val="92"/>
  </w:num>
  <w:num w:numId="413">
    <w:abstractNumId w:val="162"/>
  </w:num>
  <w:num w:numId="414">
    <w:abstractNumId w:val="154"/>
  </w:num>
  <w:num w:numId="415">
    <w:abstractNumId w:val="157"/>
  </w:num>
  <w:num w:numId="416">
    <w:abstractNumId w:val="143"/>
  </w:num>
  <w:num w:numId="417">
    <w:abstractNumId w:val="511"/>
  </w:num>
  <w:num w:numId="418">
    <w:abstractNumId w:val="310"/>
  </w:num>
  <w:num w:numId="419">
    <w:abstractNumId w:val="374"/>
  </w:num>
  <w:num w:numId="420">
    <w:abstractNumId w:val="103"/>
  </w:num>
  <w:num w:numId="421">
    <w:abstractNumId w:val="495"/>
  </w:num>
  <w:num w:numId="422">
    <w:abstractNumId w:val="81"/>
  </w:num>
  <w:num w:numId="423">
    <w:abstractNumId w:val="329"/>
  </w:num>
  <w:num w:numId="424">
    <w:abstractNumId w:val="55"/>
  </w:num>
  <w:num w:numId="425">
    <w:abstractNumId w:val="550"/>
  </w:num>
  <w:num w:numId="426">
    <w:abstractNumId w:val="379"/>
  </w:num>
  <w:num w:numId="427">
    <w:abstractNumId w:val="368"/>
  </w:num>
  <w:num w:numId="428">
    <w:abstractNumId w:val="27"/>
  </w:num>
  <w:num w:numId="429">
    <w:abstractNumId w:val="82"/>
  </w:num>
  <w:num w:numId="430">
    <w:abstractNumId w:val="331"/>
  </w:num>
  <w:num w:numId="431">
    <w:abstractNumId w:val="340"/>
  </w:num>
  <w:num w:numId="432">
    <w:abstractNumId w:val="411"/>
  </w:num>
  <w:num w:numId="433">
    <w:abstractNumId w:val="506"/>
  </w:num>
  <w:num w:numId="434">
    <w:abstractNumId w:val="363"/>
  </w:num>
  <w:num w:numId="435">
    <w:abstractNumId w:val="192"/>
  </w:num>
  <w:num w:numId="436">
    <w:abstractNumId w:val="286"/>
  </w:num>
  <w:num w:numId="437">
    <w:abstractNumId w:val="239"/>
  </w:num>
  <w:num w:numId="438">
    <w:abstractNumId w:val="232"/>
  </w:num>
  <w:num w:numId="439">
    <w:abstractNumId w:val="418"/>
  </w:num>
  <w:num w:numId="440">
    <w:abstractNumId w:val="452"/>
  </w:num>
  <w:num w:numId="441">
    <w:abstractNumId w:val="242"/>
  </w:num>
  <w:num w:numId="442">
    <w:abstractNumId w:val="423"/>
  </w:num>
  <w:num w:numId="443">
    <w:abstractNumId w:val="28"/>
  </w:num>
  <w:num w:numId="444">
    <w:abstractNumId w:val="202"/>
  </w:num>
  <w:num w:numId="445">
    <w:abstractNumId w:val="339"/>
  </w:num>
  <w:num w:numId="446">
    <w:abstractNumId w:val="284"/>
  </w:num>
  <w:num w:numId="447">
    <w:abstractNumId w:val="321"/>
  </w:num>
  <w:num w:numId="448">
    <w:abstractNumId w:val="220"/>
  </w:num>
  <w:num w:numId="449">
    <w:abstractNumId w:val="249"/>
  </w:num>
  <w:num w:numId="450">
    <w:abstractNumId w:val="17"/>
  </w:num>
  <w:num w:numId="451">
    <w:abstractNumId w:val="428"/>
  </w:num>
  <w:num w:numId="452">
    <w:abstractNumId w:val="203"/>
  </w:num>
  <w:num w:numId="453">
    <w:abstractNumId w:val="391"/>
  </w:num>
  <w:num w:numId="454">
    <w:abstractNumId w:val="487"/>
  </w:num>
  <w:num w:numId="455">
    <w:abstractNumId w:val="338"/>
  </w:num>
  <w:num w:numId="456">
    <w:abstractNumId w:val="527"/>
  </w:num>
  <w:num w:numId="457">
    <w:abstractNumId w:val="367"/>
  </w:num>
  <w:num w:numId="458">
    <w:abstractNumId w:val="166"/>
  </w:num>
  <w:num w:numId="459">
    <w:abstractNumId w:val="484"/>
  </w:num>
  <w:num w:numId="460">
    <w:abstractNumId w:val="349"/>
  </w:num>
  <w:num w:numId="461">
    <w:abstractNumId w:val="534"/>
  </w:num>
  <w:num w:numId="462">
    <w:abstractNumId w:val="32"/>
  </w:num>
  <w:num w:numId="463">
    <w:abstractNumId w:val="398"/>
  </w:num>
  <w:num w:numId="464">
    <w:abstractNumId w:val="252"/>
  </w:num>
  <w:num w:numId="465">
    <w:abstractNumId w:val="480"/>
  </w:num>
  <w:num w:numId="466">
    <w:abstractNumId w:val="248"/>
  </w:num>
  <w:num w:numId="467">
    <w:abstractNumId w:val="179"/>
  </w:num>
  <w:num w:numId="468">
    <w:abstractNumId w:val="44"/>
  </w:num>
  <w:num w:numId="469">
    <w:abstractNumId w:val="61"/>
  </w:num>
  <w:num w:numId="470">
    <w:abstractNumId w:val="306"/>
  </w:num>
  <w:num w:numId="471">
    <w:abstractNumId w:val="440"/>
  </w:num>
  <w:num w:numId="472">
    <w:abstractNumId w:val="117"/>
  </w:num>
  <w:num w:numId="473">
    <w:abstractNumId w:val="77"/>
  </w:num>
  <w:num w:numId="474">
    <w:abstractNumId w:val="313"/>
  </w:num>
  <w:num w:numId="475">
    <w:abstractNumId w:val="93"/>
  </w:num>
  <w:num w:numId="476">
    <w:abstractNumId w:val="138"/>
  </w:num>
  <w:num w:numId="477">
    <w:abstractNumId w:val="113"/>
  </w:num>
  <w:num w:numId="478">
    <w:abstractNumId w:val="42"/>
  </w:num>
  <w:num w:numId="479">
    <w:abstractNumId w:val="223"/>
  </w:num>
  <w:num w:numId="480">
    <w:abstractNumId w:val="222"/>
  </w:num>
  <w:num w:numId="481">
    <w:abstractNumId w:val="22"/>
  </w:num>
  <w:num w:numId="482">
    <w:abstractNumId w:val="218"/>
  </w:num>
  <w:num w:numId="483">
    <w:abstractNumId w:val="57"/>
  </w:num>
  <w:num w:numId="484">
    <w:abstractNumId w:val="85"/>
  </w:num>
  <w:num w:numId="485">
    <w:abstractNumId w:val="270"/>
  </w:num>
  <w:num w:numId="486">
    <w:abstractNumId w:val="11"/>
  </w:num>
  <w:num w:numId="487">
    <w:abstractNumId w:val="34"/>
  </w:num>
  <w:num w:numId="488">
    <w:abstractNumId w:val="507"/>
  </w:num>
  <w:num w:numId="489">
    <w:abstractNumId w:val="459"/>
  </w:num>
  <w:num w:numId="490">
    <w:abstractNumId w:val="555"/>
  </w:num>
  <w:num w:numId="491">
    <w:abstractNumId w:val="424"/>
  </w:num>
  <w:num w:numId="492">
    <w:abstractNumId w:val="545"/>
  </w:num>
  <w:num w:numId="493">
    <w:abstractNumId w:val="108"/>
  </w:num>
  <w:num w:numId="494">
    <w:abstractNumId w:val="247"/>
  </w:num>
  <w:num w:numId="495">
    <w:abstractNumId w:val="490"/>
  </w:num>
  <w:num w:numId="496">
    <w:abstractNumId w:val="277"/>
  </w:num>
  <w:num w:numId="497">
    <w:abstractNumId w:val="501"/>
  </w:num>
  <w:num w:numId="498">
    <w:abstractNumId w:val="513"/>
  </w:num>
  <w:num w:numId="499">
    <w:abstractNumId w:val="213"/>
  </w:num>
  <w:num w:numId="500">
    <w:abstractNumId w:val="69"/>
  </w:num>
  <w:num w:numId="501">
    <w:abstractNumId w:val="311"/>
  </w:num>
  <w:num w:numId="502">
    <w:abstractNumId w:val="299"/>
  </w:num>
  <w:num w:numId="503">
    <w:abstractNumId w:val="87"/>
  </w:num>
  <w:num w:numId="504">
    <w:abstractNumId w:val="356"/>
  </w:num>
  <w:num w:numId="505">
    <w:abstractNumId w:val="173"/>
  </w:num>
  <w:num w:numId="506">
    <w:abstractNumId w:val="200"/>
  </w:num>
  <w:num w:numId="507">
    <w:abstractNumId w:val="337"/>
  </w:num>
  <w:num w:numId="508">
    <w:abstractNumId w:val="475"/>
  </w:num>
  <w:num w:numId="509">
    <w:abstractNumId w:val="426"/>
  </w:num>
  <w:num w:numId="510">
    <w:abstractNumId w:val="432"/>
  </w:num>
  <w:num w:numId="511">
    <w:abstractNumId w:val="536"/>
  </w:num>
  <w:num w:numId="512">
    <w:abstractNumId w:val="209"/>
  </w:num>
  <w:num w:numId="513">
    <w:abstractNumId w:val="441"/>
  </w:num>
  <w:num w:numId="514">
    <w:abstractNumId w:val="114"/>
  </w:num>
  <w:num w:numId="515">
    <w:abstractNumId w:val="244"/>
  </w:num>
  <w:num w:numId="516">
    <w:abstractNumId w:val="72"/>
  </w:num>
  <w:num w:numId="517">
    <w:abstractNumId w:val="29"/>
  </w:num>
  <w:num w:numId="518">
    <w:abstractNumId w:val="150"/>
  </w:num>
  <w:num w:numId="519">
    <w:abstractNumId w:val="492"/>
  </w:num>
  <w:num w:numId="520">
    <w:abstractNumId w:val="185"/>
  </w:num>
  <w:num w:numId="521">
    <w:abstractNumId w:val="198"/>
  </w:num>
  <w:num w:numId="522">
    <w:abstractNumId w:val="259"/>
  </w:num>
  <w:num w:numId="523">
    <w:abstractNumId w:val="548"/>
  </w:num>
  <w:num w:numId="524">
    <w:abstractNumId w:val="7"/>
  </w:num>
  <w:num w:numId="525">
    <w:abstractNumId w:val="390"/>
  </w:num>
  <w:num w:numId="526">
    <w:abstractNumId w:val="88"/>
  </w:num>
  <w:num w:numId="527">
    <w:abstractNumId w:val="101"/>
  </w:num>
  <w:num w:numId="528">
    <w:abstractNumId w:val="160"/>
  </w:num>
  <w:num w:numId="529">
    <w:abstractNumId w:val="253"/>
  </w:num>
  <w:num w:numId="530">
    <w:abstractNumId w:val="474"/>
  </w:num>
  <w:num w:numId="531">
    <w:abstractNumId w:val="460"/>
  </w:num>
  <w:num w:numId="532">
    <w:abstractNumId w:val="326"/>
  </w:num>
  <w:num w:numId="533">
    <w:abstractNumId w:val="107"/>
  </w:num>
  <w:num w:numId="534">
    <w:abstractNumId w:val="26"/>
  </w:num>
  <w:num w:numId="535">
    <w:abstractNumId w:val="485"/>
  </w:num>
  <w:num w:numId="536">
    <w:abstractNumId w:val="402"/>
  </w:num>
  <w:num w:numId="537">
    <w:abstractNumId w:val="516"/>
  </w:num>
  <w:num w:numId="538">
    <w:abstractNumId w:val="199"/>
  </w:num>
  <w:num w:numId="539">
    <w:abstractNumId w:val="554"/>
  </w:num>
  <w:num w:numId="540">
    <w:abstractNumId w:val="429"/>
  </w:num>
  <w:num w:numId="541">
    <w:abstractNumId w:val="444"/>
  </w:num>
  <w:num w:numId="542">
    <w:abstractNumId w:val="227"/>
  </w:num>
  <w:num w:numId="543">
    <w:abstractNumId w:val="434"/>
  </w:num>
  <w:num w:numId="544">
    <w:abstractNumId w:val="279"/>
  </w:num>
  <w:num w:numId="545">
    <w:abstractNumId w:val="174"/>
  </w:num>
  <w:num w:numId="546">
    <w:abstractNumId w:val="529"/>
  </w:num>
  <w:num w:numId="547">
    <w:abstractNumId w:val="156"/>
  </w:num>
  <w:num w:numId="548">
    <w:abstractNumId w:val="80"/>
  </w:num>
  <w:num w:numId="549">
    <w:abstractNumId w:val="330"/>
  </w:num>
  <w:num w:numId="550">
    <w:abstractNumId w:val="38"/>
  </w:num>
  <w:num w:numId="551">
    <w:abstractNumId w:val="289"/>
  </w:num>
  <w:num w:numId="552">
    <w:abstractNumId w:val="90"/>
  </w:num>
  <w:num w:numId="553">
    <w:abstractNumId w:val="358"/>
  </w:num>
  <w:num w:numId="554">
    <w:abstractNumId w:val="458"/>
  </w:num>
  <w:num w:numId="555">
    <w:abstractNumId w:val="549"/>
  </w:num>
  <w:num w:numId="556">
    <w:abstractNumId w:val="486"/>
  </w:num>
  <w:num w:numId="557">
    <w:abstractNumId w:val="2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HorizontalSpacing w:val="156"/>
  <w:drawingGridVerticalSpacing w:val="331"/>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UxNmUyN2M1NDExYWQ2NTIwYWUyZTMzYWRkNjUxZDMifQ=="/>
    <w:docVar w:name="KSO_WPS_MARK_KEY" w:val="47009d13-4171-457c-b31e-886014e7c882"/>
  </w:docVars>
  <w:rsids>
    <w:rsidRoot w:val="05886489"/>
    <w:rsid w:val="000C7634"/>
    <w:rsid w:val="001155D8"/>
    <w:rsid w:val="006F44D3"/>
    <w:rsid w:val="008E2422"/>
    <w:rsid w:val="00AF71A5"/>
    <w:rsid w:val="00B16434"/>
    <w:rsid w:val="00BB7134"/>
    <w:rsid w:val="00BE7ABC"/>
    <w:rsid w:val="00C52E64"/>
    <w:rsid w:val="00D87181"/>
    <w:rsid w:val="00E2316F"/>
    <w:rsid w:val="00F004F2"/>
    <w:rsid w:val="021B1B5C"/>
    <w:rsid w:val="030F52BB"/>
    <w:rsid w:val="034840DF"/>
    <w:rsid w:val="03E7365B"/>
    <w:rsid w:val="05886489"/>
    <w:rsid w:val="061764ED"/>
    <w:rsid w:val="069F6E67"/>
    <w:rsid w:val="06B331CE"/>
    <w:rsid w:val="07C609CF"/>
    <w:rsid w:val="0867307D"/>
    <w:rsid w:val="0914248F"/>
    <w:rsid w:val="09A14593"/>
    <w:rsid w:val="09CD27F9"/>
    <w:rsid w:val="0A1B403F"/>
    <w:rsid w:val="0A2467F9"/>
    <w:rsid w:val="0AA07F0D"/>
    <w:rsid w:val="0AD63F42"/>
    <w:rsid w:val="0C2B6535"/>
    <w:rsid w:val="0C41127C"/>
    <w:rsid w:val="0C540FAF"/>
    <w:rsid w:val="0C7C795A"/>
    <w:rsid w:val="0C85560D"/>
    <w:rsid w:val="0C863D4E"/>
    <w:rsid w:val="0D1B4028"/>
    <w:rsid w:val="0D5D4820"/>
    <w:rsid w:val="0D5E7B6F"/>
    <w:rsid w:val="0D646A70"/>
    <w:rsid w:val="0D7C256C"/>
    <w:rsid w:val="0D9D1FB0"/>
    <w:rsid w:val="0E4D3F08"/>
    <w:rsid w:val="0EA803B0"/>
    <w:rsid w:val="0EBA51EC"/>
    <w:rsid w:val="0ED4462A"/>
    <w:rsid w:val="0ED87C76"/>
    <w:rsid w:val="0F7E1139"/>
    <w:rsid w:val="102916A9"/>
    <w:rsid w:val="12333415"/>
    <w:rsid w:val="12633CFA"/>
    <w:rsid w:val="12995DD7"/>
    <w:rsid w:val="13252C1A"/>
    <w:rsid w:val="138C1873"/>
    <w:rsid w:val="138D72BA"/>
    <w:rsid w:val="13B509C9"/>
    <w:rsid w:val="13C41094"/>
    <w:rsid w:val="14EF358A"/>
    <w:rsid w:val="15C1586D"/>
    <w:rsid w:val="16FE671B"/>
    <w:rsid w:val="174536B2"/>
    <w:rsid w:val="183B3024"/>
    <w:rsid w:val="18707171"/>
    <w:rsid w:val="18B432F3"/>
    <w:rsid w:val="18E53E4C"/>
    <w:rsid w:val="18EC4869"/>
    <w:rsid w:val="19112CAD"/>
    <w:rsid w:val="19133A2F"/>
    <w:rsid w:val="192341E3"/>
    <w:rsid w:val="1998697F"/>
    <w:rsid w:val="19B17A41"/>
    <w:rsid w:val="1A493D2F"/>
    <w:rsid w:val="1AE02A83"/>
    <w:rsid w:val="1B4A4F05"/>
    <w:rsid w:val="1B642891"/>
    <w:rsid w:val="1B98759F"/>
    <w:rsid w:val="1BA03369"/>
    <w:rsid w:val="1C411318"/>
    <w:rsid w:val="1C50581A"/>
    <w:rsid w:val="1C754957"/>
    <w:rsid w:val="1CA82472"/>
    <w:rsid w:val="1CF11DBA"/>
    <w:rsid w:val="1CF62125"/>
    <w:rsid w:val="1E4C5F8A"/>
    <w:rsid w:val="1E874163"/>
    <w:rsid w:val="1F2D7A11"/>
    <w:rsid w:val="1FA03548"/>
    <w:rsid w:val="1FB11022"/>
    <w:rsid w:val="205379EE"/>
    <w:rsid w:val="205C2751"/>
    <w:rsid w:val="209634ED"/>
    <w:rsid w:val="20FC587D"/>
    <w:rsid w:val="21026DD4"/>
    <w:rsid w:val="21056B74"/>
    <w:rsid w:val="211F1469"/>
    <w:rsid w:val="21201E54"/>
    <w:rsid w:val="216104BC"/>
    <w:rsid w:val="217F21D3"/>
    <w:rsid w:val="219739C1"/>
    <w:rsid w:val="21CB7715"/>
    <w:rsid w:val="229F011F"/>
    <w:rsid w:val="22B206E3"/>
    <w:rsid w:val="22C30B0D"/>
    <w:rsid w:val="22F46098"/>
    <w:rsid w:val="233173BD"/>
    <w:rsid w:val="240D4B2D"/>
    <w:rsid w:val="24954194"/>
    <w:rsid w:val="24973CD7"/>
    <w:rsid w:val="254E08A0"/>
    <w:rsid w:val="2573389C"/>
    <w:rsid w:val="259D4C7C"/>
    <w:rsid w:val="25EC25B5"/>
    <w:rsid w:val="264071ED"/>
    <w:rsid w:val="290061B7"/>
    <w:rsid w:val="29630DB5"/>
    <w:rsid w:val="29643C28"/>
    <w:rsid w:val="29BD19C2"/>
    <w:rsid w:val="29F56E88"/>
    <w:rsid w:val="2A1E5A39"/>
    <w:rsid w:val="2A6D7609"/>
    <w:rsid w:val="2BBD420A"/>
    <w:rsid w:val="2BE02720"/>
    <w:rsid w:val="2C2C7879"/>
    <w:rsid w:val="2DFD2C6B"/>
    <w:rsid w:val="2EAE5023"/>
    <w:rsid w:val="2EB11096"/>
    <w:rsid w:val="2EC4565B"/>
    <w:rsid w:val="2F104DB2"/>
    <w:rsid w:val="2F165021"/>
    <w:rsid w:val="2F5348ED"/>
    <w:rsid w:val="2FD55EB5"/>
    <w:rsid w:val="300E30A0"/>
    <w:rsid w:val="30264B2C"/>
    <w:rsid w:val="30CA715F"/>
    <w:rsid w:val="30FF46A2"/>
    <w:rsid w:val="311C7B6A"/>
    <w:rsid w:val="31EA3699"/>
    <w:rsid w:val="324A4137"/>
    <w:rsid w:val="32606800"/>
    <w:rsid w:val="328A54F4"/>
    <w:rsid w:val="32FF1283"/>
    <w:rsid w:val="331A6499"/>
    <w:rsid w:val="332E53DB"/>
    <w:rsid w:val="337F5928"/>
    <w:rsid w:val="33A02467"/>
    <w:rsid w:val="33DFCA0D"/>
    <w:rsid w:val="33E979A1"/>
    <w:rsid w:val="33EC36D1"/>
    <w:rsid w:val="340225B5"/>
    <w:rsid w:val="34562DA0"/>
    <w:rsid w:val="345D217D"/>
    <w:rsid w:val="357A66BA"/>
    <w:rsid w:val="35B00F0E"/>
    <w:rsid w:val="35D92145"/>
    <w:rsid w:val="360311CD"/>
    <w:rsid w:val="363C4117"/>
    <w:rsid w:val="36F117BF"/>
    <w:rsid w:val="37122F44"/>
    <w:rsid w:val="37DC1797"/>
    <w:rsid w:val="37DD04F9"/>
    <w:rsid w:val="389728E7"/>
    <w:rsid w:val="38DF2741"/>
    <w:rsid w:val="3912506A"/>
    <w:rsid w:val="39492FBE"/>
    <w:rsid w:val="39873EC3"/>
    <w:rsid w:val="39E46F19"/>
    <w:rsid w:val="3A3A78DB"/>
    <w:rsid w:val="3AC83596"/>
    <w:rsid w:val="3B5045CC"/>
    <w:rsid w:val="3BB934E9"/>
    <w:rsid w:val="3BF72756"/>
    <w:rsid w:val="3C12588B"/>
    <w:rsid w:val="3C3D3D5F"/>
    <w:rsid w:val="3C5E53AF"/>
    <w:rsid w:val="3CAB65E3"/>
    <w:rsid w:val="3CC74E84"/>
    <w:rsid w:val="3D3B55CC"/>
    <w:rsid w:val="3E6D40EA"/>
    <w:rsid w:val="3ED81F80"/>
    <w:rsid w:val="3EF23B8C"/>
    <w:rsid w:val="3F587933"/>
    <w:rsid w:val="3F617A68"/>
    <w:rsid w:val="40093884"/>
    <w:rsid w:val="407E4EC4"/>
    <w:rsid w:val="41975402"/>
    <w:rsid w:val="4201519B"/>
    <w:rsid w:val="42680CF4"/>
    <w:rsid w:val="42D77C69"/>
    <w:rsid w:val="43241469"/>
    <w:rsid w:val="433C5211"/>
    <w:rsid w:val="436A63E7"/>
    <w:rsid w:val="439E24D6"/>
    <w:rsid w:val="43B21B3C"/>
    <w:rsid w:val="442212C7"/>
    <w:rsid w:val="44980EAC"/>
    <w:rsid w:val="44CC528C"/>
    <w:rsid w:val="453D545D"/>
    <w:rsid w:val="455448C0"/>
    <w:rsid w:val="45667082"/>
    <w:rsid w:val="460B220E"/>
    <w:rsid w:val="463768C4"/>
    <w:rsid w:val="46862187"/>
    <w:rsid w:val="46C93D6D"/>
    <w:rsid w:val="46CC2CD6"/>
    <w:rsid w:val="474358CD"/>
    <w:rsid w:val="4766336A"/>
    <w:rsid w:val="483B35BD"/>
    <w:rsid w:val="498A2B81"/>
    <w:rsid w:val="49B76F14"/>
    <w:rsid w:val="4AB97752"/>
    <w:rsid w:val="4B9304A5"/>
    <w:rsid w:val="4B9A5CD8"/>
    <w:rsid w:val="4BD93D95"/>
    <w:rsid w:val="4C021851"/>
    <w:rsid w:val="4C806C7C"/>
    <w:rsid w:val="4CC21042"/>
    <w:rsid w:val="4D487743"/>
    <w:rsid w:val="4D926C66"/>
    <w:rsid w:val="4D9537E3"/>
    <w:rsid w:val="4D9B6B51"/>
    <w:rsid w:val="4DAE618E"/>
    <w:rsid w:val="4DB728E0"/>
    <w:rsid w:val="4DBF42D5"/>
    <w:rsid w:val="4E031912"/>
    <w:rsid w:val="4E2D2E33"/>
    <w:rsid w:val="4E5B2CC2"/>
    <w:rsid w:val="4EC31C76"/>
    <w:rsid w:val="4ED3737F"/>
    <w:rsid w:val="4F4A3571"/>
    <w:rsid w:val="4F8958E7"/>
    <w:rsid w:val="4FFC6AE0"/>
    <w:rsid w:val="4FFD0BD7"/>
    <w:rsid w:val="501F5AEC"/>
    <w:rsid w:val="506738B2"/>
    <w:rsid w:val="50762201"/>
    <w:rsid w:val="50A43C01"/>
    <w:rsid w:val="50EC30B0"/>
    <w:rsid w:val="50F253BF"/>
    <w:rsid w:val="517168CC"/>
    <w:rsid w:val="51E908BF"/>
    <w:rsid w:val="51F02538"/>
    <w:rsid w:val="521958F6"/>
    <w:rsid w:val="52220934"/>
    <w:rsid w:val="52351649"/>
    <w:rsid w:val="525233B3"/>
    <w:rsid w:val="52ED2B91"/>
    <w:rsid w:val="534336B7"/>
    <w:rsid w:val="53AD1991"/>
    <w:rsid w:val="53BD6A07"/>
    <w:rsid w:val="545A227C"/>
    <w:rsid w:val="546B0211"/>
    <w:rsid w:val="548D3C6E"/>
    <w:rsid w:val="54A66564"/>
    <w:rsid w:val="54B4761F"/>
    <w:rsid w:val="55A62D3F"/>
    <w:rsid w:val="55AC0AE1"/>
    <w:rsid w:val="56073F84"/>
    <w:rsid w:val="56187F25"/>
    <w:rsid w:val="56384123"/>
    <w:rsid w:val="568D26C1"/>
    <w:rsid w:val="56944238"/>
    <w:rsid w:val="56C9121F"/>
    <w:rsid w:val="581521F4"/>
    <w:rsid w:val="5815731A"/>
    <w:rsid w:val="588C4472"/>
    <w:rsid w:val="591D7CDE"/>
    <w:rsid w:val="592117E6"/>
    <w:rsid w:val="59CA59DA"/>
    <w:rsid w:val="5A4F5EDF"/>
    <w:rsid w:val="5A8E1A6F"/>
    <w:rsid w:val="5B053EE1"/>
    <w:rsid w:val="5B9829B5"/>
    <w:rsid w:val="5BAC5885"/>
    <w:rsid w:val="5BC813D0"/>
    <w:rsid w:val="5D6A1B62"/>
    <w:rsid w:val="5D7631BC"/>
    <w:rsid w:val="5DC367E7"/>
    <w:rsid w:val="5E273A4E"/>
    <w:rsid w:val="5F1A2F60"/>
    <w:rsid w:val="5F844F80"/>
    <w:rsid w:val="5FBFEBDF"/>
    <w:rsid w:val="5FC72204"/>
    <w:rsid w:val="5FDD5237"/>
    <w:rsid w:val="60397415"/>
    <w:rsid w:val="612E2BFF"/>
    <w:rsid w:val="61A16FCB"/>
    <w:rsid w:val="61C64584"/>
    <w:rsid w:val="6280132C"/>
    <w:rsid w:val="62AB79F7"/>
    <w:rsid w:val="630D054C"/>
    <w:rsid w:val="636215B1"/>
    <w:rsid w:val="63713EAD"/>
    <w:rsid w:val="65451D58"/>
    <w:rsid w:val="655712BB"/>
    <w:rsid w:val="65962F69"/>
    <w:rsid w:val="66013FD1"/>
    <w:rsid w:val="66A16070"/>
    <w:rsid w:val="66E06D9A"/>
    <w:rsid w:val="66EB31CD"/>
    <w:rsid w:val="67010561"/>
    <w:rsid w:val="677156E7"/>
    <w:rsid w:val="67B751C8"/>
    <w:rsid w:val="689C1058"/>
    <w:rsid w:val="68AD2CC9"/>
    <w:rsid w:val="68E13411"/>
    <w:rsid w:val="69BE7FAA"/>
    <w:rsid w:val="6A6447BE"/>
    <w:rsid w:val="6A654409"/>
    <w:rsid w:val="6AD83C99"/>
    <w:rsid w:val="6B1D7779"/>
    <w:rsid w:val="6C4C0FE4"/>
    <w:rsid w:val="6C884E83"/>
    <w:rsid w:val="6CB70040"/>
    <w:rsid w:val="6CCE72BB"/>
    <w:rsid w:val="6D06168C"/>
    <w:rsid w:val="6D087660"/>
    <w:rsid w:val="6D0931DE"/>
    <w:rsid w:val="6D246B5D"/>
    <w:rsid w:val="6D585C07"/>
    <w:rsid w:val="6D7E0B5E"/>
    <w:rsid w:val="6DAA3C1F"/>
    <w:rsid w:val="6E101D2C"/>
    <w:rsid w:val="6E1B11BE"/>
    <w:rsid w:val="6E840299"/>
    <w:rsid w:val="6E94005C"/>
    <w:rsid w:val="6EB81A2F"/>
    <w:rsid w:val="6F0E5119"/>
    <w:rsid w:val="6FFC0F11"/>
    <w:rsid w:val="700164D0"/>
    <w:rsid w:val="70184817"/>
    <w:rsid w:val="70B423F5"/>
    <w:rsid w:val="71017ADB"/>
    <w:rsid w:val="71D64AC4"/>
    <w:rsid w:val="71D73750"/>
    <w:rsid w:val="71E92840"/>
    <w:rsid w:val="72005FE5"/>
    <w:rsid w:val="72521434"/>
    <w:rsid w:val="72AF579D"/>
    <w:rsid w:val="72B768F2"/>
    <w:rsid w:val="72C37E46"/>
    <w:rsid w:val="734C6A15"/>
    <w:rsid w:val="73747667"/>
    <w:rsid w:val="73FC00B1"/>
    <w:rsid w:val="7458124D"/>
    <w:rsid w:val="749E3442"/>
    <w:rsid w:val="74AE2BAB"/>
    <w:rsid w:val="74B241FA"/>
    <w:rsid w:val="750305FF"/>
    <w:rsid w:val="75105942"/>
    <w:rsid w:val="755A1BE5"/>
    <w:rsid w:val="75D64BF4"/>
    <w:rsid w:val="75D91027"/>
    <w:rsid w:val="75FE283B"/>
    <w:rsid w:val="766A1D2E"/>
    <w:rsid w:val="769E4EE6"/>
    <w:rsid w:val="76E41765"/>
    <w:rsid w:val="770F2826"/>
    <w:rsid w:val="77496B93"/>
    <w:rsid w:val="78BD0DE2"/>
    <w:rsid w:val="79525DC3"/>
    <w:rsid w:val="797D2BAF"/>
    <w:rsid w:val="79C37195"/>
    <w:rsid w:val="7A2753CF"/>
    <w:rsid w:val="7A603AC5"/>
    <w:rsid w:val="7AE6EECC"/>
    <w:rsid w:val="7BF648C1"/>
    <w:rsid w:val="7C2C51E5"/>
    <w:rsid w:val="7C4B6AE5"/>
    <w:rsid w:val="7C6F7FEF"/>
    <w:rsid w:val="7E1A2517"/>
    <w:rsid w:val="7E472873"/>
    <w:rsid w:val="7E561E4A"/>
    <w:rsid w:val="7E5F988A"/>
    <w:rsid w:val="7EF923B4"/>
    <w:rsid w:val="7F6C4FCB"/>
    <w:rsid w:val="7F704D6C"/>
    <w:rsid w:val="D8DEF829"/>
    <w:rsid w:val="F7F7B492"/>
    <w:rsid w:val="FFDD6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semiHidden="0" w:name="heading 2"/>
    <w:lsdException w:qFormat="1"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方正仿宋_GBK" w:cstheme="minorBidi"/>
      <w:kern w:val="2"/>
      <w:sz w:val="32"/>
      <w:szCs w:val="32"/>
      <w:lang w:val="en-US" w:eastAsia="zh-CN" w:bidi="ar-SA"/>
    </w:rPr>
  </w:style>
  <w:style w:type="paragraph" w:styleId="2">
    <w:name w:val="heading 1"/>
    <w:basedOn w:val="1"/>
    <w:next w:val="1"/>
    <w:qFormat/>
    <w:uiPriority w:val="99"/>
    <w:pPr>
      <w:keepNext/>
      <w:keepLines w:val="0"/>
      <w:spacing w:before="0" w:after="100" w:afterLines="100" w:line="560" w:lineRule="exact"/>
      <w:jc w:val="center"/>
      <w:outlineLvl w:val="0"/>
    </w:pPr>
    <w:rPr>
      <w:rFonts w:ascii="小标宋" w:hAnsi="小标宋" w:eastAsia="小标宋"/>
      <w:bCs/>
      <w:kern w:val="44"/>
      <w:sz w:val="44"/>
      <w:szCs w:val="44"/>
    </w:rPr>
  </w:style>
  <w:style w:type="paragraph" w:styleId="3">
    <w:name w:val="heading 2"/>
    <w:basedOn w:val="1"/>
    <w:next w:val="1"/>
    <w:unhideWhenUsed/>
    <w:qFormat/>
    <w:uiPriority w:val="99"/>
    <w:pPr>
      <w:keepNext/>
      <w:keepLines w:val="0"/>
      <w:spacing w:before="0" w:after="0" w:line="560" w:lineRule="exact"/>
      <w:ind w:firstLine="544" w:firstLineChars="200"/>
      <w:jc w:val="both"/>
      <w:outlineLvl w:val="1"/>
    </w:pPr>
    <w:rPr>
      <w:rFonts w:ascii="方正黑体_GBK" w:hAnsi="方正黑体_GBK" w:eastAsia="方正黑体_GBK" w:cstheme="majorBidi"/>
      <w:bCs/>
    </w:rPr>
  </w:style>
  <w:style w:type="paragraph" w:styleId="4">
    <w:name w:val="heading 3"/>
    <w:basedOn w:val="1"/>
    <w:next w:val="1"/>
    <w:unhideWhenUsed/>
    <w:qFormat/>
    <w:uiPriority w:val="99"/>
    <w:pPr>
      <w:keepNext/>
      <w:keepLines/>
      <w:spacing w:before="260" w:after="260" w:line="416" w:lineRule="auto"/>
      <w:outlineLvl w:val="2"/>
    </w:pPr>
    <w:rPr>
      <w:rFonts w:eastAsia="宋体"/>
      <w:b/>
      <w:bCs/>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99"/>
    <w:rPr>
      <w:rFonts w:ascii="等线" w:hAnsi="等线" w:eastAsia="等线" w:cs="Times New Roman"/>
    </w:rPr>
  </w:style>
  <w:style w:type="paragraph" w:styleId="6">
    <w:name w:val="Balloon Text"/>
    <w:basedOn w:val="1"/>
    <w:link w:val="19"/>
    <w:qFormat/>
    <w:uiPriority w:val="0"/>
    <w:rPr>
      <w:sz w:val="18"/>
      <w:szCs w:val="18"/>
    </w:rPr>
  </w:style>
  <w:style w:type="paragraph" w:styleId="7">
    <w:name w:val="footer"/>
    <w:basedOn w:val="1"/>
    <w:unhideWhenUsed/>
    <w:qFormat/>
    <w:uiPriority w:val="99"/>
    <w:pPr>
      <w:tabs>
        <w:tab w:val="center" w:pos="4153"/>
        <w:tab w:val="right" w:pos="8306"/>
      </w:tabs>
      <w:snapToGrid w:val="0"/>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rPr>
      <w:rFonts w:ascii="Times New Roman" w:hAnsi="Times New Roman" w:eastAsia="DFKai-SB" w:cs="Times New Roman"/>
      <w:sz w:val="28"/>
      <w:szCs w:val="20"/>
      <w:lang w:eastAsia="zh-TW"/>
    </w:rPr>
  </w:style>
  <w:style w:type="paragraph" w:styleId="10">
    <w:name w:val="toc 2"/>
    <w:basedOn w:val="1"/>
    <w:next w:val="1"/>
    <w:qFormat/>
    <w:uiPriority w:val="39"/>
    <w:pPr>
      <w:ind w:left="200" w:leftChars="200"/>
    </w:pPr>
    <w:rPr>
      <w:rFonts w:ascii="Times New Roman" w:hAnsi="Times New Roman" w:eastAsia="PMingLiUfalt" w:cs="Times New Roman"/>
      <w:sz w:val="24"/>
      <w:szCs w:val="20"/>
      <w:lang w:eastAsia="zh-TW"/>
    </w:rPr>
  </w:style>
  <w:style w:type="paragraph" w:styleId="11">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13">
    <w:name w:val="Table Grid"/>
    <w:basedOn w:val="12"/>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qFormat/>
    <w:uiPriority w:val="0"/>
    <w:rPr>
      <w:color w:val="0000FF"/>
      <w:u w:val="single"/>
    </w:rPr>
  </w:style>
  <w:style w:type="character" w:styleId="16">
    <w:name w:val="annotation reference"/>
    <w:basedOn w:val="14"/>
    <w:qFormat/>
    <w:uiPriority w:val="0"/>
    <w:rPr>
      <w:sz w:val="21"/>
      <w:szCs w:val="21"/>
    </w:rPr>
  </w:style>
  <w:style w:type="paragraph" w:styleId="17">
    <w:name w:val="List Paragraph"/>
    <w:basedOn w:val="1"/>
    <w:qFormat/>
    <w:uiPriority w:val="34"/>
    <w:pPr>
      <w:ind w:firstLine="420" w:firstLineChars="200"/>
    </w:pPr>
  </w:style>
  <w:style w:type="paragraph" w:customStyle="1" w:styleId="18">
    <w:name w:val="列出段落1"/>
    <w:basedOn w:val="1"/>
    <w:qFormat/>
    <w:uiPriority w:val="99"/>
    <w:pPr>
      <w:ind w:firstLine="420" w:firstLineChars="200"/>
    </w:pPr>
    <w:rPr>
      <w:rFonts w:ascii="Times New Roman" w:hAnsi="Times New Roman" w:eastAsia="PMingLiUfalt" w:cs="Times New Roman"/>
      <w:sz w:val="24"/>
      <w:szCs w:val="20"/>
      <w:lang w:eastAsia="zh-TW"/>
    </w:rPr>
  </w:style>
  <w:style w:type="character" w:customStyle="1" w:styleId="19">
    <w:name w:val="批注框文本 Char"/>
    <w:basedOn w:val="14"/>
    <w:link w:val="6"/>
    <w:qFormat/>
    <w:uiPriority w:val="0"/>
    <w:rPr>
      <w:rFonts w:eastAsia="仿宋_GB2312"/>
      <w:kern w:val="2"/>
      <w:sz w:val="18"/>
      <w:szCs w:val="18"/>
    </w:rPr>
  </w:style>
  <w:style w:type="character" w:customStyle="1" w:styleId="20">
    <w:name w:val="font11"/>
    <w:basedOn w:val="14"/>
    <w:qFormat/>
    <w:uiPriority w:val="0"/>
    <w:rPr>
      <w:rFonts w:hint="eastAsia" w:ascii="宋体" w:hAnsi="宋体" w:eastAsia="宋体" w:cs="宋体"/>
      <w:color w:val="FF0000"/>
      <w:sz w:val="21"/>
      <w:szCs w:val="21"/>
      <w:u w:val="none"/>
    </w:rPr>
  </w:style>
  <w:style w:type="character" w:customStyle="1" w:styleId="21">
    <w:name w:val="font51"/>
    <w:basedOn w:val="14"/>
    <w:qFormat/>
    <w:uiPriority w:val="0"/>
    <w:rPr>
      <w:rFonts w:ascii="Calibri" w:hAnsi="Calibri" w:cs="Calibri"/>
      <w:color w:val="000000"/>
      <w:sz w:val="21"/>
      <w:szCs w:val="21"/>
      <w:u w:val="none"/>
    </w:rPr>
  </w:style>
  <w:style w:type="character" w:customStyle="1" w:styleId="22">
    <w:name w:val="font41"/>
    <w:basedOn w:val="14"/>
    <w:qFormat/>
    <w:uiPriority w:val="0"/>
    <w:rPr>
      <w:rFonts w:hint="eastAsia" w:ascii="宋体" w:hAnsi="宋体" w:eastAsia="宋体" w:cs="宋体"/>
      <w:color w:val="000000"/>
      <w:sz w:val="21"/>
      <w:szCs w:val="21"/>
      <w:u w:val="none"/>
    </w:rPr>
  </w:style>
  <w:style w:type="character" w:customStyle="1" w:styleId="23">
    <w:name w:val="font31"/>
    <w:basedOn w:val="14"/>
    <w:qFormat/>
    <w:uiPriority w:val="0"/>
    <w:rPr>
      <w:rFonts w:hint="eastAsia" w:ascii="宋体" w:hAnsi="宋体" w:eastAsia="宋体" w:cs="宋体"/>
      <w:color w:val="000000"/>
      <w:sz w:val="21"/>
      <w:szCs w:val="21"/>
      <w:u w:val="none"/>
    </w:rPr>
  </w:style>
  <w:style w:type="character" w:customStyle="1" w:styleId="24">
    <w:name w:val="font71"/>
    <w:basedOn w:val="14"/>
    <w:qFormat/>
    <w:uiPriority w:val="0"/>
    <w:rPr>
      <w:rFonts w:hint="default" w:ascii="Times New Roman" w:hAnsi="Times New Roman" w:cs="Times New Roman"/>
      <w:b/>
      <w:color w:val="000000"/>
      <w:sz w:val="21"/>
      <w:szCs w:val="21"/>
      <w:u w:val="none"/>
    </w:rPr>
  </w:style>
  <w:style w:type="character" w:customStyle="1" w:styleId="25">
    <w:name w:val="font61"/>
    <w:basedOn w:val="14"/>
    <w:qFormat/>
    <w:uiPriority w:val="0"/>
    <w:rPr>
      <w:rFonts w:hint="eastAsia" w:ascii="宋体" w:hAnsi="宋体" w:eastAsia="宋体" w:cs="宋体"/>
      <w:b/>
      <w:color w:val="000000"/>
      <w:sz w:val="21"/>
      <w:szCs w:val="21"/>
      <w:u w:val="none"/>
    </w:rPr>
  </w:style>
  <w:style w:type="character" w:customStyle="1" w:styleId="26">
    <w:name w:val="font01"/>
    <w:basedOn w:val="14"/>
    <w:qFormat/>
    <w:uiPriority w:val="0"/>
    <w:rPr>
      <w:rFonts w:hint="eastAsia" w:ascii="宋体" w:hAnsi="宋体" w:eastAsia="宋体" w:cs="宋体"/>
      <w:color w:val="000000"/>
      <w:sz w:val="22"/>
      <w:szCs w:val="22"/>
      <w:u w:val="none"/>
    </w:rPr>
  </w:style>
  <w:style w:type="character" w:customStyle="1" w:styleId="27">
    <w:name w:val="font21"/>
    <w:basedOn w:val="14"/>
    <w:qFormat/>
    <w:uiPriority w:val="0"/>
    <w:rPr>
      <w:rFonts w:hint="default"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194</Pages>
  <Words>149164</Words>
  <Characters>163907</Characters>
  <Lines>1214</Lines>
  <Paragraphs>342</Paragraphs>
  <TotalTime>18</TotalTime>
  <ScaleCrop>false</ScaleCrop>
  <LinksUpToDate>false</LinksUpToDate>
  <CharactersWithSpaces>165975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2022-01-27T03:29:00Z</dcterms:created>
  <dc:creator>彭玉池</dc:creator>
  <cp:lastModifiedBy>墨北鱼</cp:lastModifiedBy>
  <dcterms:modified xsi:type="dcterms:W3CDTF">2023-07-20T00:36:47Z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993BC1E038584D2E84DBECB492BA81F4_13</vt:lpwstr>
  </property>
</Properties>
</file>