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tLeast"/>
        <w:rPr>
          <w:rFonts w:eastAsia="仿宋"/>
          <w:szCs w:val="32"/>
        </w:rPr>
      </w:pPr>
      <w:bookmarkStart w:id="0" w:name="_Hlk8033612"/>
      <w:bookmarkStart w:id="1" w:name="红头"/>
    </w:p>
    <w:p>
      <w:pPr>
        <w:widowControl/>
        <w:spacing w:line="240" w:lineRule="atLeast"/>
        <w:rPr>
          <w:rFonts w:eastAsia="仿宋"/>
          <w:szCs w:val="32"/>
        </w:rPr>
      </w:pPr>
    </w:p>
    <w:p>
      <w:pPr>
        <w:widowControl/>
        <w:spacing w:line="240" w:lineRule="atLeast"/>
        <w:rPr>
          <w:rFonts w:eastAsia="仿宋"/>
          <w:szCs w:val="32"/>
        </w:rPr>
      </w:pPr>
    </w:p>
    <w:p>
      <w:pPr>
        <w:widowControl/>
        <w:spacing w:line="240" w:lineRule="atLeast"/>
        <w:rPr>
          <w:rFonts w:eastAsia="黑体"/>
          <w:b/>
          <w:bCs/>
          <w:sz w:val="44"/>
          <w:szCs w:val="44"/>
        </w:rPr>
      </w:pPr>
    </w:p>
    <w:p>
      <w:pPr>
        <w:widowControl/>
        <w:spacing w:line="240" w:lineRule="atLeast"/>
        <w:rPr>
          <w:rFonts w:eastAsia="黑体"/>
          <w:b/>
          <w:bCs/>
          <w:sz w:val="48"/>
          <w:szCs w:val="48"/>
        </w:rPr>
      </w:pPr>
    </w:p>
    <w:p>
      <w:pPr>
        <w:widowControl/>
        <w:spacing w:line="240" w:lineRule="atLeast"/>
        <w:rPr>
          <w:rFonts w:eastAsia="仿宋"/>
          <w:b/>
          <w:bCs/>
          <w:szCs w:val="32"/>
        </w:rPr>
      </w:pPr>
    </w:p>
    <w:p>
      <w:pPr>
        <w:widowControl/>
        <w:spacing w:line="240" w:lineRule="atLeast"/>
        <w:rPr>
          <w:rFonts w:eastAsia="仿宋"/>
          <w:b/>
          <w:bCs/>
          <w:szCs w:val="32"/>
        </w:rPr>
      </w:pPr>
    </w:p>
    <w:p>
      <w:pPr>
        <w:widowControl/>
        <w:spacing w:before="240" w:line="480" w:lineRule="auto"/>
        <w:jc w:val="center"/>
        <w:rPr>
          <w:rFonts w:eastAsia="宋体"/>
          <w:b/>
          <w:bCs/>
          <w:sz w:val="44"/>
          <w:szCs w:val="44"/>
        </w:rPr>
      </w:pPr>
      <w:r>
        <w:rPr>
          <w:rFonts w:hint="eastAsia" w:eastAsia="宋体"/>
          <w:b/>
          <w:bCs/>
          <w:sz w:val="44"/>
          <w:szCs w:val="44"/>
        </w:rPr>
        <w:t>国家二级公立中医医院绩效考核操作手册</w:t>
      </w:r>
    </w:p>
    <w:p>
      <w:pPr>
        <w:widowControl/>
        <w:spacing w:before="240" w:line="480" w:lineRule="auto"/>
        <w:jc w:val="center"/>
        <w:rPr>
          <w:rFonts w:eastAsia="宋体"/>
          <w:b/>
          <w:bCs/>
          <w:sz w:val="44"/>
          <w:szCs w:val="44"/>
        </w:rPr>
      </w:pPr>
      <w:r>
        <w:rPr>
          <w:rFonts w:hint="eastAsia" w:eastAsia="宋体"/>
          <w:b/>
          <w:bCs/>
          <w:sz w:val="44"/>
          <w:szCs w:val="44"/>
        </w:rPr>
        <w:t>（2023</w:t>
      </w:r>
      <w:r>
        <w:rPr>
          <w:rFonts w:eastAsia="宋体"/>
          <w:b/>
          <w:bCs/>
          <w:sz w:val="44"/>
          <w:szCs w:val="44"/>
        </w:rPr>
        <w:t>版</w:t>
      </w:r>
      <w:r>
        <w:rPr>
          <w:rFonts w:hint="eastAsia" w:eastAsia="宋体"/>
          <w:b/>
          <w:bCs/>
          <w:sz w:val="44"/>
          <w:szCs w:val="44"/>
        </w:rPr>
        <w:t>）</w:t>
      </w:r>
    </w:p>
    <w:p>
      <w:pPr>
        <w:widowControl/>
        <w:spacing w:before="240" w:line="480" w:lineRule="auto"/>
        <w:jc w:val="center"/>
        <w:rPr>
          <w:rFonts w:hint="eastAsia" w:eastAsia="黑体"/>
          <w:b/>
          <w:bCs/>
          <w:szCs w:val="32"/>
          <w:lang w:val="en-US" w:eastAsia="zh-CN"/>
        </w:rPr>
      </w:pPr>
    </w:p>
    <w:p>
      <w:pPr>
        <w:widowControl/>
        <w:spacing w:line="240" w:lineRule="atLeast"/>
        <w:jc w:val="center"/>
        <w:rPr>
          <w:rFonts w:eastAsia="楷体"/>
          <w:b/>
          <w:bCs/>
          <w:szCs w:val="32"/>
        </w:rPr>
      </w:pPr>
    </w:p>
    <w:p>
      <w:pPr>
        <w:widowControl/>
        <w:spacing w:line="240" w:lineRule="atLeast"/>
        <w:jc w:val="center"/>
        <w:rPr>
          <w:rFonts w:eastAsia="仿宋"/>
          <w:b/>
          <w:bCs/>
          <w:szCs w:val="32"/>
        </w:rPr>
      </w:pPr>
    </w:p>
    <w:p>
      <w:pPr>
        <w:widowControl/>
        <w:spacing w:line="240" w:lineRule="atLeast"/>
        <w:jc w:val="center"/>
        <w:rPr>
          <w:rFonts w:eastAsia="仿宋"/>
          <w:b/>
          <w:bCs/>
          <w:szCs w:val="32"/>
        </w:rPr>
      </w:pPr>
    </w:p>
    <w:p>
      <w:pPr>
        <w:widowControl/>
        <w:spacing w:line="240" w:lineRule="atLeast"/>
        <w:jc w:val="center"/>
        <w:rPr>
          <w:rFonts w:eastAsia="仿宋"/>
          <w:b/>
          <w:bCs/>
          <w:szCs w:val="32"/>
        </w:rPr>
      </w:pPr>
    </w:p>
    <w:p>
      <w:pPr>
        <w:widowControl/>
        <w:spacing w:line="240" w:lineRule="atLeast"/>
        <w:jc w:val="center"/>
        <w:rPr>
          <w:rFonts w:eastAsia="仿宋"/>
          <w:b/>
          <w:bCs/>
          <w:szCs w:val="32"/>
        </w:rPr>
      </w:pPr>
    </w:p>
    <w:p>
      <w:pPr>
        <w:widowControl/>
        <w:spacing w:line="240" w:lineRule="atLeast"/>
        <w:jc w:val="center"/>
        <w:rPr>
          <w:rFonts w:eastAsia="仿宋"/>
          <w:b/>
          <w:bCs/>
          <w:szCs w:val="32"/>
        </w:rPr>
      </w:pPr>
    </w:p>
    <w:p>
      <w:pPr>
        <w:widowControl/>
        <w:spacing w:line="240" w:lineRule="atLeast"/>
        <w:jc w:val="center"/>
        <w:rPr>
          <w:rFonts w:eastAsia="仿宋"/>
          <w:b/>
          <w:bCs/>
          <w:szCs w:val="32"/>
        </w:rPr>
      </w:pPr>
    </w:p>
    <w:p>
      <w:pPr>
        <w:widowControl/>
        <w:spacing w:line="360" w:lineRule="auto"/>
        <w:jc w:val="center"/>
        <w:rPr>
          <w:bCs/>
          <w:szCs w:val="32"/>
        </w:rPr>
      </w:pPr>
      <w:r>
        <w:rPr>
          <w:rFonts w:hint="eastAsia"/>
          <w:bCs/>
          <w:szCs w:val="32"/>
        </w:rPr>
        <w:t>国家中医药管理局</w:t>
      </w:r>
    </w:p>
    <w:p>
      <w:pPr>
        <w:widowControl/>
        <w:spacing w:line="360" w:lineRule="auto"/>
        <w:jc w:val="center"/>
        <w:rPr>
          <w:bCs/>
          <w:szCs w:val="32"/>
        </w:rPr>
      </w:pPr>
      <w:r>
        <w:rPr>
          <w:rFonts w:hint="eastAsia"/>
          <w:bCs/>
          <w:szCs w:val="32"/>
        </w:rPr>
        <w:t>2023年</w:t>
      </w:r>
      <w:r>
        <w:rPr>
          <w:rFonts w:hint="eastAsia"/>
          <w:bCs/>
          <w:szCs w:val="32"/>
          <w:lang w:val="en-US" w:eastAsia="zh-CN"/>
        </w:rPr>
        <w:t>4</w:t>
      </w:r>
      <w:r>
        <w:rPr>
          <w:rFonts w:hint="eastAsia"/>
          <w:bCs/>
          <w:szCs w:val="32"/>
        </w:rPr>
        <w:t>月</w:t>
      </w:r>
    </w:p>
    <w:p>
      <w:pPr>
        <w:jc w:val="center"/>
        <w:rPr>
          <w:rFonts w:eastAsia="宋体"/>
          <w:b/>
          <w:sz w:val="21"/>
          <w:szCs w:val="22"/>
        </w:rPr>
      </w:pPr>
      <w:bookmarkStart w:id="2" w:name="_Toc409979803"/>
      <w:bookmarkStart w:id="3" w:name="_Toc395861279"/>
      <w:bookmarkStart w:id="4" w:name="_Toc491952863"/>
      <w:bookmarkStart w:id="5" w:name="_Toc395861189"/>
      <w:bookmarkStart w:id="6" w:name="_Toc448159843"/>
      <w:r>
        <w:rPr>
          <w:rFonts w:hint="eastAsia" w:eastAsia="宋体"/>
          <w:b/>
          <w:sz w:val="44"/>
          <w:szCs w:val="44"/>
        </w:rPr>
        <w:br w:type="page"/>
      </w:r>
      <w:r>
        <w:rPr>
          <w:rFonts w:hint="eastAsia" w:eastAsia="宋体"/>
          <w:b/>
          <w:sz w:val="44"/>
          <w:szCs w:val="44"/>
        </w:rPr>
        <w:t xml:space="preserve">前 </w:t>
      </w:r>
      <w:r>
        <w:rPr>
          <w:rFonts w:eastAsia="宋体"/>
          <w:b/>
          <w:sz w:val="44"/>
          <w:szCs w:val="44"/>
        </w:rPr>
        <w:t xml:space="preserve"> </w:t>
      </w:r>
      <w:r>
        <w:rPr>
          <w:rFonts w:hint="eastAsia" w:eastAsia="宋体"/>
          <w:b/>
          <w:sz w:val="44"/>
          <w:szCs w:val="44"/>
        </w:rPr>
        <w:t>言</w:t>
      </w:r>
      <w:bookmarkEnd w:id="2"/>
      <w:bookmarkEnd w:id="3"/>
      <w:bookmarkEnd w:id="4"/>
      <w:bookmarkEnd w:id="5"/>
    </w:p>
    <w:p>
      <w:pPr>
        <w:adjustRightInd w:val="0"/>
        <w:spacing w:line="600" w:lineRule="exact"/>
        <w:ind w:firstLine="640" w:firstLineChars="200"/>
        <w:rPr>
          <w:rFonts w:ascii="仿宋_GB2312" w:hAnsi="仿宋"/>
          <w:szCs w:val="32"/>
        </w:rPr>
      </w:pPr>
      <w:r>
        <w:rPr>
          <w:rFonts w:hint="eastAsia" w:ascii="仿宋_GB2312" w:hAnsi="仿宋"/>
          <w:szCs w:val="32"/>
        </w:rPr>
        <w:t>为</w:t>
      </w:r>
      <w:r>
        <w:rPr>
          <w:rFonts w:hint="eastAsia" w:ascii="仿宋_GB2312"/>
          <w:szCs w:val="32"/>
        </w:rPr>
        <w:t>持续深入贯彻</w:t>
      </w:r>
      <w:r>
        <w:rPr>
          <w:rFonts w:hint="eastAsia" w:ascii="仿宋_GB2312" w:hAnsi="仿宋"/>
          <w:szCs w:val="32"/>
        </w:rPr>
        <w:t>落实《关于加强二级公立医院绩效考核工作的通知》（国卫办医发〔2019〕23号）</w:t>
      </w:r>
      <w:r>
        <w:rPr>
          <w:rFonts w:hint="eastAsia" w:ascii="仿宋_GB2312"/>
          <w:szCs w:val="32"/>
        </w:rPr>
        <w:t>要求</w:t>
      </w:r>
      <w:r>
        <w:rPr>
          <w:rFonts w:hint="eastAsia" w:ascii="仿宋_GB2312" w:hAnsi="仿宋"/>
          <w:szCs w:val="32"/>
        </w:rPr>
        <w:t>，保证二级公立中医医院绩效考核工作规范化、标准化、同质化，在专家研讨、专题论证的基础上，结合最新政策文件，对《国家二级公立中医医院绩效考核操作手册（2</w:t>
      </w:r>
      <w:r>
        <w:rPr>
          <w:rFonts w:ascii="仿宋_GB2312" w:hAnsi="仿宋"/>
          <w:szCs w:val="32"/>
        </w:rPr>
        <w:t>02</w:t>
      </w:r>
      <w:r>
        <w:rPr>
          <w:rFonts w:hint="eastAsia" w:ascii="仿宋_GB2312" w:hAnsi="仿宋"/>
          <w:szCs w:val="32"/>
        </w:rPr>
        <w:t>2版）》（以下简称《操作手册（2</w:t>
      </w:r>
      <w:r>
        <w:rPr>
          <w:rFonts w:ascii="仿宋_GB2312" w:hAnsi="仿宋"/>
          <w:szCs w:val="32"/>
        </w:rPr>
        <w:t>02</w:t>
      </w:r>
      <w:r>
        <w:rPr>
          <w:rFonts w:hint="eastAsia" w:ascii="仿宋_GB2312" w:hAnsi="仿宋"/>
          <w:szCs w:val="32"/>
        </w:rPr>
        <w:t>2版）》）进行部分修订，</w:t>
      </w:r>
      <w:r>
        <w:rPr>
          <w:rFonts w:hint="eastAsia" w:ascii="仿宋_GB2312"/>
          <w:szCs w:val="32"/>
        </w:rPr>
        <w:t>形成《国家二级公立中医医院绩效考核操作手册（2023版）》。现将有关情况说明如下：</w:t>
      </w:r>
    </w:p>
    <w:p>
      <w:pPr>
        <w:spacing w:line="600" w:lineRule="exact"/>
        <w:ind w:firstLine="640" w:firstLineChars="200"/>
        <w:rPr>
          <w:rFonts w:ascii="黑体" w:hAnsi="宋体" w:eastAsia="黑体" w:cs="黑体"/>
          <w:bCs/>
          <w:szCs w:val="32"/>
        </w:rPr>
      </w:pPr>
      <w:r>
        <w:rPr>
          <w:rFonts w:hint="eastAsia" w:ascii="黑体" w:hAnsi="宋体" w:eastAsia="黑体" w:cs="黑体"/>
          <w:bCs/>
          <w:szCs w:val="32"/>
        </w:rPr>
        <w:t>一、</w:t>
      </w:r>
      <w:r>
        <w:rPr>
          <w:rFonts w:ascii="黑体" w:hAnsi="宋体" w:eastAsia="黑体" w:cs="黑体"/>
          <w:bCs/>
          <w:szCs w:val="32"/>
        </w:rPr>
        <w:t>修订</w:t>
      </w:r>
      <w:r>
        <w:rPr>
          <w:rFonts w:hint="eastAsia" w:ascii="黑体" w:hAnsi="宋体" w:eastAsia="黑体" w:cs="黑体"/>
          <w:bCs/>
          <w:szCs w:val="32"/>
        </w:rPr>
        <w:t>背景</w:t>
      </w:r>
    </w:p>
    <w:p>
      <w:pPr>
        <w:spacing w:line="600" w:lineRule="exact"/>
        <w:ind w:firstLine="640" w:firstLineChars="200"/>
        <w:rPr>
          <w:rFonts w:ascii="仿宋_GB2312"/>
          <w:szCs w:val="32"/>
        </w:rPr>
      </w:pPr>
      <w:r>
        <w:rPr>
          <w:rFonts w:hint="eastAsia" w:ascii="仿宋_GB2312" w:hAnsi="仿宋" w:cs="仿宋"/>
          <w:szCs w:val="32"/>
        </w:rPr>
        <w:t>根据实地调研情况、各省和各中医医院提出的意见建议、文件更新及实际操作中发现的问题，迫切需要进一步完善考核操作手册，优化、细化操作手册中指标解释及文字表述，为绩效考核工作提供精准、有效的参考依据。</w:t>
      </w:r>
    </w:p>
    <w:p>
      <w:pPr>
        <w:widowControl/>
        <w:spacing w:line="600" w:lineRule="exact"/>
        <w:ind w:firstLine="640" w:firstLineChars="200"/>
        <w:rPr>
          <w:rFonts w:eastAsia="黑体"/>
          <w:szCs w:val="32"/>
        </w:rPr>
      </w:pPr>
      <w:r>
        <w:rPr>
          <w:rFonts w:hint="eastAsia" w:eastAsia="黑体"/>
          <w:szCs w:val="32"/>
        </w:rPr>
        <w:t>二、修订原则</w:t>
      </w:r>
    </w:p>
    <w:p>
      <w:pPr>
        <w:widowControl/>
        <w:spacing w:line="600" w:lineRule="exact"/>
        <w:ind w:firstLine="640" w:firstLineChars="200"/>
        <w:rPr>
          <w:szCs w:val="32"/>
        </w:rPr>
      </w:pPr>
      <w:r>
        <w:rPr>
          <w:rFonts w:hint="eastAsia" w:ascii="仿宋" w:hAnsi="仿宋" w:eastAsia="仿宋" w:cs="楷体"/>
          <w:b/>
          <w:bCs/>
          <w:color w:val="000000"/>
          <w:kern w:val="2"/>
          <w:szCs w:val="32"/>
          <w:lang w:bidi="ar"/>
        </w:rPr>
        <w:t>（一）稳定性。</w:t>
      </w:r>
      <w:r>
        <w:rPr>
          <w:rFonts w:hint="eastAsia" w:ascii="仿宋_GB2312"/>
          <w:szCs w:val="32"/>
        </w:rPr>
        <w:t>延续《操作手册（2022版）》中明确的绩效考核范围、指标架构和顺序</w:t>
      </w:r>
      <w:r>
        <w:rPr>
          <w:rFonts w:hint="eastAsia" w:ascii="仿宋_GB2312"/>
          <w:szCs w:val="32"/>
          <w:lang w:eastAsia="zh-CN"/>
        </w:rPr>
        <w:t>，</w:t>
      </w:r>
      <w:r>
        <w:rPr>
          <w:rFonts w:hint="eastAsia" w:ascii="仿宋_GB2312"/>
          <w:szCs w:val="32"/>
        </w:rPr>
        <w:t>指标名称、指标属性、计算公式、指标来源和指标导向等内容基本不变。</w:t>
      </w:r>
    </w:p>
    <w:p>
      <w:pPr>
        <w:widowControl/>
        <w:spacing w:line="600" w:lineRule="exact"/>
        <w:ind w:firstLine="640" w:firstLineChars="200"/>
        <w:rPr>
          <w:szCs w:val="32"/>
        </w:rPr>
      </w:pPr>
      <w:r>
        <w:rPr>
          <w:rFonts w:hint="eastAsia" w:ascii="仿宋" w:hAnsi="仿宋" w:eastAsia="仿宋" w:cs="楷体"/>
          <w:b/>
          <w:bCs/>
          <w:color w:val="000000"/>
          <w:kern w:val="2"/>
          <w:szCs w:val="32"/>
          <w:lang w:bidi="ar"/>
        </w:rPr>
        <w:t>（二）统一性。</w:t>
      </w:r>
      <w:r>
        <w:rPr>
          <w:rFonts w:hint="eastAsia"/>
          <w:szCs w:val="32"/>
        </w:rPr>
        <w:t>为规范数据采集，统一指标说明、指标意义和相同数据的统计口径。</w:t>
      </w:r>
    </w:p>
    <w:p>
      <w:pPr>
        <w:widowControl/>
        <w:spacing w:line="600" w:lineRule="exact"/>
        <w:ind w:firstLine="640" w:firstLineChars="200"/>
        <w:rPr>
          <w:szCs w:val="32"/>
        </w:rPr>
      </w:pPr>
      <w:r>
        <w:rPr>
          <w:rFonts w:hint="eastAsia" w:ascii="仿宋" w:hAnsi="仿宋" w:eastAsia="仿宋" w:cs="楷体"/>
          <w:b/>
          <w:bCs/>
          <w:color w:val="000000"/>
          <w:kern w:val="2"/>
          <w:szCs w:val="32"/>
          <w:lang w:bidi="ar"/>
        </w:rPr>
        <w:t>（三）准确性。</w:t>
      </w:r>
      <w:r>
        <w:rPr>
          <w:rFonts w:hint="eastAsia" w:ascii="仿宋_GB2312"/>
          <w:szCs w:val="32"/>
        </w:rPr>
        <w:t>确认有关指标定义、指标说明和指标意义中涉及的数字、年份、内容、依据和脚注等，</w:t>
      </w:r>
      <w:r>
        <w:rPr>
          <w:rFonts w:hint="eastAsia" w:ascii="仿宋_GB2312"/>
          <w:szCs w:val="28"/>
          <w:shd w:val="clear" w:color="auto" w:fill="FFFFFF"/>
        </w:rPr>
        <w:t>以最新政策文件</w:t>
      </w:r>
      <w:r>
        <w:rPr>
          <w:rFonts w:hint="eastAsia"/>
          <w:szCs w:val="32"/>
        </w:rPr>
        <w:t>和《国家卫生健康统计调查制度》</w:t>
      </w:r>
      <w:r>
        <w:rPr>
          <w:rFonts w:hint="eastAsia" w:ascii="仿宋_GB2312"/>
          <w:szCs w:val="28"/>
          <w:shd w:val="clear" w:color="auto" w:fill="FFFFFF"/>
        </w:rPr>
        <w:t>为依据对其进行补充完善，保证权威性和准确性。</w:t>
      </w:r>
    </w:p>
    <w:p>
      <w:pPr>
        <w:widowControl/>
        <w:spacing w:line="600" w:lineRule="exact"/>
        <w:ind w:firstLine="640" w:firstLineChars="200"/>
        <w:rPr>
          <w:szCs w:val="32"/>
        </w:rPr>
      </w:pPr>
      <w:r>
        <w:rPr>
          <w:rFonts w:hint="eastAsia" w:ascii="仿宋" w:hAnsi="仿宋" w:eastAsia="仿宋" w:cs="楷体"/>
          <w:b/>
          <w:bCs/>
          <w:color w:val="000000"/>
          <w:kern w:val="2"/>
          <w:szCs w:val="32"/>
          <w:lang w:bidi="ar"/>
        </w:rPr>
        <w:t>（四）简洁性。</w:t>
      </w:r>
      <w:r>
        <w:rPr>
          <w:rFonts w:hint="eastAsia"/>
          <w:szCs w:val="32"/>
        </w:rPr>
        <w:t>修订文字表述，将需要阐明的概念以脚注形式标注，使“指标说明”更直接清晰，便于使用者查找核对。</w:t>
      </w:r>
    </w:p>
    <w:p>
      <w:pPr>
        <w:spacing w:line="600" w:lineRule="exact"/>
        <w:ind w:firstLine="640" w:firstLineChars="200"/>
        <w:rPr>
          <w:rFonts w:eastAsia="黑体"/>
          <w:bCs/>
          <w:szCs w:val="32"/>
        </w:rPr>
      </w:pPr>
      <w:r>
        <w:rPr>
          <w:rFonts w:hint="eastAsia" w:eastAsia="黑体"/>
          <w:bCs/>
          <w:szCs w:val="32"/>
        </w:rPr>
        <w:t>三、修订内容</w:t>
      </w:r>
    </w:p>
    <w:p>
      <w:pPr>
        <w:overflowPunct w:val="0"/>
        <w:spacing w:line="360" w:lineRule="auto"/>
        <w:ind w:firstLine="640" w:firstLineChars="200"/>
        <w:rPr>
          <w:rFonts w:ascii="仿宋_GB2312" w:hAnsi="仿宋"/>
          <w:color w:val="000000" w:themeColor="text1"/>
          <w:szCs w:val="32"/>
          <w14:textFill>
            <w14:solidFill>
              <w14:schemeClr w14:val="tx1"/>
            </w14:solidFill>
          </w14:textFill>
        </w:rPr>
      </w:pPr>
      <w:r>
        <w:rPr>
          <w:rFonts w:hint="eastAsia" w:ascii="仿宋" w:hAnsi="仿宋" w:eastAsia="仿宋" w:cs="楷体"/>
          <w:b/>
          <w:bCs/>
          <w:color w:val="000000"/>
          <w:szCs w:val="32"/>
          <w:lang w:bidi="ar"/>
        </w:rPr>
        <w:t>（一）补充及更新相关政策文件。</w:t>
      </w:r>
      <w:r>
        <w:rPr>
          <w:rFonts w:hint="eastAsia" w:ascii="仿宋_GB2312" w:hAnsi="仿宋"/>
          <w:color w:val="000000" w:themeColor="text1"/>
          <w:szCs w:val="32"/>
          <w:lang w:bidi="ar"/>
          <w14:textFill>
            <w14:solidFill>
              <w14:schemeClr w14:val="tx1"/>
            </w14:solidFill>
          </w14:textFill>
        </w:rPr>
        <w:t>将最新规范性文件作为指标意义的依据，如加入</w:t>
      </w:r>
      <w:r>
        <w:rPr>
          <w:rFonts w:hint="eastAsia" w:ascii="仿宋_GB2312" w:hAnsi="仿宋"/>
          <w:szCs w:val="28"/>
          <w:shd w:val="clear" w:color="auto" w:fill="FFFFFF"/>
        </w:rPr>
        <w:t>国务院办公厅《关于印发“十四五”中医药发展规划的通知》（国办发〔2022〕5号）、《国家中医药管理局关于印发“十四五”中医药信息化发展规划的通知》（国中医药规财函〔2022〕238号）、国家中医药局 教育部 人力资源社会保障部 国家卫生健康委《关于加强新时代中医药人才工作的意见》（国中医药人教发〔2022〕4号）、国家中医药管理局《关于印发“十四五”中医药人才发展规划的通知》（国中医药人教〔2022〕7号）、国家卫生健康委关于印发《三级医院评审标准（2022年版）》及其实施细则的通知(国卫医政发〔2022〕31号)、《国家卫生健康委办公厅关于印发医疗机构手术分级管理办法的通知》（国卫办医政发〔2022〕18号）、《“十四五”卫生健康人才发展规划》（国卫人发〔</w:t>
      </w:r>
      <w:r>
        <w:rPr>
          <w:rFonts w:ascii="仿宋_GB2312" w:hAnsi="仿宋"/>
          <w:szCs w:val="28"/>
          <w:shd w:val="clear" w:color="auto" w:fill="FFFFFF"/>
        </w:rPr>
        <w:t>2022</w:t>
      </w:r>
      <w:r>
        <w:rPr>
          <w:rFonts w:hint="eastAsia" w:ascii="仿宋_GB2312" w:hAnsi="仿宋"/>
          <w:szCs w:val="28"/>
          <w:shd w:val="clear" w:color="auto" w:fill="FFFFFF"/>
        </w:rPr>
        <w:t>〕</w:t>
      </w:r>
      <w:r>
        <w:rPr>
          <w:rFonts w:ascii="仿宋_GB2312" w:hAnsi="仿宋"/>
          <w:szCs w:val="28"/>
          <w:shd w:val="clear" w:color="auto" w:fill="FFFFFF"/>
        </w:rPr>
        <w:t>27</w:t>
      </w:r>
      <w:r>
        <w:rPr>
          <w:rFonts w:hint="eastAsia" w:ascii="仿宋_GB2312" w:hAnsi="仿宋"/>
          <w:szCs w:val="28"/>
          <w:shd w:val="clear" w:color="auto" w:fill="FFFFFF"/>
        </w:rPr>
        <w:t>号）、《关于在全国范围内持续开展“公立医疗机构经济管理年”活动的通知》（国卫财务函〔2022〕72号）</w:t>
      </w:r>
      <w:r>
        <w:rPr>
          <w:rFonts w:hint="eastAsia" w:ascii="仿宋_GB2312" w:hAnsi="仿宋"/>
          <w:color w:val="000000" w:themeColor="text1"/>
          <w:szCs w:val="32"/>
          <w14:textFill>
            <w14:solidFill>
              <w14:schemeClr w14:val="tx1"/>
            </w14:solidFill>
          </w14:textFill>
        </w:rPr>
        <w:t>等文件。涉及指标3-4、</w:t>
      </w:r>
      <w:r>
        <w:rPr>
          <w:rFonts w:hint="eastAsia" w:ascii="仿宋_GB2312" w:hAnsi="仿宋"/>
          <w:color w:val="000000" w:themeColor="text1"/>
          <w:szCs w:val="32"/>
          <w:lang w:val="en-US" w:eastAsia="zh-CN"/>
          <w14:textFill>
            <w14:solidFill>
              <w14:schemeClr w14:val="tx1"/>
            </w14:solidFill>
          </w14:textFill>
        </w:rPr>
        <w:t>6、</w:t>
      </w:r>
      <w:r>
        <w:rPr>
          <w:rFonts w:hint="eastAsia" w:ascii="仿宋_GB2312" w:hAnsi="仿宋"/>
          <w:color w:val="000000" w:themeColor="text1"/>
          <w:szCs w:val="32"/>
          <w14:textFill>
            <w14:solidFill>
              <w14:schemeClr w14:val="tx1"/>
            </w14:solidFill>
          </w14:textFill>
        </w:rPr>
        <w:t>7、14-15、20、23、28、30、32共1</w:t>
      </w:r>
      <w:r>
        <w:rPr>
          <w:rFonts w:hint="eastAsia" w:ascii="仿宋_GB2312" w:hAnsi="仿宋"/>
          <w:color w:val="000000" w:themeColor="text1"/>
          <w:szCs w:val="32"/>
          <w:lang w:val="en-US" w:eastAsia="zh-CN"/>
          <w14:textFill>
            <w14:solidFill>
              <w14:schemeClr w14:val="tx1"/>
            </w14:solidFill>
          </w14:textFill>
        </w:rPr>
        <w:t>1</w:t>
      </w:r>
      <w:r>
        <w:rPr>
          <w:rFonts w:hint="eastAsia" w:ascii="仿宋_GB2312" w:hAnsi="仿宋"/>
          <w:color w:val="000000" w:themeColor="text1"/>
          <w:szCs w:val="32"/>
          <w14:textFill>
            <w14:solidFill>
              <w14:schemeClr w14:val="tx1"/>
            </w14:solidFill>
          </w14:textFill>
        </w:rPr>
        <w:t>个指标。</w:t>
      </w:r>
    </w:p>
    <w:p>
      <w:pPr>
        <w:widowControl/>
        <w:shd w:val="clear" w:color="auto" w:fill="FFFFFF"/>
        <w:spacing w:line="600" w:lineRule="exact"/>
        <w:ind w:firstLine="627" w:firstLineChars="196"/>
        <w:outlineLvl w:val="1"/>
        <w:rPr>
          <w:rFonts w:ascii="仿宋_GB2312" w:hAnsi="仿宋"/>
          <w:szCs w:val="28"/>
          <w:shd w:val="clear" w:color="auto" w:fill="FFFFFF"/>
        </w:rPr>
      </w:pPr>
      <w:r>
        <w:rPr>
          <w:rFonts w:hint="eastAsia" w:ascii="仿宋" w:hAnsi="仿宋" w:eastAsia="仿宋" w:cs="楷体"/>
          <w:b/>
          <w:bCs/>
          <w:color w:val="000000"/>
          <w:szCs w:val="32"/>
          <w:lang w:bidi="ar"/>
        </w:rPr>
        <w:t>（二）</w:t>
      </w:r>
      <w:r>
        <w:rPr>
          <w:rFonts w:hint="eastAsia" w:ascii="仿宋" w:hAnsi="仿宋" w:eastAsia="仿宋" w:cs="楷体_GB2312"/>
          <w:b/>
          <w:bCs/>
          <w:color w:val="000000"/>
          <w:kern w:val="0"/>
          <w:szCs w:val="32"/>
          <w:lang w:bidi="ar"/>
        </w:rPr>
        <w:t>进一步</w:t>
      </w:r>
      <w:r>
        <w:rPr>
          <w:rFonts w:hint="eastAsia" w:ascii="仿宋" w:hAnsi="仿宋" w:eastAsia="仿宋" w:cs="楷体"/>
          <w:b/>
          <w:bCs/>
          <w:color w:val="000000"/>
          <w:szCs w:val="32"/>
          <w:lang w:bidi="ar"/>
        </w:rPr>
        <w:t>明确指标内涵</w:t>
      </w:r>
      <w:r>
        <w:rPr>
          <w:rFonts w:hint="eastAsia" w:ascii="仿宋" w:hAnsi="仿宋" w:eastAsia="仿宋" w:cs="仿宋"/>
          <w:color w:val="000000"/>
          <w:szCs w:val="32"/>
          <w:lang w:bidi="ar"/>
        </w:rPr>
        <w:t>。</w:t>
      </w:r>
      <w:r>
        <w:rPr>
          <w:rFonts w:hint="eastAsia" w:ascii="仿宋_GB2312" w:hAnsi="仿宋"/>
          <w:szCs w:val="28"/>
          <w:shd w:val="clear" w:color="auto" w:fill="FFFFFF"/>
        </w:rPr>
        <w:t>根据医院在填报中提出的相关问题，</w:t>
      </w:r>
      <w:r>
        <w:rPr>
          <w:rFonts w:ascii="黑体" w:hAnsi="黑体" w:eastAsia="黑体"/>
          <w:bCs/>
          <w:szCs w:val="28"/>
          <w:shd w:val="clear" w:color="auto" w:fill="FFFFFF"/>
        </w:rPr>
        <w:t>一是</w:t>
      </w:r>
      <w:r>
        <w:rPr>
          <w:rFonts w:hint="eastAsia" w:ascii="仿宋_GB2312" w:hAnsi="仿宋"/>
          <w:szCs w:val="28"/>
          <w:shd w:val="clear" w:color="auto" w:fill="FFFFFF"/>
        </w:rPr>
        <w:t>指标3完善民族医医院指标说明。</w:t>
      </w:r>
      <w:r>
        <w:rPr>
          <w:rFonts w:ascii="黑体" w:hAnsi="黑体" w:eastAsia="黑体"/>
          <w:szCs w:val="28"/>
          <w:shd w:val="clear" w:color="auto" w:fill="FFFFFF"/>
        </w:rPr>
        <w:t>二是</w:t>
      </w:r>
      <w:r>
        <w:rPr>
          <w:rFonts w:ascii="仿宋_GB2312" w:hAnsi="仿宋"/>
          <w:szCs w:val="28"/>
          <w:shd w:val="clear" w:color="auto" w:fill="FFFFFF"/>
        </w:rPr>
        <w:t>根据工作情况，进一步</w:t>
      </w:r>
      <w:r>
        <w:rPr>
          <w:rFonts w:hint="eastAsia" w:ascii="仿宋_GB2312" w:hAnsi="仿宋"/>
          <w:szCs w:val="28"/>
          <w:shd w:val="clear" w:color="auto" w:fill="FFFFFF"/>
        </w:rPr>
        <w:t>修订</w:t>
      </w:r>
      <w:r>
        <w:rPr>
          <w:rFonts w:ascii="仿宋_GB2312" w:hAnsi="仿宋"/>
          <w:szCs w:val="28"/>
          <w:shd w:val="clear" w:color="auto" w:fill="FFFFFF"/>
        </w:rPr>
        <w:t>指标说明，涉</w:t>
      </w:r>
      <w:bookmarkStart w:id="49" w:name="_GoBack"/>
      <w:bookmarkEnd w:id="49"/>
      <w:r>
        <w:rPr>
          <w:rFonts w:ascii="仿宋_GB2312" w:hAnsi="仿宋"/>
          <w:szCs w:val="28"/>
          <w:shd w:val="clear" w:color="auto" w:fill="FFFFFF"/>
        </w:rPr>
        <w:t>及指标</w:t>
      </w:r>
      <w:r>
        <w:rPr>
          <w:rFonts w:hint="eastAsia" w:ascii="仿宋_GB2312" w:hAnsi="仿宋"/>
          <w:szCs w:val="28"/>
          <w:shd w:val="clear" w:color="auto" w:fill="FFFFFF"/>
          <w:lang w:val="en-US" w:eastAsia="zh-CN"/>
        </w:rPr>
        <w:t>3、</w:t>
      </w:r>
      <w:r>
        <w:rPr>
          <w:rFonts w:hint="eastAsia" w:ascii="仿宋_GB2312" w:hAnsi="仿宋"/>
          <w:szCs w:val="28"/>
          <w:shd w:val="clear" w:color="auto" w:fill="FFFFFF"/>
        </w:rPr>
        <w:t>6-7、10-11、19</w:t>
      </w:r>
      <w:r>
        <w:rPr>
          <w:rFonts w:hint="eastAsia" w:ascii="仿宋_GB2312" w:hAnsi="仿宋"/>
          <w:szCs w:val="28"/>
          <w:shd w:val="clear" w:color="auto" w:fill="FFFFFF"/>
          <w:lang w:eastAsia="zh-CN"/>
        </w:rPr>
        <w:t>、</w:t>
      </w:r>
      <w:r>
        <w:rPr>
          <w:rFonts w:hint="eastAsia" w:ascii="仿宋_GB2312" w:hAnsi="仿宋"/>
          <w:szCs w:val="28"/>
          <w:shd w:val="clear" w:color="auto" w:fill="FFFFFF"/>
          <w:lang w:val="en-US" w:eastAsia="zh-CN"/>
        </w:rPr>
        <w:t>21</w:t>
      </w:r>
      <w:r>
        <w:rPr>
          <w:rFonts w:ascii="仿宋_GB2312" w:hAnsi="仿宋"/>
          <w:szCs w:val="28"/>
          <w:shd w:val="clear" w:color="auto" w:fill="FFFFFF"/>
        </w:rPr>
        <w:t>共</w:t>
      </w:r>
      <w:r>
        <w:rPr>
          <w:rFonts w:hint="eastAsia" w:ascii="仿宋_GB2312" w:hAnsi="仿宋"/>
          <w:szCs w:val="28"/>
          <w:shd w:val="clear" w:color="auto" w:fill="FFFFFF"/>
          <w:lang w:val="en-US" w:eastAsia="zh-CN"/>
        </w:rPr>
        <w:t>7</w:t>
      </w:r>
      <w:r>
        <w:rPr>
          <w:rFonts w:ascii="仿宋_GB2312" w:hAnsi="仿宋"/>
          <w:szCs w:val="28"/>
          <w:shd w:val="clear" w:color="auto" w:fill="FFFFFF"/>
        </w:rPr>
        <w:t>个；</w:t>
      </w:r>
      <w:r>
        <w:rPr>
          <w:rFonts w:hint="eastAsia" w:ascii="仿宋_GB2312" w:hAnsi="仿宋"/>
          <w:szCs w:val="28"/>
          <w:shd w:val="clear" w:color="auto" w:fill="FFFFFF"/>
          <w:lang w:val="en-US" w:eastAsia="zh-CN"/>
        </w:rPr>
        <w:t>完善指标意义，</w:t>
      </w:r>
      <w:r>
        <w:rPr>
          <w:rFonts w:ascii="仿宋_GB2312" w:hAnsi="仿宋"/>
          <w:szCs w:val="28"/>
          <w:shd w:val="clear" w:color="auto" w:fill="FFFFFF"/>
        </w:rPr>
        <w:t>涉及指标</w:t>
      </w:r>
      <w:r>
        <w:rPr>
          <w:rFonts w:hint="eastAsia" w:ascii="仿宋_GB2312" w:hAnsi="仿宋"/>
          <w:szCs w:val="28"/>
          <w:shd w:val="clear" w:color="auto" w:fill="FFFFFF"/>
          <w:lang w:val="en-US" w:eastAsia="zh-CN"/>
        </w:rPr>
        <w:t>13；</w:t>
      </w:r>
      <w:r>
        <w:rPr>
          <w:rFonts w:ascii="仿宋_GB2312" w:hAnsi="仿宋"/>
          <w:szCs w:val="28"/>
          <w:shd w:val="clear" w:color="auto" w:fill="FFFFFF"/>
        </w:rPr>
        <w:t>更新或增加指标脚注，涉及指标</w:t>
      </w:r>
      <w:r>
        <w:rPr>
          <w:rFonts w:hint="eastAsia" w:ascii="仿宋_GB2312" w:hAnsi="仿宋"/>
          <w:szCs w:val="28"/>
          <w:shd w:val="clear" w:color="auto" w:fill="FFFFFF"/>
          <w:lang w:val="en-US" w:eastAsia="zh-CN"/>
        </w:rPr>
        <w:t>1、</w:t>
      </w:r>
      <w:r>
        <w:rPr>
          <w:rFonts w:hint="eastAsia" w:ascii="仿宋_GB2312" w:hAnsi="仿宋"/>
          <w:szCs w:val="28"/>
          <w:shd w:val="clear" w:color="auto" w:fill="FFFFFF"/>
        </w:rPr>
        <w:t>6-8、10、20</w:t>
      </w:r>
      <w:r>
        <w:rPr>
          <w:rFonts w:hint="eastAsia" w:ascii="仿宋_GB2312" w:hAnsi="仿宋"/>
          <w:szCs w:val="28"/>
          <w:shd w:val="clear" w:color="auto" w:fill="FFFFFF"/>
          <w:lang w:eastAsia="zh-CN"/>
        </w:rPr>
        <w:t>、</w:t>
      </w:r>
      <w:r>
        <w:rPr>
          <w:rFonts w:hint="eastAsia" w:ascii="仿宋_GB2312" w:hAnsi="仿宋"/>
          <w:szCs w:val="28"/>
          <w:shd w:val="clear" w:color="auto" w:fill="FFFFFF"/>
          <w:lang w:val="en-US" w:eastAsia="zh-CN"/>
        </w:rPr>
        <w:t>25</w:t>
      </w:r>
      <w:r>
        <w:rPr>
          <w:rFonts w:ascii="仿宋_GB2312" w:hAnsi="仿宋"/>
          <w:szCs w:val="28"/>
          <w:shd w:val="clear" w:color="auto" w:fill="FFFFFF"/>
        </w:rPr>
        <w:t>等</w:t>
      </w:r>
      <w:r>
        <w:rPr>
          <w:rFonts w:hint="eastAsia" w:ascii="仿宋_GB2312" w:hAnsi="仿宋"/>
          <w:szCs w:val="28"/>
          <w:shd w:val="clear" w:color="auto" w:fill="FFFFFF"/>
          <w:lang w:val="en-US" w:eastAsia="zh-CN"/>
        </w:rPr>
        <w:t>7</w:t>
      </w:r>
      <w:r>
        <w:rPr>
          <w:rFonts w:ascii="仿宋_GB2312" w:hAnsi="仿宋"/>
          <w:szCs w:val="28"/>
          <w:shd w:val="clear" w:color="auto" w:fill="FFFFFF"/>
        </w:rPr>
        <w:t>个</w:t>
      </w:r>
      <w:r>
        <w:rPr>
          <w:rFonts w:hint="eastAsia" w:ascii="仿宋_GB2312" w:hAnsi="仿宋"/>
          <w:szCs w:val="28"/>
          <w:shd w:val="clear" w:color="auto" w:fill="FFFFFF"/>
          <w:lang w:eastAsia="zh-CN"/>
        </w:rPr>
        <w:t>；</w:t>
      </w:r>
      <w:r>
        <w:rPr>
          <w:rFonts w:hint="eastAsia" w:ascii="仿宋_GB2312" w:hAnsi="仿宋" w:eastAsia="仿宋_GB2312"/>
          <w:color w:val="auto"/>
          <w:sz w:val="32"/>
          <w:szCs w:val="28"/>
          <w:shd w:val="clear" w:color="auto" w:fill="FFFFFF"/>
        </w:rPr>
        <w:t>修订指标定义，涉及指标</w:t>
      </w:r>
      <w:r>
        <w:rPr>
          <w:rFonts w:hint="eastAsia" w:ascii="仿宋_GB2312" w:hAnsi="仿宋"/>
          <w:color w:val="auto"/>
          <w:sz w:val="32"/>
          <w:szCs w:val="28"/>
          <w:shd w:val="clear" w:color="auto" w:fill="FFFFFF"/>
          <w:lang w:val="en-US" w:eastAsia="zh-CN"/>
        </w:rPr>
        <w:t>34</w:t>
      </w:r>
      <w:r>
        <w:rPr>
          <w:rFonts w:hint="eastAsia" w:ascii="仿宋_GB2312" w:hAnsi="仿宋"/>
          <w:szCs w:val="28"/>
          <w:shd w:val="clear" w:color="auto" w:fill="FFFFFF"/>
        </w:rPr>
        <w:t>。</w:t>
      </w:r>
    </w:p>
    <w:p>
      <w:pPr>
        <w:spacing w:line="600" w:lineRule="exact"/>
        <w:ind w:firstLine="640" w:firstLineChars="200"/>
        <w:rPr>
          <w:rFonts w:ascii="仿宋_GB2312" w:hAnsi="仿宋"/>
          <w:szCs w:val="32"/>
        </w:rPr>
      </w:pPr>
      <w:r>
        <w:rPr>
          <w:rFonts w:hint="eastAsia" w:ascii="仿宋_GB2312" w:hAnsi="仿宋"/>
          <w:szCs w:val="32"/>
        </w:rPr>
        <w:t>为使相关数据具有可比性，实施动态监测，针对各省医疗服务价格调整、支付方式改革对考核指标产生较大影响的，需提供说明材料。除特殊说明外，本次考核的定量指标数据在既往基础上增加2022年度数据。各地应按照属地化管理原则加强数据质控，提升数据质量，不断探索运用数据质量作为系数对指标结果进行调整的应用机制。</w:t>
      </w:r>
    </w:p>
    <w:p>
      <w:pPr>
        <w:spacing w:line="600" w:lineRule="exact"/>
        <w:ind w:firstLine="640" w:firstLineChars="200"/>
        <w:rPr>
          <w:rFonts w:ascii="仿宋_GB2312" w:hAnsi="仿宋"/>
          <w:szCs w:val="32"/>
        </w:rPr>
      </w:pPr>
      <w:r>
        <w:rPr>
          <w:rFonts w:hint="eastAsia" w:ascii="仿宋_GB2312" w:hAnsi="仿宋"/>
          <w:szCs w:val="32"/>
        </w:rPr>
        <w:t>全国二级公立中医医院绩效考核是一项开创性工作，也是一项需要持续改进的工作，在实际工作过程中仍然会出现新的问题，我们将不断完善考核操作手册，协调三级公立中医医院绩效考核，高质量开展二级公立中医医院绩效考核工作。</w:t>
      </w:r>
    </w:p>
    <w:p>
      <w:pPr>
        <w:spacing w:line="600" w:lineRule="exact"/>
        <w:ind w:firstLine="640" w:firstLineChars="200"/>
        <w:rPr>
          <w:rFonts w:hint="eastAsia" w:ascii="仿宋_GB2312" w:hAnsi="仿宋" w:eastAsia="仿宋_GB2312"/>
          <w:szCs w:val="32"/>
          <w:lang w:val="en-US" w:eastAsia="zh-CN"/>
        </w:rPr>
      </w:pPr>
      <w:r>
        <w:rPr>
          <w:rFonts w:hint="eastAsia" w:ascii="仿宋_GB2312" w:hAnsi="仿宋"/>
          <w:szCs w:val="32"/>
          <w:lang w:val="en-US" w:eastAsia="zh-CN"/>
        </w:rPr>
        <w:t>需要</w:t>
      </w:r>
      <w:r>
        <w:rPr>
          <w:rFonts w:hint="eastAsia" w:ascii="仿宋_GB2312" w:hAnsi="仿宋"/>
          <w:szCs w:val="32"/>
        </w:rPr>
        <w:t>特别说明</w:t>
      </w:r>
      <w:r>
        <w:rPr>
          <w:rFonts w:hint="eastAsia" w:ascii="仿宋_GB2312" w:hAnsi="仿宋"/>
          <w:szCs w:val="32"/>
          <w:lang w:val="en-US" w:eastAsia="zh-CN"/>
        </w:rPr>
        <w:t>的是</w:t>
      </w:r>
      <w:r>
        <w:rPr>
          <w:rFonts w:hint="eastAsia" w:ascii="仿宋_GB2312" w:hAnsi="仿宋"/>
          <w:szCs w:val="32"/>
        </w:rPr>
        <w:t>，根据《中华人民共和国数据安全法》《信息安全技术网络安全等级保护基本要求》等文件要求，公立医院绩效考核平台登录需各公立中医医院完成实名认证，使用数字证书进行系统登录及相关操作。</w:t>
      </w:r>
      <w:r>
        <w:rPr>
          <w:rFonts w:hint="eastAsia" w:ascii="仿宋_GB2312" w:hAnsi="仿宋"/>
          <w:szCs w:val="32"/>
          <w:lang w:val="en-US" w:eastAsia="zh-CN"/>
        </w:rPr>
        <w:t xml:space="preserve"> </w:t>
      </w:r>
    </w:p>
    <w:p>
      <w:pPr>
        <w:spacing w:line="600" w:lineRule="exact"/>
        <w:ind w:right="640"/>
        <w:jc w:val="right"/>
        <w:rPr>
          <w:rFonts w:ascii="仿宋_GB2312" w:hAnsi="仿宋"/>
          <w:szCs w:val="32"/>
        </w:rPr>
      </w:pPr>
      <w:r>
        <w:rPr>
          <w:rFonts w:hint="eastAsia" w:ascii="仿宋_GB2312" w:hAnsi="仿宋"/>
          <w:szCs w:val="32"/>
        </w:rPr>
        <w:t>国家中医药管理局</w:t>
      </w:r>
    </w:p>
    <w:p>
      <w:pPr>
        <w:spacing w:line="600" w:lineRule="exact"/>
        <w:ind w:right="1068"/>
        <w:jc w:val="right"/>
        <w:rPr>
          <w:rFonts w:ascii="仿宋_GB2312" w:hAnsi="仿宋"/>
          <w:szCs w:val="32"/>
        </w:rPr>
      </w:pPr>
      <w:r>
        <w:rPr>
          <w:rFonts w:hint="eastAsia" w:ascii="仿宋_GB2312" w:hAnsi="仿宋"/>
          <w:szCs w:val="32"/>
        </w:rPr>
        <w:t>2023年</w:t>
      </w:r>
      <w:r>
        <w:rPr>
          <w:rFonts w:hint="eastAsia" w:ascii="仿宋_GB2312" w:hAnsi="仿宋"/>
          <w:szCs w:val="32"/>
          <w:lang w:val="en-US" w:eastAsia="zh-CN"/>
        </w:rPr>
        <w:t>4</w:t>
      </w:r>
      <w:r>
        <w:rPr>
          <w:rFonts w:hint="eastAsia" w:ascii="仿宋_GB2312" w:hAnsi="仿宋"/>
          <w:szCs w:val="32"/>
        </w:rPr>
        <w:t>月</w:t>
      </w:r>
    </w:p>
    <w:p>
      <w:pPr>
        <w:spacing w:line="276" w:lineRule="auto"/>
        <w:ind w:right="1068"/>
        <w:rPr>
          <w:rFonts w:eastAsia="仿宋"/>
          <w:kern w:val="0"/>
          <w:szCs w:val="32"/>
        </w:rPr>
        <w:sectPr>
          <w:headerReference r:id="rId4" w:type="default"/>
          <w:footerReference r:id="rId5" w:type="default"/>
          <w:pgSz w:w="11906" w:h="16838"/>
          <w:pgMar w:top="1701" w:right="1531" w:bottom="1701" w:left="1531" w:header="851" w:footer="737" w:gutter="0"/>
          <w:pgNumType w:start="1"/>
          <w:cols w:space="720" w:num="1"/>
          <w:docGrid w:type="linesAndChars" w:linePitch="435" w:charSpace="0"/>
        </w:sectPr>
      </w:pPr>
      <w:r>
        <w:rPr>
          <w:rFonts w:eastAsia="仿宋"/>
          <w:kern w:val="0"/>
          <w:szCs w:val="32"/>
        </w:rPr>
        <w:br w:type="page"/>
      </w:r>
      <w:bookmarkEnd w:id="6"/>
    </w:p>
    <w:p>
      <w:pPr>
        <w:keepNext/>
        <w:keepLines/>
        <w:widowControl/>
        <w:spacing w:after="217" w:afterLines="50" w:line="600" w:lineRule="exact"/>
        <w:jc w:val="center"/>
        <w:rPr>
          <w:rFonts w:ascii="方正小标宋简体" w:hAnsi="宋体" w:eastAsia="方正小标宋简体"/>
          <w:bCs/>
          <w:kern w:val="0"/>
          <w:sz w:val="44"/>
          <w:szCs w:val="44"/>
          <w:lang w:val="zh-CN"/>
        </w:rPr>
      </w:pPr>
      <w:r>
        <w:rPr>
          <w:rFonts w:hint="eastAsia" w:ascii="方正小标宋简体" w:hAnsi="宋体" w:eastAsia="方正小标宋简体"/>
          <w:bCs/>
          <w:kern w:val="0"/>
          <w:sz w:val="44"/>
          <w:szCs w:val="44"/>
          <w:lang w:val="zh-CN"/>
        </w:rPr>
        <w:t>目　录</w:t>
      </w:r>
    </w:p>
    <w:p>
      <w:pPr>
        <w:keepNext/>
        <w:keepLines/>
        <w:widowControl/>
        <w:spacing w:after="217" w:afterLines="50" w:line="400" w:lineRule="exact"/>
        <w:jc w:val="center"/>
        <w:rPr>
          <w:rFonts w:ascii="方正小标宋简体" w:hAnsi="宋体" w:eastAsia="方正小标宋简体"/>
          <w:bCs/>
          <w:kern w:val="0"/>
          <w:sz w:val="44"/>
          <w:szCs w:val="44"/>
        </w:rPr>
      </w:pPr>
    </w:p>
    <w:p>
      <w:pPr>
        <w:pStyle w:val="17"/>
        <w:adjustRightInd w:val="0"/>
        <w:spacing w:line="480" w:lineRule="exact"/>
        <w:jc w:val="center"/>
        <w:rPr>
          <w:rFonts w:asciiTheme="minorHAnsi" w:hAnsiTheme="minorHAnsi" w:eastAsiaTheme="minorEastAsia" w:cstheme="minorBidi"/>
          <w:b w:val="0"/>
          <w:sz w:val="30"/>
          <w:szCs w:val="30"/>
        </w:rPr>
      </w:pPr>
      <w:r>
        <w:rPr>
          <w:b w:val="0"/>
          <w:kern w:val="44"/>
          <w:sz w:val="28"/>
          <w:szCs w:val="28"/>
        </w:rPr>
        <w:fldChar w:fldCharType="begin"/>
      </w:r>
      <w:r>
        <w:rPr>
          <w:b w:val="0"/>
          <w:kern w:val="44"/>
          <w:sz w:val="28"/>
          <w:szCs w:val="28"/>
        </w:rPr>
        <w:instrText xml:space="preserve"> TOC \o "1-3" \h \z \u </w:instrText>
      </w:r>
      <w:r>
        <w:rPr>
          <w:b w:val="0"/>
          <w:kern w:val="44"/>
          <w:sz w:val="28"/>
          <w:szCs w:val="28"/>
        </w:rPr>
        <w:fldChar w:fldCharType="separate"/>
      </w:r>
      <w:r>
        <w:fldChar w:fldCharType="begin"/>
      </w:r>
      <w:r>
        <w:instrText xml:space="preserve"> HYPERLINK \l "_Toc42857907" </w:instrText>
      </w:r>
      <w:r>
        <w:fldChar w:fldCharType="separate"/>
      </w:r>
      <w:r>
        <w:rPr>
          <w:rStyle w:val="32"/>
          <w:b w:val="0"/>
          <w:kern w:val="44"/>
          <w:sz w:val="30"/>
          <w:szCs w:val="30"/>
        </w:rPr>
        <w:t>一、二级公立中医医院绩效评价指标框架</w:t>
      </w:r>
      <w:r>
        <w:rPr>
          <w:b w:val="0"/>
          <w:sz w:val="30"/>
          <w:szCs w:val="30"/>
        </w:rPr>
        <w:tab/>
      </w:r>
      <w:r>
        <w:rPr>
          <w:rFonts w:ascii="仿宋_GB2312" w:eastAsia="仿宋_GB2312"/>
          <w:b w:val="0"/>
          <w:sz w:val="28"/>
          <w:szCs w:val="28"/>
        </w:rPr>
        <w:fldChar w:fldCharType="begin"/>
      </w:r>
      <w:r>
        <w:rPr>
          <w:rFonts w:ascii="仿宋_GB2312" w:eastAsia="仿宋_GB2312"/>
          <w:b w:val="0"/>
          <w:sz w:val="28"/>
          <w:szCs w:val="28"/>
        </w:rPr>
        <w:instrText xml:space="preserve"> PAGEREF _Toc42857907 \h </w:instrText>
      </w:r>
      <w:r>
        <w:rPr>
          <w:rFonts w:ascii="仿宋_GB2312" w:eastAsia="仿宋_GB2312"/>
          <w:b w:val="0"/>
          <w:sz w:val="28"/>
          <w:szCs w:val="28"/>
        </w:rPr>
        <w:fldChar w:fldCharType="separate"/>
      </w:r>
      <w:r>
        <w:rPr>
          <w:rFonts w:ascii="仿宋_GB2312" w:eastAsia="仿宋_GB2312"/>
          <w:b w:val="0"/>
          <w:sz w:val="28"/>
          <w:szCs w:val="28"/>
        </w:rPr>
        <w:t>1</w:t>
      </w:r>
      <w:r>
        <w:rPr>
          <w:rFonts w:ascii="仿宋_GB2312" w:eastAsia="仿宋_GB2312"/>
          <w:b w:val="0"/>
          <w:sz w:val="28"/>
          <w:szCs w:val="28"/>
        </w:rPr>
        <w:fldChar w:fldCharType="end"/>
      </w:r>
      <w:r>
        <w:rPr>
          <w:rFonts w:ascii="仿宋_GB2312" w:eastAsia="仿宋_GB2312"/>
          <w:b w:val="0"/>
          <w:sz w:val="28"/>
          <w:szCs w:val="28"/>
        </w:rPr>
        <w:fldChar w:fldCharType="end"/>
      </w:r>
    </w:p>
    <w:p>
      <w:pPr>
        <w:pStyle w:val="17"/>
        <w:adjustRightInd w:val="0"/>
        <w:spacing w:line="480" w:lineRule="exact"/>
        <w:jc w:val="center"/>
        <w:rPr>
          <w:rStyle w:val="32"/>
          <w:b w:val="0"/>
          <w:sz w:val="30"/>
          <w:szCs w:val="30"/>
        </w:rPr>
      </w:pPr>
      <w:r>
        <w:fldChar w:fldCharType="begin"/>
      </w:r>
      <w:r>
        <w:instrText xml:space="preserve"> HYPERLINK \l "_Toc42857908" </w:instrText>
      </w:r>
      <w:r>
        <w:fldChar w:fldCharType="separate"/>
      </w:r>
      <w:r>
        <w:rPr>
          <w:rStyle w:val="32"/>
          <w:b w:val="0"/>
          <w:kern w:val="44"/>
          <w:sz w:val="30"/>
          <w:szCs w:val="30"/>
        </w:rPr>
        <w:t>二、医疗质量相关指标</w:t>
      </w:r>
      <w:r>
        <w:rPr>
          <w:b w:val="0"/>
          <w:sz w:val="30"/>
          <w:szCs w:val="30"/>
        </w:rPr>
        <w:tab/>
      </w:r>
      <w:r>
        <w:rPr>
          <w:rFonts w:ascii="仿宋_GB2312" w:eastAsia="仿宋_GB2312"/>
          <w:b w:val="0"/>
          <w:sz w:val="28"/>
          <w:szCs w:val="28"/>
        </w:rPr>
        <w:fldChar w:fldCharType="begin"/>
      </w:r>
      <w:r>
        <w:rPr>
          <w:rFonts w:ascii="仿宋_GB2312" w:eastAsia="仿宋_GB2312"/>
          <w:b w:val="0"/>
          <w:sz w:val="28"/>
          <w:szCs w:val="28"/>
        </w:rPr>
        <w:instrText xml:space="preserve"> PAGEREF _Toc42857908 \h </w:instrText>
      </w:r>
      <w:r>
        <w:rPr>
          <w:rFonts w:ascii="仿宋_GB2312" w:eastAsia="仿宋_GB2312"/>
          <w:b w:val="0"/>
          <w:sz w:val="28"/>
          <w:szCs w:val="28"/>
        </w:rPr>
        <w:fldChar w:fldCharType="separate"/>
      </w:r>
      <w:r>
        <w:rPr>
          <w:rFonts w:ascii="仿宋_GB2312" w:eastAsia="仿宋_GB2312"/>
          <w:b w:val="0"/>
          <w:sz w:val="28"/>
          <w:szCs w:val="28"/>
        </w:rPr>
        <w:t>4</w:t>
      </w:r>
      <w:r>
        <w:rPr>
          <w:rFonts w:ascii="仿宋_GB2312" w:eastAsia="仿宋_GB2312"/>
          <w:b w:val="0"/>
          <w:sz w:val="28"/>
          <w:szCs w:val="28"/>
        </w:rPr>
        <w:fldChar w:fldCharType="end"/>
      </w:r>
      <w:r>
        <w:rPr>
          <w:rFonts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"_Toc42857909" </w:instrText>
      </w:r>
      <w:r>
        <w:fldChar w:fldCharType="separate"/>
      </w:r>
      <w:r>
        <w:rPr>
          <w:rStyle w:val="32"/>
          <w:rFonts w:hint="eastAsia" w:ascii="仿宋_GB2312" w:eastAsia="仿宋_GB2312"/>
          <w:b w:val="0"/>
          <w:bCs/>
          <w:sz w:val="28"/>
          <w:szCs w:val="28"/>
        </w:rPr>
        <w:t>（一）功能定位（指标1—6）</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_Toc42857909 \h </w:instrText>
      </w:r>
      <w:r>
        <w:rPr>
          <w:rFonts w:hint="eastAsia" w:ascii="仿宋_GB2312" w:eastAsia="仿宋_GB2312"/>
          <w:b w:val="0"/>
          <w:sz w:val="28"/>
          <w:szCs w:val="28"/>
        </w:rPr>
        <w:fldChar w:fldCharType="separate"/>
      </w:r>
      <w:r>
        <w:rPr>
          <w:rFonts w:hint="eastAsia" w:ascii="仿宋_GB2312" w:eastAsia="仿宋_GB2312"/>
          <w:b w:val="0"/>
          <w:sz w:val="28"/>
          <w:szCs w:val="28"/>
        </w:rPr>
        <w:t>4</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"_Toc42857910" </w:instrText>
      </w:r>
      <w:r>
        <w:fldChar w:fldCharType="separate"/>
      </w:r>
      <w:r>
        <w:rPr>
          <w:rStyle w:val="32"/>
          <w:rFonts w:hint="eastAsia" w:ascii="仿宋_GB2312" w:eastAsia="仿宋_GB2312"/>
          <w:b w:val="0"/>
          <w:bCs/>
          <w:sz w:val="28"/>
          <w:szCs w:val="28"/>
        </w:rPr>
        <w:t>（二）质量安全（指标7—8）</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_Toc42857910 \h </w:instrText>
      </w:r>
      <w:r>
        <w:rPr>
          <w:rFonts w:hint="eastAsia" w:ascii="仿宋_GB2312" w:eastAsia="仿宋_GB2312"/>
          <w:b w:val="0"/>
          <w:sz w:val="28"/>
          <w:szCs w:val="28"/>
        </w:rPr>
        <w:fldChar w:fldCharType="separate"/>
      </w:r>
      <w:r>
        <w:rPr>
          <w:rFonts w:hint="eastAsia" w:ascii="仿宋_GB2312" w:eastAsia="仿宋_GB2312"/>
          <w:b w:val="0"/>
          <w:sz w:val="28"/>
          <w:szCs w:val="28"/>
        </w:rPr>
        <w:t>19</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"_Toc42857911" </w:instrText>
      </w:r>
      <w:r>
        <w:fldChar w:fldCharType="separate"/>
      </w:r>
      <w:r>
        <w:rPr>
          <w:rStyle w:val="32"/>
          <w:rFonts w:hint="eastAsia" w:ascii="仿宋_GB2312" w:eastAsia="仿宋_GB2312"/>
          <w:b w:val="0"/>
          <w:bCs/>
          <w:sz w:val="28"/>
          <w:szCs w:val="28"/>
        </w:rPr>
        <w:t>（三）合理用药（指标9—13）</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_Toc42857911 \h </w:instrText>
      </w:r>
      <w:r>
        <w:rPr>
          <w:rFonts w:hint="eastAsia" w:ascii="仿宋_GB2312" w:eastAsia="仿宋_GB2312"/>
          <w:b w:val="0"/>
          <w:sz w:val="28"/>
          <w:szCs w:val="28"/>
        </w:rPr>
        <w:fldChar w:fldCharType="separate"/>
      </w:r>
      <w:r>
        <w:rPr>
          <w:rFonts w:hint="eastAsia" w:ascii="仿宋_GB2312" w:eastAsia="仿宋_GB2312"/>
          <w:b w:val="0"/>
          <w:sz w:val="28"/>
          <w:szCs w:val="28"/>
        </w:rPr>
        <w:t>23</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Fonts w:ascii="仿宋_GB2312" w:eastAsia="仿宋_GB2312" w:hAnsiTheme="minorHAnsi" w:cstheme="minorBidi"/>
          <w:b w:val="0"/>
          <w:sz w:val="28"/>
          <w:szCs w:val="28"/>
        </w:rPr>
      </w:pPr>
      <w:r>
        <w:fldChar w:fldCharType="begin"/>
      </w:r>
      <w:r>
        <w:instrText xml:space="preserve"> HYPERLINK \l "_Toc42857912" </w:instrText>
      </w:r>
      <w:r>
        <w:fldChar w:fldCharType="separate"/>
      </w:r>
      <w:r>
        <w:rPr>
          <w:rStyle w:val="32"/>
          <w:rFonts w:hint="eastAsia" w:ascii="仿宋_GB2312" w:eastAsia="仿宋_GB2312"/>
          <w:b w:val="0"/>
          <w:bCs/>
          <w:sz w:val="28"/>
          <w:szCs w:val="28"/>
        </w:rPr>
        <w:t>（四）医疗服务（指标14—16）</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_Toc42857912 \h </w:instrText>
      </w:r>
      <w:r>
        <w:rPr>
          <w:rFonts w:hint="eastAsia" w:ascii="仿宋_GB2312" w:eastAsia="仿宋_GB2312"/>
          <w:b w:val="0"/>
          <w:sz w:val="28"/>
          <w:szCs w:val="28"/>
        </w:rPr>
        <w:fldChar w:fldCharType="separate"/>
      </w:r>
      <w:r>
        <w:rPr>
          <w:rFonts w:hint="eastAsia" w:ascii="仿宋_GB2312" w:eastAsia="仿宋_GB2312"/>
          <w:b w:val="0"/>
          <w:sz w:val="28"/>
          <w:szCs w:val="28"/>
        </w:rPr>
        <w:t>38</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jc w:val="center"/>
        <w:rPr>
          <w:rStyle w:val="32"/>
          <w:b w:val="0"/>
          <w:sz w:val="30"/>
          <w:szCs w:val="30"/>
        </w:rPr>
      </w:pPr>
      <w:r>
        <w:fldChar w:fldCharType="begin"/>
      </w:r>
      <w:r>
        <w:instrText xml:space="preserve"> HYPERLINK \l "_Toc42857913" </w:instrText>
      </w:r>
      <w:r>
        <w:fldChar w:fldCharType="separate"/>
      </w:r>
      <w:r>
        <w:rPr>
          <w:rStyle w:val="32"/>
          <w:b w:val="0"/>
          <w:kern w:val="44"/>
          <w:sz w:val="30"/>
          <w:szCs w:val="30"/>
        </w:rPr>
        <w:t>三、运营效率相关指标</w:t>
      </w:r>
      <w:r>
        <w:rPr>
          <w:b w:val="0"/>
          <w:sz w:val="30"/>
          <w:szCs w:val="30"/>
        </w:rPr>
        <w:tab/>
      </w:r>
      <w:r>
        <w:rPr>
          <w:rFonts w:ascii="仿宋_GB2312" w:eastAsia="仿宋_GB2312"/>
          <w:b w:val="0"/>
          <w:sz w:val="28"/>
          <w:szCs w:val="28"/>
        </w:rPr>
        <w:fldChar w:fldCharType="begin"/>
      </w:r>
      <w:r>
        <w:rPr>
          <w:rFonts w:ascii="仿宋_GB2312" w:eastAsia="仿宋_GB2312"/>
          <w:b w:val="0"/>
          <w:sz w:val="28"/>
          <w:szCs w:val="28"/>
        </w:rPr>
        <w:instrText xml:space="preserve"> PAGEREF _Toc42857913 \h </w:instrText>
      </w:r>
      <w:r>
        <w:rPr>
          <w:rFonts w:ascii="仿宋_GB2312" w:eastAsia="仿宋_GB2312"/>
          <w:b w:val="0"/>
          <w:sz w:val="28"/>
          <w:szCs w:val="28"/>
        </w:rPr>
        <w:fldChar w:fldCharType="separate"/>
      </w:r>
      <w:r>
        <w:rPr>
          <w:rFonts w:ascii="仿宋_GB2312" w:eastAsia="仿宋_GB2312"/>
          <w:b w:val="0"/>
          <w:sz w:val="28"/>
          <w:szCs w:val="28"/>
        </w:rPr>
        <w:t>47</w:t>
      </w:r>
      <w:r>
        <w:rPr>
          <w:rFonts w:ascii="仿宋_GB2312" w:eastAsia="仿宋_GB2312"/>
          <w:b w:val="0"/>
          <w:sz w:val="28"/>
          <w:szCs w:val="28"/>
        </w:rPr>
        <w:fldChar w:fldCharType="end"/>
      </w:r>
      <w:r>
        <w:rPr>
          <w:rFonts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"_Toc42857914" </w:instrText>
      </w:r>
      <w:r>
        <w:fldChar w:fldCharType="separate"/>
      </w:r>
      <w:r>
        <w:rPr>
          <w:rStyle w:val="32"/>
          <w:rFonts w:hint="eastAsia" w:ascii="仿宋_GB2312" w:eastAsia="仿宋_GB2312"/>
          <w:b w:val="0"/>
          <w:bCs/>
          <w:sz w:val="28"/>
          <w:szCs w:val="28"/>
        </w:rPr>
        <w:t>（五）收支结构（指标17—24）</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_Toc42857914 \h </w:instrText>
      </w:r>
      <w:r>
        <w:rPr>
          <w:rFonts w:hint="eastAsia" w:ascii="仿宋_GB2312" w:eastAsia="仿宋_GB2312"/>
          <w:b w:val="0"/>
          <w:sz w:val="28"/>
          <w:szCs w:val="28"/>
        </w:rPr>
        <w:fldChar w:fldCharType="separate"/>
      </w:r>
      <w:r>
        <w:rPr>
          <w:rFonts w:hint="eastAsia" w:ascii="仿宋_GB2312" w:eastAsia="仿宋_GB2312"/>
          <w:b w:val="0"/>
          <w:sz w:val="28"/>
          <w:szCs w:val="28"/>
        </w:rPr>
        <w:t>47</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Fonts w:ascii="仿宋_GB2312" w:eastAsia="仿宋_GB2312" w:hAnsiTheme="minorHAnsi" w:cstheme="minorBidi"/>
          <w:b w:val="0"/>
          <w:sz w:val="28"/>
          <w:szCs w:val="28"/>
        </w:rPr>
      </w:pPr>
      <w:r>
        <w:fldChar w:fldCharType="begin"/>
      </w:r>
      <w:r>
        <w:instrText xml:space="preserve"> HYPERLINK \l "_Toc42857915" </w:instrText>
      </w:r>
      <w:r>
        <w:fldChar w:fldCharType="separate"/>
      </w:r>
      <w:r>
        <w:rPr>
          <w:rStyle w:val="32"/>
          <w:rFonts w:hint="eastAsia" w:ascii="仿宋_GB2312" w:eastAsia="仿宋_GB2312"/>
          <w:b w:val="0"/>
          <w:bCs/>
          <w:sz w:val="28"/>
          <w:szCs w:val="28"/>
        </w:rPr>
        <w:t>（六）费用控制（指标25—27）</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_Toc42857915 \h </w:instrText>
      </w:r>
      <w:r>
        <w:rPr>
          <w:rFonts w:hint="eastAsia" w:ascii="仿宋_GB2312" w:eastAsia="仿宋_GB2312"/>
          <w:b w:val="0"/>
          <w:sz w:val="28"/>
          <w:szCs w:val="28"/>
        </w:rPr>
        <w:fldChar w:fldCharType="separate"/>
      </w:r>
      <w:r>
        <w:rPr>
          <w:rFonts w:hint="eastAsia" w:ascii="仿宋_GB2312" w:eastAsia="仿宋_GB2312"/>
          <w:b w:val="0"/>
          <w:sz w:val="28"/>
          <w:szCs w:val="28"/>
        </w:rPr>
        <w:t>65</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jc w:val="center"/>
        <w:rPr>
          <w:rStyle w:val="32"/>
          <w:b w:val="0"/>
          <w:sz w:val="30"/>
          <w:szCs w:val="30"/>
        </w:rPr>
      </w:pPr>
      <w:r>
        <w:fldChar w:fldCharType="begin"/>
      </w:r>
      <w:r>
        <w:instrText xml:space="preserve"> HYPERLINK \l "_Toc42857916" </w:instrText>
      </w:r>
      <w:r>
        <w:fldChar w:fldCharType="separate"/>
      </w:r>
      <w:r>
        <w:rPr>
          <w:rStyle w:val="32"/>
          <w:b w:val="0"/>
          <w:kern w:val="44"/>
          <w:sz w:val="30"/>
          <w:szCs w:val="30"/>
        </w:rPr>
        <w:t>四、持续发展相关指标</w:t>
      </w:r>
      <w:r>
        <w:rPr>
          <w:b w:val="0"/>
          <w:sz w:val="30"/>
          <w:szCs w:val="30"/>
        </w:rPr>
        <w:tab/>
      </w:r>
      <w:r>
        <w:rPr>
          <w:rFonts w:ascii="仿宋_GB2312" w:eastAsia="仿宋_GB2312"/>
          <w:b w:val="0"/>
          <w:sz w:val="28"/>
          <w:szCs w:val="28"/>
        </w:rPr>
        <w:fldChar w:fldCharType="begin"/>
      </w:r>
      <w:r>
        <w:rPr>
          <w:rFonts w:ascii="仿宋_GB2312" w:eastAsia="仿宋_GB2312"/>
          <w:b w:val="0"/>
          <w:sz w:val="28"/>
          <w:szCs w:val="28"/>
        </w:rPr>
        <w:instrText xml:space="preserve"> PAGEREF _Toc42857916 \h </w:instrText>
      </w:r>
      <w:r>
        <w:rPr>
          <w:rFonts w:ascii="仿宋_GB2312" w:eastAsia="仿宋_GB2312"/>
          <w:b w:val="0"/>
          <w:sz w:val="28"/>
          <w:szCs w:val="28"/>
        </w:rPr>
        <w:fldChar w:fldCharType="separate"/>
      </w:r>
      <w:r>
        <w:rPr>
          <w:rFonts w:ascii="仿宋_GB2312" w:eastAsia="仿宋_GB2312"/>
          <w:b w:val="0"/>
          <w:sz w:val="28"/>
          <w:szCs w:val="28"/>
        </w:rPr>
        <w:t>74</w:t>
      </w:r>
      <w:r>
        <w:rPr>
          <w:rFonts w:ascii="仿宋_GB2312" w:eastAsia="仿宋_GB2312"/>
          <w:b w:val="0"/>
          <w:sz w:val="28"/>
          <w:szCs w:val="28"/>
        </w:rPr>
        <w:fldChar w:fldCharType="end"/>
      </w:r>
      <w:r>
        <w:rPr>
          <w:rFonts w:ascii="仿宋_GB2312" w:eastAsia="仿宋_GB2312"/>
          <w:b w:val="0"/>
          <w:sz w:val="28"/>
          <w:szCs w:val="28"/>
        </w:rPr>
        <w:fldChar w:fldCharType="end"/>
      </w:r>
    </w:p>
    <w:p>
      <w:pPr>
        <w:pStyle w:val="17"/>
        <w:adjustRightInd w:val="0"/>
        <w:spacing w:line="480" w:lineRule="exact"/>
        <w:ind w:firstLine="480" w:firstLineChars="200"/>
        <w:jc w:val="center"/>
        <w:rPr>
          <w:rFonts w:ascii="仿宋_GB2312" w:eastAsia="仿宋_GB2312"/>
          <w:b w:val="0"/>
          <w:sz w:val="28"/>
          <w:szCs w:val="28"/>
        </w:rPr>
      </w:pPr>
      <w:r>
        <w:fldChar w:fldCharType="begin"/>
      </w:r>
      <w:r>
        <w:instrText xml:space="preserve"> HYPERLINK \l "_Toc42857917" </w:instrText>
      </w:r>
      <w:r>
        <w:fldChar w:fldCharType="separate"/>
      </w:r>
      <w:r>
        <w:rPr>
          <w:rStyle w:val="32"/>
          <w:rFonts w:hint="eastAsia" w:ascii="仿宋_GB2312" w:eastAsia="仿宋_GB2312"/>
          <w:b w:val="0"/>
          <w:bCs/>
          <w:sz w:val="28"/>
          <w:szCs w:val="28"/>
        </w:rPr>
        <w:t>（七）人员结构（指标28—30）</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_Toc42857917 \h </w:instrText>
      </w:r>
      <w:r>
        <w:rPr>
          <w:rFonts w:hint="eastAsia" w:ascii="仿宋_GB2312" w:eastAsia="仿宋_GB2312"/>
          <w:b w:val="0"/>
          <w:sz w:val="28"/>
          <w:szCs w:val="28"/>
        </w:rPr>
        <w:fldChar w:fldCharType="separate"/>
      </w:r>
      <w:r>
        <w:rPr>
          <w:rFonts w:hint="eastAsia" w:ascii="仿宋_GB2312" w:eastAsia="仿宋_GB2312"/>
          <w:b w:val="0"/>
          <w:sz w:val="28"/>
          <w:szCs w:val="28"/>
        </w:rPr>
        <w:t>74</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560" w:firstLineChars="200"/>
        <w:jc w:val="center"/>
        <w:rPr>
          <w:rStyle w:val="32"/>
          <w:rFonts w:ascii="仿宋_GB2312" w:eastAsia="仿宋_GB2312"/>
          <w:b w:val="0"/>
          <w:bCs/>
          <w:color w:val="auto"/>
          <w:sz w:val="28"/>
          <w:szCs w:val="28"/>
          <w:u w:val="none"/>
        </w:rPr>
      </w:pPr>
      <w:r>
        <w:rPr>
          <w:rStyle w:val="32"/>
          <w:rFonts w:hint="eastAsia" w:ascii="仿宋_GB2312" w:eastAsia="仿宋_GB2312"/>
          <w:b w:val="0"/>
          <w:bCs/>
          <w:color w:val="auto"/>
          <w:sz w:val="28"/>
          <w:szCs w:val="28"/>
          <w:u w:val="none"/>
        </w:rPr>
        <w:t>（</w:t>
      </w:r>
      <w:r>
        <w:rPr>
          <w:rStyle w:val="32"/>
          <w:rFonts w:ascii="仿宋_GB2312" w:eastAsia="仿宋_GB2312"/>
          <w:b w:val="0"/>
          <w:bCs/>
          <w:color w:val="auto"/>
          <w:sz w:val="28"/>
          <w:szCs w:val="28"/>
          <w:u w:val="none"/>
        </w:rPr>
        <w:t>八）学科建设（指标</w:t>
      </w:r>
      <w:r>
        <w:rPr>
          <w:rStyle w:val="32"/>
          <w:rFonts w:hint="eastAsia" w:ascii="仿宋_GB2312" w:eastAsia="仿宋_GB2312"/>
          <w:b w:val="0"/>
          <w:bCs/>
          <w:color w:val="auto"/>
          <w:sz w:val="28"/>
          <w:szCs w:val="28"/>
          <w:u w:val="none"/>
        </w:rPr>
        <w:t>31—32）...</w:t>
      </w:r>
      <w:r>
        <w:rPr>
          <w:rStyle w:val="32"/>
          <w:rFonts w:ascii="仿宋_GB2312" w:eastAsia="仿宋_GB2312"/>
          <w:b w:val="0"/>
          <w:bCs/>
          <w:color w:val="auto"/>
          <w:sz w:val="28"/>
          <w:szCs w:val="28"/>
          <w:u w:val="none"/>
        </w:rPr>
        <w:t>......................81</w:t>
      </w:r>
    </w:p>
    <w:p>
      <w:pPr>
        <w:pStyle w:val="17"/>
        <w:adjustRightInd w:val="0"/>
        <w:spacing w:line="480" w:lineRule="exact"/>
        <w:jc w:val="center"/>
        <w:rPr>
          <w:rStyle w:val="32"/>
          <w:b w:val="0"/>
          <w:sz w:val="30"/>
          <w:szCs w:val="30"/>
        </w:rPr>
      </w:pPr>
      <w:r>
        <w:fldChar w:fldCharType="begin"/>
      </w:r>
      <w:r>
        <w:instrText xml:space="preserve"> HYPERLINK \l "_Toc42857918" </w:instrText>
      </w:r>
      <w:r>
        <w:fldChar w:fldCharType="separate"/>
      </w:r>
      <w:r>
        <w:rPr>
          <w:rStyle w:val="32"/>
          <w:b w:val="0"/>
          <w:kern w:val="0"/>
          <w:sz w:val="30"/>
          <w:szCs w:val="30"/>
        </w:rPr>
        <w:t>五</w:t>
      </w:r>
      <w:r>
        <w:rPr>
          <w:rStyle w:val="32"/>
          <w:b w:val="0"/>
          <w:bCs/>
          <w:kern w:val="44"/>
          <w:sz w:val="30"/>
          <w:szCs w:val="30"/>
        </w:rPr>
        <w:t>、满意度评价相关指标</w:t>
      </w:r>
      <w:r>
        <w:rPr>
          <w:b w:val="0"/>
          <w:sz w:val="30"/>
          <w:szCs w:val="30"/>
        </w:rPr>
        <w:tab/>
      </w:r>
      <w:r>
        <w:rPr>
          <w:rFonts w:ascii="仿宋_GB2312" w:eastAsia="仿宋_GB2312"/>
          <w:b w:val="0"/>
          <w:sz w:val="28"/>
          <w:szCs w:val="28"/>
        </w:rPr>
        <w:fldChar w:fldCharType="begin"/>
      </w:r>
      <w:r>
        <w:rPr>
          <w:rFonts w:ascii="仿宋_GB2312" w:eastAsia="仿宋_GB2312"/>
          <w:b w:val="0"/>
          <w:sz w:val="28"/>
          <w:szCs w:val="28"/>
        </w:rPr>
        <w:instrText xml:space="preserve"> PAGEREF _Toc42857918 \h </w:instrText>
      </w:r>
      <w:r>
        <w:rPr>
          <w:rFonts w:ascii="仿宋_GB2312" w:eastAsia="仿宋_GB2312"/>
          <w:b w:val="0"/>
          <w:sz w:val="28"/>
          <w:szCs w:val="28"/>
        </w:rPr>
        <w:fldChar w:fldCharType="separate"/>
      </w:r>
      <w:r>
        <w:rPr>
          <w:rFonts w:ascii="仿宋_GB2312" w:eastAsia="仿宋_GB2312"/>
          <w:b w:val="0"/>
          <w:sz w:val="28"/>
          <w:szCs w:val="28"/>
        </w:rPr>
        <w:t>87</w:t>
      </w:r>
      <w:r>
        <w:rPr>
          <w:rFonts w:ascii="仿宋_GB2312" w:eastAsia="仿宋_GB2312"/>
          <w:b w:val="0"/>
          <w:sz w:val="28"/>
          <w:szCs w:val="28"/>
        </w:rPr>
        <w:fldChar w:fldCharType="end"/>
      </w:r>
      <w:r>
        <w:rPr>
          <w:rFonts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"_Toc42857919" </w:instrText>
      </w:r>
      <w:r>
        <w:fldChar w:fldCharType="separate"/>
      </w:r>
      <w:r>
        <w:rPr>
          <w:rStyle w:val="32"/>
          <w:rFonts w:hint="eastAsia" w:ascii="仿宋_GB2312" w:eastAsia="仿宋_GB2312"/>
          <w:b w:val="0"/>
          <w:bCs/>
          <w:sz w:val="28"/>
          <w:szCs w:val="28"/>
        </w:rPr>
        <w:t>（九）患者满意度（指标33）</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_Toc42857919 \h </w:instrText>
      </w:r>
      <w:r>
        <w:rPr>
          <w:rFonts w:hint="eastAsia" w:ascii="仿宋_GB2312" w:eastAsia="仿宋_GB2312"/>
          <w:b w:val="0"/>
          <w:sz w:val="28"/>
          <w:szCs w:val="28"/>
        </w:rPr>
        <w:fldChar w:fldCharType="separate"/>
      </w:r>
      <w:r>
        <w:rPr>
          <w:rFonts w:hint="eastAsia" w:ascii="仿宋_GB2312" w:eastAsia="仿宋_GB2312"/>
          <w:b w:val="0"/>
          <w:sz w:val="28"/>
          <w:szCs w:val="28"/>
        </w:rPr>
        <w:t>87</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Fonts w:ascii="仿宋_GB2312" w:eastAsia="仿宋_GB2312" w:hAnsiTheme="minorHAnsi" w:cstheme="minorBidi"/>
          <w:b w:val="0"/>
          <w:sz w:val="28"/>
          <w:szCs w:val="28"/>
        </w:rPr>
      </w:pPr>
      <w:r>
        <w:fldChar w:fldCharType="begin"/>
      </w:r>
      <w:r>
        <w:instrText xml:space="preserve"> HYPERLINK \l "_Toc42857920" </w:instrText>
      </w:r>
      <w:r>
        <w:fldChar w:fldCharType="separate"/>
      </w:r>
      <w:r>
        <w:rPr>
          <w:rStyle w:val="32"/>
          <w:rFonts w:hint="eastAsia" w:ascii="仿宋_GB2312" w:eastAsia="仿宋_GB2312"/>
          <w:b w:val="0"/>
          <w:bCs/>
          <w:sz w:val="28"/>
          <w:szCs w:val="28"/>
        </w:rPr>
        <w:t>（十）医务人员满意度（指标34）</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_Toc42857920 \h </w:instrText>
      </w:r>
      <w:r>
        <w:rPr>
          <w:rFonts w:hint="eastAsia" w:ascii="仿宋_GB2312" w:eastAsia="仿宋_GB2312"/>
          <w:b w:val="0"/>
          <w:sz w:val="28"/>
          <w:szCs w:val="28"/>
        </w:rPr>
        <w:fldChar w:fldCharType="separate"/>
      </w:r>
      <w:r>
        <w:rPr>
          <w:rFonts w:hint="eastAsia" w:ascii="仿宋_GB2312" w:eastAsia="仿宋_GB2312"/>
          <w:b w:val="0"/>
          <w:sz w:val="28"/>
          <w:szCs w:val="28"/>
        </w:rPr>
        <w:t>89</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jc w:val="center"/>
        <w:rPr>
          <w:rStyle w:val="32"/>
          <w:b w:val="0"/>
          <w:sz w:val="30"/>
          <w:szCs w:val="30"/>
        </w:rPr>
      </w:pPr>
      <w:r>
        <w:fldChar w:fldCharType="begin"/>
      </w:r>
      <w:r>
        <w:instrText xml:space="preserve"> HYPERLINK \l "_Toc42857921" </w:instrText>
      </w:r>
      <w:r>
        <w:fldChar w:fldCharType="separate"/>
      </w:r>
      <w:r>
        <w:rPr>
          <w:rStyle w:val="32"/>
          <w:b w:val="0"/>
          <w:bCs/>
          <w:kern w:val="44"/>
          <w:sz w:val="30"/>
          <w:szCs w:val="30"/>
        </w:rPr>
        <w:t>六、附件</w:t>
      </w:r>
      <w:r>
        <w:rPr>
          <w:b w:val="0"/>
          <w:sz w:val="30"/>
          <w:szCs w:val="30"/>
        </w:rPr>
        <w:tab/>
      </w:r>
      <w:r>
        <w:rPr>
          <w:rFonts w:ascii="仿宋_GB2312" w:eastAsia="仿宋_GB2312"/>
          <w:b w:val="0"/>
          <w:sz w:val="28"/>
          <w:szCs w:val="28"/>
        </w:rPr>
        <w:fldChar w:fldCharType="begin"/>
      </w:r>
      <w:r>
        <w:rPr>
          <w:rFonts w:ascii="仿宋_GB2312" w:eastAsia="仿宋_GB2312"/>
          <w:b w:val="0"/>
          <w:sz w:val="28"/>
          <w:szCs w:val="28"/>
        </w:rPr>
        <w:instrText xml:space="preserve"> PAGEREF _Toc42857921 \h </w:instrText>
      </w:r>
      <w:r>
        <w:rPr>
          <w:rFonts w:ascii="仿宋_GB2312" w:eastAsia="仿宋_GB2312"/>
          <w:b w:val="0"/>
          <w:sz w:val="28"/>
          <w:szCs w:val="28"/>
        </w:rPr>
        <w:fldChar w:fldCharType="separate"/>
      </w:r>
      <w:r>
        <w:rPr>
          <w:rFonts w:ascii="仿宋_GB2312" w:eastAsia="仿宋_GB2312"/>
          <w:b w:val="0"/>
          <w:sz w:val="28"/>
          <w:szCs w:val="28"/>
        </w:rPr>
        <w:t>91</w:t>
      </w:r>
      <w:r>
        <w:rPr>
          <w:rFonts w:ascii="仿宋_GB2312" w:eastAsia="仿宋_GB2312"/>
          <w:b w:val="0"/>
          <w:sz w:val="28"/>
          <w:szCs w:val="28"/>
        </w:rPr>
        <w:fldChar w:fldCharType="end"/>
      </w:r>
      <w:r>
        <w:rPr>
          <w:rFonts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"_Toc42857922" </w:instrText>
      </w:r>
      <w:r>
        <w:fldChar w:fldCharType="separate"/>
      </w:r>
      <w:r>
        <w:rPr>
          <w:rStyle w:val="32"/>
          <w:rFonts w:hint="eastAsia" w:ascii="仿宋_GB2312" w:eastAsia="仿宋_GB2312"/>
          <w:b w:val="0"/>
          <w:kern w:val="44"/>
          <w:sz w:val="28"/>
          <w:szCs w:val="28"/>
        </w:rPr>
        <w:t>附件1</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_Toc42857922 \h </w:instrText>
      </w:r>
      <w:r>
        <w:rPr>
          <w:rFonts w:hint="eastAsia" w:ascii="仿宋_GB2312" w:eastAsia="仿宋_GB2312"/>
          <w:b w:val="0"/>
          <w:sz w:val="28"/>
          <w:szCs w:val="28"/>
        </w:rPr>
        <w:fldChar w:fldCharType="separate"/>
      </w:r>
      <w:r>
        <w:rPr>
          <w:rFonts w:hint="eastAsia" w:ascii="仿宋_GB2312" w:eastAsia="仿宋_GB2312"/>
          <w:b w:val="0"/>
          <w:sz w:val="28"/>
          <w:szCs w:val="28"/>
        </w:rPr>
        <w:t>91</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"_Toc42857923" </w:instrText>
      </w:r>
      <w:r>
        <w:fldChar w:fldCharType="separate"/>
      </w:r>
      <w:r>
        <w:rPr>
          <w:rStyle w:val="32"/>
          <w:rFonts w:hint="eastAsia" w:ascii="仿宋_GB2312" w:eastAsia="仿宋_GB2312"/>
          <w:b w:val="0"/>
          <w:kern w:val="44"/>
          <w:sz w:val="28"/>
          <w:szCs w:val="28"/>
        </w:rPr>
        <w:t>附件2</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_Toc42857923 \h </w:instrText>
      </w:r>
      <w:r>
        <w:rPr>
          <w:rFonts w:hint="eastAsia" w:ascii="仿宋_GB2312" w:eastAsia="仿宋_GB2312"/>
          <w:b w:val="0"/>
          <w:sz w:val="28"/>
          <w:szCs w:val="28"/>
        </w:rPr>
        <w:fldChar w:fldCharType="separate"/>
      </w:r>
      <w:r>
        <w:rPr>
          <w:rFonts w:hint="eastAsia" w:ascii="仿宋_GB2312" w:eastAsia="仿宋_GB2312"/>
          <w:b w:val="0"/>
          <w:sz w:val="28"/>
          <w:szCs w:val="28"/>
        </w:rPr>
        <w:t>92</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"_Toc42857924" </w:instrText>
      </w:r>
      <w:r>
        <w:fldChar w:fldCharType="separate"/>
      </w:r>
      <w:r>
        <w:rPr>
          <w:rStyle w:val="32"/>
          <w:rFonts w:hint="eastAsia" w:ascii="仿宋_GB2312" w:eastAsia="仿宋_GB2312"/>
          <w:b w:val="0"/>
          <w:kern w:val="44"/>
          <w:sz w:val="28"/>
          <w:szCs w:val="28"/>
        </w:rPr>
        <w:t>附件3</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_Toc42857924 \h </w:instrText>
      </w:r>
      <w:r>
        <w:rPr>
          <w:rFonts w:hint="eastAsia" w:ascii="仿宋_GB2312" w:eastAsia="仿宋_GB2312"/>
          <w:b w:val="0"/>
          <w:sz w:val="28"/>
          <w:szCs w:val="28"/>
        </w:rPr>
        <w:fldChar w:fldCharType="separate"/>
      </w:r>
      <w:r>
        <w:rPr>
          <w:rFonts w:hint="eastAsia" w:ascii="仿宋_GB2312" w:eastAsia="仿宋_GB2312"/>
          <w:b w:val="0"/>
          <w:sz w:val="28"/>
          <w:szCs w:val="28"/>
        </w:rPr>
        <w:t>95</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Style w:val="32"/>
          <w:rFonts w:ascii="仿宋_GB2312" w:eastAsia="仿宋_GB2312"/>
          <w:b w:val="0"/>
          <w:sz w:val="28"/>
          <w:szCs w:val="28"/>
        </w:rPr>
      </w:pPr>
      <w:r>
        <w:fldChar w:fldCharType="begin"/>
      </w:r>
      <w:r>
        <w:instrText xml:space="preserve"> HYPERLINK \l "_Toc42857925" </w:instrText>
      </w:r>
      <w:r>
        <w:fldChar w:fldCharType="separate"/>
      </w:r>
      <w:r>
        <w:rPr>
          <w:rStyle w:val="32"/>
          <w:rFonts w:hint="eastAsia" w:ascii="仿宋_GB2312" w:eastAsia="仿宋_GB2312"/>
          <w:b w:val="0"/>
          <w:kern w:val="44"/>
          <w:sz w:val="28"/>
          <w:szCs w:val="28"/>
        </w:rPr>
        <w:t>附件4</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_Toc42857925 \h </w:instrText>
      </w:r>
      <w:r>
        <w:rPr>
          <w:rFonts w:hint="eastAsia" w:ascii="仿宋_GB2312" w:eastAsia="仿宋_GB2312"/>
          <w:b w:val="0"/>
          <w:sz w:val="28"/>
          <w:szCs w:val="28"/>
        </w:rPr>
        <w:fldChar w:fldCharType="separate"/>
      </w:r>
      <w:r>
        <w:rPr>
          <w:rFonts w:hint="eastAsia" w:ascii="仿宋_GB2312" w:eastAsia="仿宋_GB2312"/>
          <w:b w:val="0"/>
          <w:sz w:val="28"/>
          <w:szCs w:val="28"/>
        </w:rPr>
        <w:t>100</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pStyle w:val="17"/>
        <w:adjustRightInd w:val="0"/>
        <w:spacing w:line="480" w:lineRule="exact"/>
        <w:ind w:firstLine="480" w:firstLineChars="200"/>
        <w:jc w:val="center"/>
        <w:rPr>
          <w:rFonts w:ascii="仿宋_GB2312" w:eastAsia="仿宋_GB2312" w:hAnsiTheme="minorHAnsi" w:cstheme="minorBidi"/>
          <w:b w:val="0"/>
          <w:sz w:val="28"/>
          <w:szCs w:val="28"/>
        </w:rPr>
      </w:pPr>
      <w:r>
        <w:fldChar w:fldCharType="begin"/>
      </w:r>
      <w:r>
        <w:instrText xml:space="preserve"> HYPERLINK \l "_Toc42857926" </w:instrText>
      </w:r>
      <w:r>
        <w:fldChar w:fldCharType="separate"/>
      </w:r>
      <w:r>
        <w:rPr>
          <w:rStyle w:val="32"/>
          <w:rFonts w:hint="eastAsia" w:ascii="仿宋_GB2312" w:eastAsia="仿宋_GB2312"/>
          <w:b w:val="0"/>
          <w:kern w:val="44"/>
          <w:sz w:val="28"/>
          <w:szCs w:val="28"/>
        </w:rPr>
        <w:t>附件5</w:t>
      </w:r>
      <w:r>
        <w:rPr>
          <w:rFonts w:hint="eastAsia" w:ascii="仿宋_GB2312" w:eastAsia="仿宋_GB2312"/>
          <w:b w:val="0"/>
          <w:sz w:val="28"/>
          <w:szCs w:val="28"/>
        </w:rPr>
        <w:tab/>
      </w:r>
      <w:r>
        <w:rPr>
          <w:rFonts w:hint="eastAsia" w:ascii="仿宋_GB2312" w:eastAsia="仿宋_GB2312"/>
          <w:b w:val="0"/>
          <w:sz w:val="28"/>
          <w:szCs w:val="28"/>
        </w:rPr>
        <w:fldChar w:fldCharType="begin"/>
      </w:r>
      <w:r>
        <w:rPr>
          <w:rFonts w:hint="eastAsia" w:ascii="仿宋_GB2312" w:eastAsia="仿宋_GB2312"/>
          <w:b w:val="0"/>
          <w:sz w:val="28"/>
          <w:szCs w:val="28"/>
        </w:rPr>
        <w:instrText xml:space="preserve"> PAGEREF _Toc42857926 \h </w:instrText>
      </w:r>
      <w:r>
        <w:rPr>
          <w:rFonts w:hint="eastAsia" w:ascii="仿宋_GB2312" w:eastAsia="仿宋_GB2312"/>
          <w:b w:val="0"/>
          <w:sz w:val="28"/>
          <w:szCs w:val="28"/>
        </w:rPr>
        <w:fldChar w:fldCharType="separate"/>
      </w:r>
      <w:r>
        <w:rPr>
          <w:rFonts w:hint="eastAsia" w:ascii="仿宋_GB2312" w:eastAsia="仿宋_GB2312"/>
          <w:b w:val="0"/>
          <w:sz w:val="28"/>
          <w:szCs w:val="28"/>
        </w:rPr>
        <w:t>101</w:t>
      </w:r>
      <w:r>
        <w:rPr>
          <w:rFonts w:hint="eastAsia" w:ascii="仿宋_GB2312" w:eastAsia="仿宋_GB2312"/>
          <w:b w:val="0"/>
          <w:sz w:val="28"/>
          <w:szCs w:val="28"/>
        </w:rPr>
        <w:fldChar w:fldCharType="end"/>
      </w:r>
      <w:r>
        <w:rPr>
          <w:rFonts w:hint="eastAsia" w:ascii="仿宋_GB2312" w:eastAsia="仿宋_GB2312"/>
          <w:b w:val="0"/>
          <w:sz w:val="28"/>
          <w:szCs w:val="28"/>
        </w:rPr>
        <w:fldChar w:fldCharType="end"/>
      </w:r>
    </w:p>
    <w:p>
      <w:pPr>
        <w:keepNext/>
        <w:keepLines/>
        <w:spacing w:line="480" w:lineRule="exact"/>
        <w:ind w:firstLine="560" w:firstLineChars="200"/>
        <w:jc w:val="left"/>
        <w:outlineLvl w:val="0"/>
        <w:rPr>
          <w:rFonts w:eastAsia="黑体"/>
          <w:b/>
          <w:bCs/>
          <w:kern w:val="44"/>
          <w:szCs w:val="32"/>
        </w:rPr>
      </w:pPr>
      <w:r>
        <w:rPr>
          <w:rFonts w:ascii="黑体" w:hAnsi="黑体" w:eastAsia="黑体"/>
          <w:kern w:val="44"/>
          <w:sz w:val="28"/>
          <w:szCs w:val="28"/>
        </w:rPr>
        <w:fldChar w:fldCharType="end"/>
      </w:r>
      <w:r>
        <w:rPr>
          <w:rFonts w:eastAsia="黑体"/>
          <w:b/>
          <w:bCs/>
          <w:kern w:val="44"/>
          <w:szCs w:val="32"/>
        </w:rPr>
        <w:br w:type="page"/>
      </w:r>
      <w:bookmarkStart w:id="7" w:name="_Toc42857907"/>
    </w:p>
    <w:p>
      <w:pPr>
        <w:keepNext/>
        <w:keepLines/>
        <w:spacing w:line="480" w:lineRule="exact"/>
        <w:ind w:firstLine="640" w:firstLineChars="200"/>
        <w:jc w:val="left"/>
        <w:outlineLvl w:val="0"/>
        <w:rPr>
          <w:rFonts w:ascii="黑体" w:hAnsi="黑体" w:eastAsia="黑体"/>
          <w:b/>
          <w:bCs/>
          <w:kern w:val="44"/>
          <w:szCs w:val="32"/>
        </w:rPr>
      </w:pPr>
      <w:r>
        <w:rPr>
          <w:rFonts w:hint="eastAsia" w:ascii="黑体" w:hAnsi="黑体" w:eastAsia="黑体"/>
          <w:b/>
          <w:bCs/>
          <w:kern w:val="44"/>
          <w:szCs w:val="32"/>
        </w:rPr>
        <w:t>一、二级公立中医医院绩效评价指标框架</w:t>
      </w:r>
      <w:bookmarkEnd w:id="7"/>
    </w:p>
    <w:p>
      <w:pPr>
        <w:spacing w:line="600" w:lineRule="exact"/>
        <w:ind w:firstLine="640" w:firstLineChars="200"/>
        <w:rPr>
          <w:rFonts w:ascii="仿宋_GB2312"/>
          <w:szCs w:val="32"/>
        </w:rPr>
      </w:pPr>
      <w:r>
        <w:rPr>
          <w:rFonts w:hint="eastAsia" w:ascii="仿宋_GB2312"/>
          <w:szCs w:val="32"/>
        </w:rPr>
        <w:t>二级公立中医医院绩效考核指标体系共包含一级指标4个、二级指标10个、三级指标34个（均为定量指标），国家监测指标23个。</w:t>
      </w:r>
    </w:p>
    <w:p>
      <w:pPr>
        <w:widowControl/>
        <w:jc w:val="center"/>
        <w:rPr>
          <w:rFonts w:eastAsia="宋体"/>
          <w:sz w:val="21"/>
          <w:szCs w:val="22"/>
        </w:rPr>
      </w:pPr>
      <w:r>
        <mc:AlternateContent>
          <mc:Choice Requires="wpc">
            <w:drawing>
              <wp:inline distT="0" distB="0" distL="0" distR="0">
                <wp:extent cx="5261610" cy="6801485"/>
                <wp:effectExtent l="0" t="0" r="0" b="0"/>
                <wp:docPr id="45" name="画布 127"/>
                <wp:cNvGraphicFramePr/>
                <a:graphic xmlns:a="http://schemas.openxmlformats.org/drawingml/2006/main">
                  <a:graphicData uri="http://schemas.microsoft.com/office/word/2010/wordprocessingCanvas">
                    <wpc:wpc>
                      <wpc:bg>
                        <a:noFill/>
                      </wpc:bg>
                      <wpc:whole/>
                      <wps:wsp>
                        <wps:cNvPr id="1" name="Text Box 21"/>
                        <wps:cNvSpPr txBox="1">
                          <a:spLocks noChangeArrowheads="1"/>
                        </wps:cNvSpPr>
                        <wps:spPr bwMode="auto">
                          <a:xfrm>
                            <a:off x="84300" y="1206815"/>
                            <a:ext cx="1272502" cy="442006"/>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kern w:val="0"/>
                                  <w:szCs w:val="32"/>
                                </w:rPr>
                              </w:pPr>
                              <w:r>
                                <w:rPr>
                                  <w:rFonts w:hint="eastAsia" w:ascii="黑体" w:hAnsi="黑体" w:eastAsia="黑体"/>
                                  <w:b/>
                                  <w:bCs/>
                                  <w:sz w:val="24"/>
                                  <w:szCs w:val="28"/>
                                </w:rPr>
                                <w:t>一、医疗质量</w:t>
                              </w:r>
                            </w:p>
                          </w:txbxContent>
                        </wps:txbx>
                        <wps:bodyPr rot="0" vert="horz" wrap="square" lIns="91440" tIns="45720" rIns="91440" bIns="45720" anchor="ctr" anchorCtr="0" upright="1">
                          <a:noAutofit/>
                        </wps:bodyPr>
                      </wps:wsp>
                      <wps:wsp>
                        <wps:cNvPr id="2" name="Text Box 24"/>
                        <wps:cNvSpPr txBox="1">
                          <a:spLocks noChangeArrowheads="1"/>
                        </wps:cNvSpPr>
                        <wps:spPr bwMode="auto">
                          <a:xfrm>
                            <a:off x="1736403" y="292404"/>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（一）功能定位</w:t>
                              </w:r>
                            </w:p>
                          </w:txbxContent>
                        </wps:txbx>
                        <wps:bodyPr rot="0" vert="horz" wrap="square" lIns="91440" tIns="45720" rIns="91440" bIns="45720" anchor="t" anchorCtr="0" upright="1">
                          <a:noAutofit/>
                        </wps:bodyPr>
                      </wps:wsp>
                      <wps:wsp>
                        <wps:cNvPr id="3" name="Text Box 38"/>
                        <wps:cNvSpPr txBox="1">
                          <a:spLocks noChangeArrowheads="1"/>
                        </wps:cNvSpPr>
                        <wps:spPr bwMode="auto">
                          <a:xfrm>
                            <a:off x="3783007" y="285904"/>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1-6</w:t>
                              </w:r>
                            </w:p>
                          </w:txbxContent>
                        </wps:txbx>
                        <wps:bodyPr rot="0" vert="horz" wrap="square" lIns="91440" tIns="45720" rIns="91440" bIns="45720" anchor="t" anchorCtr="0" upright="1">
                          <a:noAutofit/>
                        </wps:bodyPr>
                      </wps:wsp>
                      <wps:wsp>
                        <wps:cNvPr id="4" name="Text Box 28"/>
                        <wps:cNvSpPr txBox="1">
                          <a:spLocks noChangeArrowheads="1"/>
                        </wps:cNvSpPr>
                        <wps:spPr bwMode="auto">
                          <a:xfrm>
                            <a:off x="1736203" y="895511"/>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Calibri"/>
                                  <w:b/>
                                  <w:bCs/>
                                  <w:sz w:val="24"/>
                                  <w:szCs w:val="28"/>
                                </w:rPr>
                              </w:pPr>
                              <w:r>
                                <w:rPr>
                                  <w:rFonts w:hint="eastAsia" w:ascii="黑体" w:hAnsi="黑体" w:eastAsia="黑体"/>
                                  <w:b/>
                                  <w:bCs/>
                                  <w:sz w:val="24"/>
                                  <w:szCs w:val="28"/>
                                </w:rPr>
                                <w:t>（二）质量安全</w:t>
                              </w:r>
                            </w:p>
                          </w:txbxContent>
                        </wps:txbx>
                        <wps:bodyPr rot="0" vert="horz" wrap="square" lIns="91440" tIns="45720" rIns="91440" bIns="45720" anchor="t" anchorCtr="0" upright="1">
                          <a:noAutofit/>
                        </wps:bodyPr>
                      </wps:wsp>
                      <wps:wsp>
                        <wps:cNvPr id="5" name="Text Box 30"/>
                        <wps:cNvSpPr txBox="1">
                          <a:spLocks noChangeArrowheads="1"/>
                        </wps:cNvSpPr>
                        <wps:spPr bwMode="auto">
                          <a:xfrm>
                            <a:off x="3793007" y="895511"/>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7-8</w:t>
                              </w:r>
                            </w:p>
                          </w:txbxContent>
                        </wps:txbx>
                        <wps:bodyPr rot="0" vert="horz" wrap="square" lIns="91440" tIns="45720" rIns="91440" bIns="45720" anchor="t" anchorCtr="0" upright="1">
                          <a:noAutofit/>
                        </wps:bodyPr>
                      </wps:wsp>
                      <wps:wsp>
                        <wps:cNvPr id="6" name="Text Box 31"/>
                        <wps:cNvSpPr txBox="1">
                          <a:spLocks noChangeArrowheads="1"/>
                        </wps:cNvSpPr>
                        <wps:spPr bwMode="auto">
                          <a:xfrm>
                            <a:off x="1735103" y="1542119"/>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（三）合理用药</w:t>
                              </w:r>
                            </w:p>
                          </w:txbxContent>
                        </wps:txbx>
                        <wps:bodyPr rot="0" vert="horz" wrap="square" lIns="91440" tIns="45720" rIns="91440" bIns="45720" anchor="t" anchorCtr="0" upright="1">
                          <a:noAutofit/>
                        </wps:bodyPr>
                      </wps:wsp>
                      <wps:wsp>
                        <wps:cNvPr id="7" name="Text Box 36"/>
                        <wps:cNvSpPr txBox="1">
                          <a:spLocks noChangeArrowheads="1"/>
                        </wps:cNvSpPr>
                        <wps:spPr bwMode="auto">
                          <a:xfrm>
                            <a:off x="1736203" y="2205128"/>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Calibri"/>
                                  <w:b/>
                                  <w:bCs/>
                                  <w:sz w:val="24"/>
                                  <w:szCs w:val="28"/>
                                </w:rPr>
                              </w:pPr>
                              <w:r>
                                <w:rPr>
                                  <w:rFonts w:hint="eastAsia" w:ascii="黑体" w:hAnsi="黑体" w:eastAsia="黑体"/>
                                  <w:b/>
                                  <w:bCs/>
                                  <w:sz w:val="24"/>
                                  <w:szCs w:val="28"/>
                                </w:rPr>
                                <w:t>（四）医疗服务</w:t>
                              </w:r>
                            </w:p>
                          </w:txbxContent>
                        </wps:txbx>
                        <wps:bodyPr rot="0" vert="horz" wrap="square" lIns="91440" tIns="45720" rIns="91440" bIns="45720" anchor="t" anchorCtr="0" upright="1">
                          <a:noAutofit/>
                        </wps:bodyPr>
                      </wps:wsp>
                      <wps:wsp>
                        <wps:cNvPr id="8" name="Text Box 39"/>
                        <wps:cNvSpPr txBox="1">
                          <a:spLocks noChangeArrowheads="1"/>
                        </wps:cNvSpPr>
                        <wps:spPr bwMode="auto">
                          <a:xfrm>
                            <a:off x="3792307" y="1542119"/>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9-13</w:t>
                              </w:r>
                            </w:p>
                          </w:txbxContent>
                        </wps:txbx>
                        <wps:bodyPr rot="0" vert="horz" wrap="square" lIns="91440" tIns="45720" rIns="91440" bIns="45720" anchor="t" anchorCtr="0" upright="1">
                          <a:noAutofit/>
                        </wps:bodyPr>
                      </wps:wsp>
                      <wps:wsp>
                        <wps:cNvPr id="9" name="Text Box 40"/>
                        <wps:cNvSpPr txBox="1">
                          <a:spLocks noChangeArrowheads="1"/>
                        </wps:cNvSpPr>
                        <wps:spPr bwMode="auto">
                          <a:xfrm>
                            <a:off x="3786007" y="2194723"/>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14-16</w:t>
                              </w:r>
                            </w:p>
                            <w:p>
                              <w:pPr>
                                <w:spacing w:line="360" w:lineRule="auto"/>
                                <w:jc w:val="center"/>
                              </w:pPr>
                              <w:r>
                                <w:rPr>
                                  <w:rFonts w:hint="eastAsia" w:ascii="Calibri"/>
                                </w:rPr>
                                <w:t>位</w:t>
                              </w:r>
                            </w:p>
                          </w:txbxContent>
                        </wps:txbx>
                        <wps:bodyPr rot="0" vert="horz" wrap="square" lIns="91440" tIns="45720" rIns="91440" bIns="45720" anchor="t" anchorCtr="0" upright="1">
                          <a:noAutofit/>
                        </wps:bodyPr>
                      </wps:wsp>
                      <wps:wsp>
                        <wps:cNvPr id="10" name="Text Box 3"/>
                        <wps:cNvSpPr txBox="1">
                          <a:spLocks noChangeArrowheads="1"/>
                        </wps:cNvSpPr>
                        <wps:spPr bwMode="auto">
                          <a:xfrm>
                            <a:off x="40800" y="3178140"/>
                            <a:ext cx="1272602" cy="442006"/>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二、运营效率</w:t>
                              </w:r>
                            </w:p>
                          </w:txbxContent>
                        </wps:txbx>
                        <wps:bodyPr rot="0" vert="horz" wrap="square" lIns="91440" tIns="45720" rIns="91440" bIns="45720" anchor="ctr" anchorCtr="0" upright="1">
                          <a:noAutofit/>
                        </wps:bodyPr>
                      </wps:wsp>
                      <wps:wsp>
                        <wps:cNvPr id="11" name="Text Box 6"/>
                        <wps:cNvSpPr txBox="1">
                          <a:spLocks noChangeArrowheads="1"/>
                        </wps:cNvSpPr>
                        <wps:spPr bwMode="auto">
                          <a:xfrm>
                            <a:off x="1744403" y="2886536"/>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（五）收支结构</w:t>
                              </w:r>
                            </w:p>
                          </w:txbxContent>
                        </wps:txbx>
                        <wps:bodyPr rot="0" vert="horz" wrap="square" lIns="91440" tIns="45720" rIns="91440" bIns="45720" anchor="t" anchorCtr="0" upright="1">
                          <a:noAutofit/>
                        </wps:bodyPr>
                      </wps:wsp>
                      <wps:wsp>
                        <wps:cNvPr id="12" name="Text Box 8"/>
                        <wps:cNvSpPr txBox="1">
                          <a:spLocks noChangeArrowheads="1"/>
                        </wps:cNvSpPr>
                        <wps:spPr bwMode="auto">
                          <a:xfrm>
                            <a:off x="3793107" y="2886536"/>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17-24</w:t>
                              </w:r>
                            </w:p>
                          </w:txbxContent>
                        </wps:txbx>
                        <wps:bodyPr rot="0" vert="horz" wrap="square" lIns="91440" tIns="45720" rIns="91440" bIns="45720" anchor="t" anchorCtr="0" upright="1">
                          <a:noAutofit/>
                        </wps:bodyPr>
                      </wps:wsp>
                      <wps:wsp>
                        <wps:cNvPr id="13" name="Text Box 12"/>
                        <wps:cNvSpPr txBox="1">
                          <a:spLocks noChangeArrowheads="1"/>
                        </wps:cNvSpPr>
                        <wps:spPr bwMode="auto">
                          <a:xfrm>
                            <a:off x="1744403" y="3516744"/>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（六）费用控制</w:t>
                              </w:r>
                            </w:p>
                          </w:txbxContent>
                        </wps:txbx>
                        <wps:bodyPr rot="0" vert="horz" wrap="square" lIns="91440" tIns="45720" rIns="91440" bIns="45720" anchor="t" anchorCtr="0" upright="1">
                          <a:noAutofit/>
                        </wps:bodyPr>
                      </wps:wsp>
                      <wps:wsp>
                        <wps:cNvPr id="14" name="Text Box 13"/>
                        <wps:cNvSpPr txBox="1">
                          <a:spLocks noChangeArrowheads="1"/>
                        </wps:cNvSpPr>
                        <wps:spPr bwMode="auto">
                          <a:xfrm>
                            <a:off x="3786707" y="3513644"/>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25-27</w:t>
                              </w:r>
                            </w:p>
                            <w:p>
                              <w:pPr>
                                <w:adjustRightInd w:val="0"/>
                                <w:snapToGrid w:val="0"/>
                                <w:jc w:val="center"/>
                                <w:rPr>
                                  <w:rFonts w:ascii="黑体" w:hAnsi="黑体" w:eastAsia="黑体"/>
                                  <w:b/>
                                  <w:bCs/>
                                  <w:sz w:val="24"/>
                                  <w:szCs w:val="28"/>
                                </w:rPr>
                              </w:pPr>
                              <w:r>
                                <w:rPr>
                                  <w:rFonts w:ascii="Calibri" w:hAnsi="Calibri" w:eastAsia="黑体" w:cs="Calibri"/>
                                  <w:b/>
                                  <w:bCs/>
                                  <w:sz w:val="24"/>
                                  <w:szCs w:val="28"/>
                                </w:rPr>
                                <w:t> </w:t>
                              </w:r>
                            </w:p>
                          </w:txbxContent>
                        </wps:txbx>
                        <wps:bodyPr rot="0" vert="horz" wrap="square" lIns="91440" tIns="45720" rIns="91440" bIns="45720" anchor="t" anchorCtr="0" upright="1">
                          <a:noAutofit/>
                        </wps:bodyPr>
                      </wps:wsp>
                      <wps:wsp>
                        <wps:cNvPr id="15" name="Text Box 3"/>
                        <wps:cNvSpPr txBox="1">
                          <a:spLocks noChangeArrowheads="1"/>
                        </wps:cNvSpPr>
                        <wps:spPr bwMode="auto">
                          <a:xfrm>
                            <a:off x="32400" y="4494656"/>
                            <a:ext cx="1272502" cy="442006"/>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三、持续发展</w:t>
                              </w:r>
                            </w:p>
                          </w:txbxContent>
                        </wps:txbx>
                        <wps:bodyPr rot="0" vert="horz" wrap="square" lIns="91440" tIns="45720" rIns="91440" bIns="45720" anchor="ctr" anchorCtr="0" upright="1">
                          <a:noAutofit/>
                        </wps:bodyPr>
                      </wps:wsp>
                      <wps:wsp>
                        <wps:cNvPr id="16" name="Text Box 6"/>
                        <wps:cNvSpPr txBox="1">
                          <a:spLocks noChangeArrowheads="1"/>
                        </wps:cNvSpPr>
                        <wps:spPr bwMode="auto">
                          <a:xfrm>
                            <a:off x="1750903" y="4209453"/>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（七）人员结构</w:t>
                              </w:r>
                            </w:p>
                          </w:txbxContent>
                        </wps:txbx>
                        <wps:bodyPr rot="0" vert="horz" wrap="square" lIns="91440" tIns="45720" rIns="91440" bIns="45720" anchor="t" anchorCtr="0" upright="1">
                          <a:noAutofit/>
                        </wps:bodyPr>
                      </wps:wsp>
                      <wps:wsp>
                        <wps:cNvPr id="17" name="Text Box 8"/>
                        <wps:cNvSpPr txBox="1">
                          <a:spLocks noChangeArrowheads="1"/>
                        </wps:cNvSpPr>
                        <wps:spPr bwMode="auto">
                          <a:xfrm>
                            <a:off x="3786007" y="4203053"/>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28-30</w:t>
                              </w:r>
                            </w:p>
                          </w:txbxContent>
                        </wps:txbx>
                        <wps:bodyPr rot="0" vert="horz" wrap="square" lIns="91440" tIns="45720" rIns="91440" bIns="45720" anchor="t" anchorCtr="0" upright="1">
                          <a:noAutofit/>
                        </wps:bodyPr>
                      </wps:wsp>
                      <wps:wsp>
                        <wps:cNvPr id="18" name="Text Box 12"/>
                        <wps:cNvSpPr txBox="1">
                          <a:spLocks noChangeArrowheads="1"/>
                        </wps:cNvSpPr>
                        <wps:spPr bwMode="auto">
                          <a:xfrm>
                            <a:off x="1750903" y="4854261"/>
                            <a:ext cx="17748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（八）学科建设</w:t>
                              </w:r>
                            </w:p>
                          </w:txbxContent>
                        </wps:txbx>
                        <wps:bodyPr rot="0" vert="horz" wrap="square" lIns="91440" tIns="45720" rIns="91440" bIns="45720" anchor="t" anchorCtr="0" upright="1">
                          <a:noAutofit/>
                        </wps:bodyPr>
                      </wps:wsp>
                      <wps:wsp>
                        <wps:cNvPr id="19" name="Text Box 13"/>
                        <wps:cNvSpPr txBox="1">
                          <a:spLocks noChangeArrowheads="1"/>
                        </wps:cNvSpPr>
                        <wps:spPr bwMode="auto">
                          <a:xfrm>
                            <a:off x="3777207" y="4853161"/>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31-32</w:t>
                              </w:r>
                            </w:p>
                            <w:p>
                              <w:pPr>
                                <w:spacing w:line="360" w:lineRule="auto"/>
                                <w:jc w:val="center"/>
                              </w:pPr>
                              <w:r>
                                <w:rPr>
                                  <w:rFonts w:ascii="Calibri" w:hAnsi="Calibri"/>
                                </w:rPr>
                                <w:t> </w:t>
                              </w:r>
                            </w:p>
                          </w:txbxContent>
                        </wps:txbx>
                        <wps:bodyPr rot="0" vert="horz" wrap="square" lIns="91440" tIns="45720" rIns="91440" bIns="45720" anchor="t" anchorCtr="0" upright="1">
                          <a:noAutofit/>
                        </wps:bodyPr>
                      </wps:wsp>
                      <wps:wsp>
                        <wps:cNvPr id="20" name="Text Box 3"/>
                        <wps:cNvSpPr txBox="1">
                          <a:spLocks noChangeArrowheads="1"/>
                        </wps:cNvSpPr>
                        <wps:spPr bwMode="auto">
                          <a:xfrm>
                            <a:off x="6900" y="5781972"/>
                            <a:ext cx="1298102" cy="4059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四、满意度评价</w:t>
                              </w:r>
                            </w:p>
                          </w:txbxContent>
                        </wps:txbx>
                        <wps:bodyPr rot="0" vert="horz" wrap="square" lIns="91440" tIns="45720" rIns="91440" bIns="45720" anchor="ctr" anchorCtr="0" upright="1">
                          <a:noAutofit/>
                        </wps:bodyPr>
                      </wps:wsp>
                      <wps:wsp>
                        <wps:cNvPr id="21" name="Text Box 6"/>
                        <wps:cNvSpPr txBox="1">
                          <a:spLocks noChangeArrowheads="1"/>
                        </wps:cNvSpPr>
                        <wps:spPr bwMode="auto">
                          <a:xfrm>
                            <a:off x="1750903" y="5493869"/>
                            <a:ext cx="17733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（九）患者满意度</w:t>
                              </w:r>
                            </w:p>
                          </w:txbxContent>
                        </wps:txbx>
                        <wps:bodyPr rot="0" vert="horz" wrap="square" lIns="91440" tIns="45720" rIns="91440" bIns="45720" anchor="t" anchorCtr="0" upright="1">
                          <a:noAutofit/>
                        </wps:bodyPr>
                      </wps:wsp>
                      <wps:wsp>
                        <wps:cNvPr id="22" name="Text Box 8"/>
                        <wps:cNvSpPr txBox="1">
                          <a:spLocks noChangeArrowheads="1"/>
                        </wps:cNvSpPr>
                        <wps:spPr bwMode="auto">
                          <a:xfrm>
                            <a:off x="3773507" y="6163277"/>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34</w:t>
                              </w:r>
                            </w:p>
                          </w:txbxContent>
                        </wps:txbx>
                        <wps:bodyPr rot="0" vert="horz" wrap="square" lIns="91440" tIns="45720" rIns="91440" bIns="45720" anchor="t" anchorCtr="0" upright="1">
                          <a:noAutofit/>
                        </wps:bodyPr>
                      </wps:wsp>
                      <wps:wsp>
                        <wps:cNvPr id="23" name="Text Box 12"/>
                        <wps:cNvSpPr txBox="1">
                          <a:spLocks noChangeArrowheads="1"/>
                        </wps:cNvSpPr>
                        <wps:spPr bwMode="auto">
                          <a:xfrm>
                            <a:off x="1744403" y="6161477"/>
                            <a:ext cx="1779803" cy="396005"/>
                          </a:xfrm>
                          <a:prstGeom prst="rect">
                            <a:avLst/>
                          </a:prstGeom>
                          <a:solidFill>
                            <a:srgbClr val="FFFFFF"/>
                          </a:solidFill>
                          <a:ln w="12700">
                            <a:solidFill>
                              <a:srgbClr val="5B9BD5"/>
                            </a:solidFill>
                            <a:miter lim="800000"/>
                          </a:ln>
                        </wps:spPr>
                        <wps:txbx>
                          <w:txbxContent>
                            <w:p>
                              <w:pPr>
                                <w:adjustRightInd w:val="0"/>
                                <w:snapToGrid w:val="0"/>
                                <w:jc w:val="left"/>
                                <w:rPr>
                                  <w:rFonts w:ascii="Calibri"/>
                                  <w:b/>
                                  <w:bCs/>
                                  <w:sz w:val="24"/>
                                  <w:szCs w:val="28"/>
                                </w:rPr>
                              </w:pPr>
                              <w:r>
                                <w:rPr>
                                  <w:rFonts w:hint="eastAsia" w:ascii="黑体" w:hAnsi="黑体" w:eastAsia="黑体"/>
                                  <w:b/>
                                  <w:bCs/>
                                  <w:sz w:val="24"/>
                                  <w:szCs w:val="28"/>
                                </w:rPr>
                                <w:t>（十）医务人员满意度</w:t>
                              </w:r>
                            </w:p>
                          </w:txbxContent>
                        </wps:txbx>
                        <wps:bodyPr rot="0" vert="horz" wrap="square" lIns="91440" tIns="45720" rIns="91440" bIns="45720" anchor="t" anchorCtr="0" upright="1">
                          <a:noAutofit/>
                        </wps:bodyPr>
                      </wps:wsp>
                      <wps:wsp>
                        <wps:cNvPr id="24" name="Text Box 13"/>
                        <wps:cNvSpPr txBox="1">
                          <a:spLocks noChangeArrowheads="1"/>
                        </wps:cNvSpPr>
                        <wps:spPr bwMode="auto">
                          <a:xfrm>
                            <a:off x="3770607" y="5495169"/>
                            <a:ext cx="1440003" cy="396005"/>
                          </a:xfrm>
                          <a:prstGeom prst="rect">
                            <a:avLst/>
                          </a:prstGeom>
                          <a:solidFill>
                            <a:srgbClr val="FFFFFF"/>
                          </a:solidFill>
                          <a:ln w="12700">
                            <a:solidFill>
                              <a:srgbClr val="5B9BD5"/>
                            </a:solidFill>
                            <a:miter lim="800000"/>
                          </a:ln>
                        </wps:spPr>
                        <wps:txb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33</w:t>
                              </w:r>
                            </w:p>
                            <w:p>
                              <w:pPr>
                                <w:spacing w:line="360" w:lineRule="auto"/>
                                <w:jc w:val="center"/>
                              </w:pPr>
                              <w:r>
                                <w:rPr>
                                  <w:rFonts w:ascii="Calibri" w:hAnsi="Calibri"/>
                                </w:rPr>
                                <w:t> </w:t>
                              </w:r>
                            </w:p>
                          </w:txbxContent>
                        </wps:txbx>
                        <wps:bodyPr rot="0" vert="horz" wrap="square" lIns="91440" tIns="45720" rIns="91440" bIns="45720" anchor="t" anchorCtr="0" upright="1">
                          <a:noAutofit/>
                        </wps:bodyPr>
                      </wps:wsp>
                      <wps:wsp>
                        <wps:cNvPr id="25" name="肘形连接符 107"/>
                        <wps:cNvCnPr>
                          <a:cxnSpLocks noChangeShapeType="1"/>
                        </wps:cNvCnPr>
                        <wps:spPr bwMode="auto">
                          <a:xfrm flipV="1">
                            <a:off x="1356803" y="490406"/>
                            <a:ext cx="379601" cy="937412"/>
                          </a:xfrm>
                          <a:prstGeom prst="bentConnector3">
                            <a:avLst>
                              <a:gd name="adj1" fmla="val 50000"/>
                            </a:avLst>
                          </a:prstGeom>
                          <a:noFill/>
                          <a:ln w="6350">
                            <a:solidFill>
                              <a:srgbClr val="5B9BD5"/>
                            </a:solidFill>
                            <a:miter lim="800000"/>
                          </a:ln>
                        </wps:spPr>
                        <wps:bodyPr/>
                      </wps:wsp>
                      <wps:wsp>
                        <wps:cNvPr id="26" name="肘形连接符 108"/>
                        <wps:cNvCnPr>
                          <a:cxnSpLocks noChangeShapeType="1"/>
                        </wps:cNvCnPr>
                        <wps:spPr bwMode="auto">
                          <a:xfrm flipV="1">
                            <a:off x="1356803" y="1093514"/>
                            <a:ext cx="379401" cy="334304"/>
                          </a:xfrm>
                          <a:prstGeom prst="bentConnector3">
                            <a:avLst>
                              <a:gd name="adj1" fmla="val 50000"/>
                            </a:avLst>
                          </a:prstGeom>
                          <a:noFill/>
                          <a:ln w="6350">
                            <a:solidFill>
                              <a:srgbClr val="5B9BD5"/>
                            </a:solidFill>
                            <a:miter lim="800000"/>
                          </a:ln>
                        </wps:spPr>
                        <wps:bodyPr/>
                      </wps:wsp>
                      <wps:wsp>
                        <wps:cNvPr id="27" name="肘形连接符 109"/>
                        <wps:cNvCnPr>
                          <a:cxnSpLocks noChangeShapeType="1"/>
                        </wps:cNvCnPr>
                        <wps:spPr bwMode="auto">
                          <a:xfrm>
                            <a:off x="1356803" y="1427618"/>
                            <a:ext cx="378301" cy="312504"/>
                          </a:xfrm>
                          <a:prstGeom prst="bentConnector3">
                            <a:avLst>
                              <a:gd name="adj1" fmla="val 50000"/>
                            </a:avLst>
                          </a:prstGeom>
                          <a:noFill/>
                          <a:ln w="6350">
                            <a:solidFill>
                              <a:srgbClr val="5B9BD5"/>
                            </a:solidFill>
                            <a:miter lim="800000"/>
                          </a:ln>
                        </wps:spPr>
                        <wps:bodyPr/>
                      </wps:wsp>
                      <wps:wsp>
                        <wps:cNvPr id="28" name="肘形连接符 110"/>
                        <wps:cNvCnPr>
                          <a:cxnSpLocks noChangeShapeType="1"/>
                        </wps:cNvCnPr>
                        <wps:spPr bwMode="auto">
                          <a:xfrm>
                            <a:off x="1356803" y="1427818"/>
                            <a:ext cx="379401" cy="975312"/>
                          </a:xfrm>
                          <a:prstGeom prst="bentConnector3">
                            <a:avLst>
                              <a:gd name="adj1" fmla="val 50000"/>
                            </a:avLst>
                          </a:prstGeom>
                          <a:noFill/>
                          <a:ln w="6350">
                            <a:solidFill>
                              <a:srgbClr val="5B9BD5"/>
                            </a:solidFill>
                            <a:miter lim="800000"/>
                          </a:ln>
                        </wps:spPr>
                        <wps:bodyPr/>
                      </wps:wsp>
                      <wps:wsp>
                        <wps:cNvPr id="29" name="直接连接符 111"/>
                        <wps:cNvCnPr>
                          <a:cxnSpLocks noChangeShapeType="1"/>
                        </wps:cNvCnPr>
                        <wps:spPr bwMode="auto">
                          <a:xfrm flipV="1">
                            <a:off x="3511207" y="483906"/>
                            <a:ext cx="271801" cy="6500"/>
                          </a:xfrm>
                          <a:prstGeom prst="line">
                            <a:avLst/>
                          </a:prstGeom>
                          <a:noFill/>
                          <a:ln w="12700">
                            <a:solidFill>
                              <a:srgbClr val="5B9BD5"/>
                            </a:solidFill>
                            <a:miter lim="800000"/>
                          </a:ln>
                        </wps:spPr>
                        <wps:bodyPr/>
                      </wps:wsp>
                      <wps:wsp>
                        <wps:cNvPr id="30" name="直接连接符 112"/>
                        <wps:cNvCnPr>
                          <a:cxnSpLocks noChangeShapeType="1"/>
                        </wps:cNvCnPr>
                        <wps:spPr bwMode="auto">
                          <a:xfrm>
                            <a:off x="3511007" y="1093514"/>
                            <a:ext cx="282001" cy="0"/>
                          </a:xfrm>
                          <a:prstGeom prst="line">
                            <a:avLst/>
                          </a:prstGeom>
                          <a:noFill/>
                          <a:ln w="12700">
                            <a:solidFill>
                              <a:srgbClr val="5B9BD5"/>
                            </a:solidFill>
                            <a:miter lim="800000"/>
                          </a:ln>
                        </wps:spPr>
                        <wps:bodyPr/>
                      </wps:wsp>
                      <wps:wsp>
                        <wps:cNvPr id="31" name="直接连接符 113"/>
                        <wps:cNvCnPr>
                          <a:cxnSpLocks noChangeShapeType="1"/>
                        </wps:cNvCnPr>
                        <wps:spPr bwMode="auto">
                          <a:xfrm>
                            <a:off x="3509907" y="1740122"/>
                            <a:ext cx="282401" cy="0"/>
                          </a:xfrm>
                          <a:prstGeom prst="line">
                            <a:avLst/>
                          </a:prstGeom>
                          <a:noFill/>
                          <a:ln w="12700">
                            <a:solidFill>
                              <a:srgbClr val="5B9BD5"/>
                            </a:solidFill>
                            <a:miter lim="800000"/>
                          </a:ln>
                        </wps:spPr>
                        <wps:bodyPr/>
                      </wps:wsp>
                      <wps:wsp>
                        <wps:cNvPr id="32" name="直接连接符 114"/>
                        <wps:cNvCnPr>
                          <a:cxnSpLocks noChangeShapeType="1"/>
                        </wps:cNvCnPr>
                        <wps:spPr bwMode="auto">
                          <a:xfrm>
                            <a:off x="3519207" y="3084539"/>
                            <a:ext cx="273901" cy="0"/>
                          </a:xfrm>
                          <a:prstGeom prst="line">
                            <a:avLst/>
                          </a:prstGeom>
                          <a:noFill/>
                          <a:ln w="12700">
                            <a:solidFill>
                              <a:srgbClr val="5B9BD5"/>
                            </a:solidFill>
                            <a:miter lim="800000"/>
                          </a:ln>
                        </wps:spPr>
                        <wps:bodyPr/>
                      </wps:wsp>
                      <wps:wsp>
                        <wps:cNvPr id="33" name="直接连接符 115"/>
                        <wps:cNvCnPr>
                          <a:cxnSpLocks noChangeShapeType="1"/>
                        </wps:cNvCnPr>
                        <wps:spPr bwMode="auto">
                          <a:xfrm flipV="1">
                            <a:off x="3519207" y="3711646"/>
                            <a:ext cx="267501" cy="3100"/>
                          </a:xfrm>
                          <a:prstGeom prst="line">
                            <a:avLst/>
                          </a:prstGeom>
                          <a:noFill/>
                          <a:ln w="12700">
                            <a:solidFill>
                              <a:srgbClr val="5B9BD5"/>
                            </a:solidFill>
                            <a:miter lim="800000"/>
                          </a:ln>
                        </wps:spPr>
                        <wps:bodyPr/>
                      </wps:wsp>
                      <wps:wsp>
                        <wps:cNvPr id="34" name="直接连接符 116"/>
                        <wps:cNvCnPr>
                          <a:cxnSpLocks noChangeShapeType="1"/>
                        </wps:cNvCnPr>
                        <wps:spPr bwMode="auto">
                          <a:xfrm flipV="1">
                            <a:off x="3525707" y="4401055"/>
                            <a:ext cx="260300" cy="6400"/>
                          </a:xfrm>
                          <a:prstGeom prst="line">
                            <a:avLst/>
                          </a:prstGeom>
                          <a:noFill/>
                          <a:ln w="12700">
                            <a:solidFill>
                              <a:srgbClr val="5B9BD5"/>
                            </a:solidFill>
                            <a:miter lim="800000"/>
                          </a:ln>
                        </wps:spPr>
                        <wps:bodyPr/>
                      </wps:wsp>
                      <wps:wsp>
                        <wps:cNvPr id="35" name="直接连接符 117"/>
                        <wps:cNvCnPr>
                          <a:cxnSpLocks noChangeShapeType="1"/>
                        </wps:cNvCnPr>
                        <wps:spPr bwMode="auto">
                          <a:xfrm flipV="1">
                            <a:off x="3525707" y="5051163"/>
                            <a:ext cx="251500" cy="1100"/>
                          </a:xfrm>
                          <a:prstGeom prst="line">
                            <a:avLst/>
                          </a:prstGeom>
                          <a:noFill/>
                          <a:ln w="12700">
                            <a:solidFill>
                              <a:srgbClr val="5B9BD5"/>
                            </a:solidFill>
                            <a:miter lim="800000"/>
                          </a:ln>
                        </wps:spPr>
                        <wps:bodyPr/>
                      </wps:wsp>
                      <wps:wsp>
                        <wps:cNvPr id="36" name="直接连接符 118"/>
                        <wps:cNvCnPr>
                          <a:cxnSpLocks noChangeShapeType="1"/>
                        </wps:cNvCnPr>
                        <wps:spPr bwMode="auto">
                          <a:xfrm>
                            <a:off x="3524207" y="5691871"/>
                            <a:ext cx="246400" cy="1300"/>
                          </a:xfrm>
                          <a:prstGeom prst="line">
                            <a:avLst/>
                          </a:prstGeom>
                          <a:noFill/>
                          <a:ln w="12700">
                            <a:solidFill>
                              <a:srgbClr val="5B9BD5"/>
                            </a:solidFill>
                            <a:miter lim="800000"/>
                          </a:ln>
                        </wps:spPr>
                        <wps:bodyPr/>
                      </wps:wsp>
                      <wps:wsp>
                        <wps:cNvPr id="37" name="肘形连接符 119"/>
                        <wps:cNvCnPr>
                          <a:cxnSpLocks noChangeShapeType="1"/>
                        </wps:cNvCnPr>
                        <wps:spPr bwMode="auto">
                          <a:xfrm flipV="1">
                            <a:off x="1313402" y="3084539"/>
                            <a:ext cx="431001" cy="314604"/>
                          </a:xfrm>
                          <a:prstGeom prst="bentConnector3">
                            <a:avLst>
                              <a:gd name="adj1" fmla="val 50000"/>
                            </a:avLst>
                          </a:prstGeom>
                          <a:noFill/>
                          <a:ln w="6350">
                            <a:solidFill>
                              <a:srgbClr val="5B9BD5"/>
                            </a:solidFill>
                            <a:miter lim="800000"/>
                          </a:ln>
                        </wps:spPr>
                        <wps:bodyPr/>
                      </wps:wsp>
                      <wps:wsp>
                        <wps:cNvPr id="38" name="肘形连接符 120"/>
                        <wps:cNvCnPr>
                          <a:cxnSpLocks noChangeShapeType="1"/>
                        </wps:cNvCnPr>
                        <wps:spPr bwMode="auto">
                          <a:xfrm flipV="1">
                            <a:off x="1313402" y="4407455"/>
                            <a:ext cx="437501" cy="313004"/>
                          </a:xfrm>
                          <a:prstGeom prst="bentConnector3">
                            <a:avLst>
                              <a:gd name="adj1" fmla="val 50000"/>
                            </a:avLst>
                          </a:prstGeom>
                          <a:noFill/>
                          <a:ln w="12700">
                            <a:solidFill>
                              <a:srgbClr val="5B9BD5"/>
                            </a:solidFill>
                            <a:miter lim="800000"/>
                          </a:ln>
                        </wps:spPr>
                        <wps:bodyPr/>
                      </wps:wsp>
                      <wps:wsp>
                        <wps:cNvPr id="39" name="肘形连接符 121"/>
                        <wps:cNvCnPr>
                          <a:cxnSpLocks noChangeShapeType="1"/>
                        </wps:cNvCnPr>
                        <wps:spPr bwMode="auto">
                          <a:xfrm flipV="1">
                            <a:off x="1305002" y="5691871"/>
                            <a:ext cx="445901" cy="293004"/>
                          </a:xfrm>
                          <a:prstGeom prst="bentConnector3">
                            <a:avLst>
                              <a:gd name="adj1" fmla="val 50000"/>
                            </a:avLst>
                          </a:prstGeom>
                          <a:noFill/>
                          <a:ln w="12700">
                            <a:solidFill>
                              <a:srgbClr val="5B9BD5"/>
                            </a:solidFill>
                            <a:miter lim="800000"/>
                          </a:ln>
                        </wps:spPr>
                        <wps:bodyPr/>
                      </wps:wsp>
                      <wps:wsp>
                        <wps:cNvPr id="40" name="肘形连接符 122"/>
                        <wps:cNvCnPr>
                          <a:cxnSpLocks noChangeShapeType="1"/>
                        </wps:cNvCnPr>
                        <wps:spPr bwMode="auto">
                          <a:xfrm>
                            <a:off x="1305002" y="5984875"/>
                            <a:ext cx="439401" cy="374605"/>
                          </a:xfrm>
                          <a:prstGeom prst="bentConnector3">
                            <a:avLst>
                              <a:gd name="adj1" fmla="val 50000"/>
                            </a:avLst>
                          </a:prstGeom>
                          <a:noFill/>
                          <a:ln w="12700">
                            <a:solidFill>
                              <a:srgbClr val="5B9BD5"/>
                            </a:solidFill>
                            <a:miter lim="800000"/>
                          </a:ln>
                        </wps:spPr>
                        <wps:bodyPr/>
                      </wps:wsp>
                      <wps:wsp>
                        <wps:cNvPr id="41" name="直接连接符 123"/>
                        <wps:cNvCnPr>
                          <a:cxnSpLocks noChangeShapeType="1"/>
                        </wps:cNvCnPr>
                        <wps:spPr bwMode="auto">
                          <a:xfrm>
                            <a:off x="3524207" y="6359479"/>
                            <a:ext cx="249300" cy="1800"/>
                          </a:xfrm>
                          <a:prstGeom prst="line">
                            <a:avLst/>
                          </a:prstGeom>
                          <a:noFill/>
                          <a:ln w="12700">
                            <a:solidFill>
                              <a:srgbClr val="5B9BD5"/>
                            </a:solidFill>
                            <a:miter lim="800000"/>
                          </a:ln>
                        </wps:spPr>
                        <wps:bodyPr/>
                      </wps:wsp>
                      <wps:wsp>
                        <wps:cNvPr id="42" name="直接连接符 124"/>
                        <wps:cNvCnPr>
                          <a:cxnSpLocks noChangeShapeType="1"/>
                        </wps:cNvCnPr>
                        <wps:spPr bwMode="auto">
                          <a:xfrm>
                            <a:off x="3510607" y="2403130"/>
                            <a:ext cx="262500" cy="0"/>
                          </a:xfrm>
                          <a:prstGeom prst="line">
                            <a:avLst/>
                          </a:prstGeom>
                          <a:noFill/>
                          <a:ln w="12700">
                            <a:solidFill>
                              <a:srgbClr val="5B9BD5"/>
                            </a:solidFill>
                            <a:miter lim="800000"/>
                          </a:ln>
                        </wps:spPr>
                        <wps:bodyPr/>
                      </wps:wsp>
                      <wps:wsp>
                        <wps:cNvPr id="43" name="肘形连接符 125"/>
                        <wps:cNvCnPr>
                          <a:cxnSpLocks noChangeShapeType="1"/>
                        </wps:cNvCnPr>
                        <wps:spPr bwMode="auto">
                          <a:xfrm rot="10800000">
                            <a:off x="1304802" y="4715659"/>
                            <a:ext cx="445901" cy="336604"/>
                          </a:xfrm>
                          <a:prstGeom prst="bentConnector3">
                            <a:avLst>
                              <a:gd name="adj1" fmla="val 50000"/>
                            </a:avLst>
                          </a:prstGeom>
                          <a:noFill/>
                          <a:ln w="12700">
                            <a:solidFill>
                              <a:srgbClr val="5B9BD5"/>
                            </a:solidFill>
                            <a:miter lim="800000"/>
                          </a:ln>
                        </wps:spPr>
                        <wps:bodyPr/>
                      </wps:wsp>
                      <wps:wsp>
                        <wps:cNvPr id="44" name="肘形连接符 126"/>
                        <wps:cNvCnPr>
                          <a:cxnSpLocks noChangeShapeType="1"/>
                        </wps:cNvCnPr>
                        <wps:spPr bwMode="auto">
                          <a:xfrm>
                            <a:off x="1313202" y="3399142"/>
                            <a:ext cx="431001" cy="315604"/>
                          </a:xfrm>
                          <a:prstGeom prst="bentConnector3">
                            <a:avLst>
                              <a:gd name="adj1" fmla="val 50000"/>
                            </a:avLst>
                          </a:prstGeom>
                          <a:noFill/>
                          <a:ln w="6350">
                            <a:solidFill>
                              <a:srgbClr val="5B9BD5"/>
                            </a:solidFill>
                            <a:miter lim="800000"/>
                          </a:ln>
                        </wps:spPr>
                        <wps:bodyPr/>
                      </wps:wsp>
                    </wpc:wpc>
                  </a:graphicData>
                </a:graphic>
              </wp:inline>
            </w:drawing>
          </mc:Choice>
          <mc:Fallback>
            <w:pict>
              <v:group id="画布 127" o:spid="_x0000_s1026" o:spt="203" style="height:535.55pt;width:414.3pt;" coordsize="5261610,6801485" editas="canvas" o:gfxdata="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">
                <o:lock v:ext="edit" aspectratio="f"/>
                <v:shape id="画布 127" o:spid="_x0000_s1026" style="position:absolute;left:0;top:0;height:6801485;width:5261610;" filled="f" stroked="f" coordsize="21600,21600" o:gfxdata="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">
                  <v:fill on="f" focussize="0,0"/>
                  <v:stroke on="f"/>
                  <v:imagedata o:title=""/>
                  <o:lock v:ext="edit" aspectratio="f"/>
                </v:shape>
                <v:shape id="Text Box 21" o:spid="_x0000_s1026" o:spt="202" type="#_x0000_t202" style="position:absolute;left:84300;top:1206815;height:442006;width:1272502;v-text-anchor:middle;" fillcolor="#FFFFFF" filled="t" stroked="t" coordsize="21600,21600" o:gfxdata="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BHiWdQAAAAGAQAADwAAAAAAAAABACAAAAAiAAAAZHJzL2Rv&#10;d25yZXYueG1sUEsBAhQAFAAAAAgAh07iQCcFqAA+AgAAlAQAAA4AAAAAAAAAAQAgAAAAIwEAAGRy&#10;cy9lMm9Eb2MueG1sUEsFBgAAAAAGAAYAWQEAANM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kern w:val="0"/>
                            <w:szCs w:val="32"/>
                          </w:rPr>
                        </w:pPr>
                        <w:r>
                          <w:rPr>
                            <w:rFonts w:hint="eastAsia" w:ascii="黑体" w:hAnsi="黑体" w:eastAsia="黑体"/>
                            <w:b/>
                            <w:bCs/>
                            <w:sz w:val="24"/>
                            <w:szCs w:val="28"/>
                          </w:rPr>
                          <w:t>一、医疗质量</w:t>
                        </w:r>
                      </w:p>
                    </w:txbxContent>
                  </v:textbox>
                </v:shape>
                <v:shape id="Text Box 24" o:spid="_x0000_s1026" o:spt="202" type="#_x0000_t202" style="position:absolute;left:1736403;top:292404;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MKtH1ZBAgAAkw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（一）功能定位</w:t>
                        </w:r>
                      </w:p>
                    </w:txbxContent>
                  </v:textbox>
                </v:shape>
                <v:shape id="Text Box 38" o:spid="_x0000_s1026" o:spt="202" type="#_x0000_t202" style="position:absolute;left:3783007;top:285904;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1ZG9QAAAAGAQAADwAAAAAAAAABACAAAAAiAAAA&#10;ZHJzL2Rvd25yZXYueG1sUEsBAhQAFAAAAAgAh07iQCUVUr1EAgAAkwQAAA4AAAAAAAAAAQAgAAAA&#10;IwEAAGRycy9lMm9Eb2MueG1sUEsFBgAAAAAGAAYAWQEAANk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1-6</w:t>
                        </w:r>
                      </w:p>
                    </w:txbxContent>
                  </v:textbox>
                </v:shape>
                <v:shape id="Text Box 28" o:spid="_x0000_s1026" o:spt="202" type="#_x0000_t202" style="position:absolute;left:1736203;top:895511;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7DVkb1AAAAAYBAAAPAAAAAAAAAAEAIAAAACIAAABkcnMv&#10;ZG93bnJldi54bWxQSwECFAAUAAAACACHTuJAFFWlW0ACAACTBAAADgAAAAAAAAABACAAAAAjAQAA&#10;ZHJzL2Uyb0RvYy54bWxQSwUGAAAAAAYABgBZAQAA1QUAAAAA&#10;">
                  <v:fill on="t" focussize="0,0"/>
                  <v:stroke weight="1pt" color="#5B9BD5" miterlimit="8" joinstyle="miter"/>
                  <v:imagedata o:title=""/>
                  <o:lock v:ext="edit" aspectratio="f"/>
                  <v:textbox>
                    <w:txbxContent>
                      <w:p>
                        <w:pPr>
                          <w:adjustRightInd w:val="0"/>
                          <w:snapToGrid w:val="0"/>
                          <w:jc w:val="left"/>
                          <w:rPr>
                            <w:rFonts w:ascii="Calibri"/>
                            <w:b/>
                            <w:bCs/>
                            <w:sz w:val="24"/>
                            <w:szCs w:val="28"/>
                          </w:rPr>
                        </w:pPr>
                        <w:r>
                          <w:rPr>
                            <w:rFonts w:hint="eastAsia" w:ascii="黑体" w:hAnsi="黑体" w:eastAsia="黑体"/>
                            <w:b/>
                            <w:bCs/>
                            <w:sz w:val="24"/>
                            <w:szCs w:val="28"/>
                          </w:rPr>
                          <w:t>（二）质量安全</w:t>
                        </w:r>
                      </w:p>
                    </w:txbxContent>
                  </v:textbox>
                </v:shape>
                <v:shape id="Text Box 30" o:spid="_x0000_s1026" o:spt="202" type="#_x0000_t202" style="position:absolute;left:3793007;top:895511;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1ZG9QAAAAGAQAADwAAAAAAAAABACAAAAAiAAAA&#10;ZHJzL2Rvd25yZXYueG1sUEsBAhQAFAAAAAgAh07iQAldNLdEAgAAkwQAAA4AAAAAAAAAAQAgAAAA&#10;IwEAAGRycy9lMm9Eb2MueG1sUEsFBgAAAAAGAAYAWQEAANk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7-8</w:t>
                        </w:r>
                      </w:p>
                    </w:txbxContent>
                  </v:textbox>
                </v:shape>
                <v:shape id="Text Box 31" o:spid="_x0000_s1026" o:spt="202" type="#_x0000_t202" style="position:absolute;left:1735103;top:1542119;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PpwpZ1BAgAAlA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（三）合理用药</w:t>
                        </w:r>
                      </w:p>
                    </w:txbxContent>
                  </v:textbox>
                </v:shape>
                <v:shape id="Text Box 36" o:spid="_x0000_s1026" o:spt="202" type="#_x0000_t202" style="position:absolute;left:1736203;top:2205128;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C7AB2RBAgAAlA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Calibri"/>
                            <w:b/>
                            <w:bCs/>
                            <w:sz w:val="24"/>
                            <w:szCs w:val="28"/>
                          </w:rPr>
                        </w:pPr>
                        <w:r>
                          <w:rPr>
                            <w:rFonts w:hint="eastAsia" w:ascii="黑体" w:hAnsi="黑体" w:eastAsia="黑体"/>
                            <w:b/>
                            <w:bCs/>
                            <w:sz w:val="24"/>
                            <w:szCs w:val="28"/>
                          </w:rPr>
                          <w:t>（四）医疗服务</w:t>
                        </w:r>
                      </w:p>
                    </w:txbxContent>
                  </v:textbox>
                </v:shape>
                <v:shape id="Text Box 39" o:spid="_x0000_s1026" o:spt="202" type="#_x0000_t202" style="position:absolute;left:3792307;top:1542119;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sNWRvUAAAABgEAAA8AAAAAAAAAAQAgAAAAIgAA&#10;AGRycy9kb3ducmV2LnhtbFBLAQIUABQAAAAIAIdO4kAmLCBcRQIAAJQEAAAOAAAAAAAAAAEAIAAA&#10;ACMBAABkcnMvZTJvRG9jLnhtbFBLBQYAAAAABgAGAFkBAADaBQ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9-13</w:t>
                        </w:r>
                      </w:p>
                    </w:txbxContent>
                  </v:textbox>
                </v:shape>
                <v:shape id="Text Box 40" o:spid="_x0000_s1026" o:spt="202" type="#_x0000_t202" style="position:absolute;left:3786007;top:2194723;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1ZG9QAAAAGAQAADwAAAAAAAAABACAAAAAiAAAA&#10;ZHJzL2Rvd25yZXYueG1sUEsBAhQAFAAAAAgAh07iQPjY3UlEAgAAlAQAAA4AAAAAAAAAAQAgAAAA&#10;IwEAAGRycy9lMm9Eb2MueG1sUEsFBgAAAAAGAAYAWQEAANk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14-16</w:t>
                        </w:r>
                      </w:p>
                      <w:p>
                        <w:pPr>
                          <w:spacing w:line="360" w:lineRule="auto"/>
                          <w:jc w:val="center"/>
                        </w:pPr>
                        <w:r>
                          <w:rPr>
                            <w:rFonts w:hint="eastAsia" w:ascii="Calibri"/>
                          </w:rPr>
                          <w:t>位</w:t>
                        </w:r>
                      </w:p>
                    </w:txbxContent>
                  </v:textbox>
                </v:shape>
                <v:shape id="Text Box 3" o:spid="_x0000_s1026" o:spt="202" type="#_x0000_t202" style="position:absolute;left:40800;top:3178140;height:442006;width:1272602;v-text-anchor:middle;" fillcolor="#FFFFFF" filled="t" stroked="t" coordsize="21600,21600" o:gfxdata="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wR4lnUAAAABgEAAA8AAAAAAAAAAQAgAAAAIgAAAGRycy9kb3du&#10;cmV2LnhtbFBLAQIUABQAAAAIAIdO4kBHS29gPAIAAJQEAAAOAAAAAAAAAAEAIAAAACMBAABkcnMv&#10;ZTJvRG9jLnhtbFBLBQYAAAAABgAGAFkBAADRBQ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二、运营效率</w:t>
                        </w:r>
                      </w:p>
                    </w:txbxContent>
                  </v:textbox>
                </v:shape>
                <v:shape id="Text Box 6" o:spid="_x0000_s1026" o:spt="202" type="#_x0000_t202" style="position:absolute;left:1744403;top:2886536;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CEuC9dBAgAAlA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（五）收支结构</w:t>
                        </w:r>
                      </w:p>
                    </w:txbxContent>
                  </v:textbox>
                </v:shape>
                <v:shape id="Text Box 8" o:spid="_x0000_s1026" o:spt="202" type="#_x0000_t202" style="position:absolute;left:3793107;top:2886536;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1ZG9QAAAAGAQAADwAAAAAAAAABACAAAAAiAAAA&#10;ZHJzL2Rvd25yZXYueG1sUEsBAhQAFAAAAAgAh07iQE67GPdEAgAAlAQAAA4AAAAAAAAAAQAgAAAA&#10;IwEAAGRycy9lMm9Eb2MueG1sUEsFBgAAAAAGAAYAWQEAANk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17-24</w:t>
                        </w:r>
                      </w:p>
                    </w:txbxContent>
                  </v:textbox>
                </v:shape>
                <v:shape id="Text Box 12" o:spid="_x0000_s1026" o:spt="202" type="#_x0000_t202" style="position:absolute;left:1744403;top:3516744;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sNWRvUAAAABgEAAA8AAAAAAAAAAQAgAAAAIgAAAGRycy9k&#10;b3ducmV2LnhtbFBLAQIUABQAAAAIAIdO4kB33sifPwIAAJUEAAAOAAAAAAAAAAEAIAAAACMBAABk&#10;cnMvZTJvRG9jLnhtbFBLBQYAAAAABgAGAFkBAADUBQ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（六）费用控制</w:t>
                        </w:r>
                      </w:p>
                    </w:txbxContent>
                  </v:textbox>
                </v:shape>
                <v:shape id="Text Box 13" o:spid="_x0000_s1026" o:spt="202" type="#_x0000_t202" style="position:absolute;left:3786707;top:3513644;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7DVkb1AAAAAYBAAAPAAAAAAAAAAEAIAAAACIAAABk&#10;cnMvZG93bnJldi54bWxQSwECFAAUAAAACACHTuJA9dIOv0MCAACVBAAADgAAAAAAAAABACAAAAAj&#10;AQAAZHJzL2Uyb0RvYy54bWxQSwUGAAAAAAYABgBZAQAA2AU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25-27</w:t>
                        </w:r>
                      </w:p>
                      <w:p>
                        <w:pPr>
                          <w:adjustRightInd w:val="0"/>
                          <w:snapToGrid w:val="0"/>
                          <w:jc w:val="center"/>
                          <w:rPr>
                            <w:rFonts w:ascii="黑体" w:hAnsi="黑体" w:eastAsia="黑体"/>
                            <w:b/>
                            <w:bCs/>
                            <w:sz w:val="24"/>
                            <w:szCs w:val="28"/>
                          </w:rPr>
                        </w:pPr>
                        <w:r>
                          <w:rPr>
                            <w:rFonts w:ascii="Calibri" w:hAnsi="Calibri" w:eastAsia="黑体" w:cs="Calibri"/>
                            <w:b/>
                            <w:bCs/>
                            <w:sz w:val="24"/>
                            <w:szCs w:val="28"/>
                          </w:rPr>
                          <w:t> </w:t>
                        </w:r>
                      </w:p>
                    </w:txbxContent>
                  </v:textbox>
                </v:shape>
                <v:shape id="Text Box 3" o:spid="_x0000_s1026" o:spt="202" type="#_x0000_t202" style="position:absolute;left:32400;top:4494656;height:442006;width:1272502;v-text-anchor:middle;" fillcolor="#FFFFFF" filled="t" stroked="t" coordsize="21600,21600" o:gfxdata="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wR4lnUAAAABgEAAA8AAAAAAAAAAQAgAAAAIgAAAGRycy9kb3du&#10;cmV2LnhtbFBLAQIUABQAAAAIAIdO4kAyr/i+PAIAAJQEAAAOAAAAAAAAAAEAIAAAACMBAABkcnMv&#10;ZTJvRG9jLnhtbFBLBQYAAAAABgAGAFkBAADRBQ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三、持续发展</w:t>
                        </w:r>
                      </w:p>
                    </w:txbxContent>
                  </v:textbox>
                </v:shape>
                <v:shape id="Text Box 6" o:spid="_x0000_s1026" o:spt="202" type="#_x0000_t202" style="position:absolute;left:1750903;top:4209453;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OYT3FdBAgAAlA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（七）人员结构</w:t>
                        </w:r>
                      </w:p>
                    </w:txbxContent>
                  </v:textbox>
                </v:shape>
                <v:shape id="Text Box 8" o:spid="_x0000_s1026" o:spt="202" type="#_x0000_t202" style="position:absolute;left:3786007;top:4203053;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&#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7DVkb1AAAAAYBAAAPAAAAAAAAAAEAIAAAACIAAABk&#10;cnMvZG93bnJldi54bWxQSwECFAAUAAAACACHTuJAXncZm0MCAACUBAAADgAAAAAAAAABACAAAAAj&#10;AQAAZHJzL2Uyb0RvYy54bWxQSwUGAAAAAAYABgBZAQAA2AU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28-30</w:t>
                        </w:r>
                      </w:p>
                    </w:txbxContent>
                  </v:textbox>
                </v:shape>
                <v:shape id="Text Box 12" o:spid="_x0000_s1026" o:spt="202" type="#_x0000_t202" style="position:absolute;left:1750903;top:4854261;height:396005;width:1774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M1N9ohBAgAAlQ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（八）学科建设</w:t>
                        </w:r>
                      </w:p>
                    </w:txbxContent>
                  </v:textbox>
                </v:shape>
                <v:shape id="Text Box 13" o:spid="_x0000_s1026" o:spt="202" type="#_x0000_t202" style="position:absolute;left:3777207;top:4853161;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sNWRvUAAAABgEAAA8AAAAAAAAAAQAgAAAAIgAA&#10;AGRycy9kb3ducmV2LnhtbFBLAQIUABQAAAAIAIdO4kCyMWCyRQIAAJUEAAAOAAAAAAAAAAEAIAAA&#10;ACMBAABkcnMvZTJvRG9jLnhtbFBLBQYAAAAABgAGAFkBAADaBQ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31-32</w:t>
                        </w:r>
                      </w:p>
                      <w:p>
                        <w:pPr>
                          <w:spacing w:line="360" w:lineRule="auto"/>
                          <w:jc w:val="center"/>
                        </w:pPr>
                        <w:r>
                          <w:rPr>
                            <w:rFonts w:ascii="Calibri" w:hAnsi="Calibri"/>
                          </w:rPr>
                          <w:t> </w:t>
                        </w:r>
                      </w:p>
                    </w:txbxContent>
                  </v:textbox>
                </v:shape>
                <v:shape id="Text Box 3" o:spid="_x0000_s1026" o:spt="202" type="#_x0000_t202" style="position:absolute;left:6900;top:5781972;height:405905;width:1298102;v-text-anchor:middle;" fillcolor="#FFFFFF" filled="t" stroked="t" coordsize="21600,21600" o:gfxdata="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MEeJZ1AAAAAYBAAAPAAAAAAAAAAEAIAAAACIAAABkcnMv&#10;ZG93bnJldi54bWxQSwECFAAUAAAACACHTuJAME3xZ0ACAACTBAAADgAAAAAAAAABACAAAAAjAQAA&#10;ZHJzL2Uyb0RvYy54bWxQSwUGAAAAAAYABgBZAQAA1QU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四、满意度评价</w:t>
                        </w:r>
                      </w:p>
                    </w:txbxContent>
                  </v:textbox>
                </v:shape>
                <v:shape id="Text Box 6" o:spid="_x0000_s1026" o:spt="202" type="#_x0000_t202" style="position:absolute;left:1750903;top:5493869;height:396005;width:17733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1ZG9QAAAAGAQAADwAAAAAAAAABACAAAAAiAAAAZHJz&#10;L2Rvd25yZXYueG1sUEsBAhQAFAAAAAgAh07iQJT53SFBAgAAlAQAAA4AAAAAAAAAAQAgAAAAIwEA&#10;AGRycy9lMm9Eb2MueG1sUEsFBgAAAAAGAAYAWQEAANYFA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（九）患者满意度</w:t>
                        </w:r>
                      </w:p>
                    </w:txbxContent>
                  </v:textbox>
                </v:shape>
                <v:shape id="Text Box 8" o:spid="_x0000_s1026" o:spt="202" type="#_x0000_t202" style="position:absolute;left:3773507;top:6163277;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7DVkb1AAAAAYBAAAPAAAAAAAAAAEAIAAAACIA&#10;AABkcnMvZG93bnJldi54bWxQSwECFAAUAAAACACHTuJA3TqW40YCAACUBAAADgAAAAAAAAABACAA&#10;AAAjAQAAZHJzL2Uyb0RvYy54bWxQSwUGAAAAAAYABgBZAQAA2wU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34</w:t>
                        </w:r>
                      </w:p>
                    </w:txbxContent>
                  </v:textbox>
                </v:shape>
                <v:shape id="Text Box 12" o:spid="_x0000_s1026" o:spt="202" type="#_x0000_t202" style="position:absolute;left:1744403;top:6161477;height:396005;width:17798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&#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sNWRvUAAAABgEAAA8AAAAAAAAAAQAgAAAAIgAAAGRy&#10;cy9kb3ducmV2LnhtbFBLAQIUABQAAAAIAIdO4kDfVVnpQgIAAJUEAAAOAAAAAAAAAAEAIAAAACMB&#10;AABkcnMvZTJvRG9jLnhtbFBLBQYAAAAABgAGAFkBAADXBQAAAAA=&#10;">
                  <v:fill on="t" focussize="0,0"/>
                  <v:stroke weight="1pt" color="#5B9BD5" miterlimit="8" joinstyle="miter"/>
                  <v:imagedata o:title=""/>
                  <o:lock v:ext="edit" aspectratio="f"/>
                  <v:textbox>
                    <w:txbxContent>
                      <w:p>
                        <w:pPr>
                          <w:adjustRightInd w:val="0"/>
                          <w:snapToGrid w:val="0"/>
                          <w:jc w:val="left"/>
                          <w:rPr>
                            <w:rFonts w:ascii="Calibri"/>
                            <w:b/>
                            <w:bCs/>
                            <w:sz w:val="24"/>
                            <w:szCs w:val="28"/>
                          </w:rPr>
                        </w:pPr>
                        <w:r>
                          <w:rPr>
                            <w:rFonts w:hint="eastAsia" w:ascii="黑体" w:hAnsi="黑体" w:eastAsia="黑体"/>
                            <w:b/>
                            <w:bCs/>
                            <w:sz w:val="24"/>
                            <w:szCs w:val="28"/>
                          </w:rPr>
                          <w:t>（十）医务人员满意度</w:t>
                        </w:r>
                      </w:p>
                    </w:txbxContent>
                  </v:textbox>
                </v:shape>
                <v:shape id="Text Box 13" o:spid="_x0000_s1026" o:spt="202" type="#_x0000_t202" style="position:absolute;left:3770607;top:5495169;height:396005;width:1440003;" fillcolor="#FFFFFF" filled="t" stroked="t" coordsize="21600,21600" o:gfxdata="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sNWRvUAAAABgEAAA8AAAAAAAAAAQAgAAAAIgAA&#10;AGRycy9kb3ducmV2LnhtbFBLAQIUABQAAAAIAIdO4kCGS7t3RQIAAJUEAAAOAAAAAAAAAAEAIAAA&#10;ACMBAABkcnMvZTJvRG9jLnhtbFBLBQYAAAAABgAGAFkBAADaBQAAAAA=&#10;">
                  <v:fill on="t" focussize="0,0"/>
                  <v:stroke weight="1pt" color="#5B9BD5" miterlimit="8" joinstyle="miter"/>
                  <v:imagedata o:title=""/>
                  <o:lock v:ext="edit" aspectratio="f"/>
                  <v:textbox>
                    <w:txbxContent>
                      <w:p>
                        <w:pPr>
                          <w:adjustRightInd w:val="0"/>
                          <w:snapToGrid w:val="0"/>
                          <w:jc w:val="left"/>
                          <w:rPr>
                            <w:rFonts w:ascii="黑体" w:hAnsi="黑体" w:eastAsia="黑体"/>
                            <w:b/>
                            <w:bCs/>
                            <w:sz w:val="24"/>
                            <w:szCs w:val="28"/>
                          </w:rPr>
                        </w:pPr>
                        <w:r>
                          <w:rPr>
                            <w:rFonts w:hint="eastAsia" w:ascii="黑体" w:hAnsi="黑体" w:eastAsia="黑体"/>
                            <w:b/>
                            <w:bCs/>
                            <w:sz w:val="24"/>
                            <w:szCs w:val="28"/>
                          </w:rPr>
                          <w:t>定量指标：</w:t>
                        </w:r>
                        <w:r>
                          <w:rPr>
                            <w:rFonts w:ascii="黑体" w:hAnsi="黑体" w:eastAsia="黑体"/>
                            <w:b/>
                            <w:bCs/>
                            <w:sz w:val="24"/>
                            <w:szCs w:val="28"/>
                          </w:rPr>
                          <w:t>33</w:t>
                        </w:r>
                      </w:p>
                      <w:p>
                        <w:pPr>
                          <w:spacing w:line="360" w:lineRule="auto"/>
                          <w:jc w:val="center"/>
                        </w:pPr>
                        <w:r>
                          <w:rPr>
                            <w:rFonts w:ascii="Calibri" w:hAnsi="Calibri"/>
                          </w:rPr>
                          <w:t> </w:t>
                        </w:r>
                      </w:p>
                    </w:txbxContent>
                  </v:textbox>
                </v:shape>
                <v:shape id="肘形连接符 107" o:spid="_x0000_s1026" o:spt="34" type="#_x0000_t34" style="position:absolute;left:1356803;top:490406;flip:y;height:937412;width:379601;" filled="f" stroked="t" coordsize="21600,21600" o:gfxdata="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K7&#10;SsTVAAAABgEAAA8AAAAAAAAAAQAgAAAAIgAAAGRycy9kb3ducmV2LnhtbFBLAQIUABQAAAAIAIdO&#10;4kCW/qRZJgIAAAoEAAAOAAAAAAAAAAEAIAAAACQBAABkcnMvZTJvRG9jLnhtbFBLBQYAAAAABgAG&#10;AFkBAAC8BQAAAAA=&#10;" adj="10800">
                  <v:fill on="f" focussize="0,0"/>
                  <v:stroke weight="0.5pt" color="#5B9BD5" miterlimit="8" joinstyle="miter"/>
                  <v:imagedata o:title=""/>
                  <o:lock v:ext="edit" aspectratio="f"/>
                </v:shape>
                <v:shape id="肘形连接符 108" o:spid="_x0000_s1026" o:spt="34" type="#_x0000_t34" style="position:absolute;left:1356803;top:1093514;flip:y;height:334304;width:379401;" filled="f" stroked="t" coordsize="21600,21600" o:gfxdata="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rtKxNUAAAAGAQAADwAAAAAAAAABACAAAAAiAAAAZHJzL2Rvd25yZXYueG1sUEsBAhQAFAAAAAgA&#10;h07iQKlpcXYoAgAACwQAAA4AAAAAAAAAAQAgAAAAJAEAAGRycy9lMm9Eb2MueG1sUEsFBgAAAAAG&#10;AAYAWQEAAL4FAAAAAA==&#10;" adj="10800">
                  <v:fill on="f" focussize="0,0"/>
                  <v:stroke weight="0.5pt" color="#5B9BD5" miterlimit="8" joinstyle="miter"/>
                  <v:imagedata o:title=""/>
                  <o:lock v:ext="edit" aspectratio="f"/>
                </v:shape>
                <v:shape id="肘形连接符 109" o:spid="_x0000_s1026" o:spt="34" type="#_x0000_t34" style="position:absolute;left:1356803;top:1427618;height:312504;width:378301;" filled="f" stroked="t" coordsize="21600,21600" o:gfxdata="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2C7v0gAAAAYB&#10;AAAPAAAAAAAAAAEAIAAAACIAAABkcnMvZG93bnJldi54bWxQSwECFAAUAAAACACHTuJAaFPZ6yEC&#10;AAABBAAADgAAAAAAAAABACAAAAAhAQAAZHJzL2Uyb0RvYy54bWxQSwUGAAAAAAYABgBZAQAAtAUA&#10;AAAA&#10;" adj="10800">
                  <v:fill on="f" focussize="0,0"/>
                  <v:stroke weight="0.5pt" color="#5B9BD5" miterlimit="8" joinstyle="miter"/>
                  <v:imagedata o:title=""/>
                  <o:lock v:ext="edit" aspectratio="f"/>
                </v:shape>
                <v:shape id="肘形连接符 110" o:spid="_x0000_s1026" o:spt="34" type="#_x0000_t34" style="position:absolute;left:1356803;top:1427818;height:975312;width:379401;" filled="f" stroked="t" coordsize="21600,21600" o:gfxdata="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2C7v0gAAAAYB&#10;AAAPAAAAAAAAAAEAIAAAACIAAABkcnMvZG93bnJldi54bWxQSwECFAAUAAAACACHTuJA6gcBwCEC&#10;AAABBAAADgAAAAAAAAABACAAAAAhAQAAZHJzL2Uyb0RvYy54bWxQSwUGAAAAAAYABgBZAQAAtAUA&#10;AAAA&#10;" adj="10800">
                  <v:fill on="f" focussize="0,0"/>
                  <v:stroke weight="0.5pt" color="#5B9BD5" miterlimit="8" joinstyle="miter"/>
                  <v:imagedata o:title=""/>
                  <o:lock v:ext="edit" aspectratio="f"/>
                </v:shape>
                <v:line id="直接连接符 111" o:spid="_x0000_s1026" o:spt="20" style="position:absolute;left:3511207;top:483906;flip:y;height:6500;width:271801;" filled="f" stroked="t" coordsize="21600,21600" o:gfxdata="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fWni0gAAAAYBAAAPAAAAAAAAAAEAIAAAACIAAABkcnMv&#10;ZG93bnJldi54bWxQSwECFAAUAAAACACHTuJA2MbzVQkCAADSAwAADgAAAAAAAAABACAAAAAhAQAA&#10;ZHJzL2Uyb0RvYy54bWxQSwUGAAAAAAYABgBZAQAAnAUAAAAA&#10;">
                  <v:fill on="f" focussize="0,0"/>
                  <v:stroke weight="1pt" color="#5B9BD5" miterlimit="8" joinstyle="miter"/>
                  <v:imagedata o:title=""/>
                  <o:lock v:ext="edit" aspectratio="f"/>
                </v:line>
                <v:line id="直接连接符 112" o:spid="_x0000_s1026" o:spt="20" style="position:absolute;left:3511007;top:1093514;height:0;width:282001;" filled="f" stroked="t" coordsize="21600,21600" o:gfxdata="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mIoV3SAAAABgEAAA8AAAAAAAAAAQAgAAAAIgAAAGRycy9kb3ducmV2Lnht&#10;bFBLAQIUABQAAAAIAIdO4kCvIgmU/wEAAMYDAAAOAAAAAAAAAAEAIAAAACEBAABkcnMvZTJvRG9j&#10;LnhtbFBLBQYAAAAABgAGAFkBAACSBQAAAAA=&#10;">
                  <v:fill on="f" focussize="0,0"/>
                  <v:stroke weight="1pt" color="#5B9BD5" miterlimit="8" joinstyle="miter"/>
                  <v:imagedata o:title=""/>
                  <o:lock v:ext="edit" aspectratio="f"/>
                </v:line>
                <v:line id="直接连接符 113" o:spid="_x0000_s1026" o:spt="20" style="position:absolute;left:3509907;top:1740122;height:0;width:282401;" filled="f" stroked="t" coordsize="21600,21600" o:gfxdata="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iKFd0gAAAAYBAAAPAAAAAAAAAAEAIAAAACIAAABkcnMvZG93bnJldi54&#10;bWxQSwECFAAUAAAACACHTuJAAEwa8wACAADGAwAADgAAAAAAAAABACAAAAAhAQAAZHJzL2Uyb0Rv&#10;Yy54bWxQSwUGAAAAAAYABgBZAQAAkwUAAAAA&#10;">
                  <v:fill on="f" focussize="0,0"/>
                  <v:stroke weight="1pt" color="#5B9BD5" miterlimit="8" joinstyle="miter"/>
                  <v:imagedata o:title=""/>
                  <o:lock v:ext="edit" aspectratio="f"/>
                </v:line>
                <v:line id="直接连接符 114" o:spid="_x0000_s1026" o:spt="20" style="position:absolute;left:3519207;top:3084539;height:0;width:273901;" filled="f" stroked="t" coordsize="21600,21600" o:gfxdata="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YihXdIAAAAGAQAADwAAAAAAAAABACAAAAAiAAAAZHJzL2Rvd25yZXYu&#10;eG1sUEsBAhQAFAAAAAgAh07iQOAntqIBAgAAxgMAAA4AAAAAAAAAAQAgAAAAIQEAAGRycy9lMm9E&#10;b2MueG1sUEsFBgAAAAAGAAYAWQEAAJQFAAAAAA==&#10;">
                  <v:fill on="f" focussize="0,0"/>
                  <v:stroke weight="1pt" color="#5B9BD5" miterlimit="8" joinstyle="miter"/>
                  <v:imagedata o:title=""/>
                  <o:lock v:ext="edit" aspectratio="f"/>
                </v:line>
                <v:line id="直接连接符 115" o:spid="_x0000_s1026" o:spt="20" style="position:absolute;left:3519207;top:3711646;flip:y;height:3100;width:267501;" filled="f" stroked="t" coordsize="21600,21600" o:gfxdata="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t9aeLSAAAABgEAAA8AAAAAAAAAAQAgAAAAIgAAAGRycy9k&#10;b3ducmV2LnhtbFBLAQIUABQAAAAIAIdO4kCbWCkZCAIAANMDAAAOAAAAAAAAAAEAIAAAACEBAABk&#10;cnMvZTJvRG9jLnhtbFBLBQYAAAAABgAGAFkBAACbBQAAAAA=&#10;">
                  <v:fill on="f" focussize="0,0"/>
                  <v:stroke weight="1pt" color="#5B9BD5" miterlimit="8" joinstyle="miter"/>
                  <v:imagedata o:title=""/>
                  <o:lock v:ext="edit" aspectratio="f"/>
                </v:line>
                <v:line id="直接连接符 116" o:spid="_x0000_s1026" o:spt="20" style="position:absolute;left:3525707;top:4401055;flip:y;height:6400;width:260300;" filled="f" stroked="t" coordsize="21600,21600" o:gfxdata="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t9aeLSAAAABgEAAA8AAAAAAAAAAQAgAAAAIgAAAGRycy9k&#10;b3ducmV2LnhtbFBLAQIUABQAAAAIAIdO4kDwyMOLCAIAANMDAAAOAAAAAAAAAAEAIAAAACEBAABk&#10;cnMvZTJvRG9jLnhtbFBLBQYAAAAABgAGAFkBAACbBQAAAAA=&#10;">
                  <v:fill on="f" focussize="0,0"/>
                  <v:stroke weight="1pt" color="#5B9BD5" miterlimit="8" joinstyle="miter"/>
                  <v:imagedata o:title=""/>
                  <o:lock v:ext="edit" aspectratio="f"/>
                </v:line>
                <v:line id="直接连接符 117" o:spid="_x0000_s1026" o:spt="20" style="position:absolute;left:3525707;top:5051163;flip:y;height:1100;width:251500;" filled="f" stroked="t" coordsize="21600,21600" o:gfxdata="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fWni0gAAAAYBAAAPAAAAAAAAAAEAIAAAACIAAABkcnMvZG93&#10;bnJldi54bWxQSwECFAAUAAAACACHTuJAwiHTFAYCAADTAwAADgAAAAAAAAABACAAAAAhAQAAZHJz&#10;L2Uyb0RvYy54bWxQSwUGAAAAAAYABgBZAQAAmQUAAAAA&#10;">
                  <v:fill on="f" focussize="0,0"/>
                  <v:stroke weight="1pt" color="#5B9BD5" miterlimit="8" joinstyle="miter"/>
                  <v:imagedata o:title=""/>
                  <o:lock v:ext="edit" aspectratio="f"/>
                </v:line>
                <v:line id="直接连接符 118" o:spid="_x0000_s1026" o:spt="20" style="position:absolute;left:3524207;top:5691871;height:1300;width:246400;" filled="f" stroked="t" coordsize="21600,21600" o:gfxdata="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YihXdIAAAAGAQAADwAAAAAAAAABACAAAAAiAAAAZHJzL2Rvd25yZXYu&#10;eG1sUEsBAhQAFAAAAAgAh07iQNnpLOYBAgAAyQMAAA4AAAAAAAAAAQAgAAAAIQEAAGRycy9lMm9E&#10;b2MueG1sUEsFBgAAAAAGAAYAWQEAAJQFAAAAAA==&#10;">
                  <v:fill on="f" focussize="0,0"/>
                  <v:stroke weight="1pt" color="#5B9BD5" miterlimit="8" joinstyle="miter"/>
                  <v:imagedata o:title=""/>
                  <o:lock v:ext="edit" aspectratio="f"/>
                </v:line>
                <v:shape id="肘形连接符 119" o:spid="_x0000_s1026" o:spt="34" type="#_x0000_t34" style="position:absolute;left:1313402;top:3084539;flip:y;height:314604;width:431001;" filled="f" stroked="t" coordsize="21600,21600" o:gfxdata="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K7&#10;SsTVAAAABgEAAA8AAAAAAAAAAQAgAAAAIgAAAGRycy9kb3ducmV2LnhtbFBLAQIUABQAAAAIAIdO&#10;4kBggN5cJgIAAAsEAAAOAAAAAAAAAAEAIAAAACQBAABkcnMvZTJvRG9jLnhtbFBLBQYAAAAABgAG&#10;AFkBAAC8BQAAAAA=&#10;" adj="10800">
                  <v:fill on="f" focussize="0,0"/>
                  <v:stroke weight="0.5pt" color="#5B9BD5" miterlimit="8" joinstyle="miter"/>
                  <v:imagedata o:title=""/>
                  <o:lock v:ext="edit" aspectratio="f"/>
                </v:shape>
                <v:shape id="肘形连接符 120" o:spid="_x0000_s1026" o:spt="34" type="#_x0000_t34" style="position:absolute;left:1313402;top:4407455;flip:y;height:313004;width:437501;" filled="f" stroked="t" coordsize="21600,21600" o:gfxdata="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A&#10;p2jI1QAAAAYBAAAPAAAAAAAAAAEAIAAAACIAAABkcnMvZG93bnJldi54bWxQSwECFAAUAAAACACH&#10;TuJAUaQxWCcCAAAMBAAADgAAAAAAAAABACAAAAAkAQAAZHJzL2Uyb0RvYy54bWxQSwUGAAAAAAYA&#10;BgBZAQAAvQUAAAAA&#10;" adj="10800">
                  <v:fill on="f" focussize="0,0"/>
                  <v:stroke weight="1pt" color="#5B9BD5" miterlimit="8" joinstyle="miter"/>
                  <v:imagedata o:title=""/>
                  <o:lock v:ext="edit" aspectratio="f"/>
                </v:shape>
                <v:shape id="肘形连接符 121" o:spid="_x0000_s1026" o:spt="34" type="#_x0000_t34" style="position:absolute;left:1305002;top:5691871;flip:y;height:293004;width:445901;" filled="f" stroked="t" coordsize="21600,21600" o:gfxdata="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KdoyNUAAAAGAQAADwAAAAAAAAABACAAAAAiAAAAZHJzL2Rvd25yZXYueG1sUEsBAhQAFAAA&#10;AAgAh07iQELRmWsrAgAADAQAAA4AAAAAAAAAAQAgAAAAJAEAAGRycy9lMm9Eb2MueG1sUEsFBgAA&#10;AAAGAAYAWQEAAMEFAAAAAA==&#10;" adj="10800">
                  <v:fill on="f" focussize="0,0"/>
                  <v:stroke weight="1pt" color="#5B9BD5" miterlimit="8" joinstyle="miter"/>
                  <v:imagedata o:title=""/>
                  <o:lock v:ext="edit" aspectratio="f"/>
                </v:shape>
                <v:shape id="肘形连接符 122" o:spid="_x0000_s1026" o:spt="34" type="#_x0000_t34" style="position:absolute;left:1305002;top:5984875;height:374605;width:439401;" filled="f" stroked="t" coordsize="21600,21600" o:gfxdata="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O6LEh1wAA&#10;AAYBAAAPAAAAAAAAAAEAIAAAACIAAABkcnMvZG93bnJldi54bWxQSwECFAAUAAAACACHTuJAtM5d&#10;OR8CAAACBAAADgAAAAAAAAABACAAAAAmAQAAZHJzL2Uyb0RvYy54bWxQSwUGAAAAAAYABgBZAQAA&#10;twUAAAAA&#10;" adj="10800">
                  <v:fill on="f" focussize="0,0"/>
                  <v:stroke weight="1pt" color="#5B9BD5" miterlimit="8" joinstyle="miter"/>
                  <v:imagedata o:title=""/>
                  <o:lock v:ext="edit" aspectratio="f"/>
                </v:shape>
                <v:line id="直接连接符 123" o:spid="_x0000_s1026" o:spt="20" style="position:absolute;left:3524207;top:6359479;height:1800;width:249300;" filled="f" stroked="t" coordsize="21600,21600" o:gfxdata="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YihXdIAAAAGAQAADwAAAAAAAAABACAAAAAiAAAAZHJzL2Rvd25yZXYu&#10;eG1sUEsBAhQAFAAAAAgAh07iQNScc+oBAgAAyQMAAA4AAAAAAAAAAQAgAAAAIQEAAGRycy9lMm9E&#10;b2MueG1sUEsFBgAAAAAGAAYAWQEAAJQFAAAAAA==&#10;">
                  <v:fill on="f" focussize="0,0"/>
                  <v:stroke weight="1pt" color="#5B9BD5" miterlimit="8" joinstyle="miter"/>
                  <v:imagedata o:title=""/>
                  <o:lock v:ext="edit" aspectratio="f"/>
                </v:line>
                <v:line id="直接连接符 124" o:spid="_x0000_s1026" o:spt="20" style="position:absolute;left:3510607;top:2403130;height:0;width:262500;" filled="f" stroked="t" coordsize="21600,21600" o:gfxdata="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YihXdIAAAAGAQAADwAAAAAAAAABACAAAAAiAAAAZHJzL2Rvd25yZXYueG1s&#10;UEsBAhQAFAAAAAgAh07iQK2pQtX+AQAAxgMAAA4AAAAAAAAAAQAgAAAAIQEAAGRycy9lMm9Eb2Mu&#10;eG1sUEsFBgAAAAAGAAYAWQEAAJEFAAAAAA==&#10;">
                  <v:fill on="f" focussize="0,0"/>
                  <v:stroke weight="1pt" color="#5B9BD5" miterlimit="8" joinstyle="miter"/>
                  <v:imagedata o:title=""/>
                  <o:lock v:ext="edit" aspectratio="f"/>
                </v:line>
                <v:shape id="肘形连接符 125" o:spid="_x0000_s1026" o:spt="34" type="#_x0000_t34" style="position:absolute;left:1304802;top:4715659;height:336604;width:445901;rotation:11796480f;" filled="f" stroked="t" coordsize="21600,21600" o:gfxdata="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NO30/UAAAABgEAAA8AAAAAAAAAAQAgAAAAIgAAAGRycy9kb3ducmV2LnhtbFBLAQIUABQA&#10;AAAIAIdO4kCeUhi2LQIAABEEAAAOAAAAAAAAAAEAIAAAACMBAABkcnMvZTJvRG9jLnhtbFBLBQYA&#10;AAAABgAGAFkBAADCBQAAAAA=&#10;" adj="10800">
                  <v:fill on="f" focussize="0,0"/>
                  <v:stroke weight="1pt" color="#5B9BD5" miterlimit="8" joinstyle="miter"/>
                  <v:imagedata o:title=""/>
                  <o:lock v:ext="edit" aspectratio="f"/>
                </v:shape>
                <v:shape id="肘形连接符 126" o:spid="_x0000_s1026" o:spt="34" type="#_x0000_t34" style="position:absolute;left:1313202;top:3399142;height:315604;width:431001;" filled="f" stroked="t" coordsize="21600,21600" o:gfxdata="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nYLu/SAAAABgEA&#10;AA8AAAAAAAAAAQAgAAAAIgAAAGRycy9kb3ducmV2LnhtbFBLAQIUABQAAAAIAIdO4kCHQ8p9IAIA&#10;AAEEAAAOAAAAAAAAAAEAIAAAACEBAABkcnMvZTJvRG9jLnhtbFBLBQYAAAAABgAGAFkBAACzBQAA&#10;AAA=&#10;" adj="10800">
                  <v:fill on="f" focussize="0,0"/>
                  <v:stroke weight="0.5pt" color="#5B9BD5" miterlimit="8" joinstyle="miter"/>
                  <v:imagedata o:title=""/>
                  <o:lock v:ext="edit" aspectratio="f"/>
                </v:shape>
                <w10:wrap type="none"/>
                <w10:anchorlock/>
              </v:group>
            </w:pict>
          </mc:Fallback>
        </mc:AlternateContent>
      </w:r>
      <w:r>
        <w:rPr>
          <w:rFonts w:eastAsia="宋体"/>
          <w:kern w:val="0"/>
          <w:sz w:val="21"/>
          <w:szCs w:val="22"/>
        </w:rPr>
        <w:br w:type="page"/>
      </w:r>
    </w:p>
    <w:p>
      <w:pPr>
        <w:spacing w:after="217" w:afterLines="50"/>
        <w:jc w:val="center"/>
        <w:rPr>
          <w:b/>
          <w:szCs w:val="32"/>
        </w:rPr>
      </w:pPr>
      <w:r>
        <w:rPr>
          <w:rFonts w:hint="eastAsia"/>
          <w:b/>
          <w:szCs w:val="32"/>
        </w:rPr>
        <w:t>二级指标及指标导向一览表</w:t>
      </w:r>
    </w:p>
    <w:tbl>
      <w:tblPr>
        <w:tblStyle w:val="25"/>
        <w:tblW w:w="9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2"/>
        <w:gridCol w:w="5382"/>
        <w:gridCol w:w="1691"/>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blHeader/>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b/>
                <w:bCs/>
                <w:kern w:val="0"/>
                <w:sz w:val="28"/>
                <w:szCs w:val="28"/>
              </w:rPr>
            </w:pPr>
            <w:r>
              <w:rPr>
                <w:rFonts w:hint="eastAsia"/>
                <w:b/>
                <w:bCs/>
                <w:kern w:val="0"/>
                <w:sz w:val="28"/>
                <w:szCs w:val="28"/>
              </w:rPr>
              <w:t>序号</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rFonts w:hint="eastAsia" w:eastAsia="仿宋_GB2312"/>
                <w:b/>
                <w:kern w:val="0"/>
                <w:sz w:val="28"/>
                <w:szCs w:val="28"/>
                <w:lang w:val="en-US" w:eastAsia="zh-CN"/>
              </w:rPr>
            </w:pPr>
            <w:r>
              <w:rPr>
                <w:rFonts w:hint="eastAsia"/>
                <w:b/>
                <w:bCs/>
                <w:kern w:val="0"/>
                <w:sz w:val="28"/>
                <w:szCs w:val="28"/>
              </w:rPr>
              <w:t>指标名称</w:t>
            </w:r>
            <w:r>
              <w:rPr>
                <w:rFonts w:hint="eastAsia"/>
                <w:b/>
                <w:bCs/>
                <w:kern w:val="0"/>
                <w:sz w:val="28"/>
                <w:szCs w:val="28"/>
                <w:lang w:val="en-US" w:eastAsia="zh-CN"/>
              </w:rPr>
              <w:t xml:space="preserve"> </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4"/>
              </w:rPr>
            </w:pPr>
            <w:r>
              <w:rPr>
                <w:rFonts w:hint="eastAsia"/>
                <w:b/>
                <w:bCs/>
                <w:kern w:val="0"/>
                <w:sz w:val="28"/>
                <w:szCs w:val="28"/>
              </w:rPr>
              <w:t>指标来源</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b/>
                <w:kern w:val="0"/>
                <w:sz w:val="28"/>
                <w:szCs w:val="28"/>
              </w:rPr>
            </w:pPr>
            <w:r>
              <w:rPr>
                <w:rFonts w:hint="eastAsia"/>
                <w:b/>
                <w:bCs/>
                <w:kern w:val="0"/>
                <w:sz w:val="28"/>
                <w:szCs w:val="28"/>
              </w:rPr>
              <w:t>指标导向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门诊中药处方比例▲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门诊散装中药饮片和小包装中药饮片处方比例▲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3</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中药饮片使用率▲</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p>
            <w:pPr>
              <w:widowControl/>
              <w:adjustRightInd w:val="0"/>
              <w:snapToGrid w:val="0"/>
              <w:jc w:val="center"/>
              <w:rPr>
                <w:kern w:val="0"/>
                <w:sz w:val="24"/>
              </w:rPr>
            </w:pPr>
            <w:r>
              <w:rPr>
                <w:rFonts w:hint="eastAsia"/>
                <w:kern w:val="0"/>
                <w:sz w:val="24"/>
              </w:rPr>
              <w:t>病案首页</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4</w:t>
            </w:r>
          </w:p>
        </w:tc>
        <w:tc>
          <w:tcPr>
            <w:tcW w:w="5382" w:type="dxa"/>
            <w:tcBorders>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中医非药物疗法使用比例▲</w:t>
            </w:r>
          </w:p>
        </w:tc>
        <w:tc>
          <w:tcPr>
            <w:tcW w:w="1691" w:type="dxa"/>
            <w:tcBorders>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p>
            <w:pPr>
              <w:widowControl/>
              <w:adjustRightInd w:val="0"/>
              <w:snapToGrid w:val="0"/>
              <w:jc w:val="center"/>
              <w:rPr>
                <w:kern w:val="0"/>
                <w:sz w:val="24"/>
              </w:rPr>
            </w:pPr>
            <w:r>
              <w:rPr>
                <w:rFonts w:hint="eastAsia"/>
                <w:kern w:val="0"/>
                <w:sz w:val="24"/>
              </w:rPr>
              <w:t>病案首页</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5</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以中医为主治疗的出院患者比例▲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病案首页</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6</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手术患者围手术期中医治疗比例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病案首页</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7</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手术患者并发症发生率▲</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病案首页</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8</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理法方药使用一致的出院患者比例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9</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抗菌药物使用强度（DDDs）▲</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10</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kern w:val="0"/>
                <w:sz w:val="24"/>
              </w:rPr>
              <w:t>基本药物采购</w:t>
            </w:r>
            <w:r>
              <w:rPr>
                <w:rFonts w:hint="eastAsia"/>
                <w:kern w:val="0"/>
                <w:sz w:val="24"/>
              </w:rPr>
              <w:t>金额</w:t>
            </w:r>
            <w:r>
              <w:rPr>
                <w:kern w:val="0"/>
                <w:sz w:val="24"/>
              </w:rPr>
              <w:t>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省级招采平台</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11</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国家组织药品集中采购中标药品金额</w:t>
            </w:r>
            <w:r>
              <w:rPr>
                <w:kern w:val="0"/>
                <w:sz w:val="24"/>
              </w:rPr>
              <w:t>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12</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重点</w:t>
            </w:r>
            <w:r>
              <w:rPr>
                <w:kern w:val="0"/>
                <w:sz w:val="24"/>
              </w:rPr>
              <w:t>监控</w:t>
            </w:r>
            <w:r>
              <w:rPr>
                <w:rFonts w:hint="eastAsia"/>
                <w:kern w:val="0"/>
                <w:sz w:val="24"/>
              </w:rPr>
              <w:t>化学</w:t>
            </w:r>
            <w:r>
              <w:rPr>
                <w:kern w:val="0"/>
                <w:sz w:val="24"/>
              </w:rPr>
              <w:t>药品</w:t>
            </w:r>
            <w:r>
              <w:rPr>
                <w:rFonts w:hint="eastAsia"/>
                <w:kern w:val="0"/>
                <w:sz w:val="24"/>
              </w:rPr>
              <w:t>和生物制品收入</w:t>
            </w:r>
            <w:r>
              <w:rPr>
                <w:kern w:val="0"/>
                <w:sz w:val="24"/>
              </w:rPr>
              <w:t>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w:t>
            </w:r>
            <w:r>
              <w:rPr>
                <w:kern w:val="0"/>
                <w:sz w:val="24"/>
              </w:rPr>
              <w:t>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13</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重点监控高值医用耗材收入占比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w:t>
            </w:r>
            <w:r>
              <w:rPr>
                <w:kern w:val="0"/>
                <w:sz w:val="24"/>
              </w:rPr>
              <w:t>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r>
              <w:rPr>
                <w:kern w:val="0"/>
                <w:sz w:val="28"/>
                <w:szCs w:val="28"/>
              </w:rPr>
              <w:t>4</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电子病历应用功能水平分级▲</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国家卫生健康委</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r>
              <w:rPr>
                <w:kern w:val="0"/>
                <w:sz w:val="28"/>
                <w:szCs w:val="28"/>
              </w:rPr>
              <w:t>5</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省</w:t>
            </w:r>
            <w:r>
              <w:rPr>
                <w:kern w:val="0"/>
                <w:sz w:val="24"/>
              </w:rPr>
              <w:t>级室间质量评价</w:t>
            </w:r>
            <w:r>
              <w:rPr>
                <w:rFonts w:hint="eastAsia"/>
                <w:kern w:val="0"/>
                <w:sz w:val="24"/>
              </w:rPr>
              <w:t>临床</w:t>
            </w:r>
            <w:r>
              <w:rPr>
                <w:kern w:val="0"/>
                <w:sz w:val="24"/>
              </w:rPr>
              <w:t>检验项目</w:t>
            </w:r>
            <w:r>
              <w:rPr>
                <w:rFonts w:hint="eastAsia"/>
                <w:kern w:val="0"/>
                <w:sz w:val="24"/>
              </w:rPr>
              <w:t>参加</w:t>
            </w:r>
            <w:r>
              <w:rPr>
                <w:kern w:val="0"/>
                <w:sz w:val="24"/>
              </w:rPr>
              <w:t>率</w:t>
            </w:r>
            <w:r>
              <w:rPr>
                <w:rFonts w:hint="eastAsia"/>
                <w:kern w:val="0"/>
                <w:sz w:val="24"/>
              </w:rPr>
              <w:t>与</w:t>
            </w:r>
            <w:r>
              <w:rPr>
                <w:kern w:val="0"/>
                <w:sz w:val="24"/>
              </w:rPr>
              <w:t>合格率</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省级卫生健康委</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r>
              <w:rPr>
                <w:kern w:val="0"/>
                <w:sz w:val="28"/>
                <w:szCs w:val="28"/>
              </w:rPr>
              <w:t>6</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平均</w:t>
            </w:r>
            <w:r>
              <w:rPr>
                <w:kern w:val="0"/>
                <w:sz w:val="24"/>
              </w:rPr>
              <w:t>住院日</w:t>
            </w:r>
            <w:r>
              <w:rPr>
                <w:rFonts w:hint="eastAsia"/>
                <w:kern w:val="0"/>
                <w:sz w:val="24"/>
              </w:rPr>
              <w:t>▲</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病案首页</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r>
              <w:rPr>
                <w:kern w:val="0"/>
                <w:sz w:val="28"/>
                <w:szCs w:val="28"/>
              </w:rPr>
              <w:t>7</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rFonts w:hint="eastAsia" w:eastAsia="仿宋_GB2312"/>
                <w:kern w:val="0"/>
                <w:sz w:val="24"/>
                <w:lang w:val="en-US" w:eastAsia="zh-CN"/>
              </w:rPr>
            </w:pPr>
            <w:r>
              <w:rPr>
                <w:rFonts w:hint="eastAsia"/>
                <w:kern w:val="0"/>
                <w:sz w:val="24"/>
              </w:rPr>
              <w:t>医疗</w:t>
            </w:r>
            <w:r>
              <w:rPr>
                <w:kern w:val="0"/>
                <w:sz w:val="24"/>
              </w:rPr>
              <w:t>盈</w:t>
            </w:r>
            <w:r>
              <w:rPr>
                <w:rFonts w:hint="eastAsia"/>
                <w:kern w:val="0"/>
                <w:sz w:val="24"/>
              </w:rPr>
              <w:t>余率▲</w:t>
            </w:r>
            <w:r>
              <w:rPr>
                <w:rFonts w:hint="eastAsia"/>
                <w:kern w:val="0"/>
                <w:sz w:val="24"/>
                <w:lang w:val="en-US" w:eastAsia="zh-CN"/>
              </w:rPr>
              <w:t xml:space="preserve"> </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r>
              <w:rPr>
                <w:kern w:val="0"/>
                <w:sz w:val="28"/>
                <w:szCs w:val="28"/>
              </w:rPr>
              <w:t>8</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资产负债率▲</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1</w:t>
            </w:r>
            <w:r>
              <w:rPr>
                <w:kern w:val="0"/>
                <w:sz w:val="28"/>
                <w:szCs w:val="28"/>
              </w:rPr>
              <w:t>9</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人员经费占比▲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20</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万元收入能耗占</w:t>
            </w:r>
            <w:r>
              <w:rPr>
                <w:kern w:val="0"/>
                <w:sz w:val="24"/>
              </w:rPr>
              <w:t>比</w:t>
            </w:r>
            <w:r>
              <w:rPr>
                <w:rFonts w:hint="eastAsia"/>
                <w:kern w:val="0"/>
                <w:sz w:val="24"/>
              </w:rPr>
              <w:t>▲</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21</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医疗收入中来自医保基金的比例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医院填报</w:t>
            </w:r>
          </w:p>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22</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中药饮片收入占药品收入比例▲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23</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中医医疗服务项目收入占医疗收入比例▲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医院填报</w:t>
            </w:r>
          </w:p>
          <w:p>
            <w:pPr>
              <w:widowControl/>
              <w:adjustRightInd w:val="0"/>
              <w:snapToGrid w:val="0"/>
              <w:jc w:val="center"/>
              <w:rPr>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24</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医疗服务收入（不含药品、耗材、检查检验收入）占医疗收入比例▲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w:t>
            </w:r>
            <w:r>
              <w:rPr>
                <w:kern w:val="0"/>
                <w:sz w:val="28"/>
                <w:szCs w:val="28"/>
              </w:rPr>
              <w:t>5</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医疗收入增幅▲</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医院填报</w:t>
            </w:r>
          </w:p>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w:t>
            </w:r>
            <w:r>
              <w:rPr>
                <w:kern w:val="0"/>
                <w:sz w:val="28"/>
                <w:szCs w:val="28"/>
              </w:rPr>
              <w:t>6</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次均费用增幅▲</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医院填报</w:t>
            </w:r>
          </w:p>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w:t>
            </w:r>
            <w:r>
              <w:rPr>
                <w:kern w:val="0"/>
                <w:sz w:val="28"/>
                <w:szCs w:val="28"/>
              </w:rPr>
              <w:t>7</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次均药品费用增幅▲</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医院填报</w:t>
            </w:r>
          </w:p>
          <w:p>
            <w:pPr>
              <w:widowControl/>
              <w:adjustRightInd w:val="0"/>
              <w:snapToGrid w:val="0"/>
              <w:jc w:val="center"/>
              <w:rPr>
                <w:kern w:val="0"/>
                <w:sz w:val="24"/>
              </w:rPr>
            </w:pPr>
            <w:r>
              <w:rPr>
                <w:rFonts w:hint="eastAsia"/>
                <w:sz w:val="24"/>
              </w:rPr>
              <w:t>财务年报表</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3"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28</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中医类别执业医师（含执业助理医师）占执业医师总数比例▲</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sz w:val="24"/>
              </w:rPr>
            </w:pPr>
            <w:r>
              <w:rPr>
                <w:rFonts w:hint="eastAsia"/>
                <w:sz w:val="24"/>
              </w:rPr>
              <w:t>国家医疗机构、医师、护士电子化注册系统</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2</w:t>
            </w:r>
            <w:r>
              <w:rPr>
                <w:kern w:val="0"/>
                <w:sz w:val="28"/>
                <w:szCs w:val="28"/>
              </w:rPr>
              <w:t>9</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医</w:t>
            </w:r>
            <w:r>
              <w:rPr>
                <w:kern w:val="0"/>
                <w:sz w:val="24"/>
              </w:rPr>
              <w:t>护比</w:t>
            </w:r>
            <w:r>
              <w:rPr>
                <w:rFonts w:hint="eastAsia"/>
                <w:kern w:val="0"/>
                <w:sz w:val="24"/>
              </w:rPr>
              <w:t>▲</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国家医疗机构、医师、护士电子化注册系统</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监测比较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30</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麻醉、儿科、重症、病理医师占比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sz w:val="24"/>
              </w:rPr>
              <w:t>国家医疗机构、医师、护士电子化注册系统</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31</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人</w:t>
            </w:r>
            <w:r>
              <w:rPr>
                <w:kern w:val="0"/>
                <w:sz w:val="24"/>
              </w:rPr>
              <w:t>才</w:t>
            </w:r>
            <w:r>
              <w:rPr>
                <w:rFonts w:hint="eastAsia"/>
                <w:kern w:val="0"/>
                <w:sz w:val="24"/>
              </w:rPr>
              <w:t>培养</w:t>
            </w:r>
            <w:r>
              <w:rPr>
                <w:kern w:val="0"/>
                <w:sz w:val="24"/>
              </w:rPr>
              <w:t>经费投入占比</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rFonts w:hint="eastAsia"/>
                <w:kern w:val="0"/>
                <w:sz w:val="28"/>
                <w:szCs w:val="28"/>
              </w:rPr>
              <w:t>32</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每百名卫生技术人员重点学科、重点专科经费投入</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医院填报</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33</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患者满意度▲</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国家公立医院满意度调查平台</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8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center"/>
              <w:rPr>
                <w:kern w:val="0"/>
                <w:sz w:val="28"/>
                <w:szCs w:val="28"/>
              </w:rPr>
            </w:pPr>
            <w:r>
              <w:rPr>
                <w:kern w:val="0"/>
                <w:sz w:val="28"/>
                <w:szCs w:val="28"/>
              </w:rPr>
              <w:t>34</w:t>
            </w:r>
          </w:p>
        </w:tc>
        <w:tc>
          <w:tcPr>
            <w:tcW w:w="53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rPr>
                <w:kern w:val="0"/>
                <w:sz w:val="24"/>
              </w:rPr>
            </w:pPr>
            <w:r>
              <w:rPr>
                <w:rFonts w:hint="eastAsia"/>
                <w:kern w:val="0"/>
                <w:sz w:val="24"/>
              </w:rPr>
              <w:t>医务人员满意度▲</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kern w:val="0"/>
                <w:sz w:val="24"/>
              </w:rPr>
            </w:pPr>
            <w:r>
              <w:rPr>
                <w:rFonts w:hint="eastAsia"/>
                <w:kern w:val="0"/>
                <w:sz w:val="24"/>
              </w:rPr>
              <w:t>国家公立医院满意度调查平台</w:t>
            </w:r>
          </w:p>
        </w:tc>
        <w:tc>
          <w:tcPr>
            <w:tcW w:w="1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jc w:val="left"/>
              <w:rPr>
                <w:kern w:val="0"/>
                <w:sz w:val="24"/>
              </w:rPr>
            </w:pPr>
            <w:r>
              <w:rPr>
                <w:rFonts w:hint="eastAsia"/>
                <w:kern w:val="0"/>
                <w:sz w:val="24"/>
              </w:rPr>
              <w:t>逐步提高↑</w:t>
            </w:r>
          </w:p>
        </w:tc>
      </w:tr>
    </w:tbl>
    <w:p>
      <w:pPr>
        <w:snapToGrid w:val="0"/>
        <w:spacing w:line="400" w:lineRule="exact"/>
        <w:rPr>
          <w:kern w:val="0"/>
          <w:sz w:val="24"/>
        </w:rPr>
      </w:pPr>
      <w:bookmarkStart w:id="8" w:name="_Toc491952865"/>
      <w:r>
        <w:rPr>
          <w:rFonts w:hint="eastAsia"/>
          <w:kern w:val="0"/>
          <w:sz w:val="24"/>
        </w:rPr>
        <w:t>注：1．指标中加“▲”的国家监测指标。</w:t>
      </w:r>
    </w:p>
    <w:p>
      <w:pPr>
        <w:widowControl/>
        <w:snapToGrid w:val="0"/>
        <w:spacing w:line="400" w:lineRule="exact"/>
        <w:ind w:firstLine="480" w:firstLineChars="200"/>
        <w:rPr>
          <w:kern w:val="0"/>
          <w:sz w:val="24"/>
        </w:rPr>
      </w:pPr>
      <w:r>
        <w:rPr>
          <w:rFonts w:hint="eastAsia"/>
          <w:kern w:val="0"/>
          <w:sz w:val="24"/>
        </w:rPr>
        <w:t>2．指标导向指该指标应当发生变化的趋势，供各地结合实际确定指标分值时使用，各地可根据本地实际确定基准值或合理基准区间。</w:t>
      </w:r>
      <w:r>
        <w:rPr>
          <w:kern w:val="0"/>
          <w:sz w:val="24"/>
        </w:rPr>
        <w:br w:type="page"/>
      </w:r>
    </w:p>
    <w:p>
      <w:pPr>
        <w:keepNext/>
        <w:keepLines/>
        <w:spacing w:line="586" w:lineRule="atLeast"/>
        <w:ind w:firstLine="640" w:firstLineChars="200"/>
        <w:outlineLvl w:val="0"/>
        <w:rPr>
          <w:rFonts w:ascii="Calibri Light" w:hAnsi="Calibri Light" w:eastAsia="黑体"/>
          <w:b/>
          <w:bCs/>
          <w:kern w:val="44"/>
          <w:szCs w:val="32"/>
        </w:rPr>
      </w:pPr>
      <w:bookmarkStart w:id="9" w:name="_Toc35293043"/>
      <w:bookmarkStart w:id="10" w:name="_Toc42857908"/>
      <w:r>
        <w:rPr>
          <w:rFonts w:hint="eastAsia" w:eastAsia="黑体"/>
          <w:b/>
          <w:bCs/>
          <w:kern w:val="44"/>
          <w:szCs w:val="32"/>
        </w:rPr>
        <w:t>二、医疗质量相关指标</w:t>
      </w:r>
      <w:bookmarkEnd w:id="9"/>
      <w:bookmarkEnd w:id="10"/>
    </w:p>
    <w:p>
      <w:pPr>
        <w:widowControl/>
        <w:spacing w:line="586" w:lineRule="atLeast"/>
        <w:ind w:firstLine="640" w:firstLineChars="200"/>
        <w:rPr>
          <w:szCs w:val="32"/>
        </w:rPr>
      </w:pPr>
      <w:r>
        <w:rPr>
          <w:rFonts w:hint="eastAsia" w:ascii="仿宋_GB2312"/>
          <w:szCs w:val="32"/>
        </w:rPr>
        <w:t>医疗质量指标部分，共有二级指标</w:t>
      </w:r>
      <w:r>
        <w:rPr>
          <w:rFonts w:ascii="仿宋_GB2312"/>
          <w:szCs w:val="32"/>
        </w:rPr>
        <w:t>4</w:t>
      </w:r>
      <w:r>
        <w:rPr>
          <w:rFonts w:hint="eastAsia" w:ascii="仿宋_GB2312"/>
          <w:szCs w:val="32"/>
        </w:rPr>
        <w:t>个，三级指标</w:t>
      </w:r>
      <w:r>
        <w:rPr>
          <w:rFonts w:ascii="仿宋_GB2312"/>
          <w:szCs w:val="32"/>
        </w:rPr>
        <w:t>16</w:t>
      </w:r>
      <w:r>
        <w:rPr>
          <w:rFonts w:hint="eastAsia" w:ascii="仿宋_GB2312"/>
          <w:szCs w:val="32"/>
        </w:rPr>
        <w:t>个，其中</w:t>
      </w:r>
      <w:r>
        <w:rPr>
          <w:rFonts w:ascii="仿宋_GB2312"/>
          <w:szCs w:val="32"/>
        </w:rPr>
        <w:t>9</w:t>
      </w:r>
      <w:r>
        <w:rPr>
          <w:rFonts w:hint="eastAsia" w:ascii="仿宋_GB2312"/>
          <w:szCs w:val="32"/>
        </w:rPr>
        <w:t>个国家监测指标，均</w:t>
      </w:r>
      <w:r>
        <w:rPr>
          <w:szCs w:val="32"/>
        </w:rPr>
        <w:t>为</w:t>
      </w:r>
      <w:r>
        <w:rPr>
          <w:rFonts w:hint="eastAsia"/>
          <w:szCs w:val="32"/>
        </w:rPr>
        <w:t>定量指标。</w:t>
      </w:r>
    </w:p>
    <w:p>
      <w:pPr>
        <w:keepNext/>
        <w:keepLines/>
        <w:shd w:val="clear" w:color="auto" w:fill="FFFFFF"/>
        <w:spacing w:line="586" w:lineRule="atLeast"/>
        <w:ind w:left="426" w:hanging="425"/>
        <w:outlineLvl w:val="1"/>
        <w:rPr>
          <w:rFonts w:eastAsia="楷体_GB2312"/>
          <w:b/>
          <w:bCs/>
          <w:szCs w:val="32"/>
        </w:rPr>
      </w:pPr>
      <w:bookmarkStart w:id="11" w:name="_Toc42857909"/>
      <w:r>
        <w:rPr>
          <w:rFonts w:hint="eastAsia" w:eastAsia="楷体_GB2312"/>
          <w:b/>
          <w:bCs/>
          <w:szCs w:val="32"/>
        </w:rPr>
        <w:t>（一）功能定位（指标1—</w:t>
      </w:r>
      <w:r>
        <w:rPr>
          <w:rFonts w:eastAsia="楷体_GB2312"/>
          <w:b/>
          <w:bCs/>
          <w:szCs w:val="32"/>
        </w:rPr>
        <w:t>6</w:t>
      </w:r>
      <w:r>
        <w:rPr>
          <w:rFonts w:hint="eastAsia" w:eastAsia="楷体_GB2312"/>
          <w:b/>
          <w:bCs/>
          <w:szCs w:val="32"/>
        </w:rPr>
        <w:t>）</w:t>
      </w:r>
      <w:bookmarkEnd w:id="11"/>
    </w:p>
    <w:p>
      <w:pPr>
        <w:spacing w:line="586" w:lineRule="atLeast"/>
        <w:rPr>
          <w:rFonts w:ascii="仿宋_GB2312"/>
          <w:b/>
          <w:szCs w:val="32"/>
          <w:shd w:val="clear" w:color="auto" w:fill="FFFFFF"/>
        </w:rPr>
      </w:pPr>
      <w:bookmarkStart w:id="12" w:name="_Hlk1125387"/>
      <w:r>
        <w:rPr>
          <w:rFonts w:hint="eastAsia" w:ascii="仿宋_GB2312"/>
          <w:b/>
          <w:szCs w:val="32"/>
          <w:shd w:val="clear" w:color="auto" w:fill="FFFFFF"/>
        </w:rPr>
        <w:t>1.门诊中药处方比例▲</w:t>
      </w:r>
    </w:p>
    <w:p>
      <w:pPr>
        <w:spacing w:line="586" w:lineRule="atLeast"/>
        <w:rPr>
          <w:rFonts w:ascii="仿宋_GB2312"/>
          <w:szCs w:val="32"/>
          <w:shd w:val="clear" w:color="auto" w:fill="FFFFFF"/>
        </w:rPr>
      </w:pPr>
      <w:bookmarkStart w:id="13" w:name="_Hlk1081274"/>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586" w:lineRule="atLeast"/>
        <w:rPr>
          <w:rFonts w:ascii="仿宋_GB2312"/>
          <w:szCs w:val="32"/>
          <w:shd w:val="clear" w:color="auto" w:fill="FFFFFF"/>
        </w:rPr>
      </w:pPr>
      <w:r>
        <w:rPr>
          <w:rFonts w:hint="eastAsia" w:ascii="仿宋_GB2312"/>
          <w:b/>
          <w:szCs w:val="32"/>
          <w:shd w:val="clear" w:color="auto" w:fill="FFFFFF"/>
        </w:rPr>
        <w:t>【计量单位】</w:t>
      </w:r>
      <w:r>
        <w:rPr>
          <w:rFonts w:hint="eastAsia" w:ascii="仿宋_GB2312"/>
          <w:szCs w:val="32"/>
          <w:shd w:val="clear" w:color="auto" w:fill="FFFFFF"/>
        </w:rPr>
        <w:t>百分比（%）</w:t>
      </w:r>
    </w:p>
    <w:p>
      <w:pPr>
        <w:spacing w:line="586" w:lineRule="atLeast"/>
        <w:rPr>
          <w:rFonts w:ascii="仿宋_GB2312"/>
          <w:b/>
          <w:szCs w:val="32"/>
          <w:shd w:val="clear" w:color="auto" w:fill="FFFFFF"/>
        </w:rPr>
      </w:pPr>
      <w:r>
        <w:rPr>
          <w:rFonts w:hint="eastAsia" w:ascii="仿宋_GB2312"/>
          <w:b/>
          <w:szCs w:val="32"/>
          <w:shd w:val="clear" w:color="auto" w:fill="FFFFFF"/>
        </w:rPr>
        <w:t>【指标定义】</w:t>
      </w:r>
    </w:p>
    <w:p>
      <w:pPr>
        <w:adjustRightInd w:val="0"/>
        <w:spacing w:line="586" w:lineRule="atLeast"/>
        <w:ind w:firstLine="640" w:firstLineChars="200"/>
        <w:rPr>
          <w:rFonts w:ascii="仿宋_GB2312"/>
          <w:szCs w:val="32"/>
          <w:shd w:val="clear" w:color="auto" w:fill="FFFFFF"/>
        </w:rPr>
      </w:pPr>
      <w:r>
        <w:rPr>
          <w:rFonts w:hint="eastAsia" w:ascii="仿宋_GB2312"/>
          <w:szCs w:val="32"/>
          <w:shd w:val="clear" w:color="auto" w:fill="FFFFFF"/>
        </w:rPr>
        <w:t>考核年度门诊所有中药（含中药饮片和中成药）处方</w:t>
      </w:r>
      <w:r>
        <w:rPr>
          <w:rFonts w:hint="eastAsia" w:ascii="仿宋_GB2312"/>
          <w:szCs w:val="32"/>
          <w:shd w:val="clear" w:color="auto" w:fill="FFFFFF"/>
          <w:vertAlign w:val="superscript"/>
        </w:rPr>
        <w:footnoteReference w:id="0"/>
      </w:r>
      <w:r>
        <w:rPr>
          <w:rFonts w:hint="eastAsia" w:ascii="仿宋_GB2312"/>
          <w:szCs w:val="32"/>
          <w:shd w:val="clear" w:color="auto" w:fill="FFFFFF"/>
        </w:rPr>
        <w:t>数占门诊处方总数的比例。</w:t>
      </w:r>
    </w:p>
    <w:p>
      <w:pPr>
        <w:spacing w:line="586" w:lineRule="atLeast"/>
        <w:rPr>
          <w:rFonts w:ascii="仿宋_GB2312"/>
          <w:b/>
          <w:szCs w:val="32"/>
          <w:shd w:val="clear" w:color="auto" w:fill="FFFFFF"/>
        </w:rPr>
      </w:pPr>
      <w:r>
        <w:rPr>
          <w:rFonts w:hint="eastAsia" w:ascii="仿宋_GB2312"/>
          <w:b/>
          <w:szCs w:val="32"/>
          <w:shd w:val="clear" w:color="auto" w:fill="FFFFFF"/>
        </w:rPr>
        <w:t>【计算方法】</w:t>
      </w:r>
    </w:p>
    <w:p>
      <w:pPr>
        <w:spacing w:line="586" w:lineRule="atLeast"/>
        <w:rPr>
          <w:rFonts w:ascii="仿宋_GB2312" w:eastAsiaTheme="minorEastAsia"/>
          <w:b/>
          <w:szCs w:val="32"/>
          <w:shd w:val="clear" w:color="auto" w:fill="FFFFFF"/>
        </w:rPr>
      </w:pPr>
      <m:oMathPara>
        <m:oMath>
          <m:r>
            <m:rPr>
              <m:sty m:val="b"/>
            </m:rPr>
            <w:rPr>
              <w:rFonts w:hint="eastAsia" w:ascii="Cambria Math" w:hAnsi="Cambria Math"/>
              <w:sz w:val="24"/>
              <w:shd w:val="clear" w:color="auto" w:fill="FFFFFF"/>
            </w:rPr>
            <m:t>门诊中药处方比例</m:t>
          </m:r>
          <m:r>
            <m:rPr>
              <m:sty m:val="b"/>
            </m:rPr>
            <w:rPr>
              <w:rFonts w:ascii="Cambria Math" w:hAnsi="Cambria Math"/>
              <w:sz w:val="24"/>
              <w:shd w:val="clear" w:color="auto" w:fill="FFFFFF"/>
            </w:rPr>
            <m:t>=</m:t>
          </m:r>
          <m:f>
            <m:fPr>
              <m:ctrlPr>
                <w:rPr>
                  <w:rFonts w:ascii="Cambria Math" w:hAnsi="Cambria Math"/>
                  <w:b/>
                  <w:sz w:val="24"/>
                  <w:shd w:val="clear" w:color="auto" w:fill="FFFFFF"/>
                </w:rPr>
              </m:ctrlPr>
            </m:fPr>
            <m:num>
              <m:r>
                <m:rPr>
                  <m:sty m:val="p"/>
                </m:rPr>
                <w:rPr>
                  <w:rFonts w:hint="eastAsia" w:ascii="Cambria Math" w:hAnsi="Cambria Math"/>
                  <w:sz w:val="24"/>
                  <w:shd w:val="clear" w:color="auto" w:fill="FFFFFF"/>
                </w:rPr>
                <m:t>门诊中药（含中药饮片和中成药）处方数</m:t>
              </m:r>
              <m:ctrlPr>
                <w:rPr>
                  <w:rFonts w:ascii="Cambria Math" w:hAnsi="Cambria Math"/>
                  <w:b/>
                  <w:sz w:val="24"/>
                  <w:shd w:val="clear" w:color="auto" w:fill="FFFFFF"/>
                </w:rPr>
              </m:ctrlPr>
            </m:num>
            <m:den>
              <m:r>
                <m:rPr>
                  <m:sty m:val="p"/>
                </m:rPr>
                <w:rPr>
                  <w:rFonts w:hint="eastAsia" w:ascii="Cambria Math" w:hAnsi="Cambria Math"/>
                  <w:sz w:val="24"/>
                  <w:shd w:val="clear" w:color="auto" w:fill="FFFFFF"/>
                </w:rPr>
                <m:t>门诊处方总数</m:t>
              </m:r>
              <m:ctrlPr>
                <w:rPr>
                  <w:rFonts w:ascii="Cambria Math" w:hAnsi="Cambria Math"/>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586" w:lineRule="atLeast"/>
        <w:rPr>
          <w:rFonts w:ascii="仿宋_GB2312"/>
          <w:b/>
          <w:szCs w:val="32"/>
          <w:shd w:val="clear" w:color="auto" w:fill="FFFFFF"/>
        </w:rPr>
      </w:pPr>
      <w:r>
        <w:rPr>
          <w:rFonts w:hint="eastAsia" w:ascii="仿宋_GB2312"/>
          <w:b/>
          <w:szCs w:val="32"/>
          <w:shd w:val="clear" w:color="auto" w:fill="FFFFFF"/>
        </w:rPr>
        <w:t>【指标说明】</w:t>
      </w:r>
    </w:p>
    <w:p>
      <w:pPr>
        <w:adjustRightInd w:val="0"/>
        <w:spacing w:line="586" w:lineRule="atLeast"/>
        <w:ind w:firstLine="640" w:firstLineChars="200"/>
        <w:rPr>
          <w:rFonts w:ascii="仿宋_GB2312" w:cs="Arial"/>
          <w:bCs/>
          <w:kern w:val="0"/>
          <w:szCs w:val="32"/>
          <w:shd w:val="clear" w:color="auto" w:fill="FFFFFF"/>
        </w:rPr>
      </w:pPr>
      <w:r>
        <w:rPr>
          <w:rFonts w:hint="eastAsia" w:ascii="仿宋_GB2312"/>
          <w:szCs w:val="32"/>
          <w:shd w:val="clear" w:color="auto" w:fill="FFFFFF"/>
        </w:rPr>
        <w:t>（1）分子：</w:t>
      </w:r>
      <w:r>
        <w:rPr>
          <w:rFonts w:hint="eastAsia" w:ascii="仿宋_GB2312" w:cs="宋体"/>
          <w:bCs/>
          <w:spacing w:val="8"/>
          <w:kern w:val="0"/>
          <w:szCs w:val="32"/>
          <w:shd w:val="clear" w:color="auto" w:fill="FFFFFF"/>
        </w:rPr>
        <w:t>门诊</w:t>
      </w:r>
      <w:r>
        <w:rPr>
          <w:rFonts w:hint="eastAsia" w:ascii="仿宋_GB2312"/>
          <w:szCs w:val="32"/>
          <w:shd w:val="clear" w:color="auto" w:fill="FFFFFF"/>
        </w:rPr>
        <w:t>中药处方</w:t>
      </w:r>
      <w:r>
        <w:rPr>
          <w:rFonts w:hint="eastAsia" w:ascii="仿宋_GB2312"/>
          <w:szCs w:val="32"/>
          <w:shd w:val="clear" w:color="auto" w:fill="FFFFFF"/>
          <w:vertAlign w:val="superscript"/>
        </w:rPr>
        <w:footnoteReference w:id="1"/>
      </w:r>
      <w:r>
        <w:rPr>
          <w:rFonts w:hint="eastAsia" w:ascii="仿宋_GB2312"/>
          <w:szCs w:val="32"/>
          <w:shd w:val="clear" w:color="auto" w:fill="FFFFFF"/>
        </w:rPr>
        <w:t>是指门诊中成药（含医疗机构中药制剂</w:t>
      </w:r>
      <w:r>
        <w:rPr>
          <w:rFonts w:hint="eastAsia" w:ascii="仿宋_GB2312"/>
          <w:szCs w:val="32"/>
          <w:shd w:val="clear" w:color="auto" w:fill="FFFFFF"/>
          <w:vertAlign w:val="superscript"/>
        </w:rPr>
        <w:footnoteReference w:id="2"/>
      </w:r>
      <w:r>
        <w:rPr>
          <w:rFonts w:hint="eastAsia" w:ascii="仿宋_GB2312"/>
          <w:szCs w:val="32"/>
          <w:shd w:val="clear" w:color="auto" w:fill="FFFFFF"/>
        </w:rPr>
        <w:t>）、散装中药饮片、小包装中药饮片</w:t>
      </w:r>
      <w:r>
        <w:rPr>
          <w:rStyle w:val="34"/>
          <w:rFonts w:ascii="仿宋_GB2312"/>
          <w:szCs w:val="32"/>
          <w:shd w:val="clear" w:color="auto" w:fill="FFFFFF"/>
        </w:rPr>
        <w:footnoteReference w:id="3"/>
      </w:r>
      <w:r>
        <w:rPr>
          <w:rFonts w:hint="eastAsia" w:ascii="仿宋_GB2312"/>
          <w:szCs w:val="32"/>
          <w:shd w:val="clear" w:color="auto" w:fill="FFFFFF"/>
        </w:rPr>
        <w:t>、中药配方颗粒</w:t>
      </w:r>
      <w:r>
        <w:rPr>
          <w:rStyle w:val="34"/>
          <w:rFonts w:ascii="仿宋_GB2312"/>
          <w:szCs w:val="32"/>
          <w:shd w:val="clear" w:color="auto" w:fill="FFFFFF"/>
        </w:rPr>
        <w:footnoteReference w:id="4"/>
      </w:r>
      <w:r>
        <w:rPr>
          <w:rFonts w:hint="eastAsia" w:ascii="仿宋_GB2312"/>
          <w:szCs w:val="32"/>
          <w:shd w:val="clear" w:color="auto" w:fill="FFFFFF"/>
        </w:rPr>
        <w:t>处方之和</w:t>
      </w:r>
      <w:r>
        <w:rPr>
          <w:rFonts w:hint="eastAsia" w:ascii="仿宋_GB2312" w:cs="Arial"/>
          <w:bCs/>
          <w:kern w:val="0"/>
          <w:szCs w:val="32"/>
          <w:shd w:val="clear" w:color="auto" w:fill="FFFFFF"/>
        </w:rPr>
        <w:t>。门诊中药处方按药房处方统计。</w:t>
      </w:r>
      <w:r>
        <w:rPr>
          <w:rFonts w:hint="eastAsia" w:ascii="仿宋_GB2312" w:cs="Arial"/>
          <w:kern w:val="0"/>
          <w:szCs w:val="32"/>
          <w:shd w:val="clear" w:color="auto" w:fill="FFFFFF"/>
        </w:rPr>
        <w:t>不含急诊处方。</w:t>
      </w:r>
    </w:p>
    <w:p>
      <w:pPr>
        <w:adjustRightInd w:val="0"/>
        <w:spacing w:line="586" w:lineRule="atLeast"/>
        <w:ind w:firstLine="640" w:firstLineChars="200"/>
        <w:rPr>
          <w:rFonts w:ascii="仿宋_GB2312"/>
          <w:szCs w:val="32"/>
          <w:shd w:val="clear" w:color="auto" w:fill="FFFFFF"/>
        </w:rPr>
      </w:pPr>
      <w:r>
        <w:rPr>
          <w:rFonts w:hint="eastAsia" w:ascii="仿宋_GB2312"/>
          <w:szCs w:val="32"/>
          <w:shd w:val="clear" w:color="auto" w:fill="FFFFFF"/>
        </w:rPr>
        <w:t>（2）分母：门诊处方总数是</w:t>
      </w:r>
      <w:r>
        <w:rPr>
          <w:rFonts w:hint="eastAsia" w:ascii="仿宋_GB2312" w:cs="Arial"/>
          <w:kern w:val="0"/>
          <w:szCs w:val="32"/>
          <w:shd w:val="clear" w:color="auto" w:fill="FFFFFF"/>
        </w:rPr>
        <w:t>指门诊所有药物处方总数</w:t>
      </w:r>
      <w:r>
        <w:rPr>
          <w:rFonts w:hint="eastAsia" w:ascii="仿宋_GB2312"/>
          <w:kern w:val="0"/>
          <w:szCs w:val="32"/>
          <w:shd w:val="clear" w:color="auto" w:fill="FFFFFF"/>
          <w:vertAlign w:val="superscript"/>
        </w:rPr>
        <w:footnoteReference w:id="5"/>
      </w:r>
      <w:r>
        <w:rPr>
          <w:rFonts w:hint="eastAsia" w:ascii="仿宋_GB2312" w:cs="Arial"/>
          <w:kern w:val="0"/>
          <w:szCs w:val="32"/>
          <w:shd w:val="clear" w:color="auto" w:fill="FFFFFF"/>
        </w:rPr>
        <w:t>包括中成药（含医疗机构中药制剂）、散装中药饮片、小包装中药饮片、中药配方颗粒处方和西药处方。门诊处方总数</w:t>
      </w:r>
      <w:r>
        <w:rPr>
          <w:rFonts w:hint="eastAsia" w:ascii="仿宋_GB2312" w:cs="Arial"/>
          <w:bCs/>
          <w:kern w:val="0"/>
          <w:szCs w:val="32"/>
          <w:shd w:val="clear" w:color="auto" w:fill="FFFFFF"/>
        </w:rPr>
        <w:t>按药房处方数统计</w:t>
      </w:r>
      <w:r>
        <w:rPr>
          <w:rFonts w:hint="eastAsia" w:ascii="仿宋_GB2312"/>
          <w:szCs w:val="32"/>
          <w:shd w:val="clear" w:color="auto" w:fill="FFFFFF"/>
        </w:rPr>
        <w:t>。不含急诊处方。</w:t>
      </w:r>
    </w:p>
    <w:p>
      <w:pPr>
        <w:adjustRightInd w:val="0"/>
        <w:spacing w:line="586" w:lineRule="atLeast"/>
        <w:ind w:firstLine="640" w:firstLineChars="200"/>
        <w:rPr>
          <w:rFonts w:ascii="仿宋_GB2312" w:cs="Arial"/>
          <w:kern w:val="0"/>
          <w:szCs w:val="32"/>
          <w:shd w:val="clear" w:color="auto" w:fill="FFFFFF"/>
        </w:rPr>
      </w:pPr>
      <w:r>
        <w:rPr>
          <w:rFonts w:hint="eastAsia" w:ascii="仿宋_GB2312" w:cs="Arial"/>
          <w:kern w:val="0"/>
          <w:szCs w:val="32"/>
          <w:shd w:val="clear" w:color="auto" w:fill="FFFFFF"/>
        </w:rPr>
        <w:t>（3）如果中成药、西药开具在同一张处方上，需拆开后分别计算在分子、分母中。</w:t>
      </w:r>
    </w:p>
    <w:p>
      <w:pPr>
        <w:adjustRightInd w:val="0"/>
        <w:spacing w:line="586" w:lineRule="atLeast"/>
        <w:ind w:firstLine="640" w:firstLineChars="200"/>
        <w:rPr>
          <w:rFonts w:ascii="仿宋_GB2312" w:cs="Arial"/>
          <w:kern w:val="0"/>
          <w:szCs w:val="32"/>
          <w:shd w:val="clear" w:color="auto" w:fill="FFFFFF"/>
        </w:rPr>
      </w:pPr>
      <w:r>
        <w:rPr>
          <w:rFonts w:hint="eastAsia" w:ascii="仿宋_GB2312" w:cs="Arial"/>
          <w:kern w:val="0"/>
          <w:szCs w:val="32"/>
          <w:shd w:val="clear" w:color="auto" w:fill="FFFFFF"/>
        </w:rPr>
        <w:t>（4）民族医院本指标的门诊中药处方是指门诊民族药</w:t>
      </w:r>
      <w:r>
        <w:rPr>
          <w:rStyle w:val="34"/>
          <w:rFonts w:ascii="仿宋_GB2312" w:cs="Arial"/>
          <w:kern w:val="0"/>
          <w:szCs w:val="32"/>
          <w:shd w:val="clear" w:color="auto" w:fill="FFFFFF"/>
        </w:rPr>
        <w:footnoteReference w:id="6"/>
      </w:r>
      <w:r>
        <w:rPr>
          <w:rFonts w:hint="eastAsia" w:ascii="仿宋_GB2312" w:cs="Arial"/>
          <w:kern w:val="0"/>
          <w:szCs w:val="32"/>
          <w:shd w:val="clear" w:color="auto" w:fill="FFFFFF"/>
        </w:rPr>
        <w:t>处方。</w:t>
      </w:r>
    </w:p>
    <w:p>
      <w:pPr>
        <w:spacing w:line="586" w:lineRule="atLeast"/>
        <w:rPr>
          <w:rFonts w:ascii="仿宋_GB2312"/>
          <w:b/>
          <w:szCs w:val="32"/>
          <w:shd w:val="clear" w:color="auto" w:fill="FFFFFF"/>
        </w:rPr>
      </w:pPr>
      <w:r>
        <w:rPr>
          <w:rFonts w:hint="eastAsia" w:ascii="仿宋_GB2312"/>
          <w:b/>
          <w:szCs w:val="32"/>
          <w:shd w:val="clear" w:color="auto" w:fill="FFFFFF"/>
        </w:rPr>
        <w:t>【指标意义】</w:t>
      </w:r>
    </w:p>
    <w:bookmarkEnd w:id="13"/>
    <w:p>
      <w:pPr>
        <w:adjustRightInd w:val="0"/>
        <w:spacing w:line="586" w:lineRule="atLeast"/>
        <w:ind w:firstLine="640" w:firstLineChars="200"/>
        <w:rPr>
          <w:rFonts w:ascii="仿宋_GB2312"/>
          <w:szCs w:val="32"/>
          <w:shd w:val="clear" w:color="auto" w:fill="FFFFFF"/>
        </w:rPr>
      </w:pPr>
      <w:r>
        <w:rPr>
          <w:rFonts w:hint="eastAsia" w:ascii="仿宋_GB2312" w:cs="Arial"/>
          <w:szCs w:val="32"/>
          <w:shd w:val="clear" w:color="auto" w:fill="FFFFFF"/>
        </w:rPr>
        <w:t>《中华人民共和国中医药法》（中华人民共和国主席令第59号）明确规定中医医疗机构主要提供中医药服务。《中华人民共和国基本医疗卫生与健康促进法》</w:t>
      </w:r>
      <w:r>
        <w:rPr>
          <w:rFonts w:ascii="仿宋_GB2312" w:cs="Arial"/>
          <w:szCs w:val="32"/>
          <w:shd w:val="clear" w:color="auto" w:fill="FFFFFF"/>
        </w:rPr>
        <w:t>(201</w:t>
      </w:r>
      <w:r>
        <w:rPr>
          <w:rFonts w:hint="eastAsia" w:ascii="仿宋_GB2312" w:cs="Arial"/>
          <w:szCs w:val="32"/>
          <w:shd w:val="clear" w:color="auto" w:fill="FFFFFF"/>
        </w:rPr>
        <w:t>9年</w:t>
      </w:r>
      <w:r>
        <w:rPr>
          <w:rFonts w:ascii="仿宋_GB2312" w:cs="Arial"/>
          <w:szCs w:val="32"/>
          <w:shd w:val="clear" w:color="auto" w:fill="FFFFFF"/>
        </w:rPr>
        <w:t>12</w:t>
      </w:r>
      <w:r>
        <w:rPr>
          <w:rFonts w:hint="eastAsia" w:ascii="仿宋_GB2312" w:cs="Arial"/>
          <w:szCs w:val="32"/>
          <w:shd w:val="clear" w:color="auto" w:fill="FFFFFF"/>
        </w:rPr>
        <w:t>月</w:t>
      </w:r>
      <w:r>
        <w:rPr>
          <w:rFonts w:ascii="仿宋_GB2312" w:cs="Arial"/>
          <w:szCs w:val="32"/>
          <w:shd w:val="clear" w:color="auto" w:fill="FFFFFF"/>
        </w:rPr>
        <w:t>28</w:t>
      </w:r>
      <w:r>
        <w:rPr>
          <w:rFonts w:hint="eastAsia" w:ascii="仿宋_GB2312" w:cs="Arial"/>
          <w:szCs w:val="32"/>
          <w:shd w:val="clear" w:color="auto" w:fill="FFFFFF"/>
        </w:rPr>
        <w:t>日第十三届全国人民代表大会常务委员会第十五次会议通过</w:t>
      </w:r>
      <w:r>
        <w:rPr>
          <w:rFonts w:ascii="仿宋_GB2312" w:cs="Arial"/>
          <w:szCs w:val="32"/>
          <w:shd w:val="clear" w:color="auto" w:fill="FFFFFF"/>
        </w:rPr>
        <w:t>)</w:t>
      </w:r>
      <w:r>
        <w:rPr>
          <w:rFonts w:hint="eastAsia" w:ascii="仿宋_GB2312" w:cs="Arial"/>
          <w:szCs w:val="32"/>
          <w:shd w:val="clear" w:color="auto" w:fill="FFFFFF"/>
        </w:rPr>
        <w:t>提出“发挥中医药在医疗卫生与健康事业中的独特作用”。《</w:t>
      </w:r>
      <w:r>
        <w:rPr>
          <w:rFonts w:hint="eastAsia" w:ascii="仿宋_GB2312" w:cs="Arial"/>
          <w:kern w:val="0"/>
          <w:szCs w:val="32"/>
          <w:shd w:val="clear" w:color="auto" w:fill="FFFFFF"/>
        </w:rPr>
        <w:t>中共中央国务院关于促进中医药传承创新发展的意见</w:t>
      </w:r>
      <w:r>
        <w:rPr>
          <w:rFonts w:hint="eastAsia" w:ascii="仿宋_GB2312" w:cs="Arial"/>
          <w:szCs w:val="32"/>
          <w:shd w:val="clear" w:color="auto" w:fill="FFFFFF"/>
        </w:rPr>
        <w:t>》（中发办〔2019〕</w:t>
      </w:r>
      <w:r>
        <w:rPr>
          <w:rFonts w:ascii="仿宋_GB2312" w:cs="Arial"/>
          <w:szCs w:val="32"/>
          <w:shd w:val="clear" w:color="auto" w:fill="FFFFFF"/>
        </w:rPr>
        <w:t>43</w:t>
      </w:r>
      <w:r>
        <w:rPr>
          <w:rFonts w:hint="eastAsia" w:ascii="仿宋_GB2312" w:cs="Arial"/>
          <w:szCs w:val="32"/>
          <w:shd w:val="clear" w:color="auto" w:fill="FFFFFF"/>
        </w:rPr>
        <w:t>号）提出中医药服务机构要“强化以中医药服务为主的办院模式和服务功能，建立健全体现中医药特点的现代医院管理制度”。中药是中医在临床治疗中应用最广泛的基本手段和临床辨证论治的重要载体。门诊中药处方比例反映了门诊处方的结构，体现了门诊医师运用中医理论、辨证施治的情况，也是中医医院评审、中医重点专科</w:t>
      </w:r>
      <w:r>
        <w:rPr>
          <w:rFonts w:hint="eastAsia" w:ascii="仿宋_GB2312"/>
          <w:szCs w:val="32"/>
          <w:shd w:val="clear" w:color="auto" w:fill="FFFFFF"/>
        </w:rPr>
        <w:t>、中医优势专科</w:t>
      </w:r>
      <w:r>
        <w:rPr>
          <w:rFonts w:hint="eastAsia" w:ascii="仿宋_GB2312" w:cs="Arial"/>
          <w:szCs w:val="32"/>
          <w:shd w:val="clear" w:color="auto" w:fill="FFFFFF"/>
        </w:rPr>
        <w:t>评价中体现中医药特色服务等的核心指</w:t>
      </w:r>
      <w:r>
        <w:rPr>
          <w:rFonts w:hint="eastAsia" w:ascii="仿宋_GB2312"/>
          <w:szCs w:val="32"/>
          <w:shd w:val="clear" w:color="auto" w:fill="FFFFFF"/>
        </w:rPr>
        <w:t>标之一，用于衡量医院办院方向和目标。</w:t>
      </w:r>
    </w:p>
    <w:p>
      <w:pPr>
        <w:spacing w:line="586" w:lineRule="atLeast"/>
        <w:ind w:right="48" w:rightChars="15"/>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指标导向</w:t>
      </w:r>
      <w:r>
        <w:rPr>
          <w:rFonts w:hint="eastAsia" w:ascii="仿宋_GB2312"/>
          <w:szCs w:val="32"/>
          <w:shd w:val="clear" w:color="auto" w:fill="FFFFFF"/>
        </w:rPr>
        <w:t>】逐步提高。</w:t>
      </w:r>
    </w:p>
    <w:p>
      <w:pPr>
        <w:spacing w:line="586" w:lineRule="atLeast"/>
        <w:rPr>
          <w:rFonts w:ascii="仿宋_GB2312"/>
          <w:szCs w:val="32"/>
          <w:shd w:val="clear" w:color="auto" w:fill="FFFFFF"/>
        </w:rPr>
      </w:pPr>
      <w:r>
        <w:rPr>
          <w:rFonts w:hint="eastAsia" w:ascii="仿宋_GB2312"/>
          <w:b/>
          <w:szCs w:val="32"/>
          <w:shd w:val="clear" w:color="auto" w:fill="FFFFFF"/>
        </w:rPr>
        <w:t>【数据来源】</w:t>
      </w:r>
      <w:r>
        <w:rPr>
          <w:rFonts w:hint="eastAsia" w:ascii="仿宋_GB2312"/>
          <w:szCs w:val="32"/>
          <w:shd w:val="clear" w:color="auto" w:fill="FFFFFF"/>
        </w:rPr>
        <w:t>医院填报。</w:t>
      </w:r>
    </w:p>
    <w:p>
      <w:pPr>
        <w:spacing w:line="586" w:lineRule="atLeast"/>
        <w:rPr>
          <w:rFonts w:ascii="仿宋_GB2312"/>
          <w:b/>
          <w:szCs w:val="32"/>
          <w:shd w:val="clear" w:color="auto" w:fill="FFFFFF"/>
        </w:rPr>
      </w:pPr>
      <w:r>
        <w:rPr>
          <w:rFonts w:hint="eastAsia" w:ascii="仿宋_GB2312"/>
          <w:b/>
          <w:szCs w:val="32"/>
          <w:shd w:val="clear" w:color="auto" w:fill="FFFFFF"/>
        </w:rPr>
        <w:t>【指标解释】</w:t>
      </w:r>
      <w:r>
        <w:rPr>
          <w:rFonts w:hint="eastAsia" w:ascii="仿宋_GB2312"/>
          <w:szCs w:val="32"/>
          <w:shd w:val="clear" w:color="auto" w:fill="FFFFFF"/>
        </w:rPr>
        <w:t>省级中医药主管部门。</w:t>
      </w:r>
      <w:bookmarkEnd w:id="12"/>
    </w:p>
    <w:p>
      <w:pPr>
        <w:spacing w:line="590" w:lineRule="exact"/>
        <w:rPr>
          <w:rFonts w:ascii="仿宋_GB2312"/>
          <w:b/>
          <w:szCs w:val="32"/>
          <w:shd w:val="clear" w:color="auto" w:fill="FFFFFF"/>
        </w:rPr>
      </w:pPr>
      <w:r>
        <w:rPr>
          <w:rFonts w:hint="eastAsia" w:ascii="仿宋_GB2312"/>
          <w:b/>
          <w:szCs w:val="32"/>
          <w:shd w:val="clear" w:color="auto" w:fill="FFFFFF"/>
        </w:rPr>
        <w:br w:type="page"/>
      </w:r>
      <w:r>
        <w:rPr>
          <w:rFonts w:hint="eastAsia" w:ascii="仿宋_GB2312"/>
          <w:b/>
          <w:szCs w:val="32"/>
          <w:shd w:val="clear" w:color="auto" w:fill="FFFFFF"/>
        </w:rPr>
        <w:t>2.门诊散装中药饮片和小包装中药饮片处方比例▲</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考核年度门诊散装中药饮片</w:t>
      </w:r>
      <w:r>
        <w:rPr>
          <w:rStyle w:val="34"/>
          <w:rFonts w:ascii="仿宋_GB2312"/>
          <w:szCs w:val="32"/>
          <w:shd w:val="clear" w:color="auto" w:fill="FFFFFF"/>
        </w:rPr>
        <w:footnoteReference w:id="7"/>
      </w:r>
      <w:r>
        <w:rPr>
          <w:rFonts w:hint="eastAsia" w:ascii="仿宋_GB2312"/>
          <w:szCs w:val="32"/>
          <w:shd w:val="clear" w:color="auto" w:fill="FFFFFF"/>
        </w:rPr>
        <w:t>和小包装中药饮片处方数占门诊处方总数的比例。</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499" w:rightChars="-156"/>
        <w:rPr>
          <w:rFonts w:ascii="仿宋_GB2312" w:eastAsiaTheme="minorEastAsia"/>
          <w:szCs w:val="32"/>
          <w:shd w:val="clear" w:color="auto" w:fill="FFFFFF"/>
        </w:rPr>
      </w:pPr>
      <m:oMathPara>
        <m:oMath>
          <m:r>
            <m:rPr>
              <m:sty m:val="b"/>
            </m:rPr>
            <w:rPr>
              <w:rFonts w:hint="eastAsia" w:ascii="Cambria Math" w:hAnsi="Cambria Math"/>
              <w:sz w:val="24"/>
              <w:shd w:val="clear" w:color="auto" w:fill="FFFFFF"/>
            </w:rPr>
            <m:t>门诊散装中药饮片和小包装中药饮片处方比例</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门诊散装中药饮片和小包装中药饮片处方数</m:t>
              </m:r>
              <m:ctrlPr>
                <w:rPr>
                  <w:rFonts w:ascii="Cambria Math" w:hAnsi="黑体"/>
                  <w:b/>
                  <w:sz w:val="24"/>
                  <w:shd w:val="clear" w:color="auto" w:fill="FFFFFF"/>
                </w:rPr>
              </m:ctrlPr>
            </m:num>
            <m:den>
              <m:r>
                <m:rPr>
                  <m:sty m:val="p"/>
                </m:rPr>
                <w:rPr>
                  <w:rFonts w:hint="eastAsia" w:ascii="Cambria Math" w:hAnsi="Cambria Math"/>
                  <w:sz w:val="24"/>
                  <w:shd w:val="clear" w:color="auto" w:fill="FFFFFF"/>
                </w:rPr>
                <m:t>门诊处方总数</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widowControl/>
        <w:shd w:val="clear" w:color="auto" w:fill="FFFFFF"/>
        <w:adjustRightInd w:val="0"/>
        <w:spacing w:line="600" w:lineRule="atLeast"/>
        <w:ind w:firstLine="640" w:firstLineChars="200"/>
        <w:rPr>
          <w:rFonts w:ascii="仿宋_GB2312" w:cs="Arial"/>
          <w:kern w:val="0"/>
          <w:szCs w:val="32"/>
          <w:shd w:val="clear" w:color="auto" w:fill="FFFFFF"/>
        </w:rPr>
      </w:pPr>
      <w:r>
        <w:rPr>
          <w:rFonts w:hint="eastAsia" w:ascii="仿宋_GB2312"/>
          <w:szCs w:val="32"/>
          <w:shd w:val="clear" w:color="auto" w:fill="FFFFFF"/>
        </w:rPr>
        <w:t>（1）分子：门诊散装中药饮片和小包装中药饮片处方数</w:t>
      </w:r>
      <w:r>
        <w:rPr>
          <w:rFonts w:hint="eastAsia" w:ascii="仿宋_GB2312"/>
          <w:szCs w:val="32"/>
          <w:shd w:val="clear" w:color="auto" w:fill="FFFFFF"/>
          <w:lang w:eastAsia="zh-CN"/>
        </w:rPr>
        <w:t>（</w:t>
      </w:r>
      <w:r>
        <w:rPr>
          <w:rFonts w:hint="eastAsia" w:ascii="仿宋_GB2312"/>
          <w:szCs w:val="32"/>
          <w:shd w:val="clear" w:color="auto" w:fill="FFFFFF"/>
          <w:lang w:val="en-US" w:eastAsia="zh-CN"/>
        </w:rPr>
        <w:t>张</w:t>
      </w:r>
      <w:r>
        <w:rPr>
          <w:rFonts w:hint="eastAsia" w:ascii="仿宋_GB2312"/>
          <w:szCs w:val="32"/>
          <w:shd w:val="clear" w:color="auto" w:fill="FFFFFF"/>
          <w:lang w:eastAsia="zh-CN"/>
        </w:rPr>
        <w:t>）</w:t>
      </w:r>
      <w:r>
        <w:rPr>
          <w:rFonts w:hint="eastAsia" w:ascii="仿宋_GB2312"/>
          <w:szCs w:val="32"/>
          <w:shd w:val="clear" w:color="auto" w:fill="FFFFFF"/>
        </w:rPr>
        <w:t>是指门诊所有散装中药饮片和小包装中药饮片处方总数。处方数量按药房处方统计。</w:t>
      </w:r>
      <w:r>
        <w:rPr>
          <w:rFonts w:hint="eastAsia" w:ascii="仿宋_GB2312" w:cs="Arial"/>
          <w:kern w:val="0"/>
          <w:szCs w:val="32"/>
          <w:shd w:val="clear" w:color="auto" w:fill="FFFFFF"/>
        </w:rPr>
        <w:t>不含中药配方颗粒处方。不含急诊处方。</w:t>
      </w:r>
    </w:p>
    <w:p>
      <w:pPr>
        <w:widowControl/>
        <w:shd w:val="clear" w:color="auto" w:fill="FFFFFF"/>
        <w:adjustRightInd w:val="0"/>
        <w:spacing w:line="600" w:lineRule="atLeast"/>
        <w:ind w:firstLine="640" w:firstLineChars="200"/>
        <w:rPr>
          <w:rFonts w:ascii="仿宋_GB2312" w:cs="Arial"/>
          <w:bCs/>
          <w:color w:val="C00000"/>
          <w:kern w:val="0"/>
          <w:szCs w:val="32"/>
          <w:shd w:val="clear" w:color="auto" w:fill="FFFFFF"/>
        </w:rPr>
      </w:pPr>
      <w:r>
        <w:rPr>
          <w:rFonts w:hint="eastAsia" w:ascii="仿宋_GB2312"/>
          <w:szCs w:val="32"/>
          <w:shd w:val="clear" w:color="auto" w:fill="FFFFFF"/>
        </w:rPr>
        <w:t>（2）分母：门诊处方总数是</w:t>
      </w:r>
      <w:r>
        <w:rPr>
          <w:rFonts w:hint="eastAsia" w:ascii="仿宋_GB2312" w:cs="Arial"/>
          <w:kern w:val="0"/>
          <w:szCs w:val="32"/>
          <w:shd w:val="clear" w:color="auto" w:fill="FFFFFF"/>
        </w:rPr>
        <w:t>指门诊所有药物处方总数包括中成药（</w:t>
      </w:r>
      <w:r>
        <w:rPr>
          <w:rFonts w:ascii="仿宋_GB2312" w:cs="Arial"/>
          <w:kern w:val="0"/>
          <w:szCs w:val="32"/>
          <w:shd w:val="clear" w:color="auto" w:fill="FFFFFF"/>
        </w:rPr>
        <w:t>含</w:t>
      </w:r>
      <w:r>
        <w:rPr>
          <w:rFonts w:hint="eastAsia" w:ascii="仿宋_GB2312" w:cs="Arial"/>
          <w:kern w:val="0"/>
          <w:szCs w:val="32"/>
          <w:shd w:val="clear" w:color="auto" w:fill="FFFFFF"/>
        </w:rPr>
        <w:t>医疗机构中药制剂）、散装中药饮片、小包装中药饮片、中药配方颗粒处方和西药处方。门诊处方总数</w:t>
      </w:r>
      <w:r>
        <w:rPr>
          <w:rFonts w:hint="eastAsia" w:ascii="仿宋_GB2312" w:cs="Arial"/>
          <w:bCs/>
          <w:kern w:val="0"/>
          <w:szCs w:val="32"/>
          <w:shd w:val="clear" w:color="auto" w:fill="FFFFFF"/>
        </w:rPr>
        <w:t>按药房处方数统计。不含急诊处方。</w:t>
      </w:r>
    </w:p>
    <w:p>
      <w:pPr>
        <w:adjustRightInd w:val="0"/>
        <w:snapToGri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（3）民族医医院</w:t>
      </w:r>
      <w:r>
        <w:rPr>
          <w:rFonts w:hint="eastAsia" w:ascii="仿宋_GB2312"/>
          <w:szCs w:val="32"/>
          <w:shd w:val="clear" w:color="auto" w:fill="FFFFFF"/>
          <w:vertAlign w:val="superscript"/>
        </w:rPr>
        <w:footnoteReference w:id="8"/>
      </w:r>
      <w:r>
        <w:rPr>
          <w:rFonts w:hint="eastAsia" w:ascii="仿宋_GB2312"/>
          <w:szCs w:val="32"/>
          <w:shd w:val="clear" w:color="auto" w:fill="FFFFFF"/>
        </w:rPr>
        <w:t>本指标不纳入绩效考核。</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spacing w:line="600" w:lineRule="atLeast"/>
        <w:ind w:firstLine="640" w:firstLineChars="200"/>
        <w:rPr>
          <w:rFonts w:ascii="仿宋_GB2312"/>
          <w:szCs w:val="32"/>
          <w:shd w:val="clear" w:color="auto" w:fill="FFFFFF"/>
        </w:rPr>
      </w:pPr>
      <w:r>
        <w:rPr>
          <w:rFonts w:hint="eastAsia" w:ascii="仿宋_GB2312" w:cs="Arial"/>
          <w:szCs w:val="32"/>
          <w:shd w:val="clear" w:color="auto" w:fill="FFFFFF"/>
        </w:rPr>
        <w:t>《</w:t>
      </w:r>
      <w:r>
        <w:rPr>
          <w:rFonts w:hint="eastAsia" w:ascii="仿宋_GB2312" w:cs="Arial"/>
          <w:kern w:val="0"/>
          <w:szCs w:val="32"/>
          <w:shd w:val="clear" w:color="auto" w:fill="FFFFFF"/>
        </w:rPr>
        <w:t>中共中央 国务院关于促进中医药传承创新发展的意见</w:t>
      </w:r>
      <w:r>
        <w:rPr>
          <w:rFonts w:hint="eastAsia" w:ascii="仿宋_GB2312" w:cs="Arial"/>
          <w:szCs w:val="32"/>
          <w:shd w:val="clear" w:color="auto" w:fill="FFFFFF"/>
        </w:rPr>
        <w:t>》（中发办〔2019〕</w:t>
      </w:r>
      <w:r>
        <w:rPr>
          <w:rFonts w:ascii="仿宋_GB2312" w:cs="Arial"/>
          <w:szCs w:val="32"/>
          <w:shd w:val="clear" w:color="auto" w:fill="FFFFFF"/>
        </w:rPr>
        <w:t>43</w:t>
      </w:r>
      <w:r>
        <w:rPr>
          <w:rFonts w:hint="eastAsia" w:ascii="仿宋_GB2312" w:cs="Arial"/>
          <w:szCs w:val="32"/>
          <w:shd w:val="clear" w:color="auto" w:fill="FFFFFF"/>
        </w:rPr>
        <w:t>号）提出中医药服务机构要“强化以中医药服务为主的办院模式和服务功能，建立健全体现中医药特点的现代医院管理制度”。</w:t>
      </w:r>
      <w:r>
        <w:rPr>
          <w:rFonts w:hint="eastAsia" w:ascii="仿宋_GB2312"/>
          <w:spacing w:val="10"/>
          <w:szCs w:val="32"/>
          <w:shd w:val="clear" w:color="auto" w:fill="FFFFFF"/>
        </w:rPr>
        <w:t>《中医药发展战略规划纲要（2016-2030年）》（国发〔2016〕15号）明确“坚持和发扬中医药特色优势，坚持中医药原创思维”。国家药监局、国家中医药局、国家卫生健康委、国家医保局《关于结束中药配方颗粒试点工作的公告》（2</w:t>
      </w:r>
      <w:r>
        <w:rPr>
          <w:rFonts w:ascii="仿宋_GB2312"/>
          <w:spacing w:val="10"/>
          <w:szCs w:val="32"/>
          <w:shd w:val="clear" w:color="auto" w:fill="FFFFFF"/>
        </w:rPr>
        <w:t>021</w:t>
      </w:r>
      <w:r>
        <w:rPr>
          <w:rFonts w:hint="eastAsia" w:ascii="仿宋_GB2312"/>
          <w:spacing w:val="10"/>
          <w:szCs w:val="32"/>
          <w:shd w:val="clear" w:color="auto" w:fill="FFFFFF"/>
        </w:rPr>
        <w:t>年第2</w:t>
      </w:r>
      <w:r>
        <w:rPr>
          <w:rFonts w:ascii="仿宋_GB2312"/>
          <w:spacing w:val="10"/>
          <w:szCs w:val="32"/>
          <w:shd w:val="clear" w:color="auto" w:fill="FFFFFF"/>
        </w:rPr>
        <w:t>2</w:t>
      </w:r>
      <w:r>
        <w:rPr>
          <w:rFonts w:hint="eastAsia" w:ascii="仿宋_GB2312"/>
          <w:spacing w:val="10"/>
          <w:szCs w:val="32"/>
          <w:shd w:val="clear" w:color="auto" w:fill="FFFFFF"/>
        </w:rPr>
        <w:t>号）提出“坚持中药饮片的主体地位”。散装中药饮片和小包装中药饮片采用传统的煎煮工艺，是中医临床辨证施治的重要物质基础，中药饮片处方</w:t>
      </w:r>
      <w:r>
        <w:rPr>
          <w:rFonts w:hint="eastAsia" w:ascii="仿宋_GB2312" w:cs="Arial"/>
          <w:szCs w:val="32"/>
          <w:shd w:val="clear" w:color="auto" w:fill="FFFFFF"/>
        </w:rPr>
        <w:t>是中医药的精华之一，体现临床医师的中医临床诊疗思维和中医用药的特点和优势，是中医药服务的重要载体。国家鼓励并倡导使用中药饮片，确保传统中药饮片的主体地位。</w:t>
      </w:r>
      <w:r>
        <w:rPr>
          <w:rFonts w:hint="eastAsia" w:ascii="仿宋_GB2312"/>
          <w:szCs w:val="32"/>
          <w:shd w:val="clear" w:color="auto" w:fill="FFFFFF"/>
        </w:rPr>
        <w:t>门诊散装中药饮片和小包装中药饮片处方占比主要反映了门诊医师运用中医临床诊疗思维、辨证施治、采用需煎煮后使用的传统中药饮片的情况，也是中医医院评审、中医重点专科、中医优势专科评价中体现中医药特色服务等的核心指标之一，用于衡量医院办院方向和目标。</w:t>
      </w:r>
    </w:p>
    <w:p>
      <w:pPr>
        <w:spacing w:line="600" w:lineRule="atLeast"/>
        <w:ind w:right="-499" w:rightChars="-156"/>
        <w:rPr>
          <w:rFonts w:ascii="仿宋_GB2312"/>
          <w:szCs w:val="32"/>
          <w:shd w:val="clear" w:color="auto" w:fill="FFFFFF"/>
        </w:rPr>
      </w:pPr>
      <w:r>
        <w:rPr>
          <w:rFonts w:hint="eastAsia" w:ascii="仿宋_GB2312"/>
          <w:bCs/>
          <w:szCs w:val="32"/>
          <w:shd w:val="clear" w:color="auto" w:fill="FFFFFF"/>
        </w:rPr>
        <w:t>【</w:t>
      </w:r>
      <w:r>
        <w:rPr>
          <w:rFonts w:hint="eastAsia" w:ascii="仿宋_GB2312"/>
          <w:b/>
          <w:szCs w:val="32"/>
          <w:shd w:val="clear" w:color="auto" w:fill="FFFFFF"/>
        </w:rPr>
        <w:t>指标导向</w:t>
      </w:r>
      <w:r>
        <w:rPr>
          <w:rFonts w:hint="eastAsia" w:ascii="仿宋_GB2312"/>
          <w:bCs/>
          <w:szCs w:val="32"/>
          <w:shd w:val="clear" w:color="auto" w:fill="FFFFFF"/>
        </w:rPr>
        <w:t>】</w:t>
      </w:r>
      <w:r>
        <w:rPr>
          <w:rFonts w:hint="eastAsia" w:ascii="仿宋_GB2312"/>
          <w:szCs w:val="32"/>
          <w:shd w:val="clear" w:color="auto" w:fill="FFFFFF"/>
        </w:rPr>
        <w:t>逐步提高。</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数据来源</w:t>
      </w:r>
      <w:r>
        <w:rPr>
          <w:rFonts w:hint="eastAsia" w:ascii="仿宋_GB2312"/>
          <w:szCs w:val="32"/>
          <w:shd w:val="clear" w:color="auto" w:fill="FFFFFF"/>
        </w:rPr>
        <w:t>】医院填报。</w:t>
      </w:r>
    </w:p>
    <w:p>
      <w:pPr>
        <w:spacing w:line="600" w:lineRule="atLeast"/>
        <w:ind w:right="-499" w:rightChars="-156"/>
        <w:rPr>
          <w:rFonts w:ascii="仿宋_GB2312"/>
          <w:b/>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】省级中医药主管部门。</w:t>
      </w:r>
    </w:p>
    <w:p>
      <w:pPr>
        <w:spacing w:line="600" w:lineRule="exact"/>
        <w:rPr>
          <w:rFonts w:eastAsia="仿宋"/>
          <w:b/>
          <w:szCs w:val="32"/>
          <w:shd w:val="clear" w:color="auto" w:fill="FFFFFF"/>
        </w:rPr>
      </w:pPr>
    </w:p>
    <w:p>
      <w:pPr>
        <w:spacing w:line="600" w:lineRule="atLeast"/>
        <w:ind w:right="-499" w:rightChars="-156"/>
        <w:rPr>
          <w:rFonts w:ascii="仿宋_GB2312"/>
          <w:b/>
          <w:szCs w:val="32"/>
          <w:shd w:val="clear" w:color="auto" w:fill="FFFFFF"/>
        </w:rPr>
      </w:pPr>
      <w:r>
        <w:rPr>
          <w:b/>
          <w:szCs w:val="32"/>
          <w:shd w:val="clear" w:color="auto" w:fill="FFFFFF"/>
        </w:rPr>
        <w:br w:type="page"/>
      </w:r>
      <w:r>
        <w:rPr>
          <w:rFonts w:hint="eastAsia" w:ascii="仿宋_GB2312"/>
          <w:b/>
          <w:szCs w:val="32"/>
          <w:shd w:val="clear" w:color="auto" w:fill="FFFFFF"/>
        </w:rPr>
        <w:t>3.中药饮片使用率▲</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中药饮片使用率由门诊和住院两部分构成：</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（1）考核年度所有门诊就诊患者应用中药饮片的人次数占门诊总人次数的比例。</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（2）考核年度所有住院后出院患者中应用中药饮片的人次数占出院患者总人次数的比例。</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499" w:rightChars="-156"/>
        <w:rPr>
          <w:rFonts w:ascii="仿宋_GB2312" w:eastAsiaTheme="minorEastAsia"/>
          <w:szCs w:val="32"/>
          <w:shd w:val="clear" w:color="auto" w:fill="FFFFFF"/>
        </w:rPr>
      </w:pPr>
      <m:oMathPara>
        <m:oMath>
          <m:d>
            <m:dPr>
              <m:begChr m:val="（"/>
              <m:endChr m:val="）"/>
              <m:ctrlPr>
                <w:rPr>
                  <w:rFonts w:ascii="Cambria Math" w:hAnsi="Cambria Math"/>
                  <w:b/>
                  <w:sz w:val="24"/>
                  <w:shd w:val="clear" w:color="auto" w:fill="FFFFFF"/>
                </w:rPr>
              </m:ctrlPr>
            </m:dPr>
            <m:e>
              <m:r>
                <m:rPr>
                  <m:sty m:val="b"/>
                </m:rPr>
                <w:rPr>
                  <w:rFonts w:hint="eastAsia" w:ascii="Cambria Math" w:hAnsi="Cambria Math"/>
                  <w:sz w:val="24"/>
                  <w:shd w:val="clear" w:color="auto" w:fill="FFFFFF"/>
                </w:rPr>
                <m:t>1</m:t>
              </m:r>
              <m:ctrlPr>
                <w:rPr>
                  <w:rFonts w:ascii="Cambria Math" w:hAnsi="Cambria Math"/>
                  <w:b/>
                  <w:sz w:val="24"/>
                  <w:shd w:val="clear" w:color="auto" w:fill="FFFFFF"/>
                </w:rPr>
              </m:ctrlPr>
            </m:e>
          </m:d>
          <m:r>
            <m:rPr>
              <m:sty m:val="b"/>
            </m:rPr>
            <w:rPr>
              <w:rFonts w:hint="eastAsia" w:ascii="Cambria Math" w:hAnsi="Cambria Math"/>
              <w:sz w:val="24"/>
              <w:shd w:val="clear" w:color="auto" w:fill="FFFFFF"/>
            </w:rPr>
            <m:t>门诊患者中药饮片使用率</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门诊患者应用中药饮片的人次数</m:t>
              </m:r>
              <m:ctrlPr>
                <w:rPr>
                  <w:rFonts w:ascii="Cambria Math" w:hAnsi="黑体"/>
                  <w:b/>
                  <w:sz w:val="24"/>
                  <w:shd w:val="clear" w:color="auto" w:fill="FFFFFF"/>
                </w:rPr>
              </m:ctrlPr>
            </m:num>
            <m:den>
              <m:r>
                <m:rPr>
                  <m:sty m:val="p"/>
                </m:rPr>
                <w:rPr>
                  <w:rFonts w:hint="eastAsia" w:ascii="Cambria Math" w:hAnsi="Cambria Math"/>
                  <w:sz w:val="24"/>
                  <w:shd w:val="clear" w:color="auto" w:fill="FFFFFF"/>
                </w:rPr>
                <m:t>门诊总人次数</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499" w:rightChars="-156"/>
        <w:rPr>
          <w:rFonts w:ascii="仿宋_GB2312" w:eastAsiaTheme="minorEastAsia"/>
          <w:szCs w:val="32"/>
          <w:shd w:val="clear" w:color="auto" w:fill="FFFFFF"/>
        </w:rPr>
      </w:pPr>
      <m:oMathPara>
        <m:oMath>
          <m:d>
            <m:dPr>
              <m:begChr m:val="（"/>
              <m:endChr m:val="）"/>
              <m:ctrlPr>
                <w:rPr>
                  <w:rFonts w:ascii="Cambria Math" w:hAnsi="Cambria Math"/>
                  <w:b/>
                  <w:sz w:val="24"/>
                  <w:shd w:val="clear" w:color="auto" w:fill="FFFFFF"/>
                </w:rPr>
              </m:ctrlPr>
            </m:dPr>
            <m:e>
              <m:r>
                <m:rPr>
                  <m:sty m:val="b"/>
                </m:rPr>
                <w:rPr>
                  <w:rFonts w:hint="eastAsia" w:ascii="Cambria Math" w:hAnsi="Cambria Math"/>
                  <w:sz w:val="24"/>
                  <w:shd w:val="clear" w:color="auto" w:fill="FFFFFF"/>
                </w:rPr>
                <m:t>2</m:t>
              </m:r>
              <m:ctrlPr>
                <w:rPr>
                  <w:rFonts w:ascii="Cambria Math" w:hAnsi="Cambria Math"/>
                  <w:b/>
                  <w:sz w:val="24"/>
                  <w:shd w:val="clear" w:color="auto" w:fill="FFFFFF"/>
                </w:rPr>
              </m:ctrlPr>
            </m:e>
          </m:d>
          <m:r>
            <m:rPr>
              <m:sty m:val="b"/>
            </m:rPr>
            <w:rPr>
              <w:rFonts w:hint="eastAsia" w:ascii="Cambria Math" w:hAnsi="Cambria Math"/>
              <w:sz w:val="24"/>
              <w:shd w:val="clear" w:color="auto" w:fill="FFFFFF"/>
            </w:rPr>
            <m:t>出院患者中药饮片使用率</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出院患者应用中药饮片的人次数</m:t>
              </m:r>
              <m:ctrlPr>
                <w:rPr>
                  <w:rFonts w:ascii="Cambria Math" w:hAnsi="黑体"/>
                  <w:b/>
                  <w:sz w:val="24"/>
                  <w:shd w:val="clear" w:color="auto" w:fill="FFFFFF"/>
                </w:rPr>
              </m:ctrlPr>
            </m:num>
            <m:den>
              <m:r>
                <m:rPr>
                  <m:sty m:val="p"/>
                </m:rPr>
                <w:rPr>
                  <w:rFonts w:hint="eastAsia" w:ascii="Cambria Math" w:hAnsi="Cambria Math"/>
                  <w:sz w:val="24"/>
                  <w:shd w:val="clear" w:color="auto" w:fill="FFFFFF"/>
                </w:rPr>
                <m:t>出院患者总人次数</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spacing w:line="600" w:lineRule="atLeast"/>
        <w:ind w:right="-499" w:rightChars="-156" w:firstLine="640" w:firstLineChars="200"/>
        <w:rPr>
          <w:rFonts w:ascii="仿宋_GB2312"/>
          <w:szCs w:val="32"/>
          <w:shd w:val="clear" w:color="auto" w:fill="FFFFFF"/>
        </w:rPr>
      </w:pPr>
      <w:r>
        <w:rPr>
          <w:rFonts w:hint="eastAsia" w:ascii="仿宋_GB2312"/>
          <w:szCs w:val="32"/>
          <w:shd w:val="clear" w:color="auto" w:fill="FFFFFF"/>
        </w:rPr>
        <w:t>（1）分子</w:t>
      </w:r>
    </w:p>
    <w:p>
      <w:pPr>
        <w:spacing w:line="600" w:lineRule="atLeast"/>
        <w:ind w:right="-499" w:rightChars="-156" w:firstLine="640" w:firstLineChars="200"/>
        <w:rPr>
          <w:rFonts w:ascii="仿宋_GB2312"/>
          <w:szCs w:val="32"/>
          <w:shd w:val="clear" w:color="auto" w:fill="FFFFFF"/>
        </w:rPr>
      </w:pPr>
      <w:r>
        <w:rPr>
          <w:rFonts w:hint="eastAsia" w:ascii="仿宋_GB2312"/>
          <w:szCs w:val="32"/>
          <w:shd w:val="clear" w:color="auto" w:fill="FFFFFF"/>
        </w:rPr>
        <w:t>分子1：门诊患者应用中药饮片人次数是指门诊患者在一次诊疗过程中使用散装中药饮片、小包装中药饮片和中药配方颗粒剂的人数。如同日同科同一人同次就诊开具2张以上散装中药饮片处方、小包装中药饮片处方、中药配方颗粒处方，按1人次计算。</w:t>
      </w:r>
    </w:p>
    <w:p>
      <w:pPr>
        <w:spacing w:line="600" w:lineRule="atLeast"/>
        <w:ind w:right="-499" w:rightChars="-156" w:firstLine="640" w:firstLineChars="200"/>
        <w:rPr>
          <w:rFonts w:ascii="仿宋_GB2312"/>
          <w:szCs w:val="32"/>
          <w:shd w:val="clear" w:color="auto" w:fill="FFFFFF"/>
        </w:rPr>
      </w:pPr>
      <w:r>
        <w:rPr>
          <w:rFonts w:hint="eastAsia" w:ascii="仿宋_GB2312"/>
          <w:szCs w:val="32"/>
          <w:shd w:val="clear" w:color="auto" w:fill="FFFFFF"/>
        </w:rPr>
        <w:t>分子2：</w:t>
      </w:r>
      <w:bookmarkStart w:id="14" w:name="_Hlk129866686"/>
      <w:r>
        <w:rPr>
          <w:rFonts w:hint="eastAsia" w:ascii="仿宋_GB2312" w:cs="Arial"/>
          <w:bCs/>
          <w:kern w:val="0"/>
          <w:szCs w:val="32"/>
          <w:shd w:val="clear" w:color="auto" w:fill="FFFFFF"/>
        </w:rPr>
        <w:t>出院患者应用中药饮片人次数是</w:t>
      </w:r>
      <w:bookmarkEnd w:id="14"/>
      <w:r>
        <w:rPr>
          <w:rFonts w:hint="eastAsia" w:ascii="仿宋_GB2312" w:cs="Arial"/>
          <w:bCs/>
          <w:kern w:val="0"/>
          <w:szCs w:val="32"/>
          <w:shd w:val="clear" w:color="auto" w:fill="FFFFFF"/>
        </w:rPr>
        <w:t>指考核年度所有住院后出院患者中使用过中药饮片的人次数。统计</w:t>
      </w:r>
      <w:r>
        <w:rPr>
          <w:rFonts w:hint="eastAsia" w:ascii="仿宋_GB2312"/>
          <w:szCs w:val="32"/>
          <w:shd w:val="clear" w:color="auto" w:fill="FFFFFF"/>
        </w:rPr>
        <w:t>中医住院病案首页住院费用部分“中草药”＞0元的人次数。按出院病历统计。</w:t>
      </w:r>
      <w:r>
        <w:rPr>
          <w:rFonts w:hint="eastAsia" w:ascii="仿宋_GB2312"/>
          <w:bCs/>
          <w:szCs w:val="32"/>
          <w:shd w:val="clear" w:color="auto" w:fill="FFFFFF"/>
        </w:rPr>
        <w:t>一次</w:t>
      </w:r>
      <w:r>
        <w:rPr>
          <w:rFonts w:hint="eastAsia" w:ascii="仿宋_GB2312"/>
          <w:szCs w:val="32"/>
          <w:shd w:val="clear" w:color="auto" w:fill="FFFFFF"/>
        </w:rPr>
        <w:t>住院期间同时采用外用、口服等2种及以上治疗方法而使用中药饮片的，按1人次计算。</w:t>
      </w:r>
    </w:p>
    <w:p>
      <w:pPr>
        <w:spacing w:line="600" w:lineRule="atLeast"/>
        <w:ind w:right="-576" w:rightChars="-180" w:firstLine="640" w:firstLineChars="200"/>
        <w:rPr>
          <w:rFonts w:ascii="仿宋_GB2312"/>
          <w:szCs w:val="32"/>
          <w:shd w:val="clear" w:color="auto" w:fill="FFFFFF"/>
        </w:rPr>
      </w:pPr>
      <w:r>
        <w:rPr>
          <w:rFonts w:hint="eastAsia" w:ascii="仿宋_GB2312"/>
          <w:szCs w:val="32"/>
          <w:shd w:val="clear" w:color="auto" w:fill="FFFFFF"/>
        </w:rPr>
        <w:t>（2）分母</w:t>
      </w:r>
    </w:p>
    <w:p>
      <w:pPr>
        <w:spacing w:line="600" w:lineRule="atLeast"/>
        <w:ind w:right="-576" w:rightChars="-180" w:firstLine="640" w:firstLineChars="200"/>
        <w:rPr>
          <w:rFonts w:ascii="仿宋_GB2312"/>
          <w:szCs w:val="32"/>
          <w:shd w:val="clear" w:color="auto" w:fill="FFFFFF"/>
        </w:rPr>
      </w:pPr>
      <w:r>
        <w:rPr>
          <w:rFonts w:hint="eastAsia" w:ascii="仿宋_GB2312"/>
          <w:szCs w:val="32"/>
          <w:shd w:val="clear" w:color="auto" w:fill="FFFFFF"/>
        </w:rPr>
        <w:t>分母1：门诊总人次数</w:t>
      </w:r>
      <w:r>
        <w:rPr>
          <w:rFonts w:hint="eastAsia" w:ascii="仿宋_GB2312"/>
          <w:szCs w:val="32"/>
          <w:shd w:val="clear" w:color="auto" w:fill="FFFFFF"/>
          <w:vertAlign w:val="superscript"/>
        </w:rPr>
        <w:footnoteReference w:id="9"/>
      </w:r>
      <w:r>
        <w:rPr>
          <w:rFonts w:hint="eastAsia" w:ascii="仿宋_GB2312"/>
          <w:szCs w:val="32"/>
          <w:shd w:val="clear" w:color="auto" w:fill="FFFFFF"/>
        </w:rPr>
        <w:t>仅以门诊挂号数统计。不包括急诊患者、健康体检者、仅核酸检测者。</w:t>
      </w:r>
    </w:p>
    <w:p>
      <w:pPr>
        <w:spacing w:line="600" w:lineRule="atLeast"/>
        <w:ind w:right="-576" w:rightChars="-180" w:firstLine="640" w:firstLineChars="200"/>
        <w:rPr>
          <w:rFonts w:ascii="仿宋_GB2312"/>
          <w:szCs w:val="32"/>
          <w:shd w:val="clear" w:color="auto" w:fill="FFFFFF"/>
        </w:rPr>
      </w:pPr>
      <w:r>
        <w:rPr>
          <w:rFonts w:hint="eastAsia" w:ascii="仿宋_GB2312"/>
          <w:szCs w:val="32"/>
          <w:shd w:val="clear" w:color="auto" w:fill="FFFFFF"/>
        </w:rPr>
        <w:t>分母2：出院患者总人次数</w:t>
      </w:r>
      <w:r>
        <w:rPr>
          <w:rFonts w:hint="eastAsia" w:ascii="仿宋_GB2312"/>
          <w:szCs w:val="32"/>
          <w:shd w:val="clear" w:color="auto" w:fill="FFFFFF"/>
          <w:vertAlign w:val="superscript"/>
        </w:rPr>
        <w:footnoteReference w:id="10"/>
      </w:r>
      <w:r>
        <w:rPr>
          <w:rFonts w:hint="eastAsia" w:ascii="仿宋_GB2312"/>
          <w:szCs w:val="32"/>
          <w:shd w:val="clear" w:color="auto" w:fill="FFFFFF"/>
        </w:rPr>
        <w:t>是指出院人数，即考核年度内所有住院后出院的人数，包括医嘱离院、医嘱转其他医疗机构、非医嘱离院、死亡及其他</w:t>
      </w:r>
      <w:r>
        <w:rPr>
          <w:rFonts w:hint="eastAsia" w:ascii="仿宋_GB2312"/>
          <w:szCs w:val="32"/>
          <w:shd w:val="clear" w:color="auto" w:fill="FFFFFF"/>
          <w:vertAlign w:val="superscript"/>
        </w:rPr>
        <w:footnoteReference w:id="11"/>
      </w:r>
      <w:r>
        <w:rPr>
          <w:rFonts w:hint="eastAsia" w:ascii="仿宋_GB2312"/>
          <w:szCs w:val="32"/>
          <w:shd w:val="clear" w:color="auto" w:fill="FFFFFF"/>
        </w:rPr>
        <w:t>人数，不含家庭病床撤床人数。</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w:t>
      </w:r>
      <w:r>
        <w:rPr>
          <w:rFonts w:ascii="仿宋_GB2312"/>
          <w:szCs w:val="32"/>
          <w:shd w:val="clear" w:color="auto" w:fill="FFFFFF"/>
        </w:rPr>
        <w:t>3</w:t>
      </w:r>
      <w:r>
        <w:rPr>
          <w:rFonts w:hint="eastAsia" w:ascii="仿宋_GB2312"/>
          <w:szCs w:val="32"/>
          <w:shd w:val="clear" w:color="auto" w:fill="FFFFFF"/>
        </w:rPr>
        <w:t>）民族医医院</w:t>
      </w:r>
      <w:r>
        <w:rPr>
          <w:rFonts w:hint="eastAsia" w:ascii="仿宋_GB2312"/>
          <w:szCs w:val="32"/>
          <w:shd w:val="clear" w:color="auto" w:fill="FFFFFF"/>
          <w:vertAlign w:val="superscript"/>
        </w:rPr>
        <w:footnoteReference w:id="12"/>
      </w:r>
      <w:r>
        <w:rPr>
          <w:rFonts w:hint="eastAsia" w:ascii="仿宋_GB2312"/>
          <w:szCs w:val="32"/>
          <w:shd w:val="clear" w:color="auto" w:fill="FFFFFF"/>
        </w:rPr>
        <w:t>本指标考核门诊及出院患者民族药医疗机构制剂和民族药饮片（含原料药、卡嚓药）的使用率。</w:t>
      </w:r>
      <w:r>
        <w:rPr>
          <w:rFonts w:hint="eastAsia" w:ascii="仿宋_GB2312" w:cs="Arial"/>
          <w:bCs/>
          <w:kern w:val="0"/>
          <w:szCs w:val="32"/>
          <w:shd w:val="clear" w:color="auto" w:fill="FFFFFF"/>
        </w:rPr>
        <w:t>出院患者应用中药饮片人次数是</w:t>
      </w:r>
      <w:r>
        <w:rPr>
          <w:rFonts w:hint="eastAsia" w:ascii="仿宋_GB2312"/>
          <w:szCs w:val="32"/>
          <w:shd w:val="clear" w:color="auto" w:fill="FFFFFF"/>
        </w:rPr>
        <w:t>以中医住院病案首页住院费用部分“中草药费”和“医疗机构中药制剂费”&gt;0元的人次数统计。</w:t>
      </w:r>
    </w:p>
    <w:p>
      <w:pPr>
        <w:spacing w:line="600" w:lineRule="atLeast"/>
        <w:ind w:right="48" w:rightChars="15"/>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《关于同步推进公立中医医院综合改革的实施意见》（国中医药医政发〔2015〕33号）明确</w:t>
      </w:r>
      <w:r>
        <w:rPr>
          <w:rFonts w:hint="eastAsia" w:ascii="仿宋_GB2312"/>
          <w:szCs w:val="32"/>
        </w:rPr>
        <w:t>二级中医医院主要是充分利用中医药技术方法和现代科学技术，提供区域内常见病、多发病、慢性病的中医诊疗、急危重症患者的抢救、疑难复杂疾病向上转诊服务</w:t>
      </w:r>
      <w:r>
        <w:rPr>
          <w:rFonts w:hint="eastAsia" w:ascii="仿宋_GB2312"/>
          <w:szCs w:val="32"/>
          <w:shd w:val="clear" w:color="auto" w:fill="FFFFFF"/>
        </w:rPr>
        <w:t>。国务院办公厅《关于印发“十四五”中医药发展规划的通知》（国办发〔2022〕</w:t>
      </w:r>
      <w:r>
        <w:rPr>
          <w:rFonts w:ascii="仿宋_GB2312"/>
          <w:szCs w:val="32"/>
          <w:shd w:val="clear" w:color="auto" w:fill="FFFFFF"/>
        </w:rPr>
        <w:t>5</w:t>
      </w:r>
      <w:r>
        <w:rPr>
          <w:rFonts w:hint="eastAsia" w:ascii="仿宋_GB2312"/>
          <w:szCs w:val="32"/>
          <w:shd w:val="clear" w:color="auto" w:fill="FFFFFF"/>
        </w:rPr>
        <w:t>号）指出“加强少数民族医医院制剂能力建设”。散装中药饮片、小包装中药饮片、中药配方颗粒剂使用率反映了临床医师运用中医临床诊疗思维、辨证施治的情况，体现医院提供的全程中医药服务，也是中医医院评审、中医重点专科、中医优势专科等评价中医药特色服务的核心指标之一。</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szCs w:val="32"/>
          <w:shd w:val="clear" w:color="auto" w:fill="FFFFFF"/>
        </w:rPr>
        <w:t>指标导向</w:t>
      </w:r>
      <w:r>
        <w:rPr>
          <w:rFonts w:hint="eastAsia" w:ascii="仿宋_GB2312"/>
          <w:bCs/>
          <w:szCs w:val="32"/>
          <w:shd w:val="clear" w:color="auto" w:fill="FFFFFF"/>
        </w:rPr>
        <w:t>】逐步提高。</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数据来源</w:t>
      </w:r>
      <w:r>
        <w:rPr>
          <w:rFonts w:hint="eastAsia" w:ascii="仿宋_GB2312"/>
          <w:szCs w:val="32"/>
          <w:shd w:val="clear" w:color="auto" w:fill="FFFFFF"/>
        </w:rPr>
        <w:t>】医院填报、中医病案首页。</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】省级中医药主管部门、中国中医科学院。</w:t>
      </w:r>
    </w:p>
    <w:p>
      <w:pPr>
        <w:widowControl/>
        <w:jc w:val="left"/>
        <w:rPr>
          <w:rFonts w:eastAsia="仿宋"/>
          <w:b/>
          <w:szCs w:val="32"/>
          <w:shd w:val="clear" w:color="auto" w:fill="FFFFFF"/>
        </w:rPr>
      </w:pPr>
      <w:r>
        <w:rPr>
          <w:rFonts w:eastAsia="仿宋"/>
          <w:b/>
          <w:szCs w:val="32"/>
          <w:shd w:val="clear" w:color="auto" w:fill="FFFFFF"/>
        </w:rPr>
        <w:br w:type="page"/>
      </w:r>
    </w:p>
    <w:p>
      <w:pPr>
        <w:spacing w:line="600" w:lineRule="atLeast"/>
        <w:ind w:right="-1596" w:rightChars="-499"/>
        <w:rPr>
          <w:rFonts w:ascii="仿宋_GB2312"/>
          <w:b/>
          <w:szCs w:val="32"/>
          <w:shd w:val="clear" w:color="auto" w:fill="FFFFFF"/>
        </w:rPr>
      </w:pPr>
      <w:r>
        <w:rPr>
          <w:rFonts w:ascii="仿宋_GB2312"/>
          <w:b/>
          <w:szCs w:val="32"/>
          <w:shd w:val="clear" w:color="auto" w:fill="FFFFFF"/>
        </w:rPr>
        <w:t>4</w:t>
      </w:r>
      <w:r>
        <w:rPr>
          <w:rFonts w:hint="eastAsia" w:ascii="仿宋_GB2312"/>
          <w:b/>
          <w:szCs w:val="32"/>
          <w:shd w:val="clear" w:color="auto" w:fill="FFFFFF"/>
        </w:rPr>
        <w:t>.中医非药物疗法使用比例▲</w:t>
      </w:r>
    </w:p>
    <w:p>
      <w:pPr>
        <w:spacing w:line="600" w:lineRule="atLeast"/>
        <w:ind w:right="-499" w:rightChars="-156"/>
        <w:rPr>
          <w:rFonts w:ascii="仿宋_GB2312"/>
          <w:kern w:val="0"/>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adjustRightInd w:val="0"/>
        <w:spacing w:line="600" w:lineRule="atLeast"/>
        <w:ind w:firstLine="640" w:firstLineChars="200"/>
        <w:jc w:val="left"/>
        <w:rPr>
          <w:rFonts w:ascii="仿宋_GB2312"/>
          <w:kern w:val="0"/>
          <w:szCs w:val="32"/>
          <w:shd w:val="clear" w:color="auto" w:fill="FFFFFF"/>
        </w:rPr>
      </w:pPr>
      <w:r>
        <w:rPr>
          <w:rFonts w:hint="eastAsia" w:ascii="仿宋_GB2312"/>
          <w:kern w:val="0"/>
          <w:szCs w:val="32"/>
          <w:shd w:val="clear" w:color="auto" w:fill="FFFFFF"/>
        </w:rPr>
        <w:t>中医非药物疗法使用比例由门诊和住院两部分构成：</w:t>
      </w:r>
    </w:p>
    <w:p>
      <w:pPr>
        <w:adjustRightInd w:val="0"/>
        <w:spacing w:line="600" w:lineRule="atLeast"/>
        <w:ind w:firstLine="640" w:firstLineChars="200"/>
        <w:jc w:val="left"/>
        <w:rPr>
          <w:rFonts w:ascii="仿宋_GB2312"/>
          <w:kern w:val="0"/>
          <w:szCs w:val="32"/>
          <w:shd w:val="clear" w:color="auto" w:fill="FFFFFF"/>
        </w:rPr>
      </w:pPr>
      <w:r>
        <w:rPr>
          <w:rFonts w:hint="eastAsia" w:ascii="仿宋_GB2312"/>
          <w:kern w:val="0"/>
          <w:szCs w:val="32"/>
          <w:shd w:val="clear" w:color="auto" w:fill="FFFFFF"/>
        </w:rPr>
        <w:t>（1）考核年度门诊患者中使用中医非药物疗法诊疗总人次数（按挂号人次数</w:t>
      </w:r>
      <w:r>
        <w:rPr>
          <w:rFonts w:ascii="仿宋_GB2312"/>
          <w:kern w:val="0"/>
          <w:szCs w:val="32"/>
          <w:shd w:val="clear" w:color="auto" w:fill="FFFFFF"/>
        </w:rPr>
        <w:t>统</w:t>
      </w:r>
      <w:r>
        <w:rPr>
          <w:rFonts w:hint="eastAsia" w:ascii="仿宋_GB2312"/>
          <w:kern w:val="0"/>
          <w:szCs w:val="32"/>
          <w:shd w:val="clear" w:color="auto" w:fill="FFFFFF"/>
        </w:rPr>
        <w:t>计）占同期门诊总人次数的比例。</w:t>
      </w:r>
    </w:p>
    <w:p>
      <w:pPr>
        <w:adjustRightInd w:val="0"/>
        <w:spacing w:line="600" w:lineRule="atLeast"/>
        <w:ind w:firstLine="640" w:firstLineChars="200"/>
        <w:rPr>
          <w:rFonts w:ascii="仿宋_GB2312"/>
          <w:kern w:val="0"/>
          <w:szCs w:val="32"/>
          <w:shd w:val="clear" w:color="auto" w:fill="FFFFFF"/>
        </w:rPr>
      </w:pPr>
      <w:r>
        <w:rPr>
          <w:rFonts w:hint="eastAsia" w:ascii="仿宋_GB2312"/>
          <w:kern w:val="0"/>
          <w:szCs w:val="32"/>
          <w:shd w:val="clear" w:color="auto" w:fill="FFFFFF"/>
        </w:rPr>
        <w:t>（2）考核年度所有住院后出院患者中使用过中医非药物疗法的人次数占同期出院患者总人次数的比例。</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1596" w:rightChars="-499"/>
        <w:rPr>
          <w:rFonts w:ascii="仿宋_GB2312" w:eastAsiaTheme="minorEastAsia"/>
          <w:szCs w:val="32"/>
          <w:shd w:val="clear" w:color="auto" w:fill="FFFFFF"/>
        </w:rPr>
      </w:pPr>
      <m:oMathPara>
        <m:oMath>
          <m:d>
            <m:dPr>
              <m:begChr m:val="（"/>
              <m:endChr m:val="）"/>
              <m:ctrlPr>
                <w:rPr>
                  <w:rFonts w:ascii="Cambria Math" w:hAnsi="Cambria Math" w:eastAsia="黑体"/>
                  <w:sz w:val="24"/>
                  <w:shd w:val="clear" w:color="auto" w:fill="FFFFFF"/>
                </w:rPr>
              </m:ctrlPr>
            </m:dPr>
            <m:e>
              <m:r>
                <m:rPr>
                  <m:sty m:val="p"/>
                </m:rPr>
                <w:rPr>
                  <w:rFonts w:hint="eastAsia" w:ascii="Cambria Math" w:hAnsi="Cambria Math" w:eastAsia="黑体"/>
                  <w:sz w:val="24"/>
                  <w:shd w:val="clear" w:color="auto" w:fill="FFFFFF"/>
                </w:rPr>
                <m:t>1</m:t>
              </m:r>
              <m:ctrlPr>
                <w:rPr>
                  <w:rFonts w:ascii="Cambria Math" w:hAnsi="Cambria Math" w:eastAsia="黑体"/>
                  <w:sz w:val="24"/>
                  <w:shd w:val="clear" w:color="auto" w:fill="FFFFFF"/>
                </w:rPr>
              </m:ctrlPr>
            </m:e>
          </m:d>
          <m:r>
            <m:rPr>
              <m:sty m:val="b"/>
            </m:rPr>
            <w:rPr>
              <w:rFonts w:hint="eastAsia" w:ascii="Cambria Math" w:hAnsi="Cambria Math"/>
              <w:sz w:val="24"/>
              <w:shd w:val="clear" w:color="auto" w:fill="FFFFFF"/>
            </w:rPr>
            <m:t>门诊患者使用中医非药物疗法比例</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门诊患者使用中医非药物疗法总人次数</m:t>
              </m:r>
              <m:ctrlPr>
                <w:rPr>
                  <w:rFonts w:ascii="Cambria Math" w:hAnsi="黑体"/>
                  <w:b/>
                  <w:sz w:val="24"/>
                  <w:shd w:val="clear" w:color="auto" w:fill="FFFFFF"/>
                </w:rPr>
              </m:ctrlPr>
            </m:num>
            <m:den>
              <m:r>
                <m:rPr>
                  <m:sty m:val="p"/>
                </m:rPr>
                <w:rPr>
                  <w:rFonts w:hint="eastAsia" w:ascii="Cambria Math" w:hAnsi="Cambria Math"/>
                  <w:sz w:val="24"/>
                  <w:shd w:val="clear" w:color="auto" w:fill="FFFFFF"/>
                </w:rPr>
                <m:t>同期门诊总人次数</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1596" w:rightChars="-499"/>
        <w:rPr>
          <w:rFonts w:ascii="仿宋_GB2312" w:eastAsiaTheme="minorEastAsia"/>
          <w:szCs w:val="32"/>
          <w:shd w:val="clear" w:color="auto" w:fill="FFFFFF"/>
        </w:rPr>
      </w:pPr>
      <m:oMathPara>
        <m:oMath>
          <m:d>
            <m:dPr>
              <m:begChr m:val="（"/>
              <m:endChr m:val="）"/>
              <m:ctrlPr>
                <w:rPr>
                  <w:rFonts w:ascii="Cambria Math" w:hAnsi="Cambria Math"/>
                  <w:kern w:val="0"/>
                  <w:sz w:val="24"/>
                  <w:shd w:val="clear" w:color="auto" w:fill="FFFFFF"/>
                </w:rPr>
              </m:ctrlPr>
            </m:dPr>
            <m:e>
              <m:r>
                <m:rPr>
                  <m:sty m:val="p"/>
                </m:rPr>
                <w:rPr>
                  <w:rFonts w:hint="eastAsia" w:ascii="Cambria Math" w:hAnsi="Cambria Math"/>
                  <w:kern w:val="0"/>
                  <w:sz w:val="24"/>
                  <w:shd w:val="clear" w:color="auto" w:fill="FFFFFF"/>
                </w:rPr>
                <m:t>2</m:t>
              </m:r>
              <m:ctrlPr>
                <w:rPr>
                  <w:rFonts w:ascii="Cambria Math" w:hAnsi="Cambria Math"/>
                  <w:kern w:val="0"/>
                  <w:sz w:val="24"/>
                  <w:shd w:val="clear" w:color="auto" w:fill="FFFFFF"/>
                </w:rPr>
              </m:ctrlPr>
            </m:e>
          </m:d>
          <m:r>
            <m:rPr>
              <m:sty m:val="b"/>
            </m:rPr>
            <w:rPr>
              <w:rFonts w:hint="eastAsia" w:ascii="Cambria Math" w:hAnsi="Cambria Math"/>
              <w:kern w:val="0"/>
              <w:sz w:val="24"/>
              <w:shd w:val="clear" w:color="auto" w:fill="FFFFFF"/>
            </w:rPr>
            <m:t>出院患者使用中医非药物疗法比例</m:t>
          </m:r>
          <m:r>
            <m:rPr>
              <m:sty m:val="b"/>
            </m:rPr>
            <w:rPr>
              <w:rFonts w:ascii="Cambria Math" w:hAnsi="黑体"/>
              <w:kern w:val="0"/>
              <w:sz w:val="24"/>
              <w:shd w:val="clear" w:color="auto" w:fill="FFFFFF"/>
            </w:rPr>
            <m:t>=</m:t>
          </m:r>
          <m:f>
            <m:fPr>
              <m:ctrlPr>
                <w:rPr>
                  <w:rFonts w:ascii="Cambria Math" w:hAnsi="黑体"/>
                  <w:b/>
                  <w:kern w:val="0"/>
                  <w:sz w:val="24"/>
                  <w:shd w:val="clear" w:color="auto" w:fill="FFFFFF"/>
                </w:rPr>
              </m:ctrlPr>
            </m:fPr>
            <m:num>
              <m:r>
                <m:rPr>
                  <m:sty m:val="p"/>
                </m:rPr>
                <w:rPr>
                  <w:rFonts w:hint="eastAsia" w:ascii="Cambria Math" w:hAnsi="Cambria Math"/>
                  <w:kern w:val="0"/>
                  <w:sz w:val="24"/>
                  <w:shd w:val="clear" w:color="auto" w:fill="FFFFFF"/>
                </w:rPr>
                <m:t>出院患者使用过中医非药物疗法的人次数</m:t>
              </m:r>
              <m:ctrlPr>
                <w:rPr>
                  <w:rFonts w:ascii="Cambria Math" w:hAnsi="黑体"/>
                  <w:b/>
                  <w:kern w:val="0"/>
                  <w:sz w:val="24"/>
                  <w:shd w:val="clear" w:color="auto" w:fill="FFFFFF"/>
                </w:rPr>
              </m:ctrlPr>
            </m:num>
            <m:den>
              <m:r>
                <m:rPr>
                  <m:sty m:val="p"/>
                </m:rPr>
                <w:rPr>
                  <w:rFonts w:hint="eastAsia" w:ascii="Cambria Math" w:hAnsi="Cambria Math"/>
                  <w:kern w:val="0"/>
                  <w:sz w:val="24"/>
                  <w:shd w:val="clear" w:color="auto" w:fill="FFFFFF"/>
                </w:rPr>
                <m:t>同期出院患者总人次数</m:t>
              </m:r>
              <m:ctrlPr>
                <w:rPr>
                  <w:rFonts w:ascii="Cambria Math" w:hAnsi="黑体"/>
                  <w:b/>
                  <w:kern w:val="0"/>
                  <w:sz w:val="24"/>
                  <w:shd w:val="clear" w:color="auto" w:fill="FFFFFF"/>
                </w:rPr>
              </m:ctrlPr>
            </m:den>
          </m:f>
          <m:r>
            <m:rPr>
              <m:sty m:val="p"/>
            </m:rPr>
            <w:rPr>
              <w:rFonts w:hint="eastAsia" w:ascii="Cambria Math" w:hAnsi="Cambria Math"/>
              <w:kern w:val="0"/>
              <w:sz w:val="24"/>
              <w:shd w:val="clear" w:color="auto" w:fill="FFFFFF"/>
            </w:rPr>
            <m:t>×100%</m:t>
          </m:r>
          <m:r>
            <m:rPr>
              <m:sty m:val="p"/>
            </m:rPr>
            <w:rPr>
              <w:rFonts w:ascii="Cambria Math" w:hAnsi="Cambria Math"/>
              <w:kern w:val="0"/>
              <w:sz w:val="24"/>
              <w:shd w:val="clear" w:color="auto" w:fill="FFFFFF"/>
            </w:rPr>
            <m:t xml:space="preserve">      </m:t>
          </m:r>
        </m:oMath>
      </m:oMathPara>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（1）分子</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分子1：门诊中医非药物</w:t>
      </w:r>
      <w:r>
        <w:rPr>
          <w:rFonts w:hint="eastAsia" w:ascii="仿宋_GB2312"/>
          <w:szCs w:val="32"/>
          <w:shd w:val="clear" w:color="auto" w:fill="FFFFFF"/>
          <w:vertAlign w:val="superscript"/>
        </w:rPr>
        <w:footnoteReference w:id="13"/>
      </w:r>
      <w:r>
        <w:rPr>
          <w:rFonts w:hint="eastAsia" w:ascii="仿宋_GB2312"/>
          <w:szCs w:val="32"/>
          <w:shd w:val="clear" w:color="auto" w:fill="FFFFFF"/>
        </w:rPr>
        <w:t>疗法总人次数是指门诊接受中医非药物疗法诊疗的人次总数（按挂号人次统计）。如门诊患者同日同科（一个号）同一人接受2种及以上中医非药物疗法的，按1人次计算。</w:t>
      </w:r>
    </w:p>
    <w:p>
      <w:pPr>
        <w:widowControl/>
        <w:shd w:val="clear" w:color="auto" w:fill="FFFFFF"/>
        <w:spacing w:line="600" w:lineRule="atLeast"/>
        <w:ind w:firstLine="640" w:firstLineChars="200"/>
        <w:rPr>
          <w:rFonts w:ascii="仿宋_GB2312"/>
          <w:szCs w:val="32"/>
          <w:shd w:val="clear" w:color="auto" w:fill="FFFFFF"/>
        </w:rPr>
      </w:pPr>
      <w:r>
        <w:rPr>
          <w:rFonts w:hint="eastAsia" w:ascii="仿宋_GB2312" w:cs="Arial"/>
          <w:bCs/>
          <w:kern w:val="0"/>
          <w:szCs w:val="32"/>
          <w:shd w:val="clear" w:color="auto" w:fill="FFFFFF"/>
        </w:rPr>
        <w:t>分子2：出院患者使用中医非药物疗法人次数是指考核年度所有住院后出院患者中使用中医非药物疗法的人次数。以中医</w:t>
      </w:r>
      <w:r>
        <w:rPr>
          <w:rFonts w:hint="eastAsia" w:ascii="仿宋_GB2312"/>
          <w:szCs w:val="32"/>
          <w:shd w:val="clear" w:color="auto" w:fill="FFFFFF"/>
        </w:rPr>
        <w:t>住院病案首页住院费用部分的中医治疗费用</w:t>
      </w:r>
      <w:r>
        <w:rPr>
          <w:rFonts w:hint="eastAsia" w:ascii="仿宋_GB2312"/>
          <w:szCs w:val="32"/>
          <w:shd w:val="clear" w:color="auto" w:fill="FFFFFF"/>
          <w:vertAlign w:val="superscript"/>
        </w:rPr>
        <w:footnoteReference w:id="14"/>
      </w:r>
      <w:r>
        <w:rPr>
          <w:rFonts w:hint="eastAsia" w:ascii="仿宋_GB2312"/>
          <w:szCs w:val="32"/>
          <w:shd w:val="clear" w:color="auto" w:fill="FFFFFF"/>
        </w:rPr>
        <w:t>＞0元的人次数统计。按出院病历统计。</w:t>
      </w:r>
      <w:r>
        <w:rPr>
          <w:rFonts w:hint="eastAsia" w:ascii="仿宋_GB2312"/>
          <w:bCs/>
          <w:szCs w:val="32"/>
          <w:shd w:val="clear" w:color="auto" w:fill="FFFFFF"/>
        </w:rPr>
        <w:t>一次</w:t>
      </w:r>
      <w:r>
        <w:rPr>
          <w:rFonts w:hint="eastAsia" w:ascii="仿宋_GB2312"/>
          <w:szCs w:val="32"/>
          <w:shd w:val="clear" w:color="auto" w:fill="FFFFFF"/>
        </w:rPr>
        <w:t>住院期间同时使用2种及以上中医非药物疗法的，按1人次计算。</w:t>
      </w:r>
    </w:p>
    <w:p>
      <w:pPr>
        <w:widowControl/>
        <w:shd w:val="clear" w:color="auto" w:fill="FFFFFF"/>
        <w:spacing w:line="600" w:lineRule="atLeast"/>
        <w:ind w:right="48" w:rightChars="15" w:firstLine="640" w:firstLineChars="200"/>
        <w:jc w:val="left"/>
        <w:rPr>
          <w:rFonts w:ascii="仿宋_GB2312"/>
          <w:szCs w:val="32"/>
          <w:shd w:val="clear" w:color="auto" w:fill="FFFFFF"/>
        </w:rPr>
      </w:pPr>
      <w:r>
        <w:rPr>
          <w:rFonts w:hint="eastAsia" w:ascii="仿宋_GB2312"/>
          <w:szCs w:val="32"/>
          <w:shd w:val="clear" w:color="auto" w:fill="FFFFFF"/>
        </w:rPr>
        <w:t>（2）分母</w:t>
      </w:r>
    </w:p>
    <w:p>
      <w:pPr>
        <w:widowControl/>
        <w:shd w:val="clear" w:color="auto" w:fill="FFFFFF"/>
        <w:spacing w:line="600" w:lineRule="atLeast"/>
        <w:ind w:right="48" w:rightChars="15" w:firstLine="640" w:firstLineChars="200"/>
        <w:jc w:val="left"/>
        <w:rPr>
          <w:rFonts w:ascii="仿宋_GB2312"/>
          <w:szCs w:val="32"/>
          <w:shd w:val="clear" w:color="auto" w:fill="FFFFFF"/>
        </w:rPr>
      </w:pPr>
      <w:r>
        <w:rPr>
          <w:rFonts w:hint="eastAsia" w:ascii="仿宋_GB2312"/>
          <w:szCs w:val="32"/>
          <w:shd w:val="clear" w:color="auto" w:fill="FFFFFF"/>
        </w:rPr>
        <w:t>分母1：门诊总人次数</w:t>
      </w:r>
      <w:r>
        <w:rPr>
          <w:rFonts w:hint="eastAsia" w:ascii="仿宋_GB2312"/>
          <w:szCs w:val="32"/>
          <w:shd w:val="clear" w:color="auto" w:fill="FFFFFF"/>
          <w:vertAlign w:val="superscript"/>
        </w:rPr>
        <w:footnoteReference w:id="15"/>
      </w:r>
      <w:r>
        <w:rPr>
          <w:rFonts w:hint="eastAsia" w:ascii="仿宋_GB2312"/>
          <w:szCs w:val="32"/>
          <w:shd w:val="clear" w:color="auto" w:fill="FFFFFF"/>
        </w:rPr>
        <w:t>按门诊挂号数统计。不包括急诊患者、健康体检者、仅核酸检测者。</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分母2：出院患者总人次数是指出院人数，即考核年度内所有住院后出院的人数，包括医嘱离院、医嘱转其他医疗机构、非医嘱离院、死亡及其他人数。不含家庭病床撤床人数。</w:t>
      </w:r>
    </w:p>
    <w:p>
      <w:pPr>
        <w:spacing w:line="590" w:lineRule="exact"/>
        <w:ind w:right="-499" w:rightChars="-156"/>
        <w:jc w:val="left"/>
        <w:rPr>
          <w:rFonts w:ascii="仿宋_GB2312"/>
          <w:b/>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spacing w:line="590" w:lineRule="exact"/>
        <w:ind w:firstLine="640" w:firstLineChars="200"/>
        <w:rPr>
          <w:rFonts w:ascii="仿宋_GB2312"/>
          <w:kern w:val="0"/>
          <w:szCs w:val="32"/>
          <w:shd w:val="clear" w:color="auto" w:fill="FFFFFF"/>
        </w:rPr>
      </w:pPr>
      <w:r>
        <w:rPr>
          <w:rFonts w:hint="eastAsia" w:ascii="仿宋_GB2312"/>
          <w:kern w:val="0"/>
          <w:szCs w:val="32"/>
          <w:shd w:val="clear" w:color="auto" w:fill="FFFFFF"/>
        </w:rPr>
        <w:t>《中华人民共和国中医药法》（中华人民共和国主席令第59号）明确“开展中医药服务，应当以中医药理论为指导，运用中医药技术方法”。《中共中央 国务院关于促进中医药传承创新发展的意见》</w:t>
      </w:r>
      <w:r>
        <w:rPr>
          <w:rFonts w:hint="eastAsia" w:ascii="仿宋_GB2312" w:cs="Arial"/>
          <w:szCs w:val="32"/>
          <w:shd w:val="clear" w:color="auto" w:fill="FFFFFF"/>
        </w:rPr>
        <w:t>（中发办〔2019〕</w:t>
      </w:r>
      <w:r>
        <w:rPr>
          <w:rFonts w:ascii="仿宋_GB2312" w:cs="Arial"/>
          <w:szCs w:val="32"/>
          <w:shd w:val="clear" w:color="auto" w:fill="FFFFFF"/>
        </w:rPr>
        <w:t>43</w:t>
      </w:r>
      <w:r>
        <w:rPr>
          <w:rFonts w:hint="eastAsia" w:ascii="仿宋_GB2312" w:cs="Arial"/>
          <w:szCs w:val="32"/>
          <w:shd w:val="clear" w:color="auto" w:fill="FFFFFF"/>
        </w:rPr>
        <w:t>号）</w:t>
      </w:r>
      <w:r>
        <w:rPr>
          <w:rFonts w:hint="eastAsia" w:ascii="仿宋_GB2312"/>
          <w:kern w:val="0"/>
          <w:szCs w:val="32"/>
          <w:shd w:val="clear" w:color="auto" w:fill="FFFFFF"/>
        </w:rPr>
        <w:t>提出“加快中医药循证医学中心建设，用3年左右时间，筛选50个中医治疗优势病种和100项适宜技术、100个疗效独特的中药品种，及时向社会发布”、“制定中医药典籍、技术和方药名录”、“加强中医医院康复科建设，在其他医院推广中医康复技术”。《中医药发展战略规划纲要（2016—2030年）》（国发〔2016〕15号）、国务院办公厅《关于</w:t>
      </w:r>
      <w:r>
        <w:rPr>
          <w:rFonts w:hint="eastAsia" w:ascii="仿宋_GB2312"/>
          <w:szCs w:val="32"/>
          <w:shd w:val="clear" w:color="auto" w:fill="FFFFFF"/>
        </w:rPr>
        <w:t>印发“十四五”中医药发展规划的通知》（国办发〔2022〕</w:t>
      </w:r>
      <w:r>
        <w:rPr>
          <w:rFonts w:ascii="仿宋_GB2312"/>
          <w:szCs w:val="32"/>
          <w:shd w:val="clear" w:color="auto" w:fill="FFFFFF"/>
        </w:rPr>
        <w:t>5</w:t>
      </w:r>
      <w:r>
        <w:rPr>
          <w:rFonts w:hint="eastAsia" w:ascii="仿宋_GB2312"/>
          <w:szCs w:val="32"/>
          <w:shd w:val="clear" w:color="auto" w:fill="FFFFFF"/>
        </w:rPr>
        <w:t>号）均</w:t>
      </w:r>
      <w:r>
        <w:rPr>
          <w:rFonts w:hint="eastAsia" w:ascii="仿宋_GB2312"/>
          <w:kern w:val="0"/>
          <w:szCs w:val="32"/>
          <w:shd w:val="clear" w:color="auto" w:fill="FFFFFF"/>
        </w:rPr>
        <w:t>提出“大力发展中医非药物疗法，充分发挥其在常见病、多发病和慢性病防治中的独特作用。”国家中医药管理局《关于中医医院加强中医综合治疗的通知》（国中医药政发〔2013〕37号）明确：中医非药物疗法是在中医理论指导下，根据患者的具体情况、疾病不同阶段，合理地选择多样化的中医治疗技术、手段和方法，融药物和非药物于一体的综合治疗手段，以及注重从整体观出发，采取个性化辨证论治的治疗方式，可以最大限度地发挥中医整体治疗优势，提高中医临床疗效，缩短病程，提高生存质量。门诊和住院患者使用中医非药物疗法比例体现医院应用中医医疗技术的能力，也是中医医院评审、中医重点专科、中医优势专科评价中体现中医药特色的核心指标之一。</w:t>
      </w:r>
    </w:p>
    <w:p>
      <w:pPr>
        <w:spacing w:line="590" w:lineRule="exac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指标导向</w:t>
      </w:r>
      <w:r>
        <w:rPr>
          <w:rFonts w:hint="eastAsia" w:ascii="仿宋_GB2312"/>
          <w:szCs w:val="32"/>
          <w:shd w:val="clear" w:color="auto" w:fill="FFFFFF"/>
        </w:rPr>
        <w:t>】逐步提高。</w:t>
      </w:r>
    </w:p>
    <w:p>
      <w:pPr>
        <w:spacing w:line="590" w:lineRule="exac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指标来源</w:t>
      </w:r>
      <w:r>
        <w:rPr>
          <w:rFonts w:hint="eastAsia" w:ascii="仿宋_GB2312"/>
          <w:szCs w:val="32"/>
          <w:shd w:val="clear" w:color="auto" w:fill="FFFFFF"/>
        </w:rPr>
        <w:t>】</w:t>
      </w:r>
      <w:r>
        <w:rPr>
          <w:rFonts w:hint="eastAsia" w:ascii="仿宋_GB2312"/>
          <w:kern w:val="0"/>
          <w:szCs w:val="32"/>
          <w:shd w:val="clear" w:color="auto" w:fill="FFFFFF"/>
        </w:rPr>
        <w:t>医院填报、中医病案首页。</w:t>
      </w:r>
    </w:p>
    <w:p>
      <w:pPr>
        <w:spacing w:line="590" w:lineRule="exac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】省级中医药主管部门、中国中医科学院。</w:t>
      </w:r>
    </w:p>
    <w:p>
      <w:pPr>
        <w:spacing w:line="600" w:lineRule="exact"/>
        <w:ind w:right="-499" w:rightChars="-156"/>
        <w:rPr>
          <w:rFonts w:eastAsia="仿宋"/>
          <w:b/>
          <w:szCs w:val="32"/>
          <w:shd w:val="clear" w:color="auto" w:fill="FFFFFF"/>
        </w:rPr>
      </w:pPr>
      <w:r>
        <w:rPr>
          <w:szCs w:val="32"/>
          <w:shd w:val="clear" w:color="auto" w:fill="FFFFFF"/>
        </w:rPr>
        <w:br w:type="page"/>
      </w:r>
    </w:p>
    <w:p>
      <w:pPr>
        <w:spacing w:line="600" w:lineRule="atLeast"/>
        <w:ind w:right="-1596" w:rightChars="-499"/>
        <w:rPr>
          <w:rFonts w:ascii="仿宋_GB2312"/>
          <w:b/>
          <w:szCs w:val="32"/>
          <w:shd w:val="clear" w:color="auto" w:fill="FFFFFF"/>
        </w:rPr>
      </w:pPr>
      <w:r>
        <w:rPr>
          <w:rFonts w:ascii="仿宋_GB2312"/>
          <w:b/>
          <w:szCs w:val="32"/>
          <w:shd w:val="clear" w:color="auto" w:fill="FFFFFF"/>
        </w:rPr>
        <w:t>5</w:t>
      </w:r>
      <w:r>
        <w:rPr>
          <w:rFonts w:hint="eastAsia" w:ascii="仿宋_GB2312"/>
          <w:b/>
          <w:szCs w:val="32"/>
          <w:shd w:val="clear" w:color="auto" w:fill="FFFFFF"/>
        </w:rPr>
        <w:t>.以中医为主治疗的出院患者比例▲</w:t>
      </w:r>
    </w:p>
    <w:p>
      <w:pPr>
        <w:spacing w:line="600" w:lineRule="atLeast"/>
        <w:ind w:right="-499" w:rightChars="-156"/>
        <w:rPr>
          <w:rFonts w:ascii="仿宋_GB2312"/>
          <w:kern w:val="0"/>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spacing w:line="600" w:lineRule="atLeast"/>
        <w:ind w:firstLine="640" w:firstLineChars="200"/>
        <w:rPr>
          <w:rFonts w:ascii="仿宋_GB2312"/>
          <w:szCs w:val="32"/>
          <w:shd w:val="clear" w:color="auto" w:fill="FFFFFF"/>
        </w:rPr>
      </w:pPr>
      <w:r>
        <w:rPr>
          <w:rFonts w:hint="eastAsia" w:ascii="仿宋_GB2312"/>
          <w:kern w:val="0"/>
          <w:szCs w:val="32"/>
          <w:shd w:val="clear" w:color="auto" w:fill="FFFFFF"/>
        </w:rPr>
        <w:t>考核年度</w:t>
      </w:r>
      <w:r>
        <w:rPr>
          <w:rFonts w:hint="eastAsia" w:ascii="仿宋_GB2312"/>
          <w:szCs w:val="32"/>
          <w:shd w:val="clear" w:color="auto" w:fill="FFFFFF"/>
        </w:rPr>
        <w:t>以中医为主治疗的出院患者人次数占同期出院患者总人次数的比例。</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1596" w:rightChars="-499"/>
        <w:rPr>
          <w:rFonts w:ascii="仿宋_GB2312" w:eastAsiaTheme="minorEastAsia"/>
          <w:szCs w:val="32"/>
          <w:shd w:val="clear" w:color="auto" w:fill="FFFFFF"/>
        </w:rPr>
      </w:pPr>
      <m:oMathPara>
        <m:oMathParaPr>
          <m:jc m:val="left"/>
        </m:oMathParaPr>
        <m:oMath>
          <m:r>
            <m:rPr>
              <m:sty m:val="b"/>
            </m:rPr>
            <w:rPr>
              <w:rFonts w:hint="eastAsia" w:ascii="Cambria Math" w:hAnsi="Cambria Math"/>
              <w:kern w:val="0"/>
              <w:sz w:val="24"/>
              <w:shd w:val="clear" w:color="auto" w:fill="FFFFFF"/>
            </w:rPr>
            <m:t>（</m:t>
          </m:r>
          <m:r>
            <m:rPr>
              <m:sty m:val="b"/>
            </m:rPr>
            <w:rPr>
              <w:rFonts w:ascii="Cambria Math" w:hAnsi="Cambria Math"/>
              <w:kern w:val="0"/>
              <w:sz w:val="24"/>
              <w:shd w:val="clear" w:color="auto" w:fill="FFFFFF"/>
            </w:rPr>
            <m:t>1</m:t>
          </m:r>
          <m:r>
            <m:rPr>
              <m:sty m:val="b"/>
            </m:rPr>
            <w:rPr>
              <w:rFonts w:hint="eastAsia" w:ascii="Cambria Math" w:hAnsi="Cambria Math"/>
              <w:kern w:val="0"/>
              <w:sz w:val="24"/>
              <w:shd w:val="clear" w:color="auto" w:fill="FFFFFF"/>
            </w:rPr>
            <m:t>）出院患者的中医药治疗费用比例</m:t>
          </m:r>
          <m:r>
            <m:rPr>
              <m:sty m:val="b"/>
            </m:rPr>
            <w:rPr>
              <w:rFonts w:ascii="Cambria Math" w:hAnsi="黑体"/>
              <w:kern w:val="0"/>
              <w:sz w:val="24"/>
              <w:shd w:val="clear" w:color="auto" w:fill="FFFFFF"/>
            </w:rPr>
            <m:t>=</m:t>
          </m:r>
          <m:f>
            <m:fPr>
              <m:ctrlPr>
                <w:rPr>
                  <w:rFonts w:ascii="Cambria Math" w:hAnsi="黑体"/>
                  <w:b/>
                  <w:kern w:val="0"/>
                  <w:sz w:val="24"/>
                  <w:shd w:val="clear" w:color="auto" w:fill="FFFFFF"/>
                </w:rPr>
              </m:ctrlPr>
            </m:fPr>
            <m:num>
              <m:r>
                <m:rPr>
                  <m:sty m:val="p"/>
                </m:rPr>
                <w:rPr>
                  <w:rFonts w:hint="eastAsia" w:ascii="Cambria Math" w:hAnsi="Cambria Math"/>
                  <w:kern w:val="0"/>
                  <w:sz w:val="24"/>
                  <w:shd w:val="clear" w:color="auto" w:fill="FFFFFF"/>
                </w:rPr>
                <m:t>中医药治疗费用</m:t>
              </m:r>
              <m:ctrlPr>
                <w:rPr>
                  <w:rFonts w:ascii="Cambria Math" w:hAnsi="黑体"/>
                  <w:b/>
                  <w:kern w:val="0"/>
                  <w:sz w:val="24"/>
                  <w:shd w:val="clear" w:color="auto" w:fill="FFFFFF"/>
                </w:rPr>
              </m:ctrlPr>
            </m:num>
            <m:den>
              <m:r>
                <m:rPr>
                  <m:sty m:val="p"/>
                </m:rPr>
                <w:rPr>
                  <w:rFonts w:hint="eastAsia" w:ascii="Cambria Math" w:hAnsi="Cambria Math"/>
                  <w:kern w:val="0"/>
                  <w:sz w:val="24"/>
                  <w:shd w:val="clear" w:color="auto" w:fill="FFFFFF"/>
                </w:rPr>
                <m:t>住院治疗费用</m:t>
              </m:r>
              <m:ctrlPr>
                <w:rPr>
                  <w:rFonts w:ascii="Cambria Math" w:hAnsi="黑体"/>
                  <w:b/>
                  <w:kern w:val="0"/>
                  <w:sz w:val="24"/>
                  <w:shd w:val="clear" w:color="auto" w:fill="FFFFFF"/>
                </w:rPr>
              </m:ctrlPr>
            </m:den>
          </m:f>
          <m:r>
            <m:rPr>
              <m:sty m:val="p"/>
            </m:rPr>
            <w:rPr>
              <w:rFonts w:hint="eastAsia" w:ascii="Cambria Math" w:hAnsi="Cambria Math"/>
              <w:kern w:val="0"/>
              <w:sz w:val="24"/>
              <w:shd w:val="clear" w:color="auto" w:fill="FFFFFF"/>
            </w:rPr>
            <m:t>×100%</m:t>
          </m:r>
          <m:r>
            <m:rPr>
              <m:sty m:val="p"/>
            </m:rPr>
            <w:rPr>
              <w:rFonts w:ascii="Cambria Math" w:hAnsi="Cambria Math"/>
              <w:kern w:val="0"/>
              <w:sz w:val="24"/>
              <w:shd w:val="clear" w:color="auto" w:fill="FFFFFF"/>
            </w:rPr>
            <m:t xml:space="preserve">                             </m:t>
          </m:r>
        </m:oMath>
      </m:oMathPara>
    </w:p>
    <w:p>
      <w:pPr>
        <w:spacing w:line="600" w:lineRule="atLeast"/>
        <w:ind w:right="-1596" w:rightChars="-499"/>
        <w:rPr>
          <w:rFonts w:ascii="仿宋_GB2312" w:eastAsiaTheme="minorEastAsia"/>
          <w:szCs w:val="32"/>
          <w:shd w:val="clear" w:color="auto" w:fill="FFFFFF"/>
        </w:rPr>
      </w:pPr>
      <m:oMathPara>
        <m:oMathParaPr>
          <m:jc m:val="left"/>
        </m:oMathParaPr>
        <m:oMath>
          <m:r>
            <m:rPr>
              <m:sty m:val="b"/>
            </m:rPr>
            <w:rPr>
              <w:rFonts w:hint="eastAsia" w:ascii="Cambria Math" w:hAnsi="Cambria Math" w:eastAsia="仿宋"/>
              <w:kern w:val="0"/>
              <w:sz w:val="24"/>
              <w:shd w:val="clear" w:color="auto" w:fill="FFFFFF"/>
            </w:rPr>
            <m:t>（</m:t>
          </m:r>
          <m:r>
            <m:rPr>
              <m:sty m:val="b"/>
            </m:rPr>
            <w:rPr>
              <w:rFonts w:ascii="Cambria Math" w:hAnsi="Cambria Math" w:eastAsia="仿宋"/>
              <w:kern w:val="0"/>
              <w:sz w:val="24"/>
              <w:shd w:val="clear" w:color="auto" w:fill="FFFFFF"/>
            </w:rPr>
            <m:t>2</m:t>
          </m:r>
          <m:r>
            <m:rPr>
              <m:sty m:val="b"/>
            </m:rPr>
            <w:rPr>
              <w:rFonts w:hint="eastAsia" w:ascii="Cambria Math" w:hAnsi="Cambria Math" w:eastAsia="仿宋"/>
              <w:kern w:val="0"/>
              <w:sz w:val="24"/>
              <w:shd w:val="clear" w:color="auto" w:fill="FFFFFF"/>
            </w:rPr>
            <m:t>）以中医为主治疗的出院患者比例</m:t>
          </m:r>
          <m:r>
            <m:rPr>
              <m:sty m:val="b"/>
            </m:rPr>
            <w:rPr>
              <w:rFonts w:ascii="Cambria Math" w:hAnsi="Cambria Math" w:eastAsia="仿宋"/>
              <w:kern w:val="0"/>
              <w:sz w:val="24"/>
              <w:shd w:val="clear" w:color="auto" w:fill="FFFFFF"/>
            </w:rPr>
            <m:t>=</m:t>
          </m:r>
          <m:f>
            <m:fPr>
              <m:ctrlPr>
                <w:rPr>
                  <w:rFonts w:hint="eastAsia" w:ascii="Cambria Math" w:hAnsi="Cambria Math" w:eastAsia="仿宋"/>
                  <w:b/>
                  <w:kern w:val="0"/>
                  <w:sz w:val="24"/>
                  <w:shd w:val="clear" w:color="auto" w:fill="FFFFFF"/>
                </w:rPr>
              </m:ctrlPr>
            </m:fPr>
            <m:num>
              <m:r>
                <m:rPr>
                  <m:sty m:val="p"/>
                </m:rPr>
                <w:rPr>
                  <w:rFonts w:hint="eastAsia" w:ascii="Cambria Math" w:hAnsi="Cambria Math" w:eastAsia="仿宋"/>
                  <w:kern w:val="0"/>
                  <w:sz w:val="24"/>
                  <w:shd w:val="clear" w:color="auto" w:fill="FFFFFF"/>
                </w:rPr>
                <m:t>以中医为主治疗的出院患者人次数</m:t>
              </m:r>
              <m:ctrlPr>
                <w:rPr>
                  <w:rFonts w:hint="eastAsia" w:ascii="Cambria Math" w:hAnsi="Cambria Math" w:eastAsia="仿宋"/>
                  <w:b/>
                  <w:kern w:val="0"/>
                  <w:sz w:val="24"/>
                  <w:shd w:val="clear" w:color="auto" w:fill="FFFFFF"/>
                </w:rPr>
              </m:ctrlPr>
            </m:num>
            <m:den>
              <m:r>
                <m:rPr>
                  <m:sty m:val="p"/>
                </m:rPr>
                <w:rPr>
                  <w:rFonts w:hint="eastAsia" w:ascii="Cambria Math" w:hAnsi="Cambria Math" w:eastAsia="仿宋"/>
                  <w:kern w:val="0"/>
                  <w:sz w:val="24"/>
                  <w:shd w:val="clear" w:color="auto" w:fill="FFFFFF"/>
                </w:rPr>
                <m:t>同期出院患者总人次数</m:t>
              </m:r>
              <m:ctrlPr>
                <w:rPr>
                  <w:rFonts w:hint="eastAsia" w:ascii="Cambria Math" w:hAnsi="Cambria Math" w:eastAsia="仿宋"/>
                  <w:b/>
                  <w:kern w:val="0"/>
                  <w:sz w:val="24"/>
                  <w:shd w:val="clear" w:color="auto" w:fill="FFFFFF"/>
                </w:rPr>
              </m:ctrlPr>
            </m:den>
          </m:f>
          <m:r>
            <m:rPr>
              <m:sty m:val="p"/>
            </m:rPr>
            <w:rPr>
              <w:rFonts w:hint="eastAsia" w:ascii="Cambria Math" w:hAnsi="Cambria Math" w:eastAsia="仿宋"/>
              <w:kern w:val="0"/>
              <w:sz w:val="24"/>
              <w:shd w:val="clear" w:color="auto" w:fill="FFFFFF"/>
            </w:rPr>
            <m:t>×</m:t>
          </m:r>
          <m:r>
            <m:rPr>
              <m:sty m:val="p"/>
            </m:rPr>
            <w:rPr>
              <w:rFonts w:ascii="Cambria Math" w:hAnsi="Cambria Math" w:eastAsia="仿宋"/>
              <w:kern w:val="0"/>
              <w:sz w:val="24"/>
              <w:shd w:val="clear" w:color="auto" w:fill="FFFFFF"/>
            </w:rPr>
            <m:t xml:space="preserve">100%             </m:t>
          </m:r>
        </m:oMath>
      </m:oMathPara>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（1）分子</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分子1：中医药治疗费用是指住院后出院患者中医住院病案首页住院费用部分的项目5中医类（中医和少数民族医医疗服务）中的（13）中医治疗、（14）中医其他（除外中药特殊调配加工、辨证施膳）和项目7中药类中的（16）中成药费（含医疗机构中药制剂费）、（17）中草药费。</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分子2：以中医为主治疗的出院患者人次数是指出院患者的住院费用中中医药治疗费用占住院治疗费用比例大于等于60%的出院患者人次数。按出院病历统计。</w:t>
      </w:r>
    </w:p>
    <w:p>
      <w:pPr>
        <w:spacing w:line="580" w:lineRule="exact"/>
        <w:ind w:firstLine="640" w:firstLineChars="200"/>
        <w:rPr>
          <w:rFonts w:ascii="仿宋_GB2312"/>
          <w:szCs w:val="32"/>
          <w:shd w:val="clear" w:color="auto" w:fill="FFFFFF"/>
        </w:rPr>
      </w:pPr>
      <w:r>
        <w:rPr>
          <w:rFonts w:hint="eastAsia" w:ascii="仿宋_GB2312"/>
          <w:szCs w:val="32"/>
          <w:shd w:val="clear" w:color="auto" w:fill="FFFFFF"/>
        </w:rPr>
        <w:t>（2）分母</w:t>
      </w:r>
    </w:p>
    <w:p>
      <w:pPr>
        <w:spacing w:line="580" w:lineRule="exact"/>
        <w:ind w:firstLine="640" w:firstLineChars="200"/>
        <w:rPr>
          <w:rFonts w:ascii="仿宋_GB2312"/>
          <w:szCs w:val="32"/>
          <w:shd w:val="clear" w:color="auto" w:fill="FFFFFF"/>
        </w:rPr>
      </w:pPr>
      <w:r>
        <w:rPr>
          <w:rFonts w:hint="eastAsia" w:ascii="仿宋_GB2312"/>
          <w:szCs w:val="32"/>
          <w:shd w:val="clear" w:color="auto" w:fill="FFFFFF"/>
        </w:rPr>
        <w:t>分母1：住院治疗费用是指患者住院期间中医药治疗费用与其他治疗费用</w:t>
      </w:r>
      <w:r>
        <w:rPr>
          <w:rFonts w:hint="eastAsia" w:ascii="仿宋_GB2312"/>
          <w:szCs w:val="32"/>
          <w:shd w:val="clear" w:color="auto" w:fill="FFFFFF"/>
          <w:vertAlign w:val="superscript"/>
        </w:rPr>
        <w:footnoteReference w:id="16"/>
      </w:r>
      <w:r>
        <w:rPr>
          <w:rFonts w:hint="eastAsia" w:ascii="仿宋_GB2312"/>
          <w:szCs w:val="32"/>
          <w:shd w:val="clear" w:color="auto" w:fill="FFFFFF"/>
        </w:rPr>
        <w:t>之和。</w:t>
      </w:r>
    </w:p>
    <w:p>
      <w:pPr>
        <w:widowControl/>
        <w:spacing w:line="580" w:lineRule="exact"/>
        <w:ind w:right="48" w:rightChars="15" w:firstLine="640" w:firstLineChars="200"/>
        <w:rPr>
          <w:rFonts w:ascii="仿宋_GB2312"/>
          <w:szCs w:val="32"/>
          <w:shd w:val="clear" w:color="auto" w:fill="FFFFFF"/>
        </w:rPr>
      </w:pPr>
      <w:r>
        <w:rPr>
          <w:rFonts w:hint="eastAsia" w:ascii="仿宋_GB2312"/>
          <w:szCs w:val="32"/>
          <w:shd w:val="clear" w:color="auto" w:fill="FFFFFF"/>
        </w:rPr>
        <w:t>分母2：出院患者总人次数是指出院人数，即考核年度内所有住院后出院的人数，包括医嘱离院、医嘱转其他医疗机构、非医嘱离院、死亡及其他人数。不含家庭病床撤床人数。</w:t>
      </w:r>
    </w:p>
    <w:p>
      <w:pPr>
        <w:spacing w:line="580" w:lineRule="exact"/>
        <w:ind w:right="-499" w:rightChars="-156"/>
        <w:jc w:val="left"/>
        <w:rPr>
          <w:rFonts w:ascii="仿宋_GB2312"/>
          <w:b/>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spacing w:line="580" w:lineRule="exact"/>
        <w:ind w:firstLine="640" w:firstLineChars="200"/>
        <w:rPr>
          <w:rFonts w:ascii="仿宋_GB2312"/>
          <w:szCs w:val="32"/>
          <w:shd w:val="clear" w:color="auto" w:fill="FFFFFF"/>
        </w:rPr>
      </w:pPr>
      <w:r>
        <w:rPr>
          <w:rFonts w:hint="eastAsia" w:ascii="仿宋_GB2312"/>
          <w:bCs/>
          <w:szCs w:val="32"/>
          <w:shd w:val="clear" w:color="auto" w:fill="FFFFFF"/>
        </w:rPr>
        <w:t xml:space="preserve">《中共中央 国务院关于促进中医药传承创新发展的意见》 </w:t>
      </w:r>
      <w:r>
        <w:rPr>
          <w:rFonts w:hint="eastAsia" w:ascii="仿宋_GB2312" w:cs="Arial"/>
          <w:szCs w:val="32"/>
          <w:shd w:val="clear" w:color="auto" w:fill="FFFFFF"/>
        </w:rPr>
        <w:t>（中发办〔2019〕</w:t>
      </w:r>
      <w:r>
        <w:rPr>
          <w:rFonts w:ascii="仿宋_GB2312" w:cs="Arial"/>
          <w:szCs w:val="32"/>
          <w:shd w:val="clear" w:color="auto" w:fill="FFFFFF"/>
        </w:rPr>
        <w:t>43</w:t>
      </w:r>
      <w:r>
        <w:rPr>
          <w:rFonts w:hint="eastAsia" w:ascii="仿宋_GB2312" w:cs="Arial"/>
          <w:szCs w:val="32"/>
          <w:shd w:val="clear" w:color="auto" w:fill="FFFFFF"/>
        </w:rPr>
        <w:t>号）</w:t>
      </w:r>
      <w:r>
        <w:rPr>
          <w:rFonts w:hint="eastAsia" w:ascii="仿宋_GB2312"/>
          <w:bCs/>
          <w:szCs w:val="32"/>
          <w:shd w:val="clear" w:color="auto" w:fill="FFFFFF"/>
        </w:rPr>
        <w:t>“强化以中医药服务为主的办院模式和服务功能，建立健全体现中医药特点的现代医院管理制度”。《</w:t>
      </w:r>
      <w:r>
        <w:rPr>
          <w:rFonts w:hint="eastAsia" w:ascii="仿宋_GB2312" w:cs="宋体"/>
          <w:bCs/>
          <w:szCs w:val="32"/>
          <w:shd w:val="clear" w:color="auto" w:fill="FFFFFF"/>
        </w:rPr>
        <w:t>中医药发展战略规划纲要</w:t>
      </w:r>
      <w:r>
        <w:rPr>
          <w:rFonts w:hint="eastAsia" w:ascii="仿宋_GB2312"/>
          <w:bCs/>
          <w:szCs w:val="32"/>
          <w:shd w:val="clear" w:color="auto" w:fill="FFFFFF"/>
        </w:rPr>
        <w:t>（2016—2030年）》（国发〔2016〕15号）重点任务中提出“</w:t>
      </w:r>
      <w:r>
        <w:rPr>
          <w:rFonts w:hint="eastAsia" w:ascii="仿宋_GB2312"/>
          <w:szCs w:val="32"/>
          <w:shd w:val="clear" w:color="auto" w:fill="FFFFFF"/>
        </w:rPr>
        <w:t>切实提高中医医疗服务能力。</w:t>
      </w:r>
      <w:r>
        <w:rPr>
          <w:rFonts w:hint="eastAsia" w:ascii="仿宋_GB2312"/>
          <w:bCs/>
          <w:szCs w:val="32"/>
          <w:shd w:val="clear" w:color="auto" w:fill="FFFFFF"/>
        </w:rPr>
        <w:t>”</w:t>
      </w:r>
      <w:r>
        <w:rPr>
          <w:rFonts w:hint="eastAsia" w:ascii="仿宋_GB2312" w:cs="宋体"/>
          <w:bCs/>
          <w:szCs w:val="32"/>
          <w:shd w:val="clear" w:color="auto" w:fill="FFFFFF"/>
        </w:rPr>
        <w:t>《关于加强新时代少数民族医药工作的若干意见》（国中医药医政发〔2018〕15号）重点任务中提出“切实提高少数民族医药医疗服务能力。”以中医为</w:t>
      </w:r>
      <w:r>
        <w:rPr>
          <w:rFonts w:hint="eastAsia" w:ascii="仿宋_GB2312"/>
          <w:szCs w:val="32"/>
          <w:shd w:val="clear" w:color="auto" w:fill="FFFFFF"/>
        </w:rPr>
        <w:t>主治疗的出院患者比例能客观地评价医院使用中医药治疗疾病的能力与水平，</w:t>
      </w:r>
      <w:r>
        <w:rPr>
          <w:rFonts w:hint="eastAsia" w:ascii="仿宋_GB2312" w:cs="Arial"/>
          <w:szCs w:val="32"/>
          <w:shd w:val="clear" w:color="auto" w:fill="FFFFFF"/>
        </w:rPr>
        <w:t>是衡量医院中医治疗疾病的主要指标，也是目前中医医院核心竞争力的体现。</w:t>
      </w:r>
    </w:p>
    <w:p>
      <w:pPr>
        <w:spacing w:line="580" w:lineRule="exac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指标导向</w:t>
      </w:r>
      <w:r>
        <w:rPr>
          <w:rFonts w:hint="eastAsia" w:ascii="仿宋_GB2312"/>
          <w:szCs w:val="32"/>
          <w:shd w:val="clear" w:color="auto" w:fill="FFFFFF"/>
        </w:rPr>
        <w:t>】逐步提高。</w:t>
      </w:r>
    </w:p>
    <w:p>
      <w:pPr>
        <w:spacing w:line="580" w:lineRule="exac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指标来源</w:t>
      </w:r>
      <w:r>
        <w:rPr>
          <w:rFonts w:hint="eastAsia" w:ascii="仿宋_GB2312"/>
          <w:szCs w:val="32"/>
          <w:shd w:val="clear" w:color="auto" w:fill="FFFFFF"/>
        </w:rPr>
        <w:t>】中医</w:t>
      </w:r>
      <w:r>
        <w:rPr>
          <w:rFonts w:hint="eastAsia" w:ascii="仿宋_GB2312"/>
          <w:kern w:val="0"/>
          <w:szCs w:val="32"/>
          <w:shd w:val="clear" w:color="auto" w:fill="FFFFFF"/>
        </w:rPr>
        <w:t>病案首页。</w:t>
      </w:r>
    </w:p>
    <w:p>
      <w:pPr>
        <w:spacing w:line="580" w:lineRule="exact"/>
        <w:ind w:right="-499" w:rightChars="-156"/>
        <w:rPr>
          <w:rFonts w:eastAsia="仿宋"/>
          <w:b/>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】中国中医科学院。</w:t>
      </w:r>
      <w:r>
        <w:rPr>
          <w:rFonts w:eastAsia="仿宋"/>
          <w:b/>
          <w:szCs w:val="32"/>
          <w:shd w:val="clear" w:color="auto" w:fill="FFFFFF"/>
        </w:rPr>
        <w:br w:type="page"/>
      </w:r>
    </w:p>
    <w:p>
      <w:pPr>
        <w:spacing w:line="600" w:lineRule="atLeast"/>
        <w:ind w:right="-1596" w:rightChars="-499"/>
        <w:rPr>
          <w:rFonts w:ascii="仿宋_GB2312"/>
          <w:b/>
          <w:szCs w:val="32"/>
          <w:shd w:val="clear" w:color="auto" w:fill="FFFFFF"/>
        </w:rPr>
      </w:pPr>
      <w:r>
        <w:rPr>
          <w:rFonts w:ascii="仿宋_GB2312"/>
          <w:b/>
          <w:szCs w:val="32"/>
          <w:shd w:val="clear" w:color="auto" w:fill="FFFFFF"/>
        </w:rPr>
        <w:t>6</w:t>
      </w:r>
      <w:r>
        <w:rPr>
          <w:rFonts w:hint="eastAsia" w:ascii="仿宋_GB2312"/>
          <w:b/>
          <w:szCs w:val="32"/>
          <w:shd w:val="clear" w:color="auto" w:fill="FFFFFF"/>
        </w:rPr>
        <w:t>.</w:t>
      </w:r>
      <w:r>
        <w:rPr>
          <w:rFonts w:hint="eastAsia" w:ascii="仿宋_GB2312"/>
          <w:b/>
          <w:szCs w:val="32"/>
        </w:rPr>
        <w:t>住院手术患者围手术期中医治疗比例</w:t>
      </w:r>
    </w:p>
    <w:p>
      <w:pPr>
        <w:spacing w:line="600" w:lineRule="atLeast"/>
        <w:ind w:right="-499" w:rightChars="-156"/>
        <w:rPr>
          <w:rFonts w:ascii="仿宋_GB2312"/>
          <w:kern w:val="0"/>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spacing w:line="600" w:lineRule="atLeast"/>
        <w:ind w:right="-224" w:rightChars="-70" w:firstLine="640" w:firstLineChars="200"/>
        <w:rPr>
          <w:rFonts w:ascii="仿宋_GB2312"/>
          <w:szCs w:val="32"/>
          <w:shd w:val="clear" w:color="auto" w:fill="FFFFFF"/>
        </w:rPr>
      </w:pPr>
      <w:r>
        <w:rPr>
          <w:rFonts w:hint="eastAsia" w:ascii="仿宋_GB2312"/>
          <w:szCs w:val="32"/>
          <w:shd w:val="clear" w:color="auto" w:fill="FFFFFF"/>
        </w:rPr>
        <w:t>考核年度所有住院手术</w:t>
      </w:r>
      <w:r>
        <w:rPr>
          <w:rFonts w:hint="eastAsia" w:ascii="仿宋_GB2312"/>
          <w:szCs w:val="32"/>
          <w:shd w:val="clear" w:color="auto" w:fill="FFFFFF"/>
          <w:vertAlign w:val="superscript"/>
        </w:rPr>
        <w:footnoteReference w:id="17"/>
      </w:r>
      <w:r>
        <w:rPr>
          <w:rFonts w:hint="eastAsia" w:ascii="仿宋_GB2312"/>
          <w:szCs w:val="32"/>
          <w:shd w:val="clear" w:color="auto" w:fill="FFFFFF"/>
        </w:rPr>
        <w:t>患者围手术期应用中医治疗</w:t>
      </w:r>
      <w:r>
        <w:rPr>
          <w:rFonts w:hint="eastAsia" w:ascii="仿宋_GB2312"/>
          <w:szCs w:val="32"/>
          <w:shd w:val="clear" w:color="auto" w:fill="FFFFFF"/>
          <w:vertAlign w:val="superscript"/>
        </w:rPr>
        <w:footnoteReference w:id="18"/>
      </w:r>
      <w:r>
        <w:rPr>
          <w:rFonts w:hint="eastAsia" w:ascii="仿宋_GB2312"/>
          <w:szCs w:val="32"/>
          <w:shd w:val="clear" w:color="auto" w:fill="FFFFFF"/>
        </w:rPr>
        <w:t>人次数占同期住院手术患者总人次数的比例。</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1596" w:rightChars="-499"/>
        <w:rPr>
          <w:rFonts w:ascii="仿宋_GB2312"/>
          <w:b/>
          <w:sz w:val="24"/>
          <w:shd w:val="clear" w:color="auto" w:fill="FFFFFF"/>
        </w:rPr>
      </w:pPr>
      <m:oMathPara>
        <m:oMathParaPr>
          <m:jc m:val="left"/>
        </m:oMathParaPr>
        <m:oMath>
          <m:r>
            <m:rPr>
              <m:sty m:val="b"/>
            </m:rPr>
            <w:rPr>
              <w:rFonts w:hint="eastAsia" w:ascii="Cambria Math" w:hAnsi="Cambria Math"/>
              <w:sz w:val="24"/>
              <w:shd w:val="clear" w:color="auto" w:fill="FFFFFF"/>
            </w:rPr>
            <m:t>住院手术患者围手术期中医治疗比例</m:t>
          </m:r>
        </m:oMath>
      </m:oMathPara>
    </w:p>
    <w:p>
      <w:pPr>
        <w:spacing w:line="600" w:lineRule="atLeast"/>
        <w:ind w:right="-1596" w:rightChars="-499"/>
        <w:rPr>
          <w:rFonts w:ascii="仿宋_GB2312" w:eastAsiaTheme="minorEastAsia"/>
          <w:szCs w:val="32"/>
          <w:shd w:val="clear" w:color="auto" w:fill="FFFFFF"/>
        </w:rPr>
      </w:pPr>
      <m:oMathPara>
        <m:oMath>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住院手术患者围手术期应用中医治疗人次数</m:t>
              </m:r>
              <m:ctrlPr>
                <w:rPr>
                  <w:rFonts w:ascii="Cambria Math" w:hAnsi="黑体"/>
                  <w:b/>
                  <w:sz w:val="24"/>
                  <w:shd w:val="clear" w:color="auto" w:fill="FFFFFF"/>
                </w:rPr>
              </m:ctrlPr>
            </m:num>
            <m:den>
              <m:r>
                <m:rPr>
                  <m:sty m:val="p"/>
                </m:rPr>
                <w:rPr>
                  <w:rFonts w:hint="eastAsia" w:ascii="Cambria Math" w:hAnsi="Cambria Math"/>
                  <w:sz w:val="24"/>
                  <w:shd w:val="clear" w:color="auto" w:fill="FFFFFF"/>
                </w:rPr>
                <m:t>同期住院手术患者总人次数</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adjustRightInd w:val="0"/>
        <w:spacing w:line="600" w:lineRule="atLeast"/>
        <w:ind w:firstLine="640" w:firstLineChars="200"/>
        <w:rPr>
          <w:rFonts w:ascii="仿宋_GB2312"/>
          <w:szCs w:val="32"/>
          <w:shd w:val="clear" w:color="auto" w:fill="FFFFFF"/>
        </w:rPr>
      </w:pPr>
      <w:r>
        <w:rPr>
          <w:rFonts w:hint="eastAsia" w:ascii="仿宋_GB2312" w:cs="Arial"/>
          <w:szCs w:val="32"/>
          <w:shd w:val="clear" w:color="auto" w:fill="FFFFFF"/>
        </w:rPr>
        <w:t>（1）</w:t>
      </w:r>
      <w:r>
        <w:rPr>
          <w:rFonts w:hint="eastAsia" w:ascii="仿宋_GB2312"/>
          <w:szCs w:val="32"/>
          <w:shd w:val="clear" w:color="auto" w:fill="FFFFFF"/>
        </w:rPr>
        <w:t>分子：住院手术患者围手术期应用中医治疗人次数是指考核年度所有住院后出院手术患者中使用中药、中医非药物疗法的人次数。统计中医住院病案首页住院费用部分中项目5中医类费用＞0元，或项目7中药类费用＞0元的人次数。按出院病历统计。一次住院期间同时使用2种及以上中医治疗方法，或同时采用口服或外用中药的，按1人次计算。</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（2）分母：住院手术患者总人次数是指出院患者手术人数，即同一次住院就诊期间患有同一疾病或不同疾病施行多次手术患者，按1人统计。统计单位以人数计算，总数为手术和介入治疗</w:t>
      </w:r>
      <w:r>
        <w:rPr>
          <w:rFonts w:hint="eastAsia" w:ascii="仿宋_GB2312"/>
          <w:szCs w:val="32"/>
          <w:shd w:val="clear" w:color="auto" w:fill="FFFFFF"/>
          <w:vertAlign w:val="superscript"/>
        </w:rPr>
        <w:footnoteReference w:id="19"/>
      </w:r>
      <w:r>
        <w:rPr>
          <w:rFonts w:hint="eastAsia" w:ascii="仿宋_GB2312"/>
          <w:szCs w:val="32"/>
          <w:shd w:val="clear" w:color="auto" w:fill="FFFFFF"/>
        </w:rPr>
        <w:t>人数累加求和。</w:t>
      </w:r>
    </w:p>
    <w:p>
      <w:pPr>
        <w:autoSpaceDE w:val="0"/>
        <w:autoSpaceDN w:val="0"/>
        <w:adjustRightInd w:val="0"/>
        <w:spacing w:line="600" w:lineRule="atLeast"/>
        <w:ind w:firstLine="640" w:firstLineChars="200"/>
        <w:jc w:val="left"/>
        <w:rPr>
          <w:rFonts w:ascii="仿宋_GB2312" w:hAnsi="等线" w:cs="仿宋_GB2312"/>
          <w:kern w:val="0"/>
          <w:szCs w:val="32"/>
        </w:rPr>
      </w:pPr>
      <w:r>
        <w:rPr>
          <w:rFonts w:hint="eastAsia" w:ascii="仿宋_GB2312" w:hAnsi="等线" w:cs="仿宋_GB2312"/>
          <w:kern w:val="0"/>
          <w:szCs w:val="32"/>
        </w:rPr>
        <w:t>（3）</w:t>
      </w:r>
      <w:r>
        <w:rPr>
          <w:rFonts w:hint="eastAsia" w:ascii="仿宋_GB2312"/>
          <w:szCs w:val="32"/>
        </w:rPr>
        <w:t>本年度考核手术名称和编码参阅《手术操作分类代码国家临床版3.0（2022汇总版）》</w:t>
      </w:r>
      <w:r>
        <w:rPr>
          <w:rFonts w:hint="eastAsia" w:ascii="仿宋_GB2312" w:hAnsi="等线" w:cs="仿宋_GB2312"/>
          <w:kern w:val="0"/>
          <w:szCs w:val="32"/>
        </w:rPr>
        <w:t>。</w:t>
      </w:r>
    </w:p>
    <w:p>
      <w:pPr>
        <w:spacing w:line="600" w:lineRule="atLeast"/>
        <w:ind w:right="-499" w:rightChars="-156"/>
        <w:jc w:val="left"/>
        <w:rPr>
          <w:rFonts w:ascii="仿宋_GB2312"/>
          <w:b/>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《二级中医医院评审标准（2018年版）》（国中医药办医政函〔</w:t>
      </w:r>
      <w:r>
        <w:rPr>
          <w:rFonts w:ascii="仿宋_GB2312"/>
          <w:szCs w:val="32"/>
          <w:shd w:val="clear" w:color="auto" w:fill="FFFFFF"/>
        </w:rPr>
        <w:t>2018</w:t>
      </w:r>
      <w:r>
        <w:rPr>
          <w:rFonts w:hint="eastAsia" w:ascii="仿宋_GB2312"/>
          <w:szCs w:val="32"/>
          <w:shd w:val="clear" w:color="auto" w:fill="FFFFFF"/>
        </w:rPr>
        <w:t>〕88号）、《二级中西医结合医院评审标准（2018年版）》和《二级民族医医院评审标准（2018年版）》（国中医药医政函〔2018〕96号）明确“手术病例能正确配合使用中医药治疗”。将围手术期中医治疗纳入考核指标，使中医药、中医医疗技术应用覆盖所有临床科室，特别是手术科室，并以此作为提高手术效果、改善患者生存质量措施，强化中医药、中医非药物疗法在以手术为主要治疗方法的患者中的应用，反映手术患者使用中医药的情况。</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指标导向</w:t>
      </w:r>
      <w:r>
        <w:rPr>
          <w:rFonts w:hint="eastAsia" w:ascii="仿宋_GB2312"/>
          <w:szCs w:val="32"/>
          <w:shd w:val="clear" w:color="auto" w:fill="FFFFFF"/>
        </w:rPr>
        <w:t>】逐步提高。</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指标来源</w:t>
      </w:r>
      <w:r>
        <w:rPr>
          <w:rFonts w:hint="eastAsia" w:ascii="仿宋_GB2312"/>
          <w:szCs w:val="32"/>
          <w:shd w:val="clear" w:color="auto" w:fill="FFFFFF"/>
        </w:rPr>
        <w:t>】中医</w:t>
      </w:r>
      <w:r>
        <w:rPr>
          <w:rFonts w:hint="eastAsia" w:ascii="仿宋_GB2312"/>
          <w:kern w:val="0"/>
          <w:szCs w:val="32"/>
          <w:shd w:val="clear" w:color="auto" w:fill="FFFFFF"/>
        </w:rPr>
        <w:t>病案首页。</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】中国中医科学院。</w:t>
      </w:r>
    </w:p>
    <w:p>
      <w:pPr>
        <w:spacing w:line="600" w:lineRule="exact"/>
        <w:ind w:right="-1596" w:rightChars="-499"/>
        <w:rPr>
          <w:b/>
          <w:szCs w:val="32"/>
          <w:shd w:val="clear" w:color="auto" w:fill="FFFFFF"/>
        </w:rPr>
      </w:pPr>
    </w:p>
    <w:p>
      <w:pPr>
        <w:spacing w:line="600" w:lineRule="exact"/>
        <w:ind w:right="-1596" w:rightChars="-499"/>
        <w:rPr>
          <w:b/>
          <w:szCs w:val="32"/>
          <w:shd w:val="clear" w:color="auto" w:fill="FFFFFF"/>
        </w:rPr>
      </w:pPr>
    </w:p>
    <w:p>
      <w:pPr>
        <w:spacing w:line="600" w:lineRule="exact"/>
        <w:ind w:right="-1596" w:rightChars="-499"/>
        <w:rPr>
          <w:b/>
          <w:szCs w:val="32"/>
          <w:shd w:val="clear" w:color="auto" w:fill="FFFFFF"/>
        </w:rPr>
      </w:pPr>
    </w:p>
    <w:p>
      <w:pPr>
        <w:keepNext/>
        <w:keepLines/>
        <w:shd w:val="clear" w:color="auto" w:fill="FFFFFF"/>
        <w:spacing w:line="600" w:lineRule="exact"/>
        <w:outlineLvl w:val="1"/>
        <w:rPr>
          <w:rFonts w:eastAsia="宋体"/>
          <w:sz w:val="21"/>
          <w:szCs w:val="22"/>
        </w:rPr>
      </w:pPr>
      <w:bookmarkStart w:id="15" w:name="_Toc42857910"/>
      <w:r>
        <w:rPr>
          <w:rFonts w:hint="eastAsia" w:eastAsia="楷体_GB2312"/>
          <w:b/>
          <w:bCs/>
          <w:szCs w:val="32"/>
        </w:rPr>
        <w:t>（二）质量安全（指标</w:t>
      </w:r>
      <w:r>
        <w:rPr>
          <w:rFonts w:eastAsia="楷体_GB2312"/>
          <w:b/>
          <w:bCs/>
          <w:szCs w:val="32"/>
        </w:rPr>
        <w:t>7</w:t>
      </w:r>
      <w:r>
        <w:rPr>
          <w:rFonts w:hint="eastAsia" w:eastAsia="楷体_GB2312"/>
          <w:b/>
          <w:bCs/>
          <w:szCs w:val="32"/>
        </w:rPr>
        <w:t>—</w:t>
      </w:r>
      <w:r>
        <w:rPr>
          <w:rFonts w:eastAsia="楷体_GB2312"/>
          <w:b/>
          <w:bCs/>
          <w:szCs w:val="32"/>
        </w:rPr>
        <w:t>8</w:t>
      </w:r>
      <w:r>
        <w:rPr>
          <w:rFonts w:hint="eastAsia" w:eastAsia="楷体_GB2312"/>
          <w:b/>
          <w:bCs/>
          <w:szCs w:val="32"/>
        </w:rPr>
        <w:t>）</w:t>
      </w:r>
      <w:bookmarkEnd w:id="15"/>
    </w:p>
    <w:p>
      <w:pPr>
        <w:widowControl/>
        <w:spacing w:line="360" w:lineRule="auto"/>
        <w:rPr>
          <w:b/>
          <w:kern w:val="0"/>
          <w:szCs w:val="32"/>
        </w:rPr>
      </w:pPr>
      <w:r>
        <w:rPr>
          <w:b/>
          <w:kern w:val="0"/>
          <w:szCs w:val="32"/>
        </w:rPr>
        <w:t>7</w:t>
      </w:r>
      <w:r>
        <w:rPr>
          <w:rFonts w:hint="eastAsia"/>
          <w:b/>
          <w:kern w:val="0"/>
          <w:szCs w:val="32"/>
        </w:rPr>
        <w:t>. 手术患者并发症发生率▲</w:t>
      </w:r>
    </w:p>
    <w:p>
      <w:pPr>
        <w:widowControl/>
        <w:shd w:val="clear" w:color="auto" w:fill="FFFFFF"/>
        <w:spacing w:line="600" w:lineRule="exact"/>
        <w:rPr>
          <w:b/>
          <w:kern w:val="0"/>
          <w:szCs w:val="32"/>
        </w:rPr>
      </w:pPr>
      <w:r>
        <w:rPr>
          <w:rFonts w:hint="eastAsia"/>
          <w:b/>
          <w:kern w:val="0"/>
          <w:szCs w:val="32"/>
        </w:rPr>
        <w:t>【指标属性】</w:t>
      </w:r>
      <w:r>
        <w:rPr>
          <w:rFonts w:hint="eastAsia"/>
          <w:kern w:val="0"/>
          <w:szCs w:val="32"/>
        </w:rPr>
        <w:t>定量指标、国家监测指标。</w:t>
      </w:r>
    </w:p>
    <w:p>
      <w:pPr>
        <w:widowControl/>
        <w:shd w:val="clear" w:color="auto" w:fill="FFFFFF"/>
        <w:spacing w:line="600" w:lineRule="exact"/>
        <w:rPr>
          <w:b/>
          <w:kern w:val="0"/>
          <w:szCs w:val="32"/>
        </w:rPr>
      </w:pPr>
      <w:r>
        <w:rPr>
          <w:rFonts w:hint="eastAsia"/>
          <w:b/>
          <w:kern w:val="0"/>
          <w:szCs w:val="32"/>
        </w:rPr>
        <w:t>【计量单位】</w:t>
      </w:r>
      <w:r>
        <w:rPr>
          <w:rFonts w:hint="eastAsia"/>
          <w:szCs w:val="32"/>
        </w:rPr>
        <w:t>百分比</w:t>
      </w:r>
      <w:r>
        <w:rPr>
          <w:rFonts w:hint="eastAsia" w:ascii="仿宋_GB2312"/>
          <w:szCs w:val="32"/>
        </w:rPr>
        <w:t>（</w:t>
      </w:r>
      <w:r>
        <w:rPr>
          <w:rFonts w:ascii="仿宋_GB2312"/>
          <w:szCs w:val="32"/>
        </w:rPr>
        <w:t>%</w:t>
      </w:r>
      <w:r>
        <w:rPr>
          <w:rFonts w:hint="eastAsia" w:ascii="仿宋_GB2312"/>
          <w:szCs w:val="32"/>
        </w:rPr>
        <w:t>）</w:t>
      </w:r>
    </w:p>
    <w:p>
      <w:pPr>
        <w:widowControl/>
        <w:shd w:val="clear" w:color="auto" w:fill="FFFFFF"/>
        <w:spacing w:line="600" w:lineRule="exact"/>
        <w:rPr>
          <w:b/>
          <w:kern w:val="0"/>
          <w:szCs w:val="32"/>
        </w:rPr>
      </w:pPr>
      <w:r>
        <w:rPr>
          <w:rFonts w:hint="eastAsia"/>
          <w:b/>
          <w:kern w:val="0"/>
          <w:szCs w:val="32"/>
        </w:rPr>
        <w:t>【指标定义】</w:t>
      </w:r>
    </w:p>
    <w:p>
      <w:pPr>
        <w:widowControl/>
        <w:shd w:val="clear" w:color="auto" w:fill="FFFFFF"/>
        <w:spacing w:line="600" w:lineRule="exact"/>
        <w:ind w:firstLine="640" w:firstLineChars="200"/>
        <w:rPr>
          <w:kern w:val="0"/>
          <w:szCs w:val="32"/>
        </w:rPr>
      </w:pPr>
      <w:r>
        <w:rPr>
          <w:rFonts w:hint="eastAsia"/>
          <w:kern w:val="0"/>
          <w:szCs w:val="32"/>
        </w:rPr>
        <w:t>考核年度择期手术</w:t>
      </w:r>
      <w:r>
        <w:rPr>
          <w:rFonts w:ascii="仿宋_GB2312"/>
          <w:shd w:val="clear" w:color="auto" w:fill="FFFFFF"/>
          <w:vertAlign w:val="superscript"/>
        </w:rPr>
        <w:footnoteReference w:id="20"/>
      </w:r>
      <w:r>
        <w:rPr>
          <w:rFonts w:hint="eastAsia"/>
          <w:kern w:val="0"/>
          <w:szCs w:val="32"/>
        </w:rPr>
        <w:t>患者发生并发症</w:t>
      </w:r>
      <w:r>
        <w:rPr>
          <w:rFonts w:ascii="仿宋_GB2312"/>
          <w:shd w:val="clear" w:color="auto" w:fill="FFFFFF"/>
          <w:vertAlign w:val="superscript"/>
        </w:rPr>
        <w:footnoteReference w:id="21"/>
      </w:r>
      <w:r>
        <w:rPr>
          <w:rFonts w:hint="eastAsia"/>
          <w:kern w:val="0"/>
          <w:szCs w:val="32"/>
        </w:rPr>
        <w:t>例数占同期出院患者手术人数的比例。</w:t>
      </w:r>
    </w:p>
    <w:p>
      <w:pPr>
        <w:widowControl/>
        <w:shd w:val="clear" w:color="auto" w:fill="FFFFFF"/>
        <w:spacing w:line="600" w:lineRule="exact"/>
        <w:rPr>
          <w:b/>
          <w:kern w:val="0"/>
          <w:szCs w:val="32"/>
        </w:rPr>
      </w:pPr>
      <w:r>
        <w:rPr>
          <w:rFonts w:hint="eastAsia"/>
          <w:b/>
          <w:kern w:val="0"/>
          <w:szCs w:val="32"/>
        </w:rPr>
        <w:t>【计算方法】</w:t>
      </w:r>
    </w:p>
    <w:p>
      <w:pPr>
        <w:widowControl/>
        <w:shd w:val="clear" w:color="auto" w:fill="FFFFFF"/>
        <w:spacing w:before="87" w:beforeLines="20" w:after="87" w:afterLines="20" w:line="360" w:lineRule="auto"/>
        <w:jc w:val="left"/>
        <w:rPr>
          <w:rFonts w:ascii="仿宋_GB2312" w:hAnsi="黑体"/>
          <w:kern w:val="0"/>
          <w:sz w:val="24"/>
        </w:rPr>
      </w:pPr>
      <m:oMathPara>
        <m:oMathParaPr>
          <m:jc m:val="center"/>
        </m:oMathParaPr>
        <m:oMath>
          <w:bookmarkStart w:id="16" w:name="_Hlk8035153"/>
          <m:r>
            <m:rPr>
              <m:sty m:val="b"/>
            </m:rPr>
            <w:rPr>
              <w:rFonts w:hint="eastAsia" w:ascii="Cambria Math" w:hAnsi="Cambria Math" w:cs="宋体"/>
              <w:kern w:val="0"/>
              <w:sz w:val="24"/>
            </w:rPr>
            <m:t>手术患者并发症发生率=</m:t>
          </m:r>
          <m:f>
            <m:fPr>
              <m:ctrlPr>
                <w:rPr>
                  <w:rFonts w:hint="eastAsia" w:ascii="Cambria Math" w:hAnsi="Cambria Math" w:cs="宋体"/>
                  <w:kern w:val="0"/>
                  <w:sz w:val="24"/>
                </w:rPr>
              </m:ctrlPr>
            </m:fPr>
            <m:num>
              <m:r>
                <m:rPr>
                  <m:sty m:val="p"/>
                </m:rPr>
                <w:rPr>
                  <w:rFonts w:hint="eastAsia" w:ascii="Cambria Math" w:hAnsi="Cambria Math" w:cs="宋体"/>
                  <w:kern w:val="0"/>
                  <w:sz w:val="24"/>
                </w:rPr>
                <m:t>手术患者并发症发生人数</m:t>
              </m:r>
              <m:ctrlPr>
                <w:rPr>
                  <w:rFonts w:hint="eastAsia" w:ascii="Cambria Math" w:hAnsi="Cambria Math" w:cs="宋体"/>
                  <w:kern w:val="0"/>
                  <w:sz w:val="24"/>
                </w:rPr>
              </m:ctrlPr>
            </m:num>
            <m:den>
              <m:r>
                <m:rPr>
                  <m:sty m:val="p"/>
                </m:rPr>
                <w:rPr>
                  <w:rFonts w:hint="eastAsia" w:ascii="Cambria Math" w:hAnsi="Cambria Math" w:cs="宋体"/>
                  <w:kern w:val="0"/>
                  <w:sz w:val="24"/>
                </w:rPr>
                <m:t>同期出院患者手术人数</m:t>
              </m:r>
              <m:ctrlPr>
                <w:rPr>
                  <w:rFonts w:hint="eastAsia" w:ascii="Cambria Math" w:hAnsi="Cambria Math" w:cs="宋体"/>
                  <w:kern w:val="0"/>
                  <w:sz w:val="24"/>
                </w:rPr>
              </m:ctrlPr>
            </m:den>
          </m:f>
          <m:r>
            <m:rPr>
              <m:sty m:val="p"/>
            </m:rPr>
            <w:rPr>
              <w:rFonts w:hint="eastAsia" w:ascii="Cambria Math" w:hAnsi="Cambria Math" w:cs="宋体"/>
              <w:kern w:val="0"/>
              <w:sz w:val="24"/>
            </w:rPr>
            <m:t>×100%</m:t>
          </m:r>
        </m:oMath>
      </m:oMathPara>
    </w:p>
    <w:bookmarkEnd w:id="16"/>
    <w:p>
      <w:pPr>
        <w:widowControl/>
        <w:shd w:val="clear" w:color="auto" w:fill="FFFFFF"/>
        <w:spacing w:line="600" w:lineRule="exact"/>
        <w:rPr>
          <w:b/>
          <w:kern w:val="0"/>
          <w:szCs w:val="32"/>
        </w:rPr>
      </w:pPr>
      <w:r>
        <w:rPr>
          <w:rFonts w:hint="eastAsia"/>
          <w:b/>
          <w:kern w:val="0"/>
          <w:szCs w:val="32"/>
        </w:rPr>
        <w:t>【指标说明】</w:t>
      </w:r>
    </w:p>
    <w:p>
      <w:pPr>
        <w:shd w:val="clear" w:color="auto" w:fill="FFFFFF"/>
        <w:spacing w:line="600" w:lineRule="exact"/>
        <w:ind w:firstLine="640" w:firstLineChars="200"/>
        <w:rPr>
          <w:kern w:val="0"/>
          <w:szCs w:val="32"/>
        </w:rPr>
      </w:pPr>
      <w:r>
        <w:rPr>
          <w:rFonts w:hint="eastAsia"/>
          <w:kern w:val="0"/>
          <w:szCs w:val="32"/>
        </w:rPr>
        <w:t>（</w:t>
      </w:r>
      <w:r>
        <w:rPr>
          <w:rFonts w:ascii="仿宋_GB2312"/>
          <w:kern w:val="0"/>
          <w:szCs w:val="32"/>
        </w:rPr>
        <w:t>1</w:t>
      </w:r>
      <w:r>
        <w:rPr>
          <w:rFonts w:hint="eastAsia" w:ascii="仿宋_GB2312"/>
          <w:kern w:val="0"/>
          <w:szCs w:val="32"/>
        </w:rPr>
        <w:t>）</w:t>
      </w:r>
      <w:r>
        <w:rPr>
          <w:rFonts w:hint="eastAsia"/>
          <w:kern w:val="0"/>
          <w:szCs w:val="32"/>
        </w:rPr>
        <w:t>分子：</w:t>
      </w:r>
      <w:r>
        <w:rPr>
          <w:rFonts w:hint="eastAsia"/>
          <w:bCs/>
          <w:kern w:val="0"/>
          <w:szCs w:val="32"/>
        </w:rPr>
        <w:t>本年度手术患者并发症发生人数</w:t>
      </w:r>
      <w:r>
        <w:rPr>
          <w:rFonts w:hint="eastAsia"/>
          <w:kern w:val="0"/>
          <w:szCs w:val="32"/>
        </w:rPr>
        <w:t>为</w:t>
      </w:r>
      <w:r>
        <w:rPr>
          <w:rFonts w:hint="eastAsia"/>
          <w:bCs/>
          <w:kern w:val="0"/>
          <w:szCs w:val="32"/>
        </w:rPr>
        <w:t>择期手术和择期介入治疗患者并发症发生人数。统计中医</w:t>
      </w:r>
      <w:r>
        <w:rPr>
          <w:rFonts w:hint="eastAsia"/>
          <w:kern w:val="0"/>
          <w:szCs w:val="32"/>
        </w:rPr>
        <w:t>住院病案首页中出院诊断符合“手术并发症诊断相关名称”且该诊断入院病情为</w:t>
      </w:r>
      <w:r>
        <w:rPr>
          <w:rFonts w:hint="eastAsia"/>
          <w:kern w:val="0"/>
          <w:szCs w:val="32"/>
          <w:lang w:eastAsia="zh-CN"/>
        </w:rPr>
        <w:t>“</w:t>
      </w:r>
      <w:r>
        <w:rPr>
          <w:rFonts w:hint="eastAsia"/>
          <w:kern w:val="0"/>
          <w:szCs w:val="32"/>
        </w:rPr>
        <w:t>无</w:t>
      </w:r>
      <w:r>
        <w:rPr>
          <w:rFonts w:hint="eastAsia"/>
          <w:kern w:val="0"/>
          <w:szCs w:val="32"/>
          <w:lang w:eastAsia="zh-CN"/>
        </w:rPr>
        <w:t>”</w:t>
      </w:r>
      <w:r>
        <w:rPr>
          <w:rFonts w:hint="eastAsia"/>
          <w:kern w:val="0"/>
          <w:szCs w:val="32"/>
        </w:rPr>
        <w:t>（代码为4）的病例。同一患者在同一次住院发生多个入院病情为“无”的择期</w:t>
      </w:r>
      <w:r>
        <w:rPr>
          <w:rFonts w:hint="eastAsia"/>
          <w:szCs w:val="32"/>
        </w:rPr>
        <w:t>手术（含介入治疗）后并发症，按1人统计。</w:t>
      </w:r>
    </w:p>
    <w:p>
      <w:pPr>
        <w:widowControl/>
        <w:shd w:val="clear" w:color="auto" w:fill="FFFFFF"/>
        <w:spacing w:line="600" w:lineRule="exact"/>
        <w:ind w:firstLine="640" w:firstLineChars="200"/>
        <w:rPr>
          <w:kern w:val="0"/>
          <w:szCs w:val="32"/>
        </w:rPr>
      </w:pPr>
      <w:r>
        <w:rPr>
          <w:rFonts w:hint="eastAsia"/>
          <w:kern w:val="0"/>
          <w:szCs w:val="32"/>
        </w:rPr>
        <w:t>（</w:t>
      </w:r>
      <w:r>
        <w:rPr>
          <w:rFonts w:ascii="仿宋_GB2312"/>
          <w:kern w:val="0"/>
          <w:szCs w:val="32"/>
        </w:rPr>
        <w:t>2</w:t>
      </w:r>
      <w:r>
        <w:rPr>
          <w:rFonts w:hint="eastAsia"/>
          <w:kern w:val="0"/>
          <w:szCs w:val="32"/>
        </w:rPr>
        <w:t>）分母：同期出院患者</w:t>
      </w:r>
      <w:r>
        <w:rPr>
          <w:kern w:val="0"/>
          <w:szCs w:val="32"/>
        </w:rPr>
        <w:t>手术</w:t>
      </w:r>
      <w:r>
        <w:rPr>
          <w:rFonts w:hint="eastAsia"/>
          <w:szCs w:val="32"/>
        </w:rPr>
        <w:t>人</w:t>
      </w:r>
      <w:r>
        <w:rPr>
          <w:szCs w:val="32"/>
        </w:rPr>
        <w:t>数</w:t>
      </w:r>
      <w:r>
        <w:rPr>
          <w:rFonts w:hint="eastAsia"/>
          <w:kern w:val="0"/>
          <w:szCs w:val="32"/>
        </w:rPr>
        <w:t>指同期出院患者择期手术和择期介入治疗人数累加</w:t>
      </w:r>
      <w:r>
        <w:rPr>
          <w:szCs w:val="32"/>
        </w:rPr>
        <w:t>求和</w:t>
      </w:r>
      <w:r>
        <w:rPr>
          <w:rFonts w:hint="eastAsia"/>
          <w:kern w:val="0"/>
          <w:szCs w:val="32"/>
        </w:rPr>
        <w:t>。不包括妊娠、分娩、围产期、新生儿患者。</w:t>
      </w:r>
    </w:p>
    <w:p>
      <w:pPr>
        <w:widowControl/>
        <w:shd w:val="clear" w:color="auto" w:fill="FFFFFF"/>
        <w:spacing w:line="600" w:lineRule="exact"/>
        <w:ind w:firstLine="640" w:firstLineChars="200"/>
        <w:rPr>
          <w:kern w:val="0"/>
          <w:szCs w:val="32"/>
        </w:rPr>
      </w:pPr>
      <w:r>
        <w:rPr>
          <w:rFonts w:hint="eastAsia"/>
          <w:kern w:val="0"/>
          <w:szCs w:val="32"/>
        </w:rPr>
        <w:t>（3）本年度考核的手术并发症仅统计择期手术后，并发于手术或手术后的疾病或情况的人数。</w:t>
      </w:r>
    </w:p>
    <w:p>
      <w:pPr>
        <w:widowControl/>
        <w:shd w:val="clear" w:color="auto" w:fill="FFFFFF"/>
        <w:spacing w:line="600" w:lineRule="exact"/>
        <w:ind w:firstLine="640" w:firstLineChars="200"/>
        <w:rPr>
          <w:kern w:val="0"/>
          <w:szCs w:val="32"/>
        </w:rPr>
      </w:pPr>
      <w:r>
        <w:rPr>
          <w:rFonts w:hint="eastAsia"/>
          <w:kern w:val="0"/>
          <w:szCs w:val="32"/>
        </w:rPr>
        <w:t>（4）本年度考核手术名称和编码参阅《手术操作分类代码国家临床版3.0（2022汇总版）》。</w:t>
      </w:r>
    </w:p>
    <w:p>
      <w:pPr>
        <w:widowControl/>
        <w:shd w:val="clear" w:color="auto" w:fill="FFFFFF"/>
        <w:spacing w:line="600" w:lineRule="exact"/>
        <w:rPr>
          <w:b/>
          <w:kern w:val="0"/>
          <w:szCs w:val="32"/>
        </w:rPr>
      </w:pPr>
      <w:r>
        <w:rPr>
          <w:rFonts w:hint="eastAsia"/>
          <w:b/>
          <w:kern w:val="0"/>
          <w:szCs w:val="32"/>
        </w:rPr>
        <w:t>【指标意义】</w:t>
      </w:r>
    </w:p>
    <w:p>
      <w:pPr>
        <w:widowControl/>
        <w:shd w:val="clear" w:color="auto" w:fill="FFFFFF"/>
        <w:adjustRightInd w:val="0"/>
        <w:spacing w:line="600" w:lineRule="exact"/>
        <w:ind w:firstLine="640" w:firstLineChars="200"/>
        <w:rPr>
          <w:kern w:val="0"/>
          <w:szCs w:val="32"/>
        </w:rPr>
      </w:pPr>
      <w:r>
        <w:rPr>
          <w:rFonts w:hint="eastAsia"/>
          <w:kern w:val="0"/>
          <w:szCs w:val="32"/>
        </w:rPr>
        <w:t>预防手术后并发症发生是医疗质量管理和监控的重点，也是患者安全管理的核心内容，是衡量医疗技术能力和管理水平的重要结果指标之一。</w:t>
      </w:r>
      <w:r>
        <w:rPr>
          <w:rFonts w:hint="eastAsia"/>
        </w:rPr>
        <w:t>国家卫生健康委关于印发《三级医院评审标准（2022年版）》及其实施细则的通知(国卫医政发〔2022〕31号)</w:t>
      </w:r>
      <w:r>
        <w:rPr>
          <w:rFonts w:hint="eastAsia" w:ascii="仿宋_GB2312"/>
          <w:kern w:val="0"/>
          <w:szCs w:val="32"/>
        </w:rPr>
        <w:t>将</w:t>
      </w:r>
      <w:r>
        <w:rPr>
          <w:rFonts w:hint="eastAsia"/>
        </w:rPr>
        <w:t>疾病/手术并发症发生例数和发生率作为医疗质量安全的评价指标。</w:t>
      </w:r>
    </w:p>
    <w:p>
      <w:pPr>
        <w:widowControl/>
        <w:shd w:val="clear" w:color="auto" w:fill="FFFFFF"/>
        <w:spacing w:line="600" w:lineRule="exact"/>
        <w:rPr>
          <w:b/>
          <w:kern w:val="0"/>
          <w:szCs w:val="32"/>
        </w:rPr>
      </w:pPr>
      <w:r>
        <w:rPr>
          <w:rFonts w:hint="eastAsia"/>
          <w:b/>
          <w:kern w:val="0"/>
          <w:szCs w:val="32"/>
        </w:rPr>
        <w:t>【指标导向</w:t>
      </w:r>
      <w:r>
        <w:rPr>
          <w:rFonts w:hint="eastAsia"/>
          <w:b/>
          <w:bCs/>
          <w:kern w:val="0"/>
          <w:szCs w:val="32"/>
        </w:rPr>
        <w:t>】</w:t>
      </w:r>
      <w:r>
        <w:rPr>
          <w:rFonts w:hint="eastAsia"/>
          <w:kern w:val="0"/>
          <w:szCs w:val="32"/>
        </w:rPr>
        <w:t>逐步降低。</w:t>
      </w:r>
    </w:p>
    <w:p>
      <w:pPr>
        <w:shd w:val="clear" w:color="auto" w:fill="FFFFFF"/>
        <w:spacing w:line="600" w:lineRule="exact"/>
        <w:rPr>
          <w:b/>
          <w:szCs w:val="32"/>
        </w:rPr>
      </w:pPr>
      <w:r>
        <w:rPr>
          <w:rFonts w:hint="eastAsia"/>
          <w:b/>
          <w:szCs w:val="32"/>
        </w:rPr>
        <w:t>【指标来源】</w:t>
      </w:r>
      <w:r>
        <w:rPr>
          <w:rFonts w:hint="eastAsia"/>
          <w:bCs/>
          <w:szCs w:val="32"/>
        </w:rPr>
        <w:t>中医病案首页</w:t>
      </w:r>
      <w:r>
        <w:rPr>
          <w:rFonts w:hint="eastAsia"/>
          <w:szCs w:val="32"/>
        </w:rPr>
        <w:t>。</w:t>
      </w:r>
    </w:p>
    <w:p>
      <w:pPr>
        <w:widowControl/>
        <w:spacing w:line="600" w:lineRule="exact"/>
        <w:rPr>
          <w:kern w:val="0"/>
          <w:szCs w:val="32"/>
        </w:rPr>
      </w:pPr>
      <w:r>
        <w:rPr>
          <w:rFonts w:hint="eastAsia"/>
          <w:b/>
          <w:kern w:val="0"/>
          <w:szCs w:val="32"/>
        </w:rPr>
        <w:t>【指标解释】</w:t>
      </w:r>
      <w:r>
        <w:rPr>
          <w:rFonts w:hint="eastAsia"/>
          <w:kern w:val="0"/>
          <w:szCs w:val="32"/>
        </w:rPr>
        <w:t>中国中医科学院。</w:t>
      </w:r>
    </w:p>
    <w:p>
      <w:pPr>
        <w:widowControl/>
        <w:shd w:val="clear" w:color="auto" w:fill="FFFFFF"/>
        <w:spacing w:line="600" w:lineRule="atLeast"/>
        <w:rPr>
          <w:rFonts w:ascii="仿宋_GB2312"/>
          <w:b/>
          <w:szCs w:val="32"/>
          <w:shd w:val="clear" w:color="auto" w:fill="FFFFFF"/>
        </w:rPr>
      </w:pPr>
      <w:r>
        <w:rPr>
          <w:kern w:val="0"/>
          <w:szCs w:val="32"/>
        </w:rPr>
        <w:br w:type="page"/>
      </w:r>
      <w:r>
        <w:rPr>
          <w:rFonts w:ascii="仿宋_GB2312"/>
          <w:b/>
          <w:szCs w:val="32"/>
          <w:shd w:val="clear" w:color="auto" w:fill="FFFFFF"/>
        </w:rPr>
        <w:t>8</w:t>
      </w:r>
      <w:r>
        <w:rPr>
          <w:rFonts w:hint="eastAsia" w:ascii="仿宋_GB2312"/>
          <w:b/>
          <w:szCs w:val="32"/>
          <w:shd w:val="clear" w:color="auto" w:fill="FFFFFF"/>
        </w:rPr>
        <w:t>.理法方药使用一致的出院患者比例</w:t>
      </w:r>
    </w:p>
    <w:p>
      <w:pPr>
        <w:spacing w:line="600" w:lineRule="atLeast"/>
        <w:ind w:right="-499" w:rightChars="-156"/>
        <w:rPr>
          <w:rFonts w:ascii="仿宋_GB2312"/>
          <w:kern w:val="0"/>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考核年度归档病历中理法方药使用一致</w:t>
      </w:r>
      <w:r>
        <w:rPr>
          <w:rFonts w:hint="eastAsia" w:ascii="仿宋_GB2312"/>
          <w:szCs w:val="32"/>
          <w:shd w:val="clear" w:color="auto" w:fill="FFFFFF"/>
          <w:vertAlign w:val="superscript"/>
        </w:rPr>
        <w:footnoteReference w:id="22"/>
      </w:r>
      <w:r>
        <w:rPr>
          <w:rFonts w:hint="eastAsia" w:ascii="仿宋_GB2312"/>
          <w:szCs w:val="32"/>
          <w:shd w:val="clear" w:color="auto" w:fill="FFFFFF"/>
        </w:rPr>
        <w:t>的出院患者人次数占同期出院患者总人次数的比例。</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1596" w:rightChars="-499"/>
        <w:rPr>
          <w:rFonts w:ascii="仿宋_GB2312" w:eastAsiaTheme="minorEastAsia"/>
          <w:szCs w:val="32"/>
          <w:shd w:val="clear" w:color="auto" w:fill="FFFFFF"/>
        </w:rPr>
      </w:pPr>
      <m:oMathPara>
        <m:oMath>
          <m:r>
            <m:rPr>
              <m:sty m:val="b"/>
            </m:rPr>
            <w:rPr>
              <w:rFonts w:hint="eastAsia" w:ascii="Cambria Math" w:hAnsi="Cambria Math"/>
              <w:sz w:val="24"/>
              <w:shd w:val="clear" w:color="auto" w:fill="FFFFFF"/>
            </w:rPr>
            <m:t>理法方药一致的出院患者比例</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理法方药使用一致的出院患者人次数</m:t>
              </m:r>
              <m:ctrlPr>
                <w:rPr>
                  <w:rFonts w:ascii="Cambria Math" w:hAnsi="黑体"/>
                  <w:b/>
                  <w:sz w:val="24"/>
                  <w:shd w:val="clear" w:color="auto" w:fill="FFFFFF"/>
                </w:rPr>
              </m:ctrlPr>
            </m:num>
            <m:den>
              <m:r>
                <m:rPr>
                  <m:sty m:val="p"/>
                </m:rPr>
                <w:rPr>
                  <w:rFonts w:hint="eastAsia" w:ascii="Cambria Math" w:hAnsi="Cambria Math"/>
                  <w:sz w:val="24"/>
                  <w:shd w:val="clear" w:color="auto" w:fill="FFFFFF"/>
                </w:rPr>
                <m:t>同期出院患者总人次数</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（1）分子：理法方药使用一致的出院患者人次数是指考核年度抽查的归档病历中全部病程记录均应符合理法方药一致</w:t>
      </w:r>
      <w:r>
        <w:rPr>
          <w:rFonts w:hint="eastAsia" w:ascii="仿宋_GB2312"/>
          <w:szCs w:val="32"/>
          <w:shd w:val="clear" w:color="auto" w:fill="FFFFFF"/>
          <w:vertAlign w:val="superscript"/>
        </w:rPr>
        <w:footnoteReference w:id="23"/>
      </w:r>
      <w:r>
        <w:rPr>
          <w:rFonts w:hint="eastAsia" w:ascii="仿宋_GB2312"/>
          <w:szCs w:val="32"/>
          <w:shd w:val="clear" w:color="auto" w:fill="FFFFFF"/>
        </w:rPr>
        <w:t xml:space="preserve">的出院患者人次数。 </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（2）分母：出院患者总人次数是指住院后出院的人数，包括医嘱离院、医嘱转其他医疗机构、非医嘱离院、死亡及其他人数，不含家庭病床撤床人数。本指标特指医院同期抽查出院患者归档病历总数。</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（3）医院管理部门应随机抽查考核年度出院病历2％，且绝对数不少于100份病历；抽查病历的科室应涵盖医院设有病房的临床科室数的80%以上。</w:t>
      </w:r>
    </w:p>
    <w:p>
      <w:pPr>
        <w:spacing w:line="600" w:lineRule="atLeast"/>
        <w:ind w:right="-499" w:rightChars="-156"/>
        <w:jc w:val="left"/>
        <w:rPr>
          <w:rFonts w:ascii="仿宋_GB2312"/>
          <w:b/>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adjustRightInd w:val="0"/>
        <w:spacing w:line="600" w:lineRule="atLeast"/>
        <w:ind w:firstLine="640" w:firstLineChars="200"/>
        <w:rPr>
          <w:rFonts w:ascii="仿宋_GB2312"/>
          <w:b/>
          <w:szCs w:val="32"/>
          <w:shd w:val="clear" w:color="auto" w:fill="FFFFFF"/>
        </w:rPr>
      </w:pPr>
      <w:r>
        <w:rPr>
          <w:rFonts w:hint="eastAsia" w:ascii="仿宋_GB2312" w:cs="Arial"/>
          <w:szCs w:val="32"/>
          <w:shd w:val="clear" w:color="auto" w:fill="FFFFFF"/>
        </w:rPr>
        <w:t>国家卫生健康委员会《关于印发&lt;医疗质量安全核心制度要点&gt;的通知》（国卫医发〔2018〕8号）病历管理制度基本要求明确“医疗机构应当建立住院及门急诊病历管理和质量控制制度，严格落实国家病历书写管理和应用相关规定，建立病历质量检查、评估和反馈机制”。理法方药是中医学关于诊断与治疗操作规范的四大要素。辨证论治是理法方药运用于临床的过程，为中医学的基本特色。</w:t>
      </w:r>
      <w:r>
        <w:rPr>
          <w:rFonts w:hint="eastAsia" w:ascii="仿宋_GB2312"/>
          <w:szCs w:val="32"/>
          <w:shd w:val="clear" w:color="auto" w:fill="FFFFFF"/>
        </w:rPr>
        <w:t>理法方药一致性体现了中医辨证论治的准确性，反映中医理论与临床相结合水平，体现中医规范与安全性，是中医医疗质量与安全的基本要求。《二级中医医院评审标准（2018年版）》（国中医药办医政函〔</w:t>
      </w:r>
      <w:r>
        <w:rPr>
          <w:rFonts w:ascii="仿宋_GB2312"/>
          <w:szCs w:val="32"/>
          <w:shd w:val="clear" w:color="auto" w:fill="FFFFFF"/>
        </w:rPr>
        <w:t>2018</w:t>
      </w:r>
      <w:r>
        <w:rPr>
          <w:rFonts w:hint="eastAsia" w:ascii="仿宋_GB2312"/>
          <w:szCs w:val="32"/>
          <w:shd w:val="clear" w:color="auto" w:fill="FFFFFF"/>
        </w:rPr>
        <w:t>〕88号）、《二级中西医结合医院评审标准（2018年版）》和《二级民族医医院评审标准（2018年版）》（国中医药医政函〔2018〕96号）明确要求首次病程记录及病程记录体现理法方药一致性。</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指标导向</w:t>
      </w:r>
      <w:r>
        <w:rPr>
          <w:rFonts w:hint="eastAsia" w:ascii="仿宋_GB2312"/>
          <w:szCs w:val="32"/>
          <w:shd w:val="clear" w:color="auto" w:fill="FFFFFF"/>
        </w:rPr>
        <w:t>】逐步提高。</w:t>
      </w:r>
    </w:p>
    <w:p>
      <w:pPr>
        <w:spacing w:line="600" w:lineRule="atLeast"/>
        <w:ind w:right="-1596" w:rightChars="-499"/>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指标来源</w:t>
      </w:r>
      <w:r>
        <w:rPr>
          <w:rFonts w:hint="eastAsia" w:ascii="仿宋_GB2312"/>
          <w:szCs w:val="32"/>
          <w:shd w:val="clear" w:color="auto" w:fill="FFFFFF"/>
        </w:rPr>
        <w:t>】</w:t>
      </w:r>
      <w:r>
        <w:rPr>
          <w:rFonts w:hint="eastAsia" w:ascii="仿宋_GB2312"/>
          <w:kern w:val="0"/>
          <w:szCs w:val="32"/>
          <w:shd w:val="clear" w:color="auto" w:fill="FFFFFF"/>
        </w:rPr>
        <w:t>医院填报。</w:t>
      </w:r>
    </w:p>
    <w:p>
      <w:pPr>
        <w:widowControl/>
        <w:spacing w:line="600" w:lineRule="exact"/>
        <w:rPr>
          <w:szCs w:val="32"/>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】省级中医药主管部门。</w:t>
      </w:r>
      <w:r>
        <w:rPr>
          <w:rFonts w:eastAsia="仿宋"/>
          <w:b/>
          <w:szCs w:val="32"/>
          <w:shd w:val="clear" w:color="auto" w:fill="FFFFFF"/>
        </w:rPr>
        <w:br w:type="page"/>
      </w:r>
    </w:p>
    <w:p>
      <w:pPr>
        <w:keepNext/>
        <w:keepLines/>
        <w:shd w:val="clear" w:color="auto" w:fill="FFFFFF"/>
        <w:spacing w:line="600" w:lineRule="exact"/>
        <w:jc w:val="left"/>
        <w:outlineLvl w:val="1"/>
        <w:rPr>
          <w:rFonts w:eastAsia="楷体_GB2312"/>
          <w:b/>
          <w:bCs/>
          <w:szCs w:val="32"/>
        </w:rPr>
      </w:pPr>
      <w:bookmarkStart w:id="17" w:name="_Toc42857911"/>
      <w:r>
        <w:rPr>
          <w:rFonts w:hint="eastAsia" w:eastAsia="楷体_GB2312"/>
          <w:b/>
          <w:bCs/>
          <w:szCs w:val="32"/>
        </w:rPr>
        <w:t>（三）合理</w:t>
      </w:r>
      <w:r>
        <w:rPr>
          <w:rFonts w:eastAsia="楷体_GB2312"/>
          <w:b/>
          <w:bCs/>
          <w:szCs w:val="32"/>
        </w:rPr>
        <w:t>用药</w:t>
      </w:r>
      <w:r>
        <w:rPr>
          <w:rFonts w:hint="eastAsia" w:eastAsia="楷体_GB2312"/>
          <w:b/>
          <w:bCs/>
          <w:szCs w:val="32"/>
        </w:rPr>
        <w:t>（指标</w:t>
      </w:r>
      <w:r>
        <w:rPr>
          <w:rFonts w:eastAsia="楷体_GB2312"/>
          <w:b/>
          <w:bCs/>
          <w:szCs w:val="32"/>
        </w:rPr>
        <w:t>9</w:t>
      </w:r>
      <w:r>
        <w:rPr>
          <w:rFonts w:hint="eastAsia" w:eastAsia="楷体_GB2312"/>
          <w:b/>
          <w:bCs/>
          <w:szCs w:val="32"/>
        </w:rPr>
        <w:t>—</w:t>
      </w:r>
      <w:r>
        <w:rPr>
          <w:rFonts w:eastAsia="楷体_GB2312"/>
          <w:b/>
          <w:bCs/>
          <w:szCs w:val="32"/>
        </w:rPr>
        <w:t>13</w:t>
      </w:r>
      <w:r>
        <w:rPr>
          <w:rFonts w:hint="eastAsia" w:eastAsia="楷体_GB2312"/>
          <w:b/>
          <w:bCs/>
          <w:szCs w:val="32"/>
        </w:rPr>
        <w:t>）</w:t>
      </w:r>
      <w:bookmarkEnd w:id="17"/>
    </w:p>
    <w:p>
      <w:pPr>
        <w:widowControl/>
        <w:shd w:val="clear" w:color="auto" w:fill="FFFFFF"/>
        <w:spacing w:line="600" w:lineRule="exact"/>
        <w:rPr>
          <w:b/>
          <w:bCs/>
          <w:kern w:val="0"/>
          <w:szCs w:val="32"/>
        </w:rPr>
      </w:pPr>
      <w:r>
        <w:rPr>
          <w:b/>
          <w:bCs/>
          <w:kern w:val="0"/>
          <w:szCs w:val="32"/>
        </w:rPr>
        <w:t>9</w:t>
      </w:r>
      <w:r>
        <w:rPr>
          <w:rFonts w:hint="eastAsia"/>
          <w:b/>
          <w:bCs/>
          <w:kern w:val="0"/>
          <w:szCs w:val="32"/>
        </w:rPr>
        <w:t>. 抗菌药物使用强度（</w:t>
      </w:r>
      <w:r>
        <w:rPr>
          <w:rFonts w:ascii="仿宋_GB2312"/>
          <w:b/>
          <w:bCs/>
          <w:kern w:val="0"/>
          <w:szCs w:val="32"/>
        </w:rPr>
        <w:t>DDDs</w:t>
      </w:r>
      <w:r>
        <w:rPr>
          <w:rFonts w:hint="eastAsia"/>
          <w:b/>
          <w:bCs/>
          <w:kern w:val="0"/>
          <w:szCs w:val="32"/>
        </w:rPr>
        <w:t>）▲</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Cs/>
          <w:szCs w:val="32"/>
        </w:rPr>
      </w:pPr>
      <w:r>
        <w:rPr>
          <w:rFonts w:hint="eastAsia"/>
          <w:b/>
          <w:szCs w:val="32"/>
        </w:rPr>
        <w:t>【计量单位】</w:t>
      </w:r>
      <w:r>
        <w:rPr>
          <w:rFonts w:ascii="仿宋_GB2312"/>
          <w:bCs/>
          <w:szCs w:val="32"/>
        </w:rPr>
        <w:t>DDD</w:t>
      </w:r>
    </w:p>
    <w:p>
      <w:pPr>
        <w:spacing w:line="600" w:lineRule="exact"/>
        <w:rPr>
          <w:b/>
          <w:szCs w:val="32"/>
        </w:rPr>
      </w:pPr>
      <w:r>
        <w:rPr>
          <w:rFonts w:hint="eastAsia"/>
          <w:b/>
          <w:szCs w:val="32"/>
        </w:rPr>
        <w:t>【指标定义】</w:t>
      </w:r>
    </w:p>
    <w:p>
      <w:pPr>
        <w:adjustRightInd w:val="0"/>
        <w:spacing w:line="600" w:lineRule="exact"/>
        <w:ind w:firstLine="640" w:firstLineChars="200"/>
        <w:rPr>
          <w:bCs/>
          <w:szCs w:val="32"/>
        </w:rPr>
      </w:pPr>
      <w:r>
        <w:rPr>
          <w:rFonts w:hint="eastAsia"/>
          <w:bCs/>
          <w:szCs w:val="32"/>
        </w:rPr>
        <w:t>考核</w:t>
      </w:r>
      <w:r>
        <w:rPr>
          <w:bCs/>
          <w:szCs w:val="32"/>
        </w:rPr>
        <w:t>年度</w:t>
      </w:r>
      <w:r>
        <w:rPr>
          <w:rFonts w:hint="eastAsia"/>
          <w:bCs/>
          <w:szCs w:val="32"/>
        </w:rPr>
        <w:t>通过成人抗菌药物的平均日剂量</w:t>
      </w:r>
      <w:r>
        <w:rPr>
          <w:rFonts w:hint="eastAsia" w:ascii="仿宋_GB2312"/>
          <w:bCs/>
          <w:szCs w:val="32"/>
        </w:rPr>
        <w:t>（</w:t>
      </w:r>
      <w:r>
        <w:rPr>
          <w:rFonts w:ascii="仿宋_GB2312"/>
          <w:bCs/>
          <w:szCs w:val="32"/>
        </w:rPr>
        <w:t>Defined Daily Doses</w:t>
      </w:r>
      <w:r>
        <w:rPr>
          <w:rFonts w:hint="eastAsia" w:ascii="仿宋_GB2312"/>
          <w:bCs/>
          <w:szCs w:val="32"/>
        </w:rPr>
        <w:t>，</w:t>
      </w:r>
      <w:r>
        <w:rPr>
          <w:rFonts w:ascii="仿宋_GB2312"/>
          <w:bCs/>
          <w:szCs w:val="32"/>
        </w:rPr>
        <w:t>DDDs</w:t>
      </w:r>
      <w:r>
        <w:rPr>
          <w:rFonts w:hint="eastAsia" w:ascii="仿宋_GB2312"/>
          <w:shd w:val="clear" w:color="auto" w:fill="FFFFFF"/>
          <w:vertAlign w:val="superscript"/>
        </w:rPr>
        <w:footnoteReference w:id="24"/>
      </w:r>
      <w:r>
        <w:rPr>
          <w:rFonts w:hint="eastAsia" w:ascii="仿宋_GB2312"/>
          <w:bCs/>
          <w:szCs w:val="32"/>
        </w:rPr>
        <w:t>）分析评价</w:t>
      </w:r>
      <w:bookmarkStart w:id="18" w:name="_Hlk23456510"/>
      <w:r>
        <w:rPr>
          <w:rFonts w:hint="eastAsia" w:ascii="仿宋_GB2312"/>
          <w:bCs/>
          <w:szCs w:val="32"/>
        </w:rPr>
        <w:t>抗菌药物使用强度</w:t>
      </w:r>
      <w:bookmarkEnd w:id="18"/>
      <w:r>
        <w:rPr>
          <w:rFonts w:hint="eastAsia" w:ascii="仿宋_GB2312"/>
          <w:bCs/>
          <w:szCs w:val="32"/>
        </w:rPr>
        <w:t>。</w:t>
      </w:r>
      <w:r>
        <w:rPr>
          <w:rFonts w:ascii="仿宋_GB2312"/>
          <w:bCs/>
          <w:szCs w:val="32"/>
        </w:rPr>
        <w:t>DDD</w:t>
      </w:r>
      <w:r>
        <w:rPr>
          <w:rFonts w:hint="eastAsia"/>
          <w:bCs/>
          <w:szCs w:val="32"/>
        </w:rPr>
        <w:t>作为用药频度分析单位，不受治疗分类、剂型和不同人群的限制。</w:t>
      </w:r>
    </w:p>
    <w:p>
      <w:pPr>
        <w:spacing w:line="600" w:lineRule="exact"/>
        <w:rPr>
          <w:b/>
          <w:szCs w:val="32"/>
        </w:rPr>
      </w:pPr>
      <w:r>
        <w:rPr>
          <w:rFonts w:hint="eastAsia"/>
          <w:b/>
          <w:szCs w:val="32"/>
        </w:rPr>
        <w:t>【计算方法】</w:t>
      </w:r>
    </w:p>
    <w:p>
      <w:pPr>
        <w:spacing w:before="87" w:beforeLines="20" w:after="87" w:afterLines="20" w:line="360" w:lineRule="auto"/>
        <w:ind w:right="-1468" w:rightChars="-459" w:firstLine="420"/>
        <w:jc w:val="left"/>
        <w:rPr>
          <w:rFonts w:ascii="仿宋_GB2312" w:hAnsi="黑体"/>
          <w:sz w:val="24"/>
        </w:rPr>
      </w:pPr>
      <m:oMathPara>
        <m:oMathParaPr>
          <m:jc m:val="left"/>
        </m:oMathParaPr>
        <m:oMath>
          <m:r>
            <m:rPr>
              <m:sty m:val="b"/>
            </m:rPr>
            <w:rPr>
              <w:rFonts w:hint="eastAsia" w:ascii="Cambria Math" w:hAnsi="Cambria Math"/>
              <w:sz w:val="24"/>
            </w:rPr>
            <m:t>抗菌药物使用强度</m:t>
          </m:r>
          <m:d>
            <m:dPr>
              <m:begChr m:val="（"/>
              <m:endChr m:val="）"/>
              <m:ctrlPr>
                <w:rPr>
                  <w:rFonts w:hint="eastAsia" w:ascii="Cambria Math" w:hAnsi="Cambria Math"/>
                  <w:b/>
                  <w:sz w:val="24"/>
                </w:rPr>
              </m:ctrlPr>
            </m:dPr>
            <m:e>
              <m:r>
                <m:rPr>
                  <m:sty m:val="b"/>
                </m:rPr>
                <w:rPr>
                  <w:rFonts w:hint="eastAsia" w:ascii="Cambria Math" w:hAnsi="Cambria Math"/>
                  <w:sz w:val="24"/>
                </w:rPr>
                <m:t>DDDs</m:t>
              </m:r>
              <m:ctrlPr>
                <w:rPr>
                  <w:rFonts w:hint="eastAsia" w:ascii="Cambria Math" w:hAnsi="Cambria Math"/>
                  <w:b/>
                  <w:sz w:val="24"/>
                </w:rPr>
              </m:ctrlPr>
            </m:e>
          </m:d>
          <m:r>
            <m:rPr/>
            <w:rPr>
              <w:rFonts w:hint="eastAsia" w:ascii="Cambria Math" w:hAnsi="Cambria Math"/>
              <w:sz w:val="24"/>
            </w:rPr>
            <m:t>=</m:t>
          </m:r>
          <m:f>
            <m:fPr>
              <m:ctrlPr>
                <w:rPr>
                  <w:rFonts w:hint="eastAsia" w:ascii="Cambria Math" w:hAnsi="Cambria Math"/>
                  <w:iCs/>
                  <w:sz w:val="24"/>
                </w:rPr>
              </m:ctrlPr>
            </m:fPr>
            <m:num>
              <m:r>
                <m:rPr>
                  <m:sty m:val="p"/>
                </m:rPr>
                <w:rPr>
                  <w:rFonts w:hint="eastAsia" w:ascii="Cambria Math" w:hAnsi="Cambria Math"/>
                  <w:sz w:val="24"/>
                </w:rPr>
                <m:t>住院患者抗菌药物消耗量</m:t>
              </m:r>
              <m:r>
                <m:rPr>
                  <m:sty m:val="p"/>
                </m:rPr>
                <w:rPr>
                  <w:rStyle w:val="34"/>
                  <w:rFonts w:hint="eastAsia" w:ascii="Cambria Math" w:hAnsi="Cambria Math"/>
                  <w:sz w:val="24"/>
                </w:rPr>
                <w:footnoteReference w:id="25"/>
              </m:r>
              <m:r>
                <m:rPr>
                  <m:sty m:val="p"/>
                </m:rPr>
                <w:rPr>
                  <w:rFonts w:hint="eastAsia" w:ascii="Cambria Math" w:hAnsi="Cambria Math"/>
                  <w:sz w:val="24"/>
                </w:rPr>
                <m:t>（累计DDD数）</m:t>
              </m:r>
              <m:ctrlPr>
                <w:rPr>
                  <w:rFonts w:hint="eastAsia" w:ascii="Cambria Math" w:hAnsi="Cambria Math"/>
                  <w:iCs/>
                  <w:sz w:val="24"/>
                </w:rPr>
              </m:ctrlPr>
            </m:num>
            <m:den>
              <m:r>
                <m:rPr>
                  <m:sty m:val="p"/>
                </m:rPr>
                <w:rPr>
                  <w:rFonts w:hint="eastAsia" w:ascii="Cambria Math" w:hAnsi="Cambria Math"/>
                  <w:sz w:val="24"/>
                </w:rPr>
                <m:t>同期收治患者人天数</m:t>
              </m:r>
              <m:ctrlPr>
                <w:rPr>
                  <w:rFonts w:hint="eastAsia" w:ascii="Cambria Math" w:hAnsi="Cambria Math"/>
                  <w:iCs/>
                  <w:sz w:val="24"/>
                </w:rPr>
              </m:ctrlPr>
            </m:den>
          </m:f>
          <m:r>
            <m:rPr>
              <m:sty m:val="p"/>
            </m:rPr>
            <w:rPr>
              <w:rFonts w:hint="eastAsia" w:ascii="Cambria Math" w:hAnsi="Cambria Math"/>
              <w:sz w:val="24"/>
            </w:rPr>
            <m:t>×100</m:t>
          </m:r>
        </m:oMath>
      </m:oMathPara>
    </w:p>
    <w:p>
      <w:pPr>
        <w:spacing w:line="600" w:lineRule="exact"/>
        <w:rPr>
          <w:b/>
          <w:szCs w:val="32"/>
        </w:rPr>
      </w:pPr>
      <w:r>
        <w:rPr>
          <w:rFonts w:hint="eastAsia"/>
          <w:b/>
          <w:szCs w:val="32"/>
        </w:rPr>
        <w:t>【指标说明】</w:t>
      </w:r>
    </w:p>
    <w:p>
      <w:pPr>
        <w:adjustRightInd w:val="0"/>
        <w:spacing w:line="600" w:lineRule="exact"/>
        <w:ind w:firstLine="640" w:firstLineChars="200"/>
      </w:pPr>
      <w:r>
        <w:rPr>
          <w:rFonts w:hint="eastAsia"/>
          <w:szCs w:val="32"/>
        </w:rPr>
        <w:t>（</w:t>
      </w:r>
      <w:r>
        <w:rPr>
          <w:szCs w:val="32"/>
        </w:rPr>
        <w:t>1</w:t>
      </w:r>
      <w:r>
        <w:rPr>
          <w:rFonts w:hint="eastAsia"/>
          <w:szCs w:val="32"/>
        </w:rPr>
        <w:t>）分子：本年度仅考核住院患者在院期间抗菌药物应用情况，不包括住院患者出院带药。</w:t>
      </w:r>
    </w:p>
    <w:p>
      <w:pPr>
        <w:adjustRightInd w:val="0"/>
        <w:spacing w:line="600" w:lineRule="exact"/>
        <w:ind w:firstLine="640" w:firstLineChars="200"/>
        <w:rPr>
          <w:szCs w:val="32"/>
        </w:rPr>
      </w:pPr>
      <w:r>
        <w:rPr>
          <w:rFonts w:hint="eastAsia"/>
          <w:szCs w:val="32"/>
        </w:rPr>
        <w:t>（</w:t>
      </w:r>
      <w:r>
        <w:rPr>
          <w:szCs w:val="32"/>
        </w:rPr>
        <w:t>2</w:t>
      </w:r>
      <w:r>
        <w:rPr>
          <w:rFonts w:hint="eastAsia"/>
          <w:szCs w:val="32"/>
        </w:rPr>
        <w:t>）分母：同期收治患者人天数即</w:t>
      </w:r>
      <w:r>
        <w:rPr>
          <w:rFonts w:hint="eastAsia" w:ascii="Calibri" w:hAnsi="Calibri"/>
          <w:szCs w:val="32"/>
        </w:rPr>
        <w:t>出院者占用总床日数，指所有出院人数的住院床日之和。包括正常分娩、未产出院、住院经检查无病出院、未治出院及健康人进行人工流产或绝育手术后正常出院者的住院床日数。</w:t>
      </w:r>
    </w:p>
    <w:p>
      <w:pPr>
        <w:spacing w:line="600" w:lineRule="exact"/>
        <w:rPr>
          <w:b/>
          <w:szCs w:val="32"/>
        </w:rPr>
      </w:pPr>
      <w:r>
        <w:rPr>
          <w:rFonts w:hint="eastAsia"/>
          <w:b/>
          <w:szCs w:val="32"/>
        </w:rPr>
        <w:t>【指标意义】</w:t>
      </w:r>
    </w:p>
    <w:p>
      <w:pPr>
        <w:spacing w:line="600" w:lineRule="exact"/>
        <w:ind w:firstLine="640" w:firstLineChars="200"/>
        <w:rPr>
          <w:rFonts w:ascii="仿宋_GB2312"/>
          <w:szCs w:val="32"/>
        </w:rPr>
      </w:pPr>
      <w:r>
        <w:rPr>
          <w:rFonts w:ascii="仿宋_GB2312"/>
        </w:rPr>
        <w:t>DDDs</w:t>
      </w:r>
      <w:r>
        <w:rPr>
          <w:rFonts w:hint="eastAsia" w:ascii="仿宋_GB2312"/>
        </w:rPr>
        <w:t>可</w:t>
      </w:r>
      <w:r>
        <w:t>反映不同年度的用药动态和用药结构，某抗菌</w:t>
      </w:r>
      <w:r>
        <w:rPr>
          <w:szCs w:val="32"/>
        </w:rPr>
        <w:t>药物</w:t>
      </w:r>
      <w:r>
        <w:rPr>
          <w:rFonts w:ascii="仿宋_GB2312"/>
          <w:szCs w:val="32"/>
        </w:rPr>
        <w:t>DDDs</w:t>
      </w:r>
      <w:r>
        <w:rPr>
          <w:rFonts w:hint="eastAsia" w:ascii="仿宋_GB2312"/>
          <w:szCs w:val="32"/>
        </w:rPr>
        <w:t>大，说明用药频度高，用药强度大，对该药的选择倾向性大。</w:t>
      </w:r>
    </w:p>
    <w:p>
      <w:pPr>
        <w:spacing w:line="600" w:lineRule="exact"/>
        <w:ind w:firstLine="640" w:firstLineChars="200"/>
        <w:rPr>
          <w:rFonts w:ascii="仿宋_GB2312"/>
          <w:szCs w:val="32"/>
        </w:rPr>
      </w:pPr>
      <w:r>
        <w:rPr>
          <w:rFonts w:hint="eastAsia" w:ascii="仿宋_GB2312"/>
          <w:szCs w:val="32"/>
        </w:rPr>
        <w:t>《处方管理办法》（中华人民共和国卫生部令第</w:t>
      </w:r>
      <w:r>
        <w:rPr>
          <w:rFonts w:ascii="仿宋_GB2312"/>
          <w:szCs w:val="32"/>
        </w:rPr>
        <w:t>53</w:t>
      </w:r>
      <w:r>
        <w:rPr>
          <w:rFonts w:hint="eastAsia" w:ascii="仿宋_GB2312"/>
          <w:szCs w:val="32"/>
        </w:rPr>
        <w:t>号）、《抗菌药物临床应用管理办法》（卫生部令第</w:t>
      </w:r>
      <w:r>
        <w:rPr>
          <w:rFonts w:ascii="仿宋_GB2312"/>
          <w:szCs w:val="32"/>
        </w:rPr>
        <w:t>84</w:t>
      </w:r>
      <w:r>
        <w:rPr>
          <w:rFonts w:hint="eastAsia" w:ascii="仿宋_GB2312"/>
          <w:szCs w:val="32"/>
        </w:rPr>
        <w:t>号）要求医疗机构应当开展抗菌药物临床应用监测工作，分析本机构及临床各专业科室抗菌药物使用情况，评估抗菌药物使用适宜性；对抗菌药物使用趋势进行分析，对抗菌药物不合理使用情况应当及时采取有效干预措施。建立处方点评制度，对抗菌药使用百分率、使用抗菌药的处方开展评价，对处方实施动态监测及超常预警，登记并通报不合理处方，对不合理用药及时予以干预。《关于印发进一步改善医疗服务行动计划的通知》（国卫医发〔</w:t>
      </w:r>
      <w:r>
        <w:rPr>
          <w:rFonts w:ascii="仿宋_GB2312"/>
          <w:szCs w:val="32"/>
        </w:rPr>
        <w:t>2015</w:t>
      </w:r>
      <w:r>
        <w:rPr>
          <w:rFonts w:hint="eastAsia" w:ascii="仿宋_GB2312"/>
          <w:szCs w:val="32"/>
        </w:rPr>
        <w:t>〕</w:t>
      </w:r>
      <w:r>
        <w:rPr>
          <w:rFonts w:ascii="仿宋_GB2312"/>
          <w:szCs w:val="32"/>
        </w:rPr>
        <w:t>2</w:t>
      </w:r>
      <w:r>
        <w:rPr>
          <w:rFonts w:hint="eastAsia" w:ascii="仿宋_GB2312"/>
          <w:szCs w:val="32"/>
        </w:rPr>
        <w:t>号）要求加强合理用药，至</w:t>
      </w:r>
      <w:r>
        <w:rPr>
          <w:rFonts w:ascii="仿宋_GB2312"/>
          <w:szCs w:val="32"/>
        </w:rPr>
        <w:t>2017</w:t>
      </w:r>
      <w:r>
        <w:rPr>
          <w:rFonts w:hint="eastAsia" w:ascii="仿宋_GB2312"/>
          <w:szCs w:val="32"/>
        </w:rPr>
        <w:t>年底前综合医院抗菌药物使用强度控制在每百人天</w:t>
      </w:r>
      <w:r>
        <w:rPr>
          <w:rFonts w:ascii="仿宋_GB2312"/>
          <w:szCs w:val="32"/>
        </w:rPr>
        <w:t>40DDDs</w:t>
      </w:r>
      <w:r>
        <w:rPr>
          <w:rFonts w:hint="eastAsia" w:ascii="仿宋_GB2312"/>
          <w:szCs w:val="32"/>
        </w:rPr>
        <w:t>以下。《关于进一步加强抗菌药物临床应用管理工作的通知》（国卫办医发〔</w:t>
      </w:r>
      <w:r>
        <w:rPr>
          <w:rFonts w:ascii="仿宋_GB2312"/>
          <w:szCs w:val="32"/>
        </w:rPr>
        <w:t>2015</w:t>
      </w:r>
      <w:r>
        <w:rPr>
          <w:rFonts w:hint="eastAsia" w:ascii="仿宋_GB2312"/>
          <w:szCs w:val="32"/>
        </w:rPr>
        <w:t>〕</w:t>
      </w:r>
      <w:r>
        <w:rPr>
          <w:rFonts w:ascii="仿宋_GB2312"/>
          <w:szCs w:val="32"/>
        </w:rPr>
        <w:t>42</w:t>
      </w:r>
      <w:r>
        <w:rPr>
          <w:rFonts w:hint="eastAsia" w:ascii="仿宋_GB2312"/>
          <w:szCs w:val="32"/>
        </w:rPr>
        <w:t>号）规定，二级综合医院住院患者抗菌药物使用强度不超过</w:t>
      </w:r>
      <w:r>
        <w:rPr>
          <w:rFonts w:ascii="仿宋_GB2312"/>
          <w:szCs w:val="32"/>
        </w:rPr>
        <w:t>40DDDs</w:t>
      </w:r>
      <w:r>
        <w:rPr>
          <w:rFonts w:hint="eastAsia" w:ascii="仿宋_GB2312"/>
          <w:szCs w:val="32"/>
        </w:rPr>
        <w:t>，口腔医院不超过</w:t>
      </w:r>
      <w:r>
        <w:rPr>
          <w:rFonts w:ascii="仿宋_GB2312"/>
          <w:szCs w:val="32"/>
        </w:rPr>
        <w:t>40DDDs</w:t>
      </w:r>
      <w:r>
        <w:rPr>
          <w:rFonts w:hint="eastAsia" w:ascii="仿宋_GB2312"/>
          <w:szCs w:val="32"/>
        </w:rPr>
        <w:t>，肿瘤医院不超过</w:t>
      </w:r>
      <w:r>
        <w:rPr>
          <w:rFonts w:ascii="仿宋_GB2312"/>
          <w:szCs w:val="32"/>
        </w:rPr>
        <w:t>30DDDs</w:t>
      </w:r>
      <w:r>
        <w:rPr>
          <w:rFonts w:hint="eastAsia" w:ascii="仿宋_GB2312"/>
          <w:szCs w:val="32"/>
        </w:rPr>
        <w:t>，儿童医院不超过</w:t>
      </w:r>
      <w:r>
        <w:rPr>
          <w:rFonts w:ascii="仿宋_GB2312"/>
          <w:szCs w:val="32"/>
        </w:rPr>
        <w:t>20DDDs</w:t>
      </w:r>
      <w:r>
        <w:rPr>
          <w:rFonts w:hint="eastAsia" w:ascii="仿宋_GB2312"/>
          <w:szCs w:val="32"/>
        </w:rPr>
        <w:t>（按照成人规定日剂量标准计算），精神病医院不超过</w:t>
      </w:r>
      <w:r>
        <w:rPr>
          <w:rFonts w:ascii="仿宋_GB2312"/>
          <w:szCs w:val="32"/>
        </w:rPr>
        <w:t>5DDDs</w:t>
      </w:r>
      <w:r>
        <w:rPr>
          <w:rFonts w:hint="eastAsia" w:ascii="仿宋_GB2312"/>
          <w:szCs w:val="32"/>
        </w:rPr>
        <w:t>，妇产医院（妇幼保健院）不超过</w:t>
      </w:r>
      <w:r>
        <w:rPr>
          <w:rFonts w:ascii="仿宋_GB2312"/>
          <w:szCs w:val="32"/>
        </w:rPr>
        <w:t>40DDDs</w:t>
      </w:r>
      <w:r>
        <w:rPr>
          <w:rFonts w:hint="eastAsia" w:ascii="仿宋_GB2312"/>
          <w:szCs w:val="32"/>
        </w:rPr>
        <w:t>。</w:t>
      </w:r>
    </w:p>
    <w:p>
      <w:pPr>
        <w:spacing w:line="600" w:lineRule="exact"/>
        <w:ind w:firstLine="640" w:firstLineChars="200"/>
        <w:rPr>
          <w:szCs w:val="32"/>
        </w:rPr>
      </w:pPr>
      <w:r>
        <w:rPr>
          <w:rFonts w:hint="eastAsia" w:ascii="仿宋_GB2312"/>
        </w:rPr>
        <w:t>《国家卫生健康委办公厅关于做好医疗机构合理用药考核工作的通知》（国卫办医函〔</w:t>
      </w:r>
      <w:r>
        <w:rPr>
          <w:rFonts w:ascii="仿宋_GB2312"/>
        </w:rPr>
        <w:t>2019</w:t>
      </w:r>
      <w:r>
        <w:rPr>
          <w:rFonts w:hint="eastAsia" w:ascii="仿宋_GB2312"/>
        </w:rPr>
        <w:t>〕</w:t>
      </w:r>
      <w:r>
        <w:rPr>
          <w:rFonts w:ascii="仿宋_GB2312"/>
        </w:rPr>
        <w:t>903</w:t>
      </w:r>
      <w:r>
        <w:rPr>
          <w:rFonts w:hint="eastAsia" w:ascii="仿宋_GB2312"/>
        </w:rPr>
        <w:t>号）要求</w:t>
      </w:r>
      <w:r>
        <w:t>，合理用药考核的重点内容应当包括抗菌药物的使用和管理情况；加强考核结果运用，医疗机构应当根据考核中发现的问题持续改进工作，不断提高合理用药水平。地方各级卫生健康行政部门</w:t>
      </w:r>
      <w:r>
        <w:rPr>
          <w:rFonts w:hint="eastAsia"/>
        </w:rPr>
        <w:t>、中医药主管部门</w:t>
      </w:r>
      <w:r>
        <w:t>要将合理用药考核结果纳入医疗机构绩效考核内容，并与医疗机构校验、医院评审、评价相结合。</w:t>
      </w:r>
      <w:r>
        <w:rPr>
          <w:rFonts w:hint="eastAsia"/>
        </w:rPr>
        <w:t>《国家卫生健康委关于进一步加强抗微生物药物管理遏制耐药工作的通知》（国卫医函</w:t>
      </w:r>
      <w:r>
        <w:rPr>
          <w:rFonts w:hint="eastAsia" w:ascii="仿宋_GB2312"/>
          <w:szCs w:val="32"/>
        </w:rPr>
        <w:t>〔</w:t>
      </w:r>
      <w:r>
        <w:rPr>
          <w:rFonts w:ascii="仿宋_GB2312"/>
          <w:szCs w:val="32"/>
        </w:rPr>
        <w:t>2021</w:t>
      </w:r>
      <w:r>
        <w:rPr>
          <w:rFonts w:hint="eastAsia" w:ascii="仿宋_GB2312"/>
          <w:szCs w:val="32"/>
        </w:rPr>
        <w:t>〕</w:t>
      </w:r>
      <w:r>
        <w:rPr>
          <w:rFonts w:ascii="仿宋_GB2312"/>
        </w:rPr>
        <w:t>73</w:t>
      </w:r>
      <w:r>
        <w:rPr>
          <w:rFonts w:hint="eastAsia" w:ascii="仿宋_GB2312"/>
        </w:rPr>
        <w:t>号）</w:t>
      </w:r>
      <w:r>
        <w:rPr>
          <w:rFonts w:hint="eastAsia"/>
        </w:rPr>
        <w:t>指出，地方各级卫生健康行政部门要将抗微生物药物合理使用情况纳入医院评审、公立医院绩效考核、合理用药考核等工作，并适当加大考核权重，发挥指挥棒作用。</w:t>
      </w:r>
    </w:p>
    <w:p>
      <w:pPr>
        <w:spacing w:line="600" w:lineRule="exact"/>
        <w:rPr>
          <w:b/>
          <w:szCs w:val="32"/>
        </w:rPr>
      </w:pPr>
      <w:r>
        <w:rPr>
          <w:rFonts w:hint="eastAsia"/>
          <w:b/>
          <w:szCs w:val="32"/>
        </w:rPr>
        <w:t>【指标导向】</w:t>
      </w:r>
      <w:r>
        <w:rPr>
          <w:rFonts w:hint="eastAsia"/>
          <w:szCs w:val="32"/>
        </w:rPr>
        <w:t>逐步降低。</w:t>
      </w:r>
    </w:p>
    <w:p>
      <w:pPr>
        <w:spacing w:line="600" w:lineRule="exact"/>
        <w:rPr>
          <w:szCs w:val="32"/>
        </w:rPr>
      </w:pPr>
      <w:r>
        <w:rPr>
          <w:rFonts w:hint="eastAsia"/>
          <w:b/>
          <w:szCs w:val="32"/>
        </w:rPr>
        <w:t>【指标来源】</w:t>
      </w:r>
      <w:r>
        <w:rPr>
          <w:rFonts w:hint="eastAsia"/>
          <w:szCs w:val="32"/>
        </w:rPr>
        <w:t>医院填报。</w:t>
      </w:r>
    </w:p>
    <w:p>
      <w:pPr>
        <w:widowControl/>
        <w:spacing w:line="600" w:lineRule="exact"/>
        <w:rPr>
          <w:b/>
          <w:kern w:val="0"/>
          <w:szCs w:val="32"/>
        </w:rPr>
      </w:pPr>
      <w:r>
        <w:rPr>
          <w:rFonts w:hint="eastAsia"/>
          <w:b/>
          <w:szCs w:val="32"/>
        </w:rPr>
        <w:t>【指标解释】</w:t>
      </w:r>
      <w:r>
        <w:rPr>
          <w:rFonts w:hint="eastAsia"/>
          <w:szCs w:val="32"/>
        </w:rPr>
        <w:t>省级中医药主管部门。</w:t>
      </w:r>
    </w:p>
    <w:p>
      <w:pPr>
        <w:widowControl/>
        <w:spacing w:line="600" w:lineRule="exact"/>
        <w:rPr>
          <w:b/>
          <w:kern w:val="0"/>
          <w:szCs w:val="32"/>
        </w:rPr>
      </w:pPr>
      <w:r>
        <w:rPr>
          <w:rFonts w:eastAsia="仿宋"/>
          <w:b/>
          <w:kern w:val="0"/>
          <w:szCs w:val="32"/>
        </w:rPr>
        <w:br w:type="page"/>
      </w:r>
      <w:bookmarkStart w:id="19" w:name="_Hlk7155449"/>
      <w:r>
        <w:rPr>
          <w:b/>
          <w:kern w:val="0"/>
          <w:szCs w:val="32"/>
        </w:rPr>
        <w:t>10</w:t>
      </w:r>
      <w:r>
        <w:rPr>
          <w:rFonts w:hint="eastAsia"/>
          <w:b/>
          <w:kern w:val="0"/>
          <w:szCs w:val="32"/>
        </w:rPr>
        <w:t>. 基本</w:t>
      </w:r>
      <w:r>
        <w:rPr>
          <w:b/>
          <w:kern w:val="0"/>
          <w:szCs w:val="32"/>
        </w:rPr>
        <w:t>药物</w:t>
      </w:r>
      <w:r>
        <w:rPr>
          <w:rFonts w:hint="eastAsia"/>
          <w:b/>
          <w:kern w:val="0"/>
          <w:szCs w:val="32"/>
        </w:rPr>
        <w:t>采购金额</w:t>
      </w:r>
      <w:r>
        <w:rPr>
          <w:b/>
          <w:kern w:val="0"/>
          <w:szCs w:val="32"/>
        </w:rPr>
        <w:t>占比</w:t>
      </w:r>
    </w:p>
    <w:p>
      <w:pPr>
        <w:spacing w:line="600" w:lineRule="exact"/>
        <w:rPr>
          <w:b/>
          <w:szCs w:val="32"/>
        </w:rPr>
      </w:pPr>
      <w:r>
        <w:rPr>
          <w:rFonts w:hint="eastAsia"/>
          <w:b/>
          <w:szCs w:val="32"/>
        </w:rPr>
        <w:t>【指标属性】</w:t>
      </w:r>
      <w:r>
        <w:rPr>
          <w:rFonts w:hint="eastAsia"/>
          <w:szCs w:val="32"/>
        </w:rPr>
        <w:t>定量指标。</w:t>
      </w:r>
    </w:p>
    <w:p>
      <w:pPr>
        <w:spacing w:line="600" w:lineRule="exact"/>
        <w:rPr>
          <w:b/>
          <w:szCs w:val="32"/>
        </w:rPr>
      </w:pPr>
      <w:r>
        <w:rPr>
          <w:rFonts w:hint="eastAsia"/>
          <w:b/>
          <w:szCs w:val="32"/>
        </w:rPr>
        <w:t>【计量单位】</w:t>
      </w:r>
      <w:r>
        <w:rPr>
          <w:rFonts w:hint="eastAsia"/>
          <w:szCs w:val="32"/>
        </w:rPr>
        <w:t>百分比（</w:t>
      </w:r>
      <w:r>
        <w:rPr>
          <w:rFonts w:ascii="仿宋_GB2312"/>
          <w:kern w:val="0"/>
          <w:szCs w:val="32"/>
        </w:rPr>
        <w:t>%</w:t>
      </w:r>
      <w:r>
        <w:rPr>
          <w:rFonts w:hint="eastAsia" w:ascii="仿宋_GB2312"/>
          <w:kern w:val="0"/>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b/>
          <w:szCs w:val="32"/>
        </w:rPr>
      </w:pPr>
      <w:r>
        <w:rPr>
          <w:rFonts w:hint="eastAsia"/>
          <w:szCs w:val="32"/>
        </w:rPr>
        <w:t>考核年度医院基本</w:t>
      </w:r>
      <w:r>
        <w:rPr>
          <w:szCs w:val="32"/>
        </w:rPr>
        <w:t>药物</w:t>
      </w:r>
      <w:r>
        <w:rPr>
          <w:rStyle w:val="34"/>
          <w:rFonts w:hint="eastAsia" w:ascii="仿宋_GB2312"/>
          <w:szCs w:val="32"/>
        </w:rPr>
        <w:footnoteReference w:id="26"/>
      </w:r>
      <w:r>
        <w:rPr>
          <w:szCs w:val="32"/>
        </w:rPr>
        <w:t>采购金额</w:t>
      </w:r>
      <w:r>
        <w:rPr>
          <w:rFonts w:hint="eastAsia"/>
          <w:szCs w:val="32"/>
        </w:rPr>
        <w:t>数</w:t>
      </w:r>
      <w:r>
        <w:rPr>
          <w:szCs w:val="32"/>
        </w:rPr>
        <w:t>占</w:t>
      </w:r>
      <w:r>
        <w:rPr>
          <w:rFonts w:hint="eastAsia"/>
          <w:szCs w:val="32"/>
        </w:rPr>
        <w:t>医院同期采购药物</w:t>
      </w:r>
      <w:r>
        <w:rPr>
          <w:szCs w:val="32"/>
        </w:rPr>
        <w:t>金额</w:t>
      </w:r>
      <w:r>
        <w:rPr>
          <w:rFonts w:hint="eastAsia"/>
          <w:szCs w:val="32"/>
        </w:rPr>
        <w:t>总</w:t>
      </w:r>
      <w:r>
        <w:rPr>
          <w:szCs w:val="32"/>
        </w:rPr>
        <w:t>数</w:t>
      </w:r>
      <w:r>
        <w:rPr>
          <w:rFonts w:hint="eastAsia"/>
          <w:szCs w:val="32"/>
        </w:rPr>
        <w:t>的比例。</w:t>
      </w:r>
    </w:p>
    <w:p>
      <w:pPr>
        <w:spacing w:line="600" w:lineRule="exact"/>
        <w:rPr>
          <w:b/>
          <w:szCs w:val="32"/>
        </w:rPr>
      </w:pPr>
      <w:r>
        <w:rPr>
          <w:rFonts w:hint="eastAsia"/>
          <w:b/>
          <w:szCs w:val="32"/>
        </w:rPr>
        <w:t>【计算方法】</w:t>
      </w:r>
    </w:p>
    <w:p>
      <w:pPr>
        <w:spacing w:before="87" w:beforeLines="20" w:after="87" w:afterLines="20" w:line="360" w:lineRule="auto"/>
        <w:rPr>
          <w:rFonts w:ascii="仿宋_GB2312" w:hAnsi="黑体"/>
          <w:b/>
          <w:sz w:val="24"/>
        </w:rPr>
      </w:pPr>
      <m:oMathPara>
        <m:oMathParaPr>
          <m:jc m:val="center"/>
        </m:oMathParaPr>
        <m:oMath>
          <m:r>
            <m:rPr>
              <m:sty m:val="b"/>
            </m:rPr>
            <w:rPr>
              <w:rFonts w:hint="eastAsia" w:ascii="Cambria Math" w:hAnsi="Cambria Math"/>
              <w:sz w:val="24"/>
            </w:rPr>
            <m:t>基本药物采购金额占比=</m:t>
          </m:r>
          <m:f>
            <m:fPr>
              <m:ctrlPr>
                <w:rPr>
                  <w:rFonts w:hint="eastAsia" w:ascii="Cambria Math" w:hAnsi="Cambria Math"/>
                  <w:b/>
                  <w:sz w:val="24"/>
                </w:rPr>
              </m:ctrlPr>
            </m:fPr>
            <m:num>
              <m:r>
                <m:rPr>
                  <m:sty m:val="p"/>
                </m:rPr>
                <w:rPr>
                  <w:rFonts w:hint="eastAsia" w:ascii="Cambria Math" w:hAnsi="Cambria Math"/>
                  <w:sz w:val="24"/>
                </w:rPr>
                <m:t>医院采购基本药物金额数</m:t>
              </m:r>
              <m:ctrlPr>
                <w:rPr>
                  <w:rFonts w:hint="eastAsia" w:ascii="Cambria Math" w:hAnsi="Cambria Math"/>
                  <w:b/>
                  <w:sz w:val="24"/>
                </w:rPr>
              </m:ctrlPr>
            </m:num>
            <m:den>
              <m:r>
                <m:rPr>
                  <m:sty m:val="p"/>
                </m:rPr>
                <w:rPr>
                  <w:rFonts w:hint="eastAsia" w:ascii="Cambria Math" w:hAnsi="Cambria Math"/>
                  <w:sz w:val="24"/>
                </w:rPr>
                <m:t>医院同期采购药物金额总数</m:t>
              </m:r>
              <m:ctrlPr>
                <w:rPr>
                  <w:rFonts w:hint="eastAsia" w:ascii="Cambria Math" w:hAnsi="Cambria Math"/>
                  <w:b/>
                  <w:sz w:val="24"/>
                </w:rPr>
              </m:ctrlPr>
            </m:den>
          </m:f>
          <m:r>
            <m:rPr>
              <m:sty m:val="p"/>
            </m:rPr>
            <w:rPr>
              <w:rFonts w:hint="eastAsia" w:ascii="Cambria Math" w:hAnsi="Cambria Math"/>
              <w:sz w:val="24"/>
            </w:rPr>
            <m:t>×100%</m:t>
          </m:r>
        </m:oMath>
      </m:oMathPara>
    </w:p>
    <w:p>
      <w:pPr>
        <w:spacing w:line="360" w:lineRule="auto"/>
        <w:rPr>
          <w:rFonts w:ascii="仿宋_GB2312"/>
          <w:b/>
          <w:szCs w:val="32"/>
        </w:rPr>
      </w:pPr>
      <w:r>
        <w:rPr>
          <w:rFonts w:hint="eastAsia" w:ascii="仿宋_GB2312"/>
          <w:b/>
          <w:szCs w:val="32"/>
        </w:rPr>
        <w:t>延伸指标</w:t>
      </w:r>
      <w:r>
        <w:rPr>
          <w:rFonts w:ascii="仿宋_GB2312"/>
          <w:b/>
          <w:szCs w:val="32"/>
        </w:rPr>
        <w:t>1</w:t>
      </w:r>
      <w:r>
        <w:rPr>
          <w:rFonts w:hint="eastAsia" w:ascii="仿宋_GB2312"/>
          <w:b/>
          <w:szCs w:val="32"/>
        </w:rPr>
        <w:t>：</w:t>
      </w:r>
    </w:p>
    <w:p>
      <w:pPr>
        <w:tabs>
          <w:tab w:val="left" w:pos="851"/>
        </w:tabs>
        <w:spacing w:line="360" w:lineRule="auto"/>
        <w:rPr>
          <w:rFonts w:ascii="仿宋_GB2312"/>
          <w:b/>
          <w:sz w:val="26"/>
          <w:szCs w:val="26"/>
        </w:rPr>
      </w:pPr>
      <m:oMathPara>
        <m:oMath>
          <m:r>
            <m:rPr>
              <m:sty m:val="b"/>
            </m:rPr>
            <w:rPr>
              <w:rFonts w:hint="eastAsia" w:ascii="Cambria Math" w:hAnsi="Cambria Math"/>
              <w:sz w:val="26"/>
              <w:szCs w:val="26"/>
            </w:rPr>
            <m:t>基本药物采购品种数占比</m:t>
          </m:r>
          <m:r>
            <m:rPr>
              <m:sty m:val="b"/>
            </m:rPr>
            <w:rPr>
              <w:rFonts w:ascii="Cambria Math" w:hAnsi="Cambria Math"/>
              <w:sz w:val="26"/>
              <w:szCs w:val="26"/>
            </w:rPr>
            <m:t>=</m:t>
          </m:r>
          <m:f>
            <m:fPr>
              <m:ctrlPr>
                <w:rPr>
                  <w:rFonts w:hint="eastAsia" w:ascii="Cambria Math" w:hAnsi="Cambria Math"/>
                  <w:bCs/>
                  <w:sz w:val="26"/>
                  <w:szCs w:val="26"/>
                </w:rPr>
              </m:ctrlPr>
            </m:fPr>
            <m:num>
              <m:r>
                <m:rPr>
                  <m:sty m:val="p"/>
                </m:rPr>
                <w:rPr>
                  <w:rFonts w:hint="eastAsia" w:ascii="Cambria Math" w:hAnsi="Cambria Math"/>
                  <w:sz w:val="26"/>
                  <w:szCs w:val="26"/>
                </w:rPr>
                <m:t>医院采购基本药物品种数</m:t>
              </m:r>
              <m:ctrlPr>
                <w:rPr>
                  <w:rFonts w:hint="eastAsia" w:ascii="Cambria Math" w:hAnsi="Cambria Math"/>
                  <w:bCs/>
                  <w:sz w:val="26"/>
                  <w:szCs w:val="26"/>
                </w:rPr>
              </m:ctrlPr>
            </m:num>
            <m:den>
              <m:r>
                <m:rPr>
                  <m:sty m:val="p"/>
                </m:rPr>
                <w:rPr>
                  <w:rFonts w:hint="eastAsia" w:ascii="Cambria Math" w:hAnsi="Cambria Math"/>
                  <w:sz w:val="26"/>
                  <w:szCs w:val="26"/>
                </w:rPr>
                <m:t>医院同期采购药物品种总数</m:t>
              </m:r>
              <m:ctrlPr>
                <w:rPr>
                  <w:rFonts w:hint="eastAsia" w:ascii="Cambria Math" w:hAnsi="Cambria Math"/>
                  <w:bCs/>
                  <w:sz w:val="26"/>
                  <w:szCs w:val="26"/>
                </w:rPr>
              </m:ctrlPr>
            </m:den>
          </m:f>
          <m:r>
            <m:rPr>
              <m:sty m:val="p"/>
            </m:rPr>
            <w:rPr>
              <w:rFonts w:ascii="Cambria Math" w:hAnsi="Cambria Math"/>
              <w:sz w:val="26"/>
              <w:szCs w:val="26"/>
            </w:rPr>
            <m:t>×100%</m:t>
          </m:r>
        </m:oMath>
      </m:oMathPara>
    </w:p>
    <w:p>
      <w:pPr>
        <w:spacing w:line="360" w:lineRule="auto"/>
        <w:rPr>
          <w:rFonts w:ascii="仿宋_GB2312"/>
          <w:b/>
          <w:szCs w:val="32"/>
        </w:rPr>
      </w:pPr>
      <w:r>
        <w:rPr>
          <w:rFonts w:hint="eastAsia" w:ascii="仿宋_GB2312"/>
          <w:b/>
          <w:szCs w:val="32"/>
        </w:rPr>
        <w:t>延伸指标</w:t>
      </w:r>
      <w:r>
        <w:rPr>
          <w:rFonts w:ascii="仿宋_GB2312"/>
          <w:b/>
          <w:szCs w:val="32"/>
        </w:rPr>
        <w:t>2</w:t>
      </w:r>
      <w:r>
        <w:rPr>
          <w:rFonts w:hint="eastAsia" w:ascii="仿宋_GB2312"/>
          <w:b/>
          <w:szCs w:val="32"/>
        </w:rPr>
        <w:t>：</w:t>
      </w:r>
    </w:p>
    <w:p>
      <w:pPr>
        <w:widowControl/>
        <w:jc w:val="left"/>
        <w:rPr>
          <w:rFonts w:ascii="仿宋_GB2312"/>
          <w:b/>
          <w:bCs/>
          <w:color w:val="000000" w:themeColor="text1"/>
          <w:kern w:val="0"/>
          <w:sz w:val="26"/>
          <w:szCs w:val="26"/>
          <w14:textFill>
            <w14:solidFill>
              <w14:schemeClr w14:val="tx1"/>
            </w14:solidFill>
          </w14:textFill>
        </w:rPr>
      </w:pPr>
      <m:oMathPara>
        <m:oMath>
          <m:r>
            <m:rPr>
              <m:sty m:val="b"/>
            </m:rPr>
            <w:rPr>
              <w:rFonts w:hint="eastAsia" w:ascii="Cambria Math" w:hAnsi="Cambria Math"/>
              <w:kern w:val="0"/>
              <w:sz w:val="26"/>
              <w:szCs w:val="26"/>
            </w:rPr>
            <m:t>门诊患者基本药物处方使用占比</m:t>
          </m:r>
          <m:r>
            <m:rPr>
              <m:sty m:val="b"/>
            </m:rPr>
            <w:rPr>
              <w:rFonts w:ascii="Cambria Math" w:hAnsi="Cambria Math"/>
              <w:kern w:val="0"/>
              <w:sz w:val="26"/>
              <w:szCs w:val="26"/>
            </w:rPr>
            <m:t>=</m:t>
          </m:r>
          <m:f>
            <m:fPr>
              <m:ctrlPr>
                <w:rPr>
                  <w:rFonts w:hint="eastAsia" w:ascii="Cambria Math" w:hAnsi="Cambria Math"/>
                  <w:kern w:val="0"/>
                  <w:sz w:val="26"/>
                  <w:szCs w:val="26"/>
                </w:rPr>
              </m:ctrlPr>
            </m:fPr>
            <m:num>
              <m:r>
                <m:rPr>
                  <m:sty m:val="p"/>
                </m:rPr>
                <w:rPr>
                  <w:rFonts w:hint="eastAsia" w:ascii="Cambria Math" w:hAnsi="Cambria Math"/>
                  <w:kern w:val="0"/>
                  <w:sz w:val="26"/>
                  <w:szCs w:val="26"/>
                </w:rPr>
                <m:t>门诊使用基本药物品种数量</m:t>
              </m:r>
              <m:ctrlPr>
                <w:rPr>
                  <w:rFonts w:hint="eastAsia" w:ascii="Cambria Math" w:hAnsi="Cambria Math"/>
                  <w:kern w:val="0"/>
                  <w:sz w:val="26"/>
                  <w:szCs w:val="26"/>
                </w:rPr>
              </m:ctrlPr>
            </m:num>
            <m:den>
              <m:r>
                <m:rPr>
                  <m:sty m:val="p"/>
                </m:rPr>
                <w:rPr>
                  <w:rFonts w:hint="eastAsia" w:ascii="Cambria Math" w:hAnsi="Cambria Math"/>
                  <w:kern w:val="0"/>
                  <w:sz w:val="26"/>
                  <w:szCs w:val="26"/>
                </w:rPr>
                <m:t>同期门诊使用药品品种数量</m:t>
              </m:r>
              <m:ctrlPr>
                <w:rPr>
                  <w:rFonts w:hint="eastAsia" w:ascii="Cambria Math" w:hAnsi="Cambria Math"/>
                  <w:kern w:val="0"/>
                  <w:sz w:val="26"/>
                  <w:szCs w:val="26"/>
                </w:rPr>
              </m:ctrlPr>
            </m:den>
          </m:f>
          <m:r>
            <m:rPr>
              <m:sty m:val="p"/>
            </m:rPr>
            <w:rPr>
              <w:rFonts w:ascii="Cambria Math" w:hAnsi="Cambria Math"/>
              <w:kern w:val="0"/>
              <w:sz w:val="26"/>
              <w:szCs w:val="26"/>
            </w:rPr>
            <m:t>×100%</m:t>
          </m:r>
        </m:oMath>
      </m:oMathPara>
    </w:p>
    <w:p>
      <w:pPr>
        <w:spacing w:line="360" w:lineRule="auto"/>
        <w:rPr>
          <w:rFonts w:ascii="仿宋_GB2312"/>
          <w:b/>
          <w:szCs w:val="32"/>
        </w:rPr>
      </w:pPr>
      <w:r>
        <w:rPr>
          <w:rFonts w:hint="eastAsia" w:ascii="仿宋_GB2312"/>
          <w:b/>
          <w:szCs w:val="32"/>
        </w:rPr>
        <w:t>延伸指标</w:t>
      </w:r>
      <w:r>
        <w:rPr>
          <w:rFonts w:ascii="仿宋_GB2312"/>
          <w:b/>
          <w:szCs w:val="32"/>
        </w:rPr>
        <w:t>3</w:t>
      </w:r>
      <w:r>
        <w:rPr>
          <w:rFonts w:hint="eastAsia" w:ascii="仿宋_GB2312"/>
          <w:b/>
          <w:szCs w:val="32"/>
        </w:rPr>
        <w:t>：</w:t>
      </w:r>
    </w:p>
    <w:p>
      <w:pPr>
        <w:jc w:val="left"/>
        <w:rPr>
          <w:rFonts w:ascii="仿宋_GB2312"/>
          <w:sz w:val="26"/>
          <w:szCs w:val="26"/>
        </w:rPr>
      </w:pPr>
      <m:oMathPara>
        <m:oMathParaPr>
          <m:jc m:val="center"/>
        </m:oMathParaPr>
        <m:oMath>
          <m:r>
            <m:rPr>
              <m:sty m:val="b"/>
            </m:rPr>
            <w:rPr>
              <w:rFonts w:hint="eastAsia" w:ascii="Cambria Math" w:hAnsi="Cambria Math"/>
              <w:sz w:val="26"/>
              <w:szCs w:val="26"/>
            </w:rPr>
            <m:t>住院患者基本药物使用占比</m:t>
          </m:r>
          <m:r>
            <m:rPr>
              <m:sty m:val="b"/>
            </m:rPr>
            <w:rPr>
              <w:rFonts w:ascii="Cambria Math" w:hAnsi="Cambria Math"/>
              <w:sz w:val="26"/>
              <w:szCs w:val="26"/>
            </w:rPr>
            <m:t>=</m:t>
          </m:r>
          <m:f>
            <m:fPr>
              <m:ctrlPr>
                <w:rPr>
                  <w:rFonts w:hint="eastAsia" w:ascii="Cambria Math" w:hAnsi="Cambria Math"/>
                  <w:bCs/>
                  <w:sz w:val="26"/>
                  <w:szCs w:val="26"/>
                </w:rPr>
              </m:ctrlPr>
            </m:fPr>
            <m:num>
              <m:r>
                <m:rPr>
                  <m:sty m:val="p"/>
                </m:rPr>
                <w:rPr>
                  <w:rFonts w:hint="eastAsia" w:ascii="Cambria Math" w:hAnsi="Cambria Math"/>
                  <w:sz w:val="26"/>
                  <w:szCs w:val="26"/>
                </w:rPr>
                <m:t>出院患者使用基本药物品种数量</m:t>
              </m:r>
              <m:ctrlPr>
                <w:rPr>
                  <w:rFonts w:hint="eastAsia" w:ascii="Cambria Math" w:hAnsi="Cambria Math"/>
                  <w:bCs/>
                  <w:sz w:val="26"/>
                  <w:szCs w:val="26"/>
                </w:rPr>
              </m:ctrlPr>
            </m:num>
            <m:den>
              <m:r>
                <m:rPr>
                  <m:sty m:val="p"/>
                </m:rPr>
                <w:rPr>
                  <w:rFonts w:hint="eastAsia" w:ascii="Cambria Math" w:hAnsi="Cambria Math"/>
                  <w:sz w:val="26"/>
                  <w:szCs w:val="26"/>
                </w:rPr>
                <m:t>同期住院使用药品品种数量</m:t>
              </m:r>
              <m:ctrlPr>
                <w:rPr>
                  <w:rFonts w:hint="eastAsia" w:ascii="Cambria Math" w:hAnsi="Cambria Math"/>
                  <w:bCs/>
                  <w:sz w:val="26"/>
                  <w:szCs w:val="26"/>
                </w:rPr>
              </m:ctrlPr>
            </m:den>
          </m:f>
          <m:r>
            <m:rPr>
              <m:sty m:val="p"/>
            </m:rPr>
            <w:rPr>
              <w:rFonts w:ascii="Cambria Math" w:hAnsi="Cambria Math"/>
              <w:sz w:val="26"/>
              <w:szCs w:val="26"/>
            </w:rPr>
            <m:t>×100%</m:t>
          </m:r>
        </m:oMath>
      </m:oMathPara>
    </w:p>
    <w:p>
      <w:pPr>
        <w:spacing w:line="600" w:lineRule="exact"/>
        <w:rPr>
          <w:b/>
          <w:szCs w:val="32"/>
        </w:rPr>
      </w:pPr>
    </w:p>
    <w:p>
      <w:pPr>
        <w:spacing w:line="600" w:lineRule="exact"/>
        <w:rPr>
          <w:b/>
          <w:szCs w:val="32"/>
        </w:rPr>
      </w:pPr>
      <w:r>
        <w:rPr>
          <w:rFonts w:hint="eastAsia"/>
          <w:b/>
          <w:szCs w:val="32"/>
        </w:rPr>
        <w:t>【指标说明】</w:t>
      </w:r>
    </w:p>
    <w:p>
      <w:pPr>
        <w:adjustRightInd w:val="0"/>
        <w:spacing w:line="600" w:lineRule="exact"/>
        <w:ind w:firstLine="640" w:firstLineChars="200"/>
        <w:rPr>
          <w:szCs w:val="32"/>
        </w:rPr>
      </w:pPr>
      <w:r>
        <w:rPr>
          <w:rFonts w:hint="eastAsia"/>
          <w:szCs w:val="32"/>
        </w:rPr>
        <w:t>（</w:t>
      </w:r>
      <w:r>
        <w:rPr>
          <w:rFonts w:ascii="仿宋_GB2312"/>
          <w:kern w:val="0"/>
          <w:szCs w:val="32"/>
        </w:rPr>
        <w:t>1</w:t>
      </w:r>
      <w:r>
        <w:rPr>
          <w:rFonts w:hint="eastAsia"/>
          <w:szCs w:val="32"/>
        </w:rPr>
        <w:t>）分子：</w:t>
      </w:r>
      <w:r>
        <w:rPr>
          <w:szCs w:val="32"/>
        </w:rPr>
        <w:t>本年度考核</w:t>
      </w:r>
      <w:r>
        <w:rPr>
          <w:rFonts w:hint="eastAsia"/>
          <w:szCs w:val="32"/>
        </w:rPr>
        <w:t>医院采购基本</w:t>
      </w:r>
      <w:r>
        <w:rPr>
          <w:szCs w:val="32"/>
        </w:rPr>
        <w:t>药物</w:t>
      </w:r>
      <w:r>
        <w:rPr>
          <w:rFonts w:hint="eastAsia"/>
          <w:szCs w:val="32"/>
        </w:rPr>
        <w:t>金额</w:t>
      </w:r>
      <w:r>
        <w:rPr>
          <w:szCs w:val="32"/>
        </w:rPr>
        <w:t>数</w:t>
      </w:r>
      <w:r>
        <w:rPr>
          <w:rFonts w:hint="eastAsia"/>
          <w:szCs w:val="32"/>
        </w:rPr>
        <w:t>是指</w:t>
      </w:r>
      <w:r>
        <w:rPr>
          <w:rFonts w:hint="eastAsia"/>
          <w:kern w:val="0"/>
          <w:szCs w:val="32"/>
        </w:rPr>
        <w:t>医院使用的全部基本药物的金额总和。</w:t>
      </w:r>
      <w:r>
        <w:rPr>
          <w:rFonts w:hint="eastAsia"/>
          <w:szCs w:val="32"/>
        </w:rPr>
        <w:t>按照《关于印发国家基本药物目录</w:t>
      </w:r>
      <w:r>
        <w:rPr>
          <w:rFonts w:hint="eastAsia" w:ascii="仿宋_GB2312"/>
          <w:kern w:val="0"/>
          <w:szCs w:val="32"/>
        </w:rPr>
        <w:t>（</w:t>
      </w:r>
      <w:r>
        <w:rPr>
          <w:rFonts w:ascii="仿宋_GB2312"/>
          <w:kern w:val="0"/>
          <w:szCs w:val="32"/>
        </w:rPr>
        <w:t>2018</w:t>
      </w:r>
      <w:r>
        <w:rPr>
          <w:rFonts w:hint="eastAsia" w:ascii="仿宋_GB2312"/>
          <w:kern w:val="0"/>
          <w:szCs w:val="32"/>
        </w:rPr>
        <w:t>年版）的通知》（国卫药政发〔</w:t>
      </w:r>
      <w:r>
        <w:rPr>
          <w:rFonts w:ascii="仿宋_GB2312"/>
          <w:kern w:val="0"/>
          <w:szCs w:val="32"/>
        </w:rPr>
        <w:t>2018</w:t>
      </w:r>
      <w:r>
        <w:rPr>
          <w:rFonts w:hint="eastAsia" w:ascii="仿宋_GB2312"/>
          <w:kern w:val="0"/>
          <w:szCs w:val="32"/>
        </w:rPr>
        <w:t>〕</w:t>
      </w:r>
      <w:r>
        <w:rPr>
          <w:rFonts w:ascii="仿宋_GB2312"/>
          <w:kern w:val="0"/>
          <w:szCs w:val="32"/>
        </w:rPr>
        <w:t>31</w:t>
      </w:r>
      <w:r>
        <w:rPr>
          <w:rFonts w:hint="eastAsia"/>
          <w:szCs w:val="32"/>
        </w:rPr>
        <w:t>号）的药品通用名、剂型、规格进行统计。</w:t>
      </w:r>
    </w:p>
    <w:p>
      <w:pPr>
        <w:adjustRightInd w:val="0"/>
        <w:spacing w:line="600" w:lineRule="exact"/>
        <w:ind w:firstLine="640" w:firstLineChars="200"/>
        <w:rPr>
          <w:szCs w:val="32"/>
        </w:rPr>
      </w:pPr>
      <w:r>
        <w:rPr>
          <w:rFonts w:hint="eastAsia"/>
          <w:szCs w:val="32"/>
        </w:rPr>
        <w:t>（</w:t>
      </w:r>
      <w:r>
        <w:rPr>
          <w:rFonts w:ascii="仿宋_GB2312"/>
          <w:kern w:val="0"/>
          <w:szCs w:val="32"/>
        </w:rPr>
        <w:t>2</w:t>
      </w:r>
      <w:r>
        <w:rPr>
          <w:rFonts w:hint="eastAsia" w:ascii="仿宋_GB2312"/>
          <w:kern w:val="0"/>
          <w:szCs w:val="32"/>
        </w:rPr>
        <w:t>）</w:t>
      </w:r>
      <w:r>
        <w:rPr>
          <w:rFonts w:hint="eastAsia"/>
          <w:szCs w:val="32"/>
        </w:rPr>
        <w:t>分母：医院同期采购药物金额总数是指为医院同期使用的全部药品金额总和。</w:t>
      </w:r>
    </w:p>
    <w:p>
      <w:pPr>
        <w:spacing w:line="360" w:lineRule="auto"/>
        <w:ind w:firstLine="640" w:firstLineChars="200"/>
        <w:outlineLvl w:val="0"/>
        <w:rPr>
          <w:rFonts w:ascii="仿宋_GB2312" w:cstheme="majorBidi"/>
          <w:szCs w:val="32"/>
        </w:rPr>
      </w:pPr>
      <w:r>
        <w:rPr>
          <w:rFonts w:hint="eastAsia" w:ascii="仿宋_GB2312" w:cstheme="majorBidi"/>
          <w:szCs w:val="32"/>
        </w:rPr>
        <w:t>（</w:t>
      </w:r>
      <w:r>
        <w:rPr>
          <w:rFonts w:ascii="仿宋_GB2312" w:cstheme="majorBidi"/>
          <w:szCs w:val="32"/>
        </w:rPr>
        <w:t>3</w:t>
      </w:r>
      <w:r>
        <w:rPr>
          <w:rFonts w:hint="eastAsia" w:ascii="仿宋_GB2312" w:cstheme="majorBidi"/>
          <w:szCs w:val="32"/>
        </w:rPr>
        <w:t>）延伸指标</w:t>
      </w:r>
      <w:r>
        <w:rPr>
          <w:rFonts w:ascii="仿宋_GB2312" w:cstheme="majorBidi"/>
          <w:szCs w:val="32"/>
        </w:rPr>
        <w:t>1</w:t>
      </w:r>
      <w:r>
        <w:rPr>
          <w:rFonts w:hint="eastAsia" w:ascii="仿宋_GB2312" w:cstheme="majorBidi"/>
          <w:szCs w:val="32"/>
        </w:rPr>
        <w:t>：分子指在本考核年度，医院采购基本药物品种数依据医院使用基本药物品种总数进行统计，即考核年度医院使用的全部基本药物品种总数。分母指在本考核年度，医院同期采购药物品种总数依据同期医院使用药品品种总数进行统计，即同期医院使用的全部药品品种总数。分子、分母</w:t>
      </w:r>
      <w:bookmarkStart w:id="20" w:name="_Hlk102053055"/>
      <w:r>
        <w:rPr>
          <w:rFonts w:hint="eastAsia" w:ascii="仿宋_GB2312" w:cstheme="majorBidi"/>
          <w:szCs w:val="32"/>
        </w:rPr>
        <w:t>均</w:t>
      </w:r>
      <w:bookmarkEnd w:id="20"/>
      <w:r>
        <w:rPr>
          <w:rFonts w:hint="eastAsia" w:ascii="仿宋_GB2312" w:cstheme="majorBidi"/>
          <w:szCs w:val="32"/>
        </w:rPr>
        <w:t>按照《关于印发国家基本药物目录（</w:t>
      </w:r>
      <w:r>
        <w:rPr>
          <w:rFonts w:ascii="仿宋_GB2312" w:cstheme="majorBidi"/>
          <w:szCs w:val="32"/>
        </w:rPr>
        <w:t>2018</w:t>
      </w:r>
      <w:r>
        <w:rPr>
          <w:rFonts w:hint="eastAsia" w:ascii="仿宋_GB2312" w:cstheme="majorBidi"/>
          <w:szCs w:val="32"/>
        </w:rPr>
        <w:t>年版）的通知》（国卫药政发〔</w:t>
      </w:r>
      <w:r>
        <w:rPr>
          <w:rFonts w:ascii="仿宋_GB2312" w:cstheme="majorBidi"/>
          <w:szCs w:val="32"/>
        </w:rPr>
        <w:t>2018</w:t>
      </w:r>
      <w:r>
        <w:rPr>
          <w:rFonts w:hint="eastAsia" w:ascii="仿宋_GB2312" w:cstheme="majorBidi"/>
          <w:szCs w:val="32"/>
        </w:rPr>
        <w:t>〕</w:t>
      </w:r>
      <w:r>
        <w:rPr>
          <w:rFonts w:ascii="仿宋_GB2312" w:cstheme="majorBidi"/>
          <w:szCs w:val="32"/>
        </w:rPr>
        <w:t>31</w:t>
      </w:r>
      <w:r>
        <w:rPr>
          <w:rFonts w:hint="eastAsia" w:ascii="仿宋_GB2312" w:cstheme="majorBidi"/>
          <w:szCs w:val="32"/>
        </w:rPr>
        <w:t>号）药品通用名、剂型、规格进行统计。</w:t>
      </w:r>
    </w:p>
    <w:p>
      <w:pPr>
        <w:spacing w:line="360" w:lineRule="auto"/>
        <w:ind w:firstLine="640" w:firstLineChars="200"/>
        <w:rPr>
          <w:rFonts w:ascii="仿宋_GB2312" w:hAnsiTheme="majorHAnsi" w:cstheme="majorBidi"/>
          <w:szCs w:val="32"/>
        </w:rPr>
      </w:pPr>
      <w:r>
        <w:rPr>
          <w:rFonts w:hint="eastAsia" w:ascii="仿宋_GB2312"/>
          <w:szCs w:val="32"/>
        </w:rPr>
        <w:t>（</w:t>
      </w:r>
      <w:r>
        <w:rPr>
          <w:rFonts w:ascii="仿宋_GB2312"/>
          <w:szCs w:val="32"/>
        </w:rPr>
        <w:t>4</w:t>
      </w:r>
      <w:r>
        <w:rPr>
          <w:rFonts w:hint="eastAsia" w:ascii="仿宋_GB2312"/>
          <w:szCs w:val="32"/>
        </w:rPr>
        <w:t>）延伸指标</w:t>
      </w:r>
      <w:r>
        <w:rPr>
          <w:rFonts w:ascii="仿宋_GB2312"/>
          <w:szCs w:val="32"/>
        </w:rPr>
        <w:t>2</w:t>
      </w:r>
      <w:r>
        <w:rPr>
          <w:rFonts w:hint="eastAsia" w:ascii="仿宋_GB2312"/>
          <w:szCs w:val="32"/>
        </w:rPr>
        <w:t>：考核年度门诊患者处方中使用基本药物品种数量占同期门诊使用药品品种数量的比例。其中，分子为门诊使用基本药物品种数量，按全部门诊处方中累计使用的基本药物品种数量统计。分母为门诊使用药品品种数量，按同期全部门诊处方累计使用药品品种数量统计，不包括急诊患者、健康体检者、及未开具药物处方患者。</w:t>
      </w:r>
    </w:p>
    <w:p>
      <w:pPr>
        <w:widowControl/>
        <w:spacing w:line="360" w:lineRule="auto"/>
        <w:ind w:firstLine="640" w:firstLineChars="200"/>
        <w:rPr>
          <w:rFonts w:ascii="仿宋_GB2312"/>
          <w:szCs w:val="32"/>
        </w:rPr>
      </w:pPr>
      <w:r>
        <w:rPr>
          <w:rFonts w:hint="eastAsia" w:ascii="仿宋_GB2312"/>
          <w:szCs w:val="32"/>
        </w:rPr>
        <w:t>（</w:t>
      </w:r>
      <w:r>
        <w:rPr>
          <w:rFonts w:ascii="仿宋_GB2312"/>
          <w:szCs w:val="32"/>
        </w:rPr>
        <w:t>5</w:t>
      </w:r>
      <w:r>
        <w:rPr>
          <w:rFonts w:hint="eastAsia" w:ascii="仿宋_GB2312"/>
          <w:szCs w:val="32"/>
        </w:rPr>
        <w:t>）延伸指标</w:t>
      </w:r>
      <w:r>
        <w:rPr>
          <w:rFonts w:ascii="仿宋_GB2312"/>
          <w:szCs w:val="32"/>
        </w:rPr>
        <w:t>3</w:t>
      </w:r>
      <w:r>
        <w:rPr>
          <w:rFonts w:hint="eastAsia" w:ascii="仿宋_GB2312"/>
          <w:szCs w:val="32"/>
        </w:rPr>
        <w:t>：考核年度出院患者在住院期间医嘱中使用基本药物品种数量占同期住院使用药品品种数量的比例。其中，分子为出院患者使用基本药物品种数量，按全部出院患者住院医嘱中累计使用的基本药物品种数量统计。分母为住院使用药品品种数量，按同期全部出院患者住院医嘱中累计使用药品品种数量统计</w:t>
      </w:r>
      <w:r>
        <w:rPr>
          <w:rStyle w:val="34"/>
          <w:rFonts w:hint="eastAsia" w:ascii="仿宋_GB2312"/>
          <w:szCs w:val="32"/>
        </w:rPr>
        <w:footnoteReference w:id="27"/>
      </w:r>
      <w:r>
        <w:rPr>
          <w:rFonts w:hint="eastAsia" w:ascii="仿宋_GB2312"/>
          <w:szCs w:val="32"/>
        </w:rPr>
        <w:t>，不包括出院患者在住院期间未使用药物者。</w:t>
      </w:r>
    </w:p>
    <w:p>
      <w:pPr>
        <w:tabs>
          <w:tab w:val="left" w:pos="1680"/>
        </w:tabs>
        <w:spacing w:line="360" w:lineRule="auto"/>
        <w:ind w:firstLine="640" w:firstLineChars="200"/>
        <w:rPr>
          <w:rFonts w:ascii="仿宋_GB2312"/>
          <w:szCs w:val="32"/>
        </w:rPr>
      </w:pPr>
      <w:r>
        <w:rPr>
          <w:rFonts w:hint="eastAsia" w:ascii="仿宋_GB2312"/>
          <w:szCs w:val="32"/>
        </w:rPr>
        <w:t>（</w:t>
      </w:r>
      <w:r>
        <w:rPr>
          <w:rFonts w:ascii="仿宋_GB2312"/>
          <w:szCs w:val="32"/>
        </w:rPr>
        <w:t>6</w:t>
      </w:r>
      <w:r>
        <w:rPr>
          <w:rFonts w:hint="eastAsia" w:ascii="仿宋_GB2312"/>
          <w:szCs w:val="32"/>
        </w:rPr>
        <w:t>）本年度统计的基本药物不包括仅作为药物溶媒使用的葡萄糖、氯化钠等溶液</w:t>
      </w:r>
      <w:r>
        <w:rPr>
          <w:rFonts w:ascii="仿宋_GB2312"/>
          <w:szCs w:val="32"/>
          <w:vertAlign w:val="superscript"/>
        </w:rPr>
        <w:footnoteReference w:id="28"/>
      </w:r>
      <w:r>
        <w:rPr>
          <w:rFonts w:hint="eastAsia" w:ascii="仿宋_GB2312"/>
          <w:szCs w:val="32"/>
        </w:rPr>
        <w:t>。</w:t>
      </w:r>
    </w:p>
    <w:p>
      <w:pPr>
        <w:tabs>
          <w:tab w:val="left" w:pos="1680"/>
        </w:tabs>
        <w:spacing w:line="360" w:lineRule="auto"/>
        <w:ind w:firstLine="640" w:firstLineChars="200"/>
        <w:rPr>
          <w:rFonts w:ascii="仿宋_GB2312"/>
          <w:szCs w:val="32"/>
        </w:rPr>
      </w:pPr>
      <w:r>
        <w:rPr>
          <w:rFonts w:hint="eastAsia" w:ascii="仿宋_GB2312"/>
          <w:szCs w:val="32"/>
        </w:rPr>
        <w:t>（7）考虑在实际工作中由于中药饮片统计难度较大，因此本考核年度在计算本指标时，暂不统计中药饮片。</w:t>
      </w:r>
    </w:p>
    <w:p>
      <w:pPr>
        <w:spacing w:line="600" w:lineRule="exact"/>
        <w:rPr>
          <w:kern w:val="0"/>
          <w:szCs w:val="32"/>
        </w:rPr>
      </w:pPr>
      <w:r>
        <w:rPr>
          <w:rFonts w:hint="eastAsia"/>
          <w:b/>
          <w:szCs w:val="32"/>
        </w:rPr>
        <w:t>【指标意义】</w:t>
      </w:r>
    </w:p>
    <w:p>
      <w:pPr>
        <w:adjustRightInd w:val="0"/>
        <w:spacing w:line="600" w:lineRule="exact"/>
        <w:ind w:firstLine="640" w:firstLineChars="200"/>
        <w:rPr>
          <w:kern w:val="0"/>
          <w:szCs w:val="32"/>
        </w:rPr>
      </w:pPr>
      <w:r>
        <w:rPr>
          <w:rFonts w:hint="eastAsia" w:ascii="仿宋_GB2312"/>
          <w:kern w:val="0"/>
          <w:szCs w:val="32"/>
        </w:rPr>
        <w:t>《国务院办公厅关于完善国家基本药物制度的意见》（国办发〔2018〕88号）明确要求，公立医院对国家基本药物要全面配备优先使用，坚持基本药物主导地位，强化医疗机构基本药物使用管理，以省为单位明确公立医疗机构基本药物使用比例，不断提高医疗机构基本药物使用量。公立医疗机构根据功能定位和诊疗范围，合理配备基本药物，保障临床基本用药需求。药品集中采购平台和医疗机构信息系统应对基本药物进行标注，提示医疗机构优先采购、医生优先使用。《关于加快药学服务高质量发展的意见》（国卫医发</w:t>
      </w:r>
      <w:r>
        <w:rPr>
          <w:rFonts w:hint="eastAsia" w:ascii="宋体" w:hAnsi="宋体" w:cs="宋体"/>
          <w:kern w:val="0"/>
          <w:szCs w:val="32"/>
        </w:rPr>
        <w:t>〔</w:t>
      </w:r>
      <w:r>
        <w:rPr>
          <w:rFonts w:ascii="仿宋_GB2312"/>
          <w:kern w:val="0"/>
          <w:szCs w:val="32"/>
        </w:rPr>
        <w:t>2018</w:t>
      </w:r>
      <w:r>
        <w:rPr>
          <w:rFonts w:hint="eastAsia" w:ascii="宋体" w:hAnsi="宋体" w:cs="宋体"/>
          <w:kern w:val="0"/>
          <w:szCs w:val="32"/>
        </w:rPr>
        <w:t>〕</w:t>
      </w:r>
      <w:r>
        <w:rPr>
          <w:rFonts w:ascii="仿宋_GB2312"/>
          <w:kern w:val="0"/>
          <w:szCs w:val="32"/>
        </w:rPr>
        <w:t>45</w:t>
      </w:r>
      <w:r>
        <w:rPr>
          <w:rFonts w:hint="eastAsia" w:ascii="仿宋_GB2312"/>
          <w:kern w:val="0"/>
          <w:szCs w:val="32"/>
        </w:rPr>
        <w:t>号）要求，鼓励城市医疗集团和县域医疗共同体建立药品联动管理机制，做好基本药物供应保障工作，以全面配备和优先使用基本药物为基础，推进实行统一的药品供应目录，实施统一采购、统一配送。《国务院深化医药卫生体制改革领导小组印发关于以药品集中采购和使用为突破口进一步深化医药卫生体制改革的若干政策措施的通知》（国医改发〔2019〕3号）再一次强调坚持基本药物主导地位，推动优化用药结构。加强对国家组织集中采购中选药品、同一通用名未中选药品、中选药品可替代品种的配备使用监测。2020年6月底前，制定实施合理用药监测指标体系，定期公布监测情况，推进实施医师约谈制度。《国务院办公厅关于进一步做好短缺药品保供稳价工作的意见》（国办发〔2019〕47号）要求通过加强用药监管和考核、指导督促医疗机构优化用药目录和药品处方集等措施，促进基本药物优先配备使用，提升基本药物使用占比，并及时调整国家基本药物目录，逐步实现政府办基层医疗卫生机构、二级公立医院、三级公立医院基本药物配备品种数量占比原则上分别不低于90%、80%、60%，推动各级医疗机构形成以基本药物为主导的“1+X”（“1”为国家基本药物目录、“X”为非基本药物，由各地根据实际确定）用药模式，优化和规范用药结构。加强医疗机构用药目录遴选、采购、使用等全流程管理，推动落实“能口服不肌注、能肌注不输液”等要求，促进科学合理用药。</w:t>
      </w:r>
      <w:r>
        <w:rPr>
          <w:rFonts w:hint="eastAsia"/>
          <w:szCs w:val="32"/>
        </w:rPr>
        <w:t>《国家卫生健康委办公厅关于做好医疗机构合理用药考核工作的通知》（国卫办医函</w:t>
      </w:r>
      <w:r>
        <w:rPr>
          <w:rFonts w:hint="eastAsia" w:ascii="仿宋_GB2312"/>
          <w:szCs w:val="32"/>
        </w:rPr>
        <w:t>〔</w:t>
      </w:r>
      <w:r>
        <w:rPr>
          <w:rFonts w:ascii="仿宋_GB2312"/>
          <w:szCs w:val="32"/>
        </w:rPr>
        <w:t>2019</w:t>
      </w:r>
      <w:r>
        <w:rPr>
          <w:rFonts w:hint="eastAsia" w:ascii="仿宋_GB2312"/>
          <w:szCs w:val="32"/>
        </w:rPr>
        <w:t>〕</w:t>
      </w:r>
      <w:r>
        <w:rPr>
          <w:rFonts w:ascii="仿宋_GB2312"/>
          <w:szCs w:val="32"/>
        </w:rPr>
        <w:t>903</w:t>
      </w:r>
      <w:r>
        <w:rPr>
          <w:rFonts w:hint="eastAsia" w:ascii="仿宋_GB2312"/>
          <w:szCs w:val="32"/>
        </w:rPr>
        <w:t>号</w:t>
      </w:r>
      <w:r>
        <w:rPr>
          <w:rFonts w:hint="eastAsia"/>
          <w:szCs w:val="32"/>
        </w:rPr>
        <w:t>）要求，合理用药考核的重点内容应当包括公立医疗机构国家基本药物配备使用情况；加强考核结果运用，医疗机构应当根据考核中发现的问题持续改进工作，不断提高合理用药水平。地方各级卫生健康行政部门、中医药主管部门要将合理用药考核结果纳入医疗机构绩效考核内容，并与医疗机构校验、医院评审、评价相结合。</w:t>
      </w:r>
    </w:p>
    <w:p>
      <w:pPr>
        <w:spacing w:line="580" w:lineRule="exact"/>
        <w:rPr>
          <w:b/>
          <w:szCs w:val="32"/>
        </w:rPr>
      </w:pPr>
      <w:r>
        <w:rPr>
          <w:rFonts w:hint="eastAsia"/>
          <w:b/>
          <w:szCs w:val="32"/>
        </w:rPr>
        <w:t>【指标导向】</w:t>
      </w:r>
      <w:r>
        <w:rPr>
          <w:rFonts w:hint="eastAsia"/>
          <w:szCs w:val="32"/>
        </w:rPr>
        <w:t>逐步提高。</w:t>
      </w:r>
    </w:p>
    <w:p>
      <w:pPr>
        <w:spacing w:line="580" w:lineRule="exact"/>
        <w:rPr>
          <w:szCs w:val="32"/>
        </w:rPr>
      </w:pPr>
      <w:r>
        <w:rPr>
          <w:rFonts w:hint="eastAsia"/>
          <w:b/>
          <w:szCs w:val="32"/>
        </w:rPr>
        <w:t>【指标来源】</w:t>
      </w:r>
      <w:r>
        <w:rPr>
          <w:rFonts w:hint="eastAsia"/>
          <w:szCs w:val="32"/>
        </w:rPr>
        <w:t>省级招</w:t>
      </w:r>
      <w:r>
        <w:rPr>
          <w:szCs w:val="32"/>
        </w:rPr>
        <w:t>采</w:t>
      </w:r>
      <w:r>
        <w:rPr>
          <w:rFonts w:hint="eastAsia"/>
          <w:szCs w:val="32"/>
        </w:rPr>
        <w:t>平台（本年度由医院填报）。</w:t>
      </w:r>
    </w:p>
    <w:p>
      <w:pPr>
        <w:spacing w:line="580" w:lineRule="exact"/>
        <w:rPr>
          <w:szCs w:val="32"/>
        </w:rPr>
      </w:pPr>
      <w:r>
        <w:rPr>
          <w:rFonts w:hint="eastAsia"/>
          <w:b/>
          <w:szCs w:val="32"/>
        </w:rPr>
        <w:t>【指标解释】</w:t>
      </w:r>
      <w:r>
        <w:rPr>
          <w:rFonts w:hint="eastAsia"/>
          <w:szCs w:val="32"/>
        </w:rPr>
        <w:t>省级</w:t>
      </w:r>
      <w:r>
        <w:rPr>
          <w:rFonts w:hint="eastAsia" w:ascii="仿宋_GB2312"/>
          <w:szCs w:val="32"/>
          <w:shd w:val="clear" w:color="auto" w:fill="FFFFFF"/>
        </w:rPr>
        <w:t>招采部门</w:t>
      </w:r>
      <w:r>
        <w:rPr>
          <w:rFonts w:hint="eastAsia"/>
          <w:szCs w:val="32"/>
        </w:rPr>
        <w:t>、省级中医药主管部门。</w:t>
      </w:r>
    </w:p>
    <w:p>
      <w:pPr>
        <w:spacing w:line="600" w:lineRule="exact"/>
        <w:rPr>
          <w:b/>
          <w:kern w:val="0"/>
          <w:szCs w:val="32"/>
        </w:rPr>
      </w:pPr>
      <w:r>
        <w:rPr>
          <w:b/>
          <w:kern w:val="0"/>
          <w:szCs w:val="32"/>
        </w:rPr>
        <w:br w:type="page"/>
      </w:r>
      <w:r>
        <w:rPr>
          <w:b/>
          <w:kern w:val="0"/>
          <w:szCs w:val="32"/>
        </w:rPr>
        <w:t>11</w:t>
      </w:r>
      <w:r>
        <w:rPr>
          <w:rFonts w:hint="eastAsia"/>
          <w:b/>
          <w:kern w:val="0"/>
          <w:szCs w:val="32"/>
        </w:rPr>
        <w:t>. 国家</w:t>
      </w:r>
      <w:r>
        <w:rPr>
          <w:b/>
          <w:kern w:val="0"/>
          <w:szCs w:val="32"/>
        </w:rPr>
        <w:t>组织药品集中采购中标药品</w:t>
      </w:r>
      <w:r>
        <w:rPr>
          <w:rFonts w:hint="eastAsia"/>
          <w:b/>
          <w:kern w:val="0"/>
          <w:szCs w:val="32"/>
        </w:rPr>
        <w:t>金额</w:t>
      </w:r>
      <w:r>
        <w:rPr>
          <w:b/>
          <w:kern w:val="0"/>
          <w:szCs w:val="32"/>
        </w:rPr>
        <w:t>占比</w:t>
      </w:r>
    </w:p>
    <w:p>
      <w:pPr>
        <w:spacing w:line="600" w:lineRule="exact"/>
        <w:rPr>
          <w:b/>
          <w:szCs w:val="32"/>
        </w:rPr>
      </w:pPr>
      <w:r>
        <w:rPr>
          <w:rFonts w:hint="eastAsia"/>
          <w:b/>
          <w:szCs w:val="32"/>
        </w:rPr>
        <w:t>【指标属性】</w:t>
      </w:r>
      <w:r>
        <w:rPr>
          <w:rFonts w:hint="eastAsia"/>
          <w:szCs w:val="32"/>
        </w:rPr>
        <w:t>定量指标。</w:t>
      </w:r>
    </w:p>
    <w:p>
      <w:pPr>
        <w:spacing w:line="600" w:lineRule="exact"/>
        <w:rPr>
          <w:b/>
          <w:szCs w:val="32"/>
        </w:rPr>
      </w:pPr>
      <w:r>
        <w:rPr>
          <w:rFonts w:hint="eastAsia"/>
          <w:b/>
          <w:szCs w:val="32"/>
        </w:rPr>
        <w:t>【计量单位】</w:t>
      </w:r>
      <w:r>
        <w:rPr>
          <w:rFonts w:hint="eastAsia"/>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b/>
          <w:kern w:val="0"/>
          <w:szCs w:val="32"/>
        </w:rPr>
      </w:pPr>
      <w:r>
        <w:rPr>
          <w:rFonts w:hint="eastAsia"/>
          <w:szCs w:val="32"/>
        </w:rPr>
        <w:t>考核年度国家组织药品集中采购</w:t>
      </w:r>
      <w:r>
        <w:rPr>
          <w:rStyle w:val="34"/>
          <w:rFonts w:hint="eastAsia" w:ascii="仿宋_GB2312"/>
          <w:szCs w:val="32"/>
        </w:rPr>
        <w:footnoteReference w:id="29"/>
      </w:r>
      <w:r>
        <w:rPr>
          <w:rFonts w:hint="eastAsia"/>
          <w:szCs w:val="32"/>
        </w:rPr>
        <w:t>中选药品金额数占同期医院同种药品采购</w:t>
      </w:r>
      <w:r>
        <w:rPr>
          <w:szCs w:val="32"/>
        </w:rPr>
        <w:t>金额</w:t>
      </w:r>
      <w:r>
        <w:rPr>
          <w:rFonts w:hint="eastAsia"/>
          <w:szCs w:val="32"/>
        </w:rPr>
        <w:t>总</w:t>
      </w:r>
      <w:r>
        <w:rPr>
          <w:szCs w:val="32"/>
        </w:rPr>
        <w:t>数</w:t>
      </w:r>
      <w:r>
        <w:rPr>
          <w:rFonts w:hint="eastAsia"/>
          <w:szCs w:val="32"/>
        </w:rPr>
        <w:t>的比例。</w:t>
      </w:r>
    </w:p>
    <w:p>
      <w:pPr>
        <w:spacing w:line="600" w:lineRule="exact"/>
        <w:rPr>
          <w:b/>
          <w:szCs w:val="32"/>
        </w:rPr>
      </w:pPr>
      <w:r>
        <w:rPr>
          <w:rFonts w:hint="eastAsia"/>
          <w:b/>
          <w:szCs w:val="32"/>
        </w:rPr>
        <w:t>【计算方法】</w:t>
      </w:r>
    </w:p>
    <w:p>
      <w:pPr>
        <w:spacing w:before="87" w:beforeLines="20" w:after="87" w:afterLines="20" w:line="360" w:lineRule="auto"/>
        <w:ind w:right="-1190" w:rightChars="-372"/>
        <w:rPr>
          <w:rFonts w:ascii="仿宋_GB2312" w:hAnsi="黑体"/>
          <w:b/>
          <w:sz w:val="24"/>
          <w:szCs w:val="28"/>
        </w:rPr>
      </w:pPr>
      <m:oMathPara>
        <m:oMathParaPr>
          <m:jc m:val="center"/>
        </m:oMathParaPr>
        <m:oMath>
          <m:r>
            <m:rPr>
              <m:sty m:val="b"/>
            </m:rPr>
            <w:rPr>
              <w:rFonts w:hint="eastAsia" w:ascii="Cambria Math" w:hAnsi="Cambria Math"/>
              <w:sz w:val="24"/>
              <w:szCs w:val="28"/>
            </w:rPr>
            <m:t>国家组织药品集中采购中标药品金额占比=</m:t>
          </m:r>
          <m:f>
            <m:fPr>
              <m:ctrlPr>
                <w:rPr>
                  <w:rFonts w:hint="eastAsia" w:ascii="Cambria Math" w:hAnsi="Cambria Math"/>
                  <w:b/>
                  <w:sz w:val="24"/>
                  <w:szCs w:val="28"/>
                </w:rPr>
              </m:ctrlPr>
            </m:fPr>
            <m:num>
              <m:r>
                <m:rPr>
                  <m:sty m:val="p"/>
                </m:rPr>
                <w:rPr>
                  <w:rFonts w:hint="eastAsia" w:ascii="Cambria Math" w:hAnsi="Cambria Math"/>
                  <w:sz w:val="24"/>
                  <w:szCs w:val="28"/>
                </w:rPr>
                <m:t>中标药品采购金额数</m:t>
              </m:r>
              <m:ctrlPr>
                <w:rPr>
                  <w:rFonts w:hint="eastAsia" w:ascii="Cambria Math" w:hAnsi="Cambria Math"/>
                  <w:b/>
                  <w:sz w:val="24"/>
                  <w:szCs w:val="28"/>
                </w:rPr>
              </m:ctrlPr>
            </m:num>
            <m:den>
              <m:r>
                <m:rPr>
                  <m:sty m:val="p"/>
                </m:rPr>
                <w:rPr>
                  <w:rFonts w:hint="eastAsia" w:ascii="Cambria Math" w:hAnsi="Cambria Math"/>
                  <w:sz w:val="24"/>
                  <w:szCs w:val="28"/>
                </w:rPr>
                <m:t>同期采购同种药品金额总数</m:t>
              </m:r>
              <m:ctrlPr>
                <w:rPr>
                  <w:rFonts w:hint="eastAsia" w:ascii="Cambria Math" w:hAnsi="Cambria Math"/>
                  <w:b/>
                  <w:sz w:val="24"/>
                  <w:szCs w:val="28"/>
                </w:rPr>
              </m:ctrlPr>
            </m:den>
          </m:f>
          <m:r>
            <m:rPr>
              <m:sty m:val="p"/>
            </m:rPr>
            <w:rPr>
              <w:rFonts w:hint="eastAsia" w:ascii="Cambria Math" w:hAnsi="Cambria Math"/>
              <w:sz w:val="24"/>
              <w:szCs w:val="28"/>
            </w:rPr>
            <m:t>×100%</m:t>
          </m:r>
        </m:oMath>
      </m:oMathPara>
    </w:p>
    <w:p>
      <w:pPr>
        <w:spacing w:line="600" w:lineRule="exact"/>
        <w:rPr>
          <w:b/>
          <w:szCs w:val="32"/>
        </w:rPr>
      </w:pPr>
      <w:r>
        <w:rPr>
          <w:rFonts w:hint="eastAsia"/>
          <w:b/>
          <w:szCs w:val="32"/>
        </w:rPr>
        <w:t>延伸指标：</w:t>
      </w:r>
    </w:p>
    <w:p>
      <w:pPr>
        <w:spacing w:before="87" w:beforeLines="20" w:after="87" w:afterLines="20" w:line="360" w:lineRule="auto"/>
        <w:ind w:right="-1190" w:rightChars="-372"/>
        <w:rPr>
          <w:rFonts w:ascii="仿宋_GB2312" w:hAnsi="黑体"/>
          <w:sz w:val="24"/>
          <w:szCs w:val="28"/>
        </w:rPr>
      </w:pPr>
      <m:oMathPara>
        <m:oMathParaPr>
          <m:jc m:val="center"/>
        </m:oMathParaPr>
        <m:oMath>
          <m:r>
            <m:rPr>
              <m:sty m:val="b"/>
            </m:rPr>
            <w:rPr>
              <w:rFonts w:hint="eastAsia" w:ascii="Cambria Math" w:hAnsi="Cambria Math"/>
              <w:sz w:val="24"/>
              <w:szCs w:val="28"/>
            </w:rPr>
            <m:t>国家组织药品集中采购中选药品完成占比=</m:t>
          </m:r>
          <m:f>
            <m:fPr>
              <m:ctrlPr>
                <w:rPr>
                  <w:rFonts w:hint="eastAsia" w:ascii="Cambria Math" w:hAnsi="Cambria Math"/>
                  <w:b/>
                  <w:sz w:val="24"/>
                  <w:szCs w:val="28"/>
                </w:rPr>
              </m:ctrlPr>
            </m:fPr>
            <m:num>
              <m:r>
                <m:rPr>
                  <m:sty m:val="p"/>
                </m:rPr>
                <w:rPr>
                  <w:rFonts w:hint="eastAsia" w:ascii="Cambria Math" w:hAnsi="Cambria Math"/>
                  <w:sz w:val="24"/>
                  <w:szCs w:val="28"/>
                </w:rPr>
                <m:t>中选药品采购完成品种数</m:t>
              </m:r>
              <m:ctrlPr>
                <w:rPr>
                  <w:rFonts w:hint="eastAsia" w:ascii="Cambria Math" w:hAnsi="Cambria Math"/>
                  <w:b/>
                  <w:sz w:val="24"/>
                  <w:szCs w:val="28"/>
                </w:rPr>
              </m:ctrlPr>
            </m:num>
            <m:den>
              <m:r>
                <m:rPr>
                  <m:sty m:val="p"/>
                </m:rPr>
                <w:rPr>
                  <w:rFonts w:hint="eastAsia" w:ascii="Cambria Math" w:hAnsi="Cambria Math"/>
                  <w:sz w:val="24"/>
                  <w:szCs w:val="28"/>
                </w:rPr>
                <m:t>中选药品品种总数</m:t>
              </m:r>
              <m:ctrlPr>
                <w:rPr>
                  <w:rFonts w:hint="eastAsia" w:ascii="Cambria Math" w:hAnsi="Cambria Math"/>
                  <w:b/>
                  <w:sz w:val="24"/>
                  <w:szCs w:val="28"/>
                </w:rPr>
              </m:ctrlPr>
            </m:den>
          </m:f>
          <m:r>
            <m:rPr>
              <m:sty m:val="p"/>
            </m:rPr>
            <w:rPr>
              <w:rFonts w:hint="eastAsia" w:ascii="Cambria Math" w:hAnsi="Cambria Math"/>
              <w:sz w:val="24"/>
              <w:szCs w:val="28"/>
            </w:rPr>
            <m:t>×100%</m:t>
          </m:r>
        </m:oMath>
      </m:oMathPara>
    </w:p>
    <w:p>
      <w:pPr>
        <w:spacing w:line="600" w:lineRule="exact"/>
        <w:rPr>
          <w:b/>
          <w:szCs w:val="32"/>
        </w:rPr>
      </w:pPr>
      <w:r>
        <w:rPr>
          <w:rFonts w:hint="eastAsia"/>
          <w:b/>
          <w:szCs w:val="32"/>
        </w:rPr>
        <w:t>【指标说明】</w:t>
      </w:r>
    </w:p>
    <w:p>
      <w:pPr>
        <w:adjustRightInd w:val="0"/>
        <w:spacing w:line="600" w:lineRule="exact"/>
        <w:ind w:firstLine="640" w:firstLineChars="200"/>
        <w:rPr>
          <w:color w:val="FF0000"/>
          <w:szCs w:val="32"/>
        </w:rPr>
      </w:pPr>
      <w:r>
        <w:rPr>
          <w:rFonts w:hint="eastAsia"/>
          <w:szCs w:val="32"/>
        </w:rPr>
        <w:t>（1）分子：中标</w:t>
      </w:r>
      <w:r>
        <w:rPr>
          <w:szCs w:val="32"/>
        </w:rPr>
        <w:t>药品</w:t>
      </w:r>
      <w:r>
        <w:rPr>
          <w:rFonts w:hint="eastAsia"/>
          <w:szCs w:val="32"/>
        </w:rPr>
        <w:t>采购</w:t>
      </w:r>
      <w:r>
        <w:rPr>
          <w:szCs w:val="32"/>
        </w:rPr>
        <w:t>金额</w:t>
      </w:r>
      <w:r>
        <w:rPr>
          <w:rFonts w:hint="eastAsia"/>
          <w:szCs w:val="32"/>
        </w:rPr>
        <w:t>指</w:t>
      </w:r>
      <w:r>
        <w:rPr>
          <w:szCs w:val="32"/>
        </w:rPr>
        <w:t>考核年度医院采购的</w:t>
      </w:r>
      <w:r>
        <w:rPr>
          <w:rFonts w:hint="eastAsia"/>
          <w:szCs w:val="32"/>
        </w:rPr>
        <w:t>由国家组织药品集中采购的中选药品金额数之和。</w:t>
      </w:r>
      <w:bookmarkStart w:id="21" w:name="_Hlk42354116"/>
      <w:r>
        <w:rPr>
          <w:rFonts w:hint="eastAsia" w:ascii="仿宋_GB2312"/>
          <w:color w:val="222222"/>
          <w:szCs w:val="32"/>
          <w:shd w:val="clear" w:color="auto" w:fill="FFFFFF"/>
        </w:rPr>
        <w:t>不包括中药饮片。</w:t>
      </w:r>
      <w:bookmarkEnd w:id="21"/>
    </w:p>
    <w:p>
      <w:pPr>
        <w:adjustRightInd w:val="0"/>
        <w:spacing w:line="600" w:lineRule="exact"/>
        <w:ind w:firstLine="640" w:firstLineChars="200"/>
        <w:rPr>
          <w:szCs w:val="32"/>
        </w:rPr>
      </w:pPr>
      <w:r>
        <w:rPr>
          <w:rFonts w:hint="eastAsia"/>
          <w:szCs w:val="32"/>
        </w:rPr>
        <w:t>（2）分母：</w:t>
      </w:r>
      <w:r>
        <w:rPr>
          <w:szCs w:val="32"/>
        </w:rPr>
        <w:t>同期</w:t>
      </w:r>
      <w:r>
        <w:rPr>
          <w:rFonts w:hint="eastAsia"/>
          <w:szCs w:val="32"/>
        </w:rPr>
        <w:t>采购同种</w:t>
      </w:r>
      <w:r>
        <w:rPr>
          <w:szCs w:val="32"/>
        </w:rPr>
        <w:t>药品金额</w:t>
      </w:r>
      <w:r>
        <w:rPr>
          <w:rFonts w:hint="eastAsia"/>
          <w:szCs w:val="32"/>
        </w:rPr>
        <w:t>总数</w:t>
      </w:r>
      <w:r>
        <w:rPr>
          <w:szCs w:val="32"/>
        </w:rPr>
        <w:t>指</w:t>
      </w:r>
      <w:r>
        <w:rPr>
          <w:rFonts w:hint="eastAsia"/>
          <w:szCs w:val="32"/>
        </w:rPr>
        <w:t>包含国家组织药品集中采购的中标药品在内的所有同种药品采购</w:t>
      </w:r>
      <w:r>
        <w:rPr>
          <w:szCs w:val="32"/>
        </w:rPr>
        <w:t>金额</w:t>
      </w:r>
      <w:r>
        <w:rPr>
          <w:rFonts w:hint="eastAsia"/>
          <w:szCs w:val="32"/>
        </w:rPr>
        <w:t>之和。不包括中药饮片。</w:t>
      </w:r>
    </w:p>
    <w:p>
      <w:pPr>
        <w:adjustRightInd w:val="0"/>
        <w:spacing w:line="600" w:lineRule="exact"/>
        <w:ind w:firstLine="640" w:firstLineChars="200"/>
        <w:rPr>
          <w:rFonts w:hint="eastAsia"/>
          <w:szCs w:val="32"/>
        </w:rPr>
      </w:pPr>
      <w:r>
        <w:rPr>
          <w:rFonts w:hint="eastAsia"/>
          <w:szCs w:val="32"/>
        </w:rPr>
        <w:t>（3）延伸指标：分子统计内容为集采购销协议截止时间在本考核年度1月1日-12月31日内，统计完整集采协议周期内医院完成的中选药品带量购销协议用量的品种数。分母为同期医院应完成国家组织药品集中采购的中选药品带量购销协议用量的品种数。</w:t>
      </w:r>
    </w:p>
    <w:p>
      <w:pPr>
        <w:adjustRightInd w:val="0"/>
        <w:snapToGrid w:val="0"/>
        <w:spacing w:line="360" w:lineRule="auto"/>
        <w:ind w:firstLine="640" w:firstLineChars="200"/>
        <w:rPr>
          <w:szCs w:val="32"/>
        </w:rPr>
      </w:pPr>
      <w:r>
        <w:rPr>
          <w:rFonts w:hint="eastAsia"/>
          <w:szCs w:val="32"/>
        </w:rPr>
        <w:t>（4）本年度该指标仅考核实施国家组织药品集中采购的医院。</w:t>
      </w:r>
    </w:p>
    <w:p>
      <w:pPr>
        <w:adjustRightInd w:val="0"/>
        <w:spacing w:line="600" w:lineRule="exact"/>
        <w:rPr>
          <w:szCs w:val="32"/>
        </w:rPr>
      </w:pPr>
      <w:r>
        <w:rPr>
          <w:rFonts w:hint="eastAsia"/>
          <w:b/>
          <w:szCs w:val="32"/>
        </w:rPr>
        <w:t>【指标意义】</w:t>
      </w:r>
    </w:p>
    <w:p>
      <w:pPr>
        <w:adjustRightInd w:val="0"/>
        <w:spacing w:line="600" w:lineRule="exact"/>
        <w:ind w:firstLine="640" w:firstLineChars="200"/>
        <w:rPr>
          <w:rFonts w:ascii="仿宋_GB2312"/>
          <w:szCs w:val="32"/>
        </w:rPr>
      </w:pPr>
      <w:r>
        <w:rPr>
          <w:rFonts w:hint="eastAsia"/>
          <w:szCs w:val="32"/>
        </w:rPr>
        <w:t>《国务院办公厅关于印发国家组织药品集中采购和使用试点方案的通知》（国办发</w:t>
      </w:r>
      <w:r>
        <w:rPr>
          <w:rFonts w:hint="eastAsia" w:ascii="仿宋_GB2312"/>
          <w:szCs w:val="32"/>
        </w:rPr>
        <w:t>〔</w:t>
      </w:r>
      <w:r>
        <w:rPr>
          <w:rFonts w:ascii="仿宋_GB2312"/>
          <w:szCs w:val="32"/>
        </w:rPr>
        <w:t>2019</w:t>
      </w:r>
      <w:r>
        <w:rPr>
          <w:rFonts w:hint="eastAsia" w:ascii="仿宋_GB2312"/>
          <w:szCs w:val="32"/>
        </w:rPr>
        <w:t>〕</w:t>
      </w:r>
      <w:r>
        <w:rPr>
          <w:rFonts w:ascii="仿宋_GB2312"/>
          <w:szCs w:val="32"/>
        </w:rPr>
        <w:t>2</w:t>
      </w:r>
      <w:r>
        <w:rPr>
          <w:rFonts w:hint="eastAsia" w:ascii="仿宋_GB2312"/>
          <w:szCs w:val="32"/>
        </w:rPr>
        <w:t>号）提出，通过国家组织药品集中采购和使用实现药价明显降低，减轻患者药费负担；降低企业交易成本，净化流通环境，改善行业生态；引导医疗机构规范用药，支持公立医院改革；探索完善药品集中采购机制和以市场为主导的药品价格形成机制。《国家卫生健康委办公厅关于做好国家组织药品集中采购中选药品临床配备使用工作的通知》（国卫办医函〔</w:t>
      </w:r>
      <w:r>
        <w:rPr>
          <w:rFonts w:ascii="仿宋_GB2312"/>
          <w:szCs w:val="32"/>
        </w:rPr>
        <w:t>2019</w:t>
      </w:r>
      <w:r>
        <w:rPr>
          <w:rFonts w:hint="eastAsia" w:ascii="仿宋_GB2312"/>
          <w:szCs w:val="32"/>
        </w:rPr>
        <w:t>〕</w:t>
      </w:r>
      <w:r>
        <w:rPr>
          <w:rFonts w:ascii="仿宋_GB2312"/>
          <w:szCs w:val="32"/>
        </w:rPr>
        <w:t>77</w:t>
      </w:r>
      <w:r>
        <w:rPr>
          <w:rFonts w:hint="eastAsia" w:ascii="仿宋_GB2312"/>
          <w:szCs w:val="32"/>
        </w:rPr>
        <w:t>号）要求，公立医疗机构要配备和合理使用中选药品，切实保证用量。《国家医疗保障局等九部门关于国家组织药品集中采购和使用试点扩大区域范围的实施意见》（医保发〔</w:t>
      </w:r>
      <w:r>
        <w:rPr>
          <w:rFonts w:ascii="仿宋_GB2312"/>
          <w:szCs w:val="32"/>
        </w:rPr>
        <w:t>2019</w:t>
      </w:r>
      <w:r>
        <w:rPr>
          <w:rFonts w:hint="eastAsia" w:ascii="仿宋_GB2312"/>
          <w:szCs w:val="32"/>
        </w:rPr>
        <w:t>〕</w:t>
      </w:r>
      <w:r>
        <w:rPr>
          <w:rFonts w:ascii="仿宋_GB2312"/>
          <w:szCs w:val="32"/>
        </w:rPr>
        <w:t>56</w:t>
      </w:r>
      <w:r>
        <w:rPr>
          <w:rFonts w:hint="eastAsia" w:ascii="仿宋_GB2312"/>
          <w:szCs w:val="32"/>
        </w:rPr>
        <w:t>号）、《国家卫生健康委办公厅关于进一步做好国家组织药品集中采购中选药品配备使用工作的通知》（国卫办医函〔</w:t>
      </w:r>
      <w:r>
        <w:rPr>
          <w:rFonts w:ascii="仿宋_GB2312"/>
          <w:szCs w:val="32"/>
        </w:rPr>
        <w:t>2019</w:t>
      </w:r>
      <w:r>
        <w:rPr>
          <w:rFonts w:hint="eastAsia" w:ascii="仿宋_GB2312"/>
          <w:szCs w:val="32"/>
        </w:rPr>
        <w:t>〕</w:t>
      </w:r>
      <w:r>
        <w:rPr>
          <w:rFonts w:ascii="仿宋_GB2312"/>
          <w:szCs w:val="32"/>
        </w:rPr>
        <w:t>889</w:t>
      </w:r>
      <w:r>
        <w:rPr>
          <w:rFonts w:hint="eastAsia" w:ascii="仿宋_GB2312"/>
          <w:szCs w:val="32"/>
        </w:rPr>
        <w:t>号）指出将国家组织药品集中采购和使用试点区域范围从“</w:t>
      </w:r>
      <w:r>
        <w:rPr>
          <w:rFonts w:ascii="仿宋_GB2312"/>
          <w:szCs w:val="32"/>
        </w:rPr>
        <w:t>4+7</w:t>
      </w:r>
      <w:r>
        <w:rPr>
          <w:rFonts w:hint="eastAsia" w:ascii="仿宋_GB2312"/>
          <w:szCs w:val="32"/>
        </w:rPr>
        <w:t>”个城市扩大到全国范围。</w:t>
      </w:r>
    </w:p>
    <w:p>
      <w:pPr>
        <w:adjustRightInd w:val="0"/>
        <w:spacing w:line="600" w:lineRule="exact"/>
        <w:ind w:firstLine="640" w:firstLineChars="200"/>
        <w:rPr>
          <w:rFonts w:ascii="仿宋_GB2312"/>
          <w:szCs w:val="32"/>
        </w:rPr>
      </w:pPr>
      <w:r>
        <w:rPr>
          <w:rFonts w:hint="eastAsia" w:ascii="仿宋_GB2312"/>
          <w:szCs w:val="32"/>
        </w:rPr>
        <w:t>《国家卫生健康委办公厅关于做好医疗机构合理用药考核工作的通知》（国卫办医函〔2019〕903号）要求，合理用药考核的重点内容应当包括公立医疗机构国家组织药品集中采购中选品种配备使用情况；加强考核结果运用，医疗机构应当根据考核中发现的问题持续改进工作，不断提高合理用药水平。地方各级卫生健康行政部门、中医药主管部门要将合理用药考核结果纳入医疗机构绩效考核内容，并与医疗机构校验、医院评审、评价相结合。</w:t>
      </w:r>
    </w:p>
    <w:p>
      <w:pPr>
        <w:spacing w:line="600" w:lineRule="exact"/>
        <w:rPr>
          <w:szCs w:val="32"/>
        </w:rPr>
      </w:pPr>
      <w:r>
        <w:rPr>
          <w:rFonts w:hint="eastAsia" w:ascii="仿宋" w:hAnsi="仿宋" w:eastAsia="仿宋" w:cs="仿宋"/>
          <w:b/>
          <w:szCs w:val="32"/>
        </w:rPr>
        <w:t>【指标导向】</w:t>
      </w:r>
      <w:r>
        <w:rPr>
          <w:rFonts w:hint="eastAsia"/>
          <w:szCs w:val="32"/>
        </w:rPr>
        <w:t>逐步提高。</w:t>
      </w:r>
    </w:p>
    <w:p>
      <w:pPr>
        <w:spacing w:line="600" w:lineRule="exact"/>
        <w:rPr>
          <w:szCs w:val="32"/>
        </w:rPr>
      </w:pPr>
      <w:r>
        <w:rPr>
          <w:rFonts w:hint="eastAsia" w:ascii="仿宋" w:hAnsi="仿宋" w:eastAsia="仿宋" w:cs="仿宋"/>
          <w:b/>
          <w:szCs w:val="32"/>
        </w:rPr>
        <w:t>【指标来源】</w:t>
      </w:r>
      <w:r>
        <w:rPr>
          <w:rFonts w:hint="eastAsia"/>
          <w:szCs w:val="32"/>
        </w:rPr>
        <w:t>医院填报（其中延伸指标请医院依据省级招采平台显示的情况进行填报）。</w:t>
      </w:r>
    </w:p>
    <w:p>
      <w:pPr>
        <w:spacing w:line="600" w:lineRule="exact"/>
        <w:rPr>
          <w:szCs w:val="32"/>
        </w:rPr>
      </w:pPr>
      <w:r>
        <w:rPr>
          <w:rFonts w:hint="eastAsia" w:ascii="仿宋" w:hAnsi="仿宋" w:eastAsia="仿宋" w:cs="仿宋"/>
          <w:b/>
          <w:szCs w:val="32"/>
        </w:rPr>
        <w:t>【指标解释】</w:t>
      </w:r>
      <w:r>
        <w:rPr>
          <w:rFonts w:hint="eastAsia"/>
          <w:szCs w:val="32"/>
        </w:rPr>
        <w:t>省级中医药主管部门、</w:t>
      </w:r>
      <w:r>
        <w:rPr>
          <w:rFonts w:hint="eastAsia" w:ascii="仿宋" w:hAnsi="仿宋" w:eastAsia="仿宋" w:cs="仿宋"/>
          <w:bCs/>
          <w:szCs w:val="32"/>
        </w:rPr>
        <w:t>省级医保部门</w:t>
      </w:r>
      <w:r>
        <w:rPr>
          <w:rFonts w:hint="eastAsia"/>
          <w:szCs w:val="32"/>
        </w:rPr>
        <w:t>。</w:t>
      </w:r>
    </w:p>
    <w:p>
      <w:pPr>
        <w:widowControl/>
        <w:spacing w:line="600" w:lineRule="exact"/>
        <w:rPr>
          <w:rFonts w:ascii="仿宋_GB2312"/>
          <w:b/>
          <w:szCs w:val="32"/>
          <w:shd w:val="clear" w:color="auto" w:fill="FFFFFF"/>
        </w:rPr>
      </w:pPr>
      <w:r>
        <w:rPr>
          <w:b/>
          <w:sz w:val="21"/>
          <w:szCs w:val="22"/>
        </w:rPr>
        <w:br w:type="page"/>
      </w:r>
      <w:r>
        <w:rPr>
          <w:b/>
          <w:szCs w:val="32"/>
        </w:rPr>
        <w:t>12</w:t>
      </w:r>
      <w:r>
        <w:rPr>
          <w:rFonts w:hint="eastAsia"/>
          <w:b/>
          <w:szCs w:val="32"/>
        </w:rPr>
        <w:t xml:space="preserve">. </w:t>
      </w:r>
      <w:r>
        <w:rPr>
          <w:rFonts w:hint="eastAsia" w:ascii="仿宋_GB2312"/>
          <w:b/>
          <w:szCs w:val="32"/>
          <w:shd w:val="clear" w:color="auto" w:fill="FFFFFF"/>
        </w:rPr>
        <w:t>重点监控化学药品和生物制品收入占比</w:t>
      </w:r>
    </w:p>
    <w:p>
      <w:pPr>
        <w:spacing w:line="600" w:lineRule="exact"/>
        <w:rPr>
          <w:rFonts w:ascii="仿宋_GB2312"/>
          <w:b/>
          <w:szCs w:val="32"/>
          <w:shd w:val="clear" w:color="auto" w:fill="FFFFFF"/>
        </w:rPr>
      </w:pPr>
      <w:r>
        <w:rPr>
          <w:rFonts w:hint="eastAsia" w:ascii="仿宋_GB2312"/>
          <w:b/>
          <w:szCs w:val="32"/>
          <w:shd w:val="clear" w:color="auto" w:fill="FFFFFF"/>
        </w:rPr>
        <w:t>【指标属性】</w:t>
      </w:r>
      <w:r>
        <w:rPr>
          <w:rFonts w:hint="eastAsia" w:ascii="仿宋_GB2312"/>
          <w:szCs w:val="32"/>
          <w:shd w:val="clear" w:color="auto" w:fill="FFFFFF"/>
        </w:rPr>
        <w:t>定量指标。</w:t>
      </w:r>
    </w:p>
    <w:p>
      <w:pPr>
        <w:spacing w:line="600" w:lineRule="exact"/>
        <w:rPr>
          <w:rFonts w:ascii="仿宋_GB2312"/>
          <w:b/>
          <w:szCs w:val="32"/>
          <w:shd w:val="clear" w:color="auto" w:fill="FFFFFF"/>
        </w:rPr>
      </w:pP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exact"/>
        <w:rPr>
          <w:rFonts w:ascii="仿宋_GB2312"/>
          <w:b/>
          <w:szCs w:val="32"/>
          <w:shd w:val="clear" w:color="auto" w:fill="FFFFFF"/>
        </w:rPr>
      </w:pPr>
      <w:r>
        <w:rPr>
          <w:rFonts w:hint="eastAsia" w:ascii="仿宋_GB2312"/>
          <w:b/>
          <w:szCs w:val="32"/>
          <w:shd w:val="clear" w:color="auto" w:fill="FFFFFF"/>
        </w:rPr>
        <w:t>【指标定义】</w:t>
      </w:r>
    </w:p>
    <w:p>
      <w:pPr>
        <w:spacing w:line="600" w:lineRule="exact"/>
        <w:ind w:firstLine="640" w:firstLineChars="200"/>
        <w:rPr>
          <w:rFonts w:ascii="仿宋_GB2312"/>
          <w:b/>
          <w:szCs w:val="32"/>
          <w:shd w:val="clear" w:color="auto" w:fill="FFFFFF"/>
        </w:rPr>
      </w:pPr>
      <w:r>
        <w:rPr>
          <w:rFonts w:hint="eastAsia" w:ascii="仿宋_GB2312"/>
          <w:szCs w:val="32"/>
          <w:shd w:val="clear" w:color="auto" w:fill="FFFFFF"/>
        </w:rPr>
        <w:t>考核年度医院重点监控化学药品和生物制品收入占同期药品总收入的比例。</w:t>
      </w:r>
    </w:p>
    <w:p>
      <w:pPr>
        <w:spacing w:line="600" w:lineRule="exact"/>
        <w:rPr>
          <w:rFonts w:ascii="仿宋_GB2312"/>
          <w:b/>
          <w:szCs w:val="32"/>
          <w:shd w:val="clear" w:color="auto" w:fill="FFFFFF"/>
        </w:rPr>
      </w:pPr>
      <w:r>
        <w:rPr>
          <w:rFonts w:hint="eastAsia" w:ascii="仿宋_GB2312"/>
          <w:b/>
          <w:szCs w:val="32"/>
          <w:shd w:val="clear" w:color="auto" w:fill="FFFFFF"/>
        </w:rPr>
        <w:t>【计算方法】</w:t>
      </w:r>
    </w:p>
    <w:p>
      <w:pPr>
        <w:snapToGrid w:val="0"/>
        <w:spacing w:line="360" w:lineRule="auto"/>
        <w:rPr>
          <w:rFonts w:ascii="仿宋_GB2312" w:eastAsiaTheme="minorEastAsia"/>
          <w:b/>
          <w:szCs w:val="32"/>
          <w:shd w:val="clear" w:color="auto" w:fill="FFFFFF"/>
        </w:rPr>
      </w:pPr>
      <m:oMathPara>
        <m:oMath>
          <m:r>
            <m:rPr>
              <m:sty m:val="b"/>
            </m:rPr>
            <w:rPr>
              <w:rFonts w:hint="eastAsia" w:ascii="Cambria Math" w:hAnsi="Cambria Math"/>
              <w:sz w:val="24"/>
              <w:shd w:val="clear" w:color="auto" w:fill="FFFFFF"/>
            </w:rPr>
            <m:t>重点监控化学药品和生物制剂收入占比</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重点监控化学药品和生物制品收入</m:t>
              </m:r>
              <m:ctrlPr>
                <w:rPr>
                  <w:rFonts w:ascii="Cambria Math" w:hAnsi="黑体"/>
                  <w:b/>
                  <w:sz w:val="24"/>
                  <w:shd w:val="clear" w:color="auto" w:fill="FFFFFF"/>
                </w:rPr>
              </m:ctrlPr>
            </m:num>
            <m:den>
              <m:r>
                <m:rPr>
                  <m:sty m:val="p"/>
                </m:rPr>
                <w:rPr>
                  <w:rFonts w:hint="eastAsia" w:ascii="Cambria Math" w:hAnsi="Cambria Math"/>
                  <w:sz w:val="24"/>
                  <w:shd w:val="clear" w:color="auto" w:fill="FFFFFF"/>
                </w:rPr>
                <m:t>同期药品总收入</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exact"/>
        <w:rPr>
          <w:rFonts w:ascii="仿宋_GB2312"/>
          <w:b/>
          <w:szCs w:val="32"/>
          <w:shd w:val="clear" w:color="auto" w:fill="FFFFFF"/>
        </w:rPr>
      </w:pPr>
      <w:r>
        <w:rPr>
          <w:rFonts w:hint="eastAsia" w:ascii="仿宋_GB2312"/>
          <w:b/>
          <w:szCs w:val="32"/>
          <w:shd w:val="clear" w:color="auto" w:fill="FFFFFF"/>
        </w:rPr>
        <w:t>【指标说明】</w:t>
      </w:r>
    </w:p>
    <w:p>
      <w:pPr>
        <w:widowControl/>
        <w:adjustRightInd w:val="0"/>
        <w:spacing w:line="600" w:lineRule="exact"/>
        <w:ind w:firstLine="640" w:firstLineChars="200"/>
        <w:rPr>
          <w:rFonts w:ascii="仿宋_GB2312"/>
          <w:szCs w:val="32"/>
          <w:shd w:val="clear" w:color="auto" w:fill="FFFFFF"/>
        </w:rPr>
      </w:pPr>
      <w:r>
        <w:rPr>
          <w:rFonts w:hint="eastAsia" w:ascii="仿宋_GB2312"/>
          <w:szCs w:val="32"/>
          <w:shd w:val="clear" w:color="auto" w:fill="FFFFFF"/>
        </w:rPr>
        <w:t>（1）分子：考核年度重点监控化学药品和生物制品</w:t>
      </w:r>
      <w:r>
        <w:rPr>
          <w:rStyle w:val="34"/>
          <w:rFonts w:ascii="仿宋_GB2312"/>
          <w:szCs w:val="32"/>
          <w:shd w:val="clear" w:color="auto" w:fill="FFFFFF"/>
        </w:rPr>
        <w:footnoteReference w:id="30"/>
      </w:r>
      <w:r>
        <w:rPr>
          <w:rFonts w:hint="eastAsia" w:ascii="仿宋_GB2312"/>
          <w:szCs w:val="32"/>
          <w:shd w:val="clear" w:color="auto" w:fill="FFFFFF"/>
        </w:rPr>
        <w:t>收入</w:t>
      </w:r>
      <w:r>
        <w:rPr>
          <w:rFonts w:hint="eastAsia" w:ascii="仿宋_GB2312"/>
          <w:szCs w:val="32"/>
          <w:highlight w:val="none"/>
          <w:shd w:val="clear" w:color="auto" w:fill="FFFFFF"/>
        </w:rPr>
        <w:t>是指按照国家公布的20种药品</w:t>
      </w:r>
      <w:r>
        <w:rPr>
          <w:rStyle w:val="34"/>
          <w:rFonts w:ascii="仿宋_GB2312"/>
          <w:szCs w:val="32"/>
          <w:highlight w:val="none"/>
          <w:shd w:val="clear" w:color="auto" w:fill="FFFFFF"/>
        </w:rPr>
        <w:footnoteReference w:id="31"/>
      </w:r>
      <w:r>
        <w:rPr>
          <w:rFonts w:hint="eastAsia" w:ascii="仿宋_GB2312"/>
          <w:szCs w:val="32"/>
          <w:highlight w:val="none"/>
          <w:shd w:val="clear" w:color="auto" w:fill="FFFFFF"/>
        </w:rPr>
        <w:t>（见附件</w:t>
      </w:r>
      <w:r>
        <w:rPr>
          <w:rFonts w:ascii="仿宋_GB2312"/>
          <w:szCs w:val="32"/>
          <w:highlight w:val="none"/>
          <w:shd w:val="clear" w:color="auto" w:fill="FFFFFF"/>
        </w:rPr>
        <w:t>1</w:t>
      </w:r>
      <w:r>
        <w:rPr>
          <w:rFonts w:hint="eastAsia" w:ascii="仿宋_GB2312"/>
          <w:szCs w:val="32"/>
          <w:highlight w:val="none"/>
          <w:shd w:val="clear" w:color="auto" w:fill="FFFFFF"/>
        </w:rPr>
        <w:t>）统计的收入之和。</w:t>
      </w:r>
    </w:p>
    <w:p>
      <w:pPr>
        <w:widowControl/>
        <w:adjustRightInd w:val="0"/>
        <w:spacing w:line="600" w:lineRule="exact"/>
        <w:ind w:firstLine="640" w:firstLineChars="200"/>
        <w:rPr>
          <w:rFonts w:ascii="仿宋_GB2312"/>
          <w:szCs w:val="32"/>
          <w:shd w:val="clear" w:color="auto" w:fill="FFFFFF"/>
        </w:rPr>
      </w:pPr>
      <w:r>
        <w:rPr>
          <w:rFonts w:hint="eastAsia" w:ascii="仿宋_GB2312"/>
          <w:szCs w:val="32"/>
          <w:shd w:val="clear" w:color="auto" w:fill="FFFFFF"/>
        </w:rPr>
        <w:t>（2）分母：同期药品总收入包括门急诊、住院药品收入。包括中药收入和西药收入。</w:t>
      </w:r>
    </w:p>
    <w:p>
      <w:pPr>
        <w:spacing w:line="600" w:lineRule="exact"/>
        <w:rPr>
          <w:rFonts w:ascii="仿宋_GB2312"/>
          <w:b/>
          <w:szCs w:val="32"/>
          <w:shd w:val="clear" w:color="auto" w:fill="FFFFFF"/>
        </w:rPr>
      </w:pPr>
      <w:r>
        <w:rPr>
          <w:rFonts w:hint="eastAsia" w:ascii="仿宋_GB2312"/>
          <w:b/>
          <w:szCs w:val="32"/>
          <w:highlight w:val="none"/>
          <w:shd w:val="clear" w:color="auto" w:fill="FFFFFF"/>
        </w:rPr>
        <w:t>【指标意义】</w:t>
      </w:r>
    </w:p>
    <w:p>
      <w:pPr>
        <w:adjustRightInd w:val="0"/>
        <w:spacing w:line="600" w:lineRule="exact"/>
        <w:ind w:firstLine="640" w:firstLineChars="200"/>
        <w:rPr>
          <w:rFonts w:ascii="仿宋_GB2312"/>
          <w:b/>
          <w:szCs w:val="32"/>
          <w:shd w:val="clear" w:color="auto" w:fill="FFFFFF"/>
        </w:rPr>
      </w:pPr>
      <w:r>
        <w:rPr>
          <w:rFonts w:hint="eastAsia" w:ascii="仿宋_GB2312"/>
          <w:bCs/>
          <w:szCs w:val="32"/>
          <w:shd w:val="clear" w:color="auto" w:fill="FFFFFF"/>
        </w:rPr>
        <w:t>《关于印发第一批国家重点监控合理用药药品目录（化药及生物制品）的通知》（国卫办医函〔2019〕558号）要求，各级卫生健康行政部门和中医药主管部门，在第一批国家重点监控合理用药药品目录基础上，制定省级重点监控合理用药药品目录并公布。各级卫生健康行政部门、中医药主管部门和各医疗机构要建立完善药品临床使用监测和超常预警制度，加强药品临床使用监测和绩效考核。</w:t>
      </w:r>
      <w:r>
        <w:rPr>
          <w:rFonts w:hint="eastAsia" w:ascii="仿宋_GB2312"/>
          <w:bCs/>
          <w:szCs w:val="32"/>
          <w:highlight w:val="none"/>
          <w:shd w:val="clear" w:color="auto" w:fill="FFFFFF"/>
        </w:rPr>
        <w:t>重点将纳入目录的药品临床使用情况作为医疗机构及其主要负责人的考核内容。各医疗机构要建立重点监控合理用药药品管理制度，加强目录内药品临床应用的全程管理。</w:t>
      </w:r>
    </w:p>
    <w:p>
      <w:pPr>
        <w:spacing w:line="600" w:lineRule="exact"/>
        <w:rPr>
          <w:rFonts w:ascii="仿宋_GB2312"/>
          <w:b/>
          <w:szCs w:val="32"/>
          <w:shd w:val="clear" w:color="auto" w:fill="FFFFFF"/>
        </w:rPr>
      </w:pPr>
      <w:r>
        <w:rPr>
          <w:rFonts w:hint="eastAsia" w:ascii="仿宋_GB2312"/>
          <w:b/>
          <w:szCs w:val="32"/>
          <w:shd w:val="clear" w:color="auto" w:fill="FFFFFF"/>
        </w:rPr>
        <w:t>【指标导向】</w:t>
      </w:r>
      <w:r>
        <w:rPr>
          <w:rFonts w:hint="eastAsia" w:ascii="仿宋_GB2312"/>
          <w:szCs w:val="32"/>
          <w:shd w:val="clear" w:color="auto" w:fill="FFFFFF"/>
        </w:rPr>
        <w:t>监测比较。</w:t>
      </w:r>
    </w:p>
    <w:p>
      <w:pPr>
        <w:spacing w:line="600" w:lineRule="exact"/>
        <w:rPr>
          <w:rFonts w:ascii="仿宋_GB2312"/>
          <w:szCs w:val="32"/>
          <w:shd w:val="clear" w:color="auto" w:fill="FFFFFF"/>
        </w:rPr>
      </w:pPr>
      <w:r>
        <w:rPr>
          <w:rFonts w:hint="eastAsia" w:ascii="仿宋_GB2312"/>
          <w:b/>
          <w:szCs w:val="32"/>
          <w:shd w:val="clear" w:color="auto" w:fill="FFFFFF"/>
        </w:rPr>
        <w:t>【数据来源】</w:t>
      </w:r>
      <w:r>
        <w:rPr>
          <w:rFonts w:hint="eastAsia" w:ascii="仿宋_GB2312"/>
          <w:szCs w:val="32"/>
          <w:shd w:val="clear" w:color="auto" w:fill="FFFFFF"/>
        </w:rPr>
        <w:t>医院填报。</w:t>
      </w:r>
    </w:p>
    <w:p>
      <w:pPr>
        <w:widowControl/>
        <w:spacing w:line="600" w:lineRule="exact"/>
        <w:rPr>
          <w:b/>
          <w:szCs w:val="32"/>
        </w:rPr>
      </w:pPr>
      <w:r>
        <w:rPr>
          <w:rFonts w:hint="eastAsia" w:ascii="仿宋_GB2312"/>
          <w:b/>
          <w:szCs w:val="32"/>
          <w:shd w:val="clear" w:color="auto" w:fill="FFFFFF"/>
        </w:rPr>
        <w:t>【指标解释】</w:t>
      </w:r>
      <w:r>
        <w:rPr>
          <w:rFonts w:hint="eastAsia" w:ascii="仿宋_GB2312"/>
          <w:szCs w:val="32"/>
          <w:shd w:val="clear" w:color="auto" w:fill="FFFFFF"/>
        </w:rPr>
        <w:t>省级中医药主管部门。</w:t>
      </w:r>
      <w:r>
        <w:rPr>
          <w:szCs w:val="32"/>
        </w:rPr>
        <w:br w:type="page"/>
      </w:r>
      <w:r>
        <w:rPr>
          <w:b/>
          <w:szCs w:val="32"/>
        </w:rPr>
        <w:t>13</w:t>
      </w:r>
      <w:r>
        <w:rPr>
          <w:rFonts w:hint="eastAsia"/>
          <w:b/>
          <w:szCs w:val="32"/>
        </w:rPr>
        <w:t>. 重点监控高值医用耗材收入占比</w:t>
      </w:r>
    </w:p>
    <w:p>
      <w:pPr>
        <w:spacing w:line="600" w:lineRule="exact"/>
        <w:rPr>
          <w:b/>
          <w:szCs w:val="32"/>
        </w:rPr>
      </w:pPr>
      <w:r>
        <w:rPr>
          <w:rFonts w:hint="eastAsia"/>
          <w:b/>
          <w:szCs w:val="32"/>
        </w:rPr>
        <w:t>【指标属性】</w:t>
      </w:r>
      <w:r>
        <w:rPr>
          <w:rFonts w:hint="eastAsia"/>
          <w:szCs w:val="32"/>
        </w:rPr>
        <w:t>定量指标。</w:t>
      </w:r>
    </w:p>
    <w:p>
      <w:pPr>
        <w:spacing w:line="600" w:lineRule="exact"/>
        <w:rPr>
          <w:b/>
          <w:szCs w:val="32"/>
        </w:rPr>
      </w:pPr>
      <w:r>
        <w:rPr>
          <w:rFonts w:hint="eastAsia"/>
          <w:b/>
          <w:szCs w:val="32"/>
        </w:rPr>
        <w:t>【计量单位】</w:t>
      </w:r>
      <w:r>
        <w:rPr>
          <w:rFonts w:hint="eastAsia"/>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b/>
          <w:szCs w:val="32"/>
        </w:rPr>
      </w:pPr>
      <w:r>
        <w:rPr>
          <w:rFonts w:hint="eastAsia"/>
          <w:szCs w:val="32"/>
        </w:rPr>
        <w:t>考核年度医院重点监控高值医</w:t>
      </w:r>
      <w:r>
        <w:rPr>
          <w:szCs w:val="32"/>
        </w:rPr>
        <w:t>用</w:t>
      </w:r>
      <w:r>
        <w:rPr>
          <w:rFonts w:hint="eastAsia"/>
          <w:szCs w:val="32"/>
        </w:rPr>
        <w:t>耗材</w:t>
      </w:r>
      <w:r>
        <w:rPr>
          <w:rStyle w:val="34"/>
          <w:rFonts w:ascii="仿宋_GB2312"/>
          <w:szCs w:val="32"/>
        </w:rPr>
        <w:footnoteReference w:id="32"/>
      </w:r>
      <w:r>
        <w:rPr>
          <w:rFonts w:hint="eastAsia"/>
          <w:szCs w:val="32"/>
        </w:rPr>
        <w:t>收入占同期卫生材料收入的比例。</w:t>
      </w:r>
    </w:p>
    <w:p>
      <w:pPr>
        <w:spacing w:line="600" w:lineRule="exact"/>
        <w:rPr>
          <w:b/>
          <w:szCs w:val="32"/>
        </w:rPr>
      </w:pPr>
      <w:r>
        <w:rPr>
          <w:rFonts w:hint="eastAsia"/>
          <w:b/>
          <w:szCs w:val="32"/>
        </w:rPr>
        <w:t>【计算方法】</w:t>
      </w:r>
    </w:p>
    <w:p>
      <w:pPr>
        <w:spacing w:before="87" w:beforeLines="20" w:after="87" w:afterLines="20" w:line="360" w:lineRule="auto"/>
        <w:ind w:right="-662" w:rightChars="-207"/>
        <w:rPr>
          <w:rFonts w:ascii="仿宋_GB2312" w:hAnsi="黑体"/>
          <w:b/>
          <w:sz w:val="28"/>
          <w:szCs w:val="28"/>
        </w:rPr>
      </w:pPr>
      <m:oMathPara>
        <m:oMathParaPr>
          <m:jc m:val="center"/>
        </m:oMathParaPr>
        <m:oMath>
          <m:r>
            <m:rPr>
              <m:sty m:val="b"/>
            </m:rPr>
            <w:rPr>
              <w:rFonts w:hint="eastAsia" w:ascii="Cambria Math" w:hAnsi="Cambria Math"/>
              <w:sz w:val="24"/>
            </w:rPr>
            <m:t>重点监控高值医用耗材收入占比=</m:t>
          </m:r>
          <m:f>
            <m:fPr>
              <m:ctrlPr>
                <w:rPr>
                  <w:rFonts w:hint="eastAsia" w:ascii="Cambria Math" w:hAnsi="Cambria Math"/>
                  <w:b/>
                  <w:sz w:val="24"/>
                </w:rPr>
              </m:ctrlPr>
            </m:fPr>
            <m:num>
              <m:r>
                <m:rPr>
                  <m:sty m:val="p"/>
                </m:rPr>
                <w:rPr>
                  <w:rFonts w:hint="eastAsia" w:ascii="Cambria Math" w:hAnsi="Cambria Math"/>
                  <w:sz w:val="24"/>
                </w:rPr>
                <m:t>重点监控高值医用耗材收入</m:t>
              </m:r>
              <m:ctrlPr>
                <w:rPr>
                  <w:rFonts w:hint="eastAsia" w:ascii="Cambria Math" w:hAnsi="Cambria Math"/>
                  <w:b/>
                  <w:sz w:val="24"/>
                </w:rPr>
              </m:ctrlPr>
            </m:num>
            <m:den>
              <m:r>
                <m:rPr>
                  <m:sty m:val="p"/>
                </m:rPr>
                <w:rPr>
                  <w:rFonts w:hint="eastAsia" w:ascii="Cambria Math" w:hAnsi="Cambria Math"/>
                  <w:sz w:val="24"/>
                </w:rPr>
                <m:t>同期卫生材料收入</m:t>
              </m:r>
              <m:ctrlPr>
                <w:rPr>
                  <w:rFonts w:hint="eastAsia" w:ascii="Cambria Math" w:hAnsi="Cambria Math"/>
                  <w:b/>
                  <w:sz w:val="24"/>
                </w:rPr>
              </m:ctrlPr>
            </m:den>
          </m:f>
          <m:r>
            <m:rPr>
              <m:sty m:val="p"/>
            </m:rPr>
            <w:rPr>
              <w:rFonts w:hint="eastAsia" w:ascii="Cambria Math" w:hAnsi="Cambria Math"/>
              <w:sz w:val="24"/>
            </w:rPr>
            <m:t>×100%</m:t>
          </m:r>
        </m:oMath>
      </m:oMathPara>
    </w:p>
    <w:p>
      <w:pPr>
        <w:widowControl/>
        <w:spacing w:line="600" w:lineRule="exact"/>
        <w:rPr>
          <w:b/>
          <w:szCs w:val="32"/>
        </w:rPr>
      </w:pPr>
      <w:r>
        <w:rPr>
          <w:rFonts w:hint="eastAsia"/>
          <w:b/>
          <w:szCs w:val="32"/>
        </w:rPr>
        <w:t>【指标说明】</w:t>
      </w:r>
    </w:p>
    <w:p>
      <w:pPr>
        <w:widowControl/>
        <w:adjustRightInd w:val="0"/>
        <w:spacing w:line="600" w:lineRule="exact"/>
        <w:ind w:firstLine="640" w:firstLineChars="200"/>
        <w:rPr>
          <w:szCs w:val="32"/>
        </w:rPr>
      </w:pPr>
      <w:r>
        <w:rPr>
          <w:rFonts w:hint="eastAsia"/>
          <w:szCs w:val="32"/>
        </w:rPr>
        <w:t>（1）分子：本年度重点</w:t>
      </w:r>
      <w:r>
        <w:rPr>
          <w:szCs w:val="32"/>
        </w:rPr>
        <w:t>监控</w:t>
      </w:r>
      <w:r>
        <w:rPr>
          <w:rFonts w:hint="eastAsia"/>
          <w:szCs w:val="32"/>
        </w:rPr>
        <w:t>高值医</w:t>
      </w:r>
      <w:r>
        <w:rPr>
          <w:szCs w:val="32"/>
        </w:rPr>
        <w:t>用</w:t>
      </w:r>
      <w:r>
        <w:rPr>
          <w:rFonts w:hint="eastAsia"/>
          <w:szCs w:val="32"/>
        </w:rPr>
        <w:t>耗材收入指</w:t>
      </w:r>
      <w:r>
        <w:rPr>
          <w:rFonts w:hint="eastAsia"/>
          <w:szCs w:val="32"/>
          <w:highlight w:val="none"/>
        </w:rPr>
        <w:t>按照国家公布的</w:t>
      </w:r>
      <w:r>
        <w:rPr>
          <w:szCs w:val="32"/>
          <w:highlight w:val="none"/>
        </w:rPr>
        <w:t>18</w:t>
      </w:r>
      <w:r>
        <w:rPr>
          <w:rFonts w:hint="eastAsia"/>
          <w:szCs w:val="32"/>
          <w:highlight w:val="none"/>
        </w:rPr>
        <w:t>种耗材</w:t>
      </w:r>
      <w:r>
        <w:rPr>
          <w:rStyle w:val="34"/>
          <w:rFonts w:ascii="仿宋_GB2312"/>
          <w:szCs w:val="32"/>
          <w:highlight w:val="none"/>
        </w:rPr>
        <w:footnoteReference w:id="33"/>
      </w:r>
      <w:r>
        <w:rPr>
          <w:rFonts w:hint="eastAsia"/>
          <w:szCs w:val="32"/>
          <w:highlight w:val="none"/>
        </w:rPr>
        <w:t>统计的收入之和（见附件</w:t>
      </w:r>
      <w:r>
        <w:rPr>
          <w:szCs w:val="32"/>
          <w:highlight w:val="none"/>
        </w:rPr>
        <w:t>2</w:t>
      </w:r>
      <w:r>
        <w:rPr>
          <w:rFonts w:hint="eastAsia"/>
          <w:szCs w:val="32"/>
          <w:highlight w:val="none"/>
        </w:rPr>
        <w:t>）</w:t>
      </w:r>
      <w:r>
        <w:rPr>
          <w:rFonts w:hint="eastAsia"/>
          <w:szCs w:val="32"/>
        </w:rPr>
        <w:t>。</w:t>
      </w:r>
    </w:p>
    <w:p>
      <w:pPr>
        <w:widowControl/>
        <w:adjustRightInd w:val="0"/>
        <w:spacing w:line="600" w:lineRule="exact"/>
        <w:ind w:firstLine="640" w:firstLineChars="200"/>
        <w:rPr>
          <w:szCs w:val="32"/>
        </w:rPr>
      </w:pPr>
      <w:r>
        <w:rPr>
          <w:rFonts w:hint="eastAsia"/>
          <w:szCs w:val="32"/>
        </w:rPr>
        <w:t>（2）分母：同期卫生材料收入，包括门急诊、住院卫生材料收入。</w:t>
      </w:r>
    </w:p>
    <w:p>
      <w:pPr>
        <w:adjustRightInd w:val="0"/>
        <w:spacing w:line="600" w:lineRule="exact"/>
        <w:rPr>
          <w:b/>
          <w:szCs w:val="32"/>
        </w:rPr>
      </w:pPr>
      <w:r>
        <w:rPr>
          <w:rFonts w:hint="eastAsia"/>
          <w:b/>
          <w:szCs w:val="32"/>
        </w:rPr>
        <w:t>【指标意义】</w:t>
      </w:r>
    </w:p>
    <w:p>
      <w:pPr>
        <w:pStyle w:val="22"/>
        <w:shd w:val="clear" w:color="auto" w:fill="FFFFFF"/>
        <w:adjustRightInd w:val="0"/>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《国务院办公厅关于印发治理高值医用耗材改革方案的通知</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（国办发</w:t>
      </w:r>
      <w:r>
        <w:rPr>
          <w:rFonts w:hint="eastAsia" w:ascii="仿宋_GB2312" w:hAnsi="Times New Roman" w:eastAsia="仿宋_GB2312" w:cs="Times New Roman"/>
          <w:kern w:val="2"/>
          <w:sz w:val="32"/>
          <w:szCs w:val="32"/>
        </w:rPr>
        <w:t>〔</w:t>
      </w:r>
      <w:r>
        <w:rPr>
          <w:rFonts w:ascii="仿宋_GB2312" w:hAnsi="Times New Roman" w:eastAsia="仿宋_GB2312" w:cs="Times New Roman"/>
          <w:kern w:val="2"/>
          <w:sz w:val="32"/>
          <w:szCs w:val="32"/>
        </w:rPr>
        <w:t>2019</w:t>
      </w:r>
      <w:r>
        <w:rPr>
          <w:rFonts w:hint="eastAsia" w:ascii="仿宋_GB2312" w:hAnsi="Times New Roman" w:eastAsia="仿宋_GB2312" w:cs="Times New Roman"/>
          <w:kern w:val="2"/>
          <w:sz w:val="32"/>
          <w:szCs w:val="32"/>
        </w:rPr>
        <w:t>〕</w:t>
      </w:r>
      <w:r>
        <w:rPr>
          <w:rFonts w:ascii="仿宋_GB2312" w:hAnsi="Times New Roman" w:eastAsia="仿宋_GB2312" w:cs="Times New Roman"/>
          <w:kern w:val="2"/>
          <w:sz w:val="32"/>
          <w:szCs w:val="32"/>
        </w:rPr>
        <w:t>37</w:t>
      </w:r>
      <w:r>
        <w:rPr>
          <w:rFonts w:hint="eastAsia" w:ascii="仿宋_GB2312" w:hAnsi="Times New Roman" w:eastAsia="仿宋_GB2312" w:cs="Times New Roman"/>
          <w:kern w:val="2"/>
          <w:sz w:val="32"/>
          <w:szCs w:val="32"/>
        </w:rPr>
        <w:t>号）要求完善高值医用耗材临床应用管理，并将其纳入公立医疗机构绩效考核评价体系。《关于印发医疗机构医用耗材管理办法（试行）的通知》（国卫医发〔</w:t>
      </w:r>
      <w:r>
        <w:rPr>
          <w:rFonts w:ascii="仿宋_GB2312" w:hAnsi="Times New Roman" w:eastAsia="仿宋_GB2312" w:cs="Times New Roman"/>
          <w:kern w:val="2"/>
          <w:sz w:val="32"/>
          <w:szCs w:val="32"/>
        </w:rPr>
        <w:t>2019</w:t>
      </w:r>
      <w:r>
        <w:rPr>
          <w:rFonts w:hint="eastAsia" w:ascii="仿宋_GB2312" w:hAnsi="Times New Roman" w:eastAsia="仿宋_GB2312" w:cs="Times New Roman"/>
          <w:kern w:val="2"/>
          <w:sz w:val="32"/>
          <w:szCs w:val="32"/>
        </w:rPr>
        <w:t>〕</w:t>
      </w:r>
      <w:r>
        <w:rPr>
          <w:rFonts w:ascii="仿宋_GB2312" w:hAnsi="Times New Roman" w:eastAsia="仿宋_GB2312" w:cs="Times New Roman"/>
          <w:kern w:val="2"/>
          <w:sz w:val="32"/>
          <w:szCs w:val="32"/>
        </w:rPr>
        <w:t>43</w:t>
      </w:r>
      <w:r>
        <w:rPr>
          <w:rFonts w:hint="eastAsia" w:ascii="仿宋_GB2312" w:hAnsi="Times New Roman" w:eastAsia="仿宋_GB2312" w:cs="Times New Roman"/>
          <w:kern w:val="2"/>
          <w:sz w:val="32"/>
          <w:szCs w:val="32"/>
        </w:rPr>
        <w:t>号）要求，加强高值医用耗材规范化管理，明确治理范围，将</w:t>
      </w:r>
      <w:r>
        <w:rPr>
          <w:rFonts w:ascii="Times New Roman" w:hAnsi="Times New Roman" w:eastAsia="仿宋_GB2312" w:cs="Times New Roman"/>
          <w:kern w:val="2"/>
          <w:sz w:val="32"/>
          <w:szCs w:val="32"/>
        </w:rPr>
        <w:t>单价和资源消耗占比相对较高的高值医用耗材作为重点治理对象。完善高值医用耗材临床应用管理，并将其纳入公立医疗机构绩效考核评价体系，以全面深入治理高值医用耗材，规范医疗服务行为，控制医疗费用不合理增长，维护人民群众健康权益。</w:t>
      </w:r>
    </w:p>
    <w:p>
      <w:pPr>
        <w:pStyle w:val="22"/>
        <w:shd w:val="clear" w:color="auto" w:fill="FFFFFF"/>
        <w:adjustRightInd w:val="0"/>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《国家卫生健康委办公厅关于印发第一批国家高值医用耗材重点治理清单的通知》（国卫办医函</w:t>
      </w:r>
      <w:r>
        <w:rPr>
          <w:rFonts w:hint="eastAsia" w:ascii="仿宋_GB2312" w:hAnsi="Times New Roman" w:eastAsia="仿宋_GB2312" w:cs="Times New Roman"/>
          <w:kern w:val="2"/>
          <w:sz w:val="32"/>
          <w:szCs w:val="32"/>
        </w:rPr>
        <w:t>〔</w:t>
      </w:r>
      <w:r>
        <w:rPr>
          <w:rFonts w:ascii="仿宋_GB2312" w:hAnsi="Times New Roman" w:eastAsia="仿宋_GB2312" w:cs="Times New Roman"/>
          <w:kern w:val="2"/>
          <w:sz w:val="32"/>
          <w:szCs w:val="32"/>
        </w:rPr>
        <w:t>2020</w:t>
      </w:r>
      <w:r>
        <w:rPr>
          <w:rFonts w:hint="eastAsia" w:ascii="仿宋_GB2312" w:hAnsi="Times New Roman" w:eastAsia="仿宋_GB2312" w:cs="Times New Roman"/>
          <w:kern w:val="2"/>
          <w:sz w:val="32"/>
          <w:szCs w:val="32"/>
        </w:rPr>
        <w:t>〕</w:t>
      </w:r>
      <w:r>
        <w:rPr>
          <w:rFonts w:ascii="仿宋_GB2312" w:hAnsi="Times New Roman" w:eastAsia="仿宋_GB2312" w:cs="Times New Roman"/>
          <w:kern w:val="2"/>
          <w:sz w:val="32"/>
          <w:szCs w:val="32"/>
        </w:rPr>
        <w:t>9</w:t>
      </w:r>
      <w:r>
        <w:rPr>
          <w:rFonts w:hint="eastAsia" w:ascii="仿宋_GB2312" w:hAnsi="Times New Roman" w:eastAsia="仿宋_GB2312" w:cs="Times New Roman"/>
          <w:kern w:val="2"/>
          <w:sz w:val="32"/>
          <w:szCs w:val="32"/>
        </w:rPr>
        <w:t>号）要求，各省级卫生健康行政部门在</w:t>
      </w:r>
      <w:r>
        <w:rPr>
          <w:rFonts w:hint="eastAsia" w:ascii="Times New Roman" w:hAnsi="Times New Roman" w:eastAsia="仿宋_GB2312"/>
          <w:b w:val="0"/>
          <w:bCs w:val="0"/>
          <w:color w:val="auto"/>
          <w:sz w:val="32"/>
          <w:szCs w:val="32"/>
          <w:highlight w:val="none"/>
        </w:rPr>
        <w:t>第一批国家高值医用耗材重点治理清单</w:t>
      </w:r>
      <w:r>
        <w:rPr>
          <w:rFonts w:hint="eastAsia" w:ascii="仿宋_GB2312" w:hAnsi="Times New Roman" w:eastAsia="仿宋_GB2312" w:cs="Times New Roman"/>
          <w:kern w:val="2"/>
          <w:sz w:val="32"/>
          <w:szCs w:val="32"/>
        </w:rPr>
        <w:t>基础上，根据各地实际，适当增加品种，形成省级清单，并指导辖区内医疗机构制定医疗机构清单。地方各级卫生健康行政部门和各级各类医疗机构要严格落实《医疗机构医用耗材管理办法（试行）》（国卫医发〔</w:t>
      </w:r>
      <w:r>
        <w:rPr>
          <w:rFonts w:ascii="仿宋_GB2312" w:hAnsi="Times New Roman" w:eastAsia="仿宋_GB2312" w:cs="Times New Roman"/>
          <w:kern w:val="2"/>
          <w:sz w:val="32"/>
          <w:szCs w:val="32"/>
        </w:rPr>
        <w:t>2019</w:t>
      </w:r>
      <w:r>
        <w:rPr>
          <w:rFonts w:hint="eastAsia" w:ascii="仿宋_GB2312" w:hAnsi="Times New Roman" w:eastAsia="仿宋_GB2312" w:cs="Times New Roman"/>
          <w:kern w:val="2"/>
          <w:sz w:val="32"/>
          <w:szCs w:val="32"/>
        </w:rPr>
        <w:t>〕</w:t>
      </w:r>
      <w:r>
        <w:rPr>
          <w:rFonts w:ascii="仿宋_GB2312" w:hAnsi="Times New Roman" w:eastAsia="仿宋_GB2312" w:cs="Times New Roman"/>
          <w:kern w:val="2"/>
          <w:sz w:val="32"/>
          <w:szCs w:val="32"/>
        </w:rPr>
        <w:t>43</w:t>
      </w:r>
      <w:r>
        <w:rPr>
          <w:rFonts w:hint="eastAsia" w:ascii="仿宋_GB2312" w:hAnsi="Times New Roman" w:eastAsia="仿宋_GB2312" w:cs="Times New Roman"/>
          <w:kern w:val="2"/>
          <w:sz w:val="32"/>
          <w:szCs w:val="32"/>
        </w:rPr>
        <w:t>号）有关要求，加强医用耗材管理，并按照治</w:t>
      </w:r>
      <w:r>
        <w:rPr>
          <w:rFonts w:ascii="Times New Roman" w:hAnsi="Times New Roman" w:eastAsia="仿宋_GB2312" w:cs="Times New Roman"/>
          <w:kern w:val="2"/>
          <w:sz w:val="32"/>
          <w:szCs w:val="32"/>
        </w:rPr>
        <w:t>理高值医用耗材改革工作要求，做好相关工作</w:t>
      </w:r>
      <w:r>
        <w:rPr>
          <w:rFonts w:hint="eastAsia" w:ascii="Times New Roman" w:hAnsi="Times New Roman" w:eastAsia="仿宋_GB2312" w:cs="Times New Roman"/>
          <w:kern w:val="2"/>
          <w:sz w:val="32"/>
          <w:szCs w:val="32"/>
        </w:rPr>
        <w:t>。</w:t>
      </w:r>
    </w:p>
    <w:p>
      <w:pPr>
        <w:spacing w:line="600" w:lineRule="exact"/>
        <w:rPr>
          <w:b/>
          <w:szCs w:val="32"/>
        </w:rPr>
      </w:pPr>
      <w:r>
        <w:rPr>
          <w:rFonts w:hint="eastAsia"/>
          <w:b/>
          <w:szCs w:val="32"/>
        </w:rPr>
        <w:t>【指标导向】</w:t>
      </w:r>
      <w:r>
        <w:rPr>
          <w:rFonts w:hint="eastAsia"/>
          <w:szCs w:val="32"/>
        </w:rPr>
        <w:t>监测比较。</w:t>
      </w:r>
    </w:p>
    <w:p>
      <w:pPr>
        <w:spacing w:line="600" w:lineRule="exact"/>
        <w:rPr>
          <w:szCs w:val="32"/>
        </w:rPr>
      </w:pPr>
      <w:r>
        <w:rPr>
          <w:rFonts w:hint="eastAsia"/>
          <w:b/>
          <w:szCs w:val="32"/>
        </w:rPr>
        <w:t>【指标来源】</w:t>
      </w:r>
      <w:r>
        <w:rPr>
          <w:rFonts w:hint="eastAsia"/>
          <w:szCs w:val="32"/>
        </w:rPr>
        <w:t>医院填报。</w:t>
      </w:r>
    </w:p>
    <w:p>
      <w:pPr>
        <w:spacing w:line="600" w:lineRule="exact"/>
        <w:rPr>
          <w:szCs w:val="32"/>
        </w:rPr>
      </w:pPr>
      <w:r>
        <w:rPr>
          <w:rFonts w:hint="eastAsia"/>
          <w:b/>
          <w:szCs w:val="32"/>
        </w:rPr>
        <w:t>【指标解释】</w:t>
      </w:r>
      <w:r>
        <w:rPr>
          <w:rFonts w:hint="eastAsia"/>
          <w:szCs w:val="32"/>
        </w:rPr>
        <w:t>省级卫生健康委。</w:t>
      </w:r>
    </w:p>
    <w:p>
      <w:pPr>
        <w:widowControl/>
        <w:jc w:val="left"/>
        <w:rPr>
          <w:szCs w:val="32"/>
        </w:rPr>
      </w:pPr>
      <w:r>
        <w:rPr>
          <w:szCs w:val="32"/>
        </w:rPr>
        <w:br w:type="page"/>
      </w:r>
    </w:p>
    <w:p>
      <w:pPr>
        <w:keepNext/>
        <w:keepLines/>
        <w:shd w:val="clear" w:color="auto" w:fill="FFFFFF"/>
        <w:spacing w:line="600" w:lineRule="exact"/>
        <w:outlineLvl w:val="1"/>
        <w:rPr>
          <w:rFonts w:eastAsia="楷体_GB2312"/>
          <w:b/>
          <w:bCs/>
          <w:szCs w:val="32"/>
        </w:rPr>
      </w:pPr>
      <w:bookmarkStart w:id="22" w:name="_Toc42857912"/>
      <w:r>
        <w:rPr>
          <w:rFonts w:hint="eastAsia" w:eastAsia="楷体_GB2312"/>
          <w:b/>
          <w:bCs/>
          <w:szCs w:val="32"/>
        </w:rPr>
        <w:t>（四）医疗</w:t>
      </w:r>
      <w:r>
        <w:rPr>
          <w:rFonts w:eastAsia="楷体_GB2312"/>
          <w:b/>
          <w:bCs/>
          <w:szCs w:val="32"/>
        </w:rPr>
        <w:t>服务</w:t>
      </w:r>
      <w:r>
        <w:rPr>
          <w:rFonts w:hint="eastAsia" w:eastAsia="楷体_GB2312"/>
          <w:b/>
          <w:bCs/>
          <w:szCs w:val="32"/>
        </w:rPr>
        <w:t>（指标</w:t>
      </w:r>
      <w:r>
        <w:rPr>
          <w:rFonts w:eastAsia="楷体_GB2312"/>
          <w:b/>
          <w:bCs/>
          <w:szCs w:val="32"/>
        </w:rPr>
        <w:t>14</w:t>
      </w:r>
      <w:r>
        <w:rPr>
          <w:rFonts w:hint="eastAsia" w:eastAsia="楷体_GB2312"/>
          <w:b/>
          <w:bCs/>
          <w:szCs w:val="32"/>
        </w:rPr>
        <w:t>—</w:t>
      </w:r>
      <w:r>
        <w:rPr>
          <w:rFonts w:eastAsia="楷体_GB2312"/>
          <w:b/>
          <w:bCs/>
          <w:szCs w:val="32"/>
        </w:rPr>
        <w:t>16</w:t>
      </w:r>
      <w:r>
        <w:rPr>
          <w:rFonts w:hint="eastAsia" w:eastAsia="楷体_GB2312"/>
          <w:b/>
          <w:bCs/>
          <w:szCs w:val="32"/>
        </w:rPr>
        <w:t>）</w:t>
      </w:r>
      <w:bookmarkEnd w:id="22"/>
    </w:p>
    <w:p>
      <w:pPr>
        <w:widowControl/>
        <w:spacing w:line="600" w:lineRule="exact"/>
        <w:rPr>
          <w:b/>
          <w:szCs w:val="32"/>
        </w:rPr>
      </w:pPr>
      <w:r>
        <w:rPr>
          <w:b/>
          <w:szCs w:val="32"/>
        </w:rPr>
        <w:t>14</w:t>
      </w:r>
      <w:r>
        <w:rPr>
          <w:rFonts w:hint="eastAsia"/>
          <w:b/>
          <w:szCs w:val="32"/>
        </w:rPr>
        <w:t>. 电子病历应用功能水平分级▲</w:t>
      </w:r>
    </w:p>
    <w:p>
      <w:pPr>
        <w:spacing w:line="580" w:lineRule="exact"/>
        <w:rPr>
          <w:b/>
          <w:szCs w:val="32"/>
        </w:rPr>
      </w:pPr>
      <w:r>
        <w:rPr>
          <w:rFonts w:hint="eastAsia"/>
          <w:b/>
          <w:szCs w:val="32"/>
        </w:rPr>
        <w:t>【指标属性】</w:t>
      </w:r>
      <w:r>
        <w:rPr>
          <w:rFonts w:hint="eastAsia"/>
          <w:szCs w:val="32"/>
        </w:rPr>
        <w:t>定量指标、国家监测指标。</w:t>
      </w:r>
    </w:p>
    <w:p>
      <w:pPr>
        <w:spacing w:line="580" w:lineRule="exact"/>
        <w:rPr>
          <w:b/>
          <w:szCs w:val="32"/>
        </w:rPr>
      </w:pPr>
      <w:r>
        <w:rPr>
          <w:rFonts w:hint="eastAsia"/>
          <w:b/>
          <w:szCs w:val="32"/>
        </w:rPr>
        <w:t>【计量单位】</w:t>
      </w:r>
      <w:r>
        <w:rPr>
          <w:rFonts w:hint="eastAsia"/>
          <w:szCs w:val="32"/>
        </w:rPr>
        <w:t>级别</w:t>
      </w:r>
    </w:p>
    <w:p>
      <w:pPr>
        <w:spacing w:line="580" w:lineRule="exact"/>
        <w:rPr>
          <w:b/>
          <w:szCs w:val="32"/>
        </w:rPr>
      </w:pPr>
      <w:r>
        <w:rPr>
          <w:rFonts w:hint="eastAsia"/>
          <w:b/>
          <w:szCs w:val="32"/>
        </w:rPr>
        <w:t>【指标定义】</w:t>
      </w:r>
    </w:p>
    <w:p>
      <w:pPr>
        <w:adjustRightInd w:val="0"/>
        <w:spacing w:line="580" w:lineRule="exact"/>
        <w:ind w:firstLine="739" w:firstLineChars="231"/>
        <w:rPr>
          <w:szCs w:val="32"/>
        </w:rPr>
      </w:pPr>
      <w:r>
        <w:rPr>
          <w:rFonts w:hint="eastAsia"/>
          <w:szCs w:val="32"/>
        </w:rPr>
        <w:t>医疗机构以电子病历为核心的信息系统的应用水平。从系统功能实现、有效应用范围、数据质量三个维度对医疗机构电子病历及相关临床系统的应用水平进行评价。</w:t>
      </w:r>
    </w:p>
    <w:p>
      <w:pPr>
        <w:adjustRightInd w:val="0"/>
        <w:spacing w:line="580" w:lineRule="exact"/>
        <w:rPr>
          <w:b/>
          <w:szCs w:val="32"/>
        </w:rPr>
      </w:pPr>
      <w:r>
        <w:rPr>
          <w:rFonts w:hint="eastAsia"/>
          <w:b/>
          <w:szCs w:val="32"/>
        </w:rPr>
        <w:t>【计算方法】</w:t>
      </w:r>
    </w:p>
    <w:p>
      <w:pPr>
        <w:adjustRightInd w:val="0"/>
        <w:spacing w:line="580" w:lineRule="exact"/>
        <w:ind w:firstLine="640" w:firstLineChars="200"/>
        <w:rPr>
          <w:b/>
          <w:szCs w:val="32"/>
        </w:rPr>
      </w:pPr>
      <w:r>
        <w:rPr>
          <w:rFonts w:hint="eastAsia"/>
          <w:szCs w:val="32"/>
        </w:rPr>
        <w:t>按照国家卫生健康委电子病历应用功能水平分级标准评估。具体计算方法：满足每一级别要求的基本项、选择项实现的个数，且基本项的有效应用范围超过</w:t>
      </w:r>
      <w:r>
        <w:rPr>
          <w:rFonts w:ascii="仿宋_GB2312"/>
          <w:szCs w:val="32"/>
        </w:rPr>
        <w:t>80%</w:t>
      </w:r>
      <w:r>
        <w:rPr>
          <w:rFonts w:hint="eastAsia" w:ascii="仿宋_GB2312"/>
          <w:szCs w:val="32"/>
        </w:rPr>
        <w:t>、数据质量指数超过</w:t>
      </w:r>
      <w:r>
        <w:rPr>
          <w:rFonts w:ascii="仿宋_GB2312"/>
          <w:szCs w:val="32"/>
        </w:rPr>
        <w:t>0.5</w:t>
      </w:r>
      <w:r>
        <w:rPr>
          <w:rFonts w:hint="eastAsia" w:ascii="仿宋_GB2312"/>
          <w:szCs w:val="32"/>
        </w:rPr>
        <w:t>；选择项的有效应用范围超过</w:t>
      </w:r>
      <w:r>
        <w:rPr>
          <w:rFonts w:ascii="仿宋_GB2312"/>
          <w:szCs w:val="32"/>
        </w:rPr>
        <w:t>50%</w:t>
      </w:r>
      <w:r>
        <w:rPr>
          <w:rFonts w:hint="eastAsia" w:ascii="仿宋_GB2312"/>
          <w:szCs w:val="32"/>
        </w:rPr>
        <w:t>，数据质量指数超过</w:t>
      </w:r>
      <w:r>
        <w:rPr>
          <w:rFonts w:ascii="仿宋_GB2312"/>
          <w:szCs w:val="32"/>
        </w:rPr>
        <w:t>0.5</w:t>
      </w:r>
      <w:r>
        <w:rPr>
          <w:rFonts w:hint="eastAsia" w:ascii="仿宋_GB2312"/>
          <w:szCs w:val="32"/>
        </w:rPr>
        <w:t>。</w:t>
      </w:r>
      <w:r>
        <w:rPr>
          <w:rFonts w:hint="eastAsia"/>
          <w:szCs w:val="32"/>
        </w:rPr>
        <w:t>同时满足以上要求和前序级别的所有要求，即为达到该级别。</w:t>
      </w:r>
    </w:p>
    <w:p>
      <w:pPr>
        <w:adjustRightInd w:val="0"/>
        <w:spacing w:line="580" w:lineRule="exact"/>
        <w:rPr>
          <w:b/>
          <w:szCs w:val="32"/>
        </w:rPr>
      </w:pPr>
      <w:r>
        <w:rPr>
          <w:rFonts w:hint="eastAsia"/>
          <w:b/>
          <w:szCs w:val="32"/>
        </w:rPr>
        <w:t>【指标说明】</w:t>
      </w:r>
    </w:p>
    <w:p>
      <w:pPr>
        <w:adjustRightInd w:val="0"/>
        <w:spacing w:line="580" w:lineRule="exact"/>
        <w:ind w:firstLine="640" w:firstLineChars="200"/>
        <w:rPr>
          <w:szCs w:val="32"/>
        </w:rPr>
      </w:pPr>
      <w:r>
        <w:rPr>
          <w:rFonts w:hint="eastAsia"/>
          <w:szCs w:val="32"/>
        </w:rPr>
        <w:t>按照《关于印发电子病历系统应用水平分级评价管理办法（试行）及评价标准（试行）的通知》（国卫办医函</w:t>
      </w:r>
      <w:r>
        <w:rPr>
          <w:rFonts w:hint="eastAsia" w:ascii="仿宋_GB2312"/>
          <w:szCs w:val="32"/>
        </w:rPr>
        <w:t>〔</w:t>
      </w:r>
      <w:r>
        <w:rPr>
          <w:rFonts w:ascii="仿宋_GB2312"/>
          <w:szCs w:val="32"/>
        </w:rPr>
        <w:t>2018</w:t>
      </w:r>
      <w:r>
        <w:rPr>
          <w:rFonts w:hint="eastAsia" w:ascii="仿宋_GB2312"/>
          <w:szCs w:val="32"/>
        </w:rPr>
        <w:t>〕</w:t>
      </w:r>
      <w:r>
        <w:rPr>
          <w:rFonts w:ascii="仿宋_GB2312"/>
          <w:szCs w:val="32"/>
        </w:rPr>
        <w:t>1079</w:t>
      </w:r>
      <w:r>
        <w:rPr>
          <w:rFonts w:hint="eastAsia" w:ascii="仿宋_GB2312"/>
          <w:szCs w:val="32"/>
        </w:rPr>
        <w:t>号）要求，电子病历系统应用水平划分为</w:t>
      </w:r>
      <w:r>
        <w:rPr>
          <w:rFonts w:ascii="仿宋_GB2312"/>
          <w:szCs w:val="32"/>
        </w:rPr>
        <w:t>0</w:t>
      </w:r>
      <w:r>
        <w:rPr>
          <w:rFonts w:hint="eastAsia"/>
          <w:szCs w:val="32"/>
        </w:rPr>
        <w:t>~</w:t>
      </w:r>
      <w:r>
        <w:rPr>
          <w:rFonts w:ascii="仿宋_GB2312"/>
          <w:szCs w:val="32"/>
        </w:rPr>
        <w:t>8</w:t>
      </w:r>
      <w:r>
        <w:rPr>
          <w:rFonts w:hint="eastAsia" w:ascii="仿宋_GB2312"/>
          <w:szCs w:val="32"/>
        </w:rPr>
        <w:t>共</w:t>
      </w:r>
      <w:r>
        <w:rPr>
          <w:rFonts w:ascii="仿宋_GB2312"/>
          <w:szCs w:val="32"/>
        </w:rPr>
        <w:t>9</w:t>
      </w:r>
      <w:r>
        <w:rPr>
          <w:rFonts w:hint="eastAsia" w:ascii="仿宋_GB2312"/>
          <w:szCs w:val="32"/>
        </w:rPr>
        <w:t>个等级，</w:t>
      </w:r>
      <w:r>
        <w:rPr>
          <w:rFonts w:ascii="仿宋_GB2312"/>
          <w:szCs w:val="32"/>
        </w:rPr>
        <w:t>10</w:t>
      </w:r>
      <w:r>
        <w:rPr>
          <w:rFonts w:hint="eastAsia" w:ascii="仿宋_GB2312"/>
          <w:szCs w:val="32"/>
        </w:rPr>
        <w:t>个角色，</w:t>
      </w:r>
      <w:r>
        <w:rPr>
          <w:rFonts w:ascii="仿宋_GB2312"/>
          <w:szCs w:val="32"/>
        </w:rPr>
        <w:t>39</w:t>
      </w:r>
      <w:r>
        <w:rPr>
          <w:rFonts w:hint="eastAsia" w:ascii="仿宋_GB2312"/>
          <w:szCs w:val="32"/>
        </w:rPr>
        <w:t>个评价项目</w:t>
      </w:r>
      <w:r>
        <w:rPr>
          <w:rFonts w:hint="eastAsia"/>
          <w:szCs w:val="32"/>
        </w:rPr>
        <w:t>。</w:t>
      </w:r>
    </w:p>
    <w:p>
      <w:pPr>
        <w:adjustRightInd w:val="0"/>
        <w:spacing w:line="580" w:lineRule="exact"/>
        <w:ind w:firstLine="640" w:firstLineChars="200"/>
        <w:rPr>
          <w:szCs w:val="32"/>
        </w:rPr>
      </w:pPr>
      <w:r>
        <w:rPr>
          <w:rFonts w:hint="eastAsia"/>
          <w:szCs w:val="32"/>
        </w:rPr>
        <w:t>（1）</w:t>
      </w:r>
      <w:r>
        <w:rPr>
          <w:rFonts w:ascii="仿宋_GB2312"/>
          <w:kern w:val="0"/>
          <w:szCs w:val="32"/>
        </w:rPr>
        <w:t>9</w:t>
      </w:r>
      <w:r>
        <w:rPr>
          <w:rFonts w:hint="eastAsia"/>
          <w:szCs w:val="32"/>
        </w:rPr>
        <w:t>个等级：每一等级的标准包括电子病历各个局部系统的要求和对医疗机构整体电子病历系统的要求。</w:t>
      </w:r>
    </w:p>
    <w:p>
      <w:pPr>
        <w:spacing w:line="580" w:lineRule="exact"/>
        <w:ind w:firstLine="640" w:firstLineChars="200"/>
        <w:rPr>
          <w:szCs w:val="32"/>
        </w:rPr>
      </w:pPr>
      <w:r>
        <w:rPr>
          <w:rFonts w:hint="eastAsia"/>
          <w:szCs w:val="32"/>
        </w:rPr>
        <w:t>0级：未形成电子病历系统</w:t>
      </w:r>
    </w:p>
    <w:p>
      <w:pPr>
        <w:spacing w:line="580" w:lineRule="exact"/>
        <w:ind w:firstLine="640" w:firstLineChars="200"/>
        <w:rPr>
          <w:rFonts w:ascii="仿宋_GB2312"/>
          <w:kern w:val="0"/>
          <w:szCs w:val="32"/>
        </w:rPr>
      </w:pPr>
      <w:r>
        <w:rPr>
          <w:rFonts w:ascii="仿宋_GB2312"/>
          <w:kern w:val="0"/>
          <w:szCs w:val="32"/>
        </w:rPr>
        <w:t>1</w:t>
      </w:r>
      <w:r>
        <w:rPr>
          <w:rFonts w:hint="eastAsia" w:ascii="仿宋_GB2312"/>
          <w:kern w:val="0"/>
          <w:szCs w:val="32"/>
        </w:rPr>
        <w:t>级：独立医疗信息系统建立</w:t>
      </w:r>
    </w:p>
    <w:p>
      <w:pPr>
        <w:spacing w:line="580" w:lineRule="exact"/>
        <w:ind w:firstLine="640" w:firstLineChars="200"/>
        <w:rPr>
          <w:szCs w:val="32"/>
        </w:rPr>
      </w:pPr>
      <w:r>
        <w:rPr>
          <w:rFonts w:ascii="仿宋_GB2312"/>
          <w:kern w:val="0"/>
          <w:szCs w:val="32"/>
        </w:rPr>
        <w:t>2</w:t>
      </w:r>
      <w:r>
        <w:rPr>
          <w:rFonts w:hint="eastAsia"/>
          <w:szCs w:val="32"/>
        </w:rPr>
        <w:t>级：医疗信息部门内部交换</w:t>
      </w:r>
    </w:p>
    <w:p>
      <w:pPr>
        <w:spacing w:line="580" w:lineRule="exact"/>
        <w:ind w:firstLine="640" w:firstLineChars="200"/>
        <w:rPr>
          <w:szCs w:val="32"/>
        </w:rPr>
      </w:pPr>
      <w:r>
        <w:rPr>
          <w:rFonts w:ascii="仿宋_GB2312"/>
          <w:kern w:val="0"/>
          <w:szCs w:val="32"/>
        </w:rPr>
        <w:t>3</w:t>
      </w:r>
      <w:r>
        <w:rPr>
          <w:rFonts w:hint="eastAsia"/>
          <w:szCs w:val="32"/>
        </w:rPr>
        <w:t>级：部门间数据交换</w:t>
      </w:r>
    </w:p>
    <w:p>
      <w:pPr>
        <w:spacing w:line="580" w:lineRule="exact"/>
        <w:ind w:firstLine="640" w:firstLineChars="200"/>
        <w:rPr>
          <w:szCs w:val="32"/>
        </w:rPr>
      </w:pPr>
      <w:r>
        <w:rPr>
          <w:rFonts w:ascii="仿宋_GB2312"/>
          <w:kern w:val="0"/>
          <w:szCs w:val="32"/>
        </w:rPr>
        <w:t>4</w:t>
      </w:r>
      <w:r>
        <w:rPr>
          <w:rFonts w:hint="eastAsia"/>
          <w:szCs w:val="32"/>
        </w:rPr>
        <w:t>级：全院信息共享，初级医疗决策支持</w:t>
      </w:r>
    </w:p>
    <w:p>
      <w:pPr>
        <w:spacing w:line="580" w:lineRule="exact"/>
        <w:ind w:firstLine="640" w:firstLineChars="200"/>
        <w:rPr>
          <w:szCs w:val="32"/>
        </w:rPr>
      </w:pPr>
      <w:r>
        <w:rPr>
          <w:rFonts w:ascii="仿宋_GB2312"/>
          <w:kern w:val="0"/>
          <w:szCs w:val="32"/>
        </w:rPr>
        <w:t>5</w:t>
      </w:r>
      <w:r>
        <w:rPr>
          <w:rFonts w:hint="eastAsia"/>
          <w:szCs w:val="32"/>
        </w:rPr>
        <w:t>级：统一数据管理，中级医疗决策支持</w:t>
      </w:r>
    </w:p>
    <w:p>
      <w:pPr>
        <w:spacing w:line="580" w:lineRule="exact"/>
        <w:ind w:firstLine="640" w:firstLineChars="200"/>
        <w:rPr>
          <w:szCs w:val="32"/>
        </w:rPr>
      </w:pPr>
      <w:r>
        <w:rPr>
          <w:rFonts w:ascii="仿宋_GB2312"/>
          <w:kern w:val="0"/>
          <w:szCs w:val="32"/>
        </w:rPr>
        <w:t>6</w:t>
      </w:r>
      <w:r>
        <w:rPr>
          <w:rFonts w:hint="eastAsia"/>
          <w:szCs w:val="32"/>
        </w:rPr>
        <w:t>级：全流程医疗数据闭环管理，高级医疗决策支持</w:t>
      </w:r>
    </w:p>
    <w:p>
      <w:pPr>
        <w:spacing w:line="580" w:lineRule="exact"/>
        <w:ind w:firstLine="640" w:firstLineChars="200"/>
        <w:rPr>
          <w:szCs w:val="32"/>
        </w:rPr>
      </w:pPr>
      <w:r>
        <w:rPr>
          <w:rFonts w:ascii="仿宋_GB2312"/>
          <w:kern w:val="0"/>
          <w:szCs w:val="32"/>
        </w:rPr>
        <w:t>7</w:t>
      </w:r>
      <w:r>
        <w:rPr>
          <w:rFonts w:hint="eastAsia"/>
          <w:szCs w:val="32"/>
        </w:rPr>
        <w:t>级：医疗安全质量管控，区域医疗信息共享</w:t>
      </w:r>
    </w:p>
    <w:p>
      <w:pPr>
        <w:spacing w:line="580" w:lineRule="exact"/>
        <w:ind w:firstLine="640" w:firstLineChars="200"/>
        <w:rPr>
          <w:szCs w:val="32"/>
        </w:rPr>
      </w:pPr>
      <w:r>
        <w:rPr>
          <w:rFonts w:ascii="仿宋_GB2312"/>
          <w:kern w:val="0"/>
          <w:szCs w:val="32"/>
        </w:rPr>
        <w:t>8</w:t>
      </w:r>
      <w:r>
        <w:rPr>
          <w:rFonts w:hint="eastAsia"/>
          <w:szCs w:val="32"/>
        </w:rPr>
        <w:t>级：健康信息整合，医疗安全质量持续提升</w:t>
      </w:r>
    </w:p>
    <w:p>
      <w:pPr>
        <w:adjustRightInd w:val="0"/>
        <w:spacing w:line="580" w:lineRule="exact"/>
        <w:ind w:firstLine="640" w:firstLineChars="200"/>
        <w:rPr>
          <w:szCs w:val="32"/>
        </w:rPr>
      </w:pPr>
      <w:r>
        <w:rPr>
          <w:rFonts w:hint="eastAsia"/>
          <w:szCs w:val="32"/>
        </w:rPr>
        <w:t>（2）</w:t>
      </w:r>
      <w:r>
        <w:rPr>
          <w:rFonts w:ascii="仿宋_GB2312"/>
          <w:szCs w:val="32"/>
        </w:rPr>
        <w:t>10</w:t>
      </w:r>
      <w:r>
        <w:rPr>
          <w:rFonts w:hint="eastAsia"/>
          <w:szCs w:val="32"/>
        </w:rPr>
        <w:t>个角色：病房医师、病房护士、门诊医师、检查科室、检验处理、治疗信息处理、医疗保障、病历管理、电子病历基础、信息利用。</w:t>
      </w:r>
    </w:p>
    <w:p>
      <w:pPr>
        <w:adjustRightInd w:val="0"/>
        <w:spacing w:line="580" w:lineRule="exact"/>
        <w:ind w:firstLine="640" w:firstLineChars="200"/>
        <w:rPr>
          <w:szCs w:val="32"/>
        </w:rPr>
      </w:pPr>
      <w:r>
        <w:rPr>
          <w:rFonts w:hint="eastAsia"/>
          <w:szCs w:val="32"/>
        </w:rPr>
        <w:t>（3）</w:t>
      </w:r>
      <w:r>
        <w:rPr>
          <w:rFonts w:ascii="仿宋_GB2312"/>
          <w:szCs w:val="32"/>
        </w:rPr>
        <w:t>39</w:t>
      </w:r>
      <w:r>
        <w:rPr>
          <w:rFonts w:hint="eastAsia"/>
          <w:szCs w:val="32"/>
        </w:rPr>
        <w:t>个评价项目：病房医嘱处理、病房检验申请、病房检验报告、病房检查申请、病房检查报告、病房病历记录、病人管理与评估、医嘱执行、护理记录、处方书写、门诊检验申请、门诊检验报告、门诊检查申请、门诊检查报告、门诊病历记录、申请与预约、检查记录、检查报告、检查图像、标本处理、检验结果记录、报告生成、一般治疗记录、手术预约与登记、麻醉信息、监护数据、血液准备、配血与用血、门诊药品调剂、病房药品配置、病历质量控制、电子病历文档应用、病历数据存储、电子认证与签名、基础设施与安全管控、系统灾难恢复体系、临床数据整合、医疗质量控制、知识获取及管理。</w:t>
      </w:r>
    </w:p>
    <w:p>
      <w:pPr>
        <w:spacing w:line="580" w:lineRule="exact"/>
        <w:rPr>
          <w:b/>
          <w:szCs w:val="32"/>
        </w:rPr>
      </w:pPr>
      <w:r>
        <w:rPr>
          <w:rFonts w:hint="eastAsia"/>
          <w:b/>
          <w:szCs w:val="32"/>
        </w:rPr>
        <w:t>【指标意义】</w:t>
      </w:r>
    </w:p>
    <w:p>
      <w:pPr>
        <w:adjustRightInd w:val="0"/>
        <w:spacing w:line="580" w:lineRule="exact"/>
        <w:ind w:firstLine="640" w:firstLineChars="200"/>
        <w:rPr>
          <w:rFonts w:hint="eastAsia"/>
          <w:lang w:val="en-US" w:eastAsia="zh-CN"/>
        </w:rPr>
      </w:pPr>
      <w:r>
        <w:rPr>
          <w:rFonts w:hint="eastAsia"/>
        </w:rPr>
        <w:t>以电子病历为核心的医院信息化建设是深化医改重要内容之一，通过评估电子病历应用对医院管理各环节的实际作用与效果，全面评估各医疗机构现阶段电子病历系统应用所达到的水平。</w:t>
      </w:r>
      <w:r>
        <w:rPr>
          <w:rFonts w:hint="eastAsia"/>
          <w:lang w:val="en-US" w:eastAsia="zh-CN"/>
        </w:rPr>
        <w:t xml:space="preserve">    </w:t>
      </w:r>
    </w:p>
    <w:p>
      <w:pPr>
        <w:adjustRightInd w:val="0"/>
        <w:spacing w:line="580" w:lineRule="exact"/>
        <w:ind w:firstLine="640" w:firstLineChars="200"/>
      </w:pPr>
      <w:r>
        <w:t>《</w:t>
      </w:r>
      <w:r>
        <w:rPr>
          <w:rFonts w:hint="eastAsia"/>
        </w:rPr>
        <w:t>国务院办公厅关于推动公立医院高质量发展的意见</w:t>
      </w:r>
      <w:r>
        <w:t>》</w:t>
      </w:r>
      <w:r>
        <w:rPr>
          <w:rFonts w:hint="eastAsia" w:ascii="仿宋_GB2312"/>
          <w:szCs w:val="32"/>
        </w:rPr>
        <w:t>（国办发〔</w:t>
      </w:r>
      <w:r>
        <w:rPr>
          <w:rFonts w:ascii="仿宋_GB2312"/>
          <w:szCs w:val="32"/>
        </w:rPr>
        <w:t>2021</w:t>
      </w:r>
      <w:r>
        <w:rPr>
          <w:rFonts w:hint="eastAsia" w:ascii="仿宋_GB2312"/>
          <w:szCs w:val="32"/>
        </w:rPr>
        <w:t>〕</w:t>
      </w:r>
      <w:r>
        <w:rPr>
          <w:rFonts w:ascii="仿宋_GB2312"/>
          <w:szCs w:val="32"/>
        </w:rPr>
        <w:t>18</w:t>
      </w:r>
      <w:r>
        <w:rPr>
          <w:rFonts w:hint="eastAsia" w:ascii="仿宋_GB2312"/>
          <w:szCs w:val="32"/>
        </w:rPr>
        <w:t>号）、</w:t>
      </w:r>
      <w:bookmarkStart w:id="23" w:name="_Hlk119400829"/>
      <w:r>
        <w:rPr>
          <w:rFonts w:hint="eastAsia" w:ascii="仿宋_GB2312"/>
          <w:szCs w:val="32"/>
          <w:shd w:val="clear" w:color="auto" w:fill="FFFFFF"/>
        </w:rPr>
        <w:t>国务院办公厅《关于印发“十四五”中医药发展规划的通知》（国办发〔2022〕</w:t>
      </w:r>
      <w:r>
        <w:rPr>
          <w:rFonts w:ascii="仿宋_GB2312"/>
          <w:szCs w:val="32"/>
          <w:shd w:val="clear" w:color="auto" w:fill="FFFFFF"/>
        </w:rPr>
        <w:t>5</w:t>
      </w:r>
      <w:r>
        <w:rPr>
          <w:rFonts w:hint="eastAsia" w:ascii="仿宋_GB2312"/>
          <w:szCs w:val="32"/>
          <w:shd w:val="clear" w:color="auto" w:fill="FFFFFF"/>
        </w:rPr>
        <w:t>号）</w:t>
      </w:r>
      <w:bookmarkEnd w:id="23"/>
      <w:r>
        <w:rPr>
          <w:rFonts w:hint="eastAsia" w:ascii="仿宋_GB2312"/>
          <w:szCs w:val="32"/>
          <w:shd w:val="clear" w:color="auto" w:fill="FFFFFF"/>
        </w:rPr>
        <w:t>、《国家中医药管理局关于印发“十四五”中医药信息化发展规划的通知》（国中医药规财函〔2022〕238号）</w:t>
      </w:r>
      <w:r>
        <w:t>要求</w:t>
      </w:r>
      <w:r>
        <w:rPr>
          <w:rFonts w:hint="eastAsia"/>
        </w:rPr>
        <w:t>强化信息化支撑作用。推进电子病历、智慧服务、智慧管理“三位一体”的智慧医院建设和医院信息标准化建设。</w:t>
      </w:r>
      <w:r>
        <w:rPr>
          <w:rFonts w:hint="eastAsia"/>
          <w:szCs w:val="32"/>
        </w:rPr>
        <w:t>《关于印发公立医院高质量发展促进行动</w:t>
      </w:r>
      <w:r>
        <w:rPr>
          <w:rFonts w:hint="eastAsia" w:ascii="仿宋_GB2312"/>
          <w:szCs w:val="32"/>
        </w:rPr>
        <w:t>（</w:t>
      </w:r>
      <w:r>
        <w:rPr>
          <w:rFonts w:ascii="仿宋_GB2312"/>
          <w:szCs w:val="32"/>
        </w:rPr>
        <w:t>2021-2025</w:t>
      </w:r>
      <w:r>
        <w:rPr>
          <w:rFonts w:hint="eastAsia" w:ascii="仿宋_GB2312"/>
          <w:szCs w:val="32"/>
        </w:rPr>
        <w:t>年）的通知》（国卫医发〔</w:t>
      </w:r>
      <w:r>
        <w:rPr>
          <w:rFonts w:ascii="仿宋_GB2312"/>
          <w:szCs w:val="32"/>
        </w:rPr>
        <w:t>2021</w:t>
      </w:r>
      <w:r>
        <w:rPr>
          <w:rFonts w:hint="eastAsia" w:ascii="仿宋_GB2312"/>
          <w:szCs w:val="32"/>
        </w:rPr>
        <w:t>〕</w:t>
      </w:r>
      <w:r>
        <w:rPr>
          <w:rFonts w:ascii="仿宋_GB2312"/>
          <w:szCs w:val="32"/>
        </w:rPr>
        <w:t>27</w:t>
      </w:r>
      <w:r>
        <w:rPr>
          <w:rFonts w:hint="eastAsia" w:ascii="仿宋_GB2312"/>
          <w:szCs w:val="32"/>
        </w:rPr>
        <w:t>号）要求“将信息化作为医院基本建设的优先领域，</w:t>
      </w:r>
      <w:r>
        <w:rPr>
          <w:rFonts w:hint="eastAsia" w:ascii="仿宋_GB2312"/>
        </w:rPr>
        <w:t>到</w:t>
      </w:r>
      <w:r>
        <w:rPr>
          <w:rFonts w:ascii="仿宋_GB2312"/>
        </w:rPr>
        <w:t>2022</w:t>
      </w:r>
      <w:r>
        <w:rPr>
          <w:rFonts w:hint="eastAsia" w:ascii="仿宋_GB2312"/>
        </w:rPr>
        <w:t>年</w:t>
      </w:r>
      <w:r>
        <w:t>，</w:t>
      </w:r>
      <w:r>
        <w:rPr>
          <w:rFonts w:hint="eastAsia"/>
        </w:rPr>
        <w:t>全国</w:t>
      </w:r>
      <w:r>
        <w:t>二级</w:t>
      </w:r>
      <w:r>
        <w:rPr>
          <w:rFonts w:hint="eastAsia"/>
        </w:rPr>
        <w:t>公立</w:t>
      </w:r>
      <w:r>
        <w:t>医院</w:t>
      </w:r>
      <w:r>
        <w:rPr>
          <w:rFonts w:hint="eastAsia"/>
        </w:rPr>
        <w:t>电子病历应用水平平均级别达到</w:t>
      </w:r>
      <w:r>
        <w:t>3级</w:t>
      </w:r>
      <w:r>
        <w:rPr>
          <w:rFonts w:hint="eastAsia"/>
        </w:rPr>
        <w:t>。</w:t>
      </w:r>
    </w:p>
    <w:p>
      <w:pPr>
        <w:adjustRightInd w:val="0"/>
        <w:spacing w:line="580" w:lineRule="exact"/>
        <w:rPr>
          <w:b/>
          <w:szCs w:val="32"/>
        </w:rPr>
      </w:pPr>
      <w:r>
        <w:rPr>
          <w:rFonts w:hint="eastAsia"/>
          <w:b/>
          <w:szCs w:val="32"/>
        </w:rPr>
        <w:t>【指标导向】</w:t>
      </w:r>
      <w:r>
        <w:rPr>
          <w:rFonts w:hint="eastAsia"/>
          <w:szCs w:val="32"/>
        </w:rPr>
        <w:t>逐步提高。</w:t>
      </w:r>
    </w:p>
    <w:p>
      <w:pPr>
        <w:spacing w:line="580" w:lineRule="exact"/>
        <w:rPr>
          <w:szCs w:val="32"/>
        </w:rPr>
      </w:pPr>
      <w:r>
        <w:rPr>
          <w:rFonts w:hint="eastAsia"/>
          <w:b/>
          <w:szCs w:val="32"/>
        </w:rPr>
        <w:t>【指标来源】</w:t>
      </w:r>
      <w:r>
        <w:rPr>
          <w:rFonts w:hint="eastAsia"/>
          <w:szCs w:val="32"/>
        </w:rPr>
        <w:t>国家卫生健康委。</w:t>
      </w:r>
    </w:p>
    <w:p>
      <w:pPr>
        <w:spacing w:line="580" w:lineRule="exact"/>
        <w:rPr>
          <w:rFonts w:eastAsia="宋体"/>
          <w:b/>
          <w:sz w:val="21"/>
          <w:szCs w:val="22"/>
        </w:rPr>
      </w:pPr>
      <w:r>
        <w:rPr>
          <w:rFonts w:hint="eastAsia"/>
          <w:b/>
          <w:szCs w:val="32"/>
        </w:rPr>
        <w:t>【指标解释】</w:t>
      </w:r>
      <w:r>
        <w:rPr>
          <w:rFonts w:hint="eastAsia"/>
          <w:szCs w:val="32"/>
        </w:rPr>
        <w:t>国家卫生健康委医院管理研究所。</w:t>
      </w:r>
    </w:p>
    <w:p>
      <w:pPr>
        <w:widowControl/>
        <w:spacing w:line="600" w:lineRule="exact"/>
        <w:rPr>
          <w:b/>
          <w:szCs w:val="32"/>
        </w:rPr>
      </w:pPr>
      <w:r>
        <w:rPr>
          <w:rFonts w:eastAsia="宋体"/>
          <w:sz w:val="21"/>
          <w:szCs w:val="22"/>
        </w:rPr>
        <w:br w:type="page"/>
      </w:r>
      <w:r>
        <w:rPr>
          <w:rFonts w:hint="eastAsia"/>
          <w:b/>
          <w:szCs w:val="32"/>
        </w:rPr>
        <w:t>1</w:t>
      </w:r>
      <w:r>
        <w:rPr>
          <w:b/>
          <w:szCs w:val="32"/>
        </w:rPr>
        <w:t>5</w:t>
      </w:r>
      <w:r>
        <w:rPr>
          <w:rFonts w:hint="eastAsia"/>
          <w:b/>
          <w:szCs w:val="32"/>
        </w:rPr>
        <w:t>. 省</w:t>
      </w:r>
      <w:r>
        <w:rPr>
          <w:b/>
          <w:szCs w:val="32"/>
        </w:rPr>
        <w:t>级</w:t>
      </w:r>
      <w:r>
        <w:rPr>
          <w:rFonts w:hint="eastAsia"/>
          <w:b/>
          <w:szCs w:val="32"/>
        </w:rPr>
        <w:t>室间质量评价临床</w:t>
      </w:r>
      <w:r>
        <w:rPr>
          <w:b/>
          <w:szCs w:val="32"/>
        </w:rPr>
        <w:t>检验项目参加率与合格率</w:t>
      </w:r>
    </w:p>
    <w:p>
      <w:pPr>
        <w:spacing w:line="600" w:lineRule="exact"/>
        <w:rPr>
          <w:b/>
          <w:szCs w:val="32"/>
        </w:rPr>
      </w:pPr>
      <w:r>
        <w:rPr>
          <w:rFonts w:hint="eastAsia"/>
          <w:b/>
          <w:szCs w:val="32"/>
        </w:rPr>
        <w:t>【指标属性】</w:t>
      </w:r>
      <w:r>
        <w:rPr>
          <w:rFonts w:hint="eastAsia"/>
          <w:szCs w:val="32"/>
        </w:rPr>
        <w:t>定量指标。</w:t>
      </w:r>
    </w:p>
    <w:p>
      <w:pPr>
        <w:spacing w:line="600" w:lineRule="exact"/>
        <w:rPr>
          <w:szCs w:val="32"/>
        </w:rPr>
      </w:pPr>
      <w:r>
        <w:rPr>
          <w:rFonts w:hint="eastAsia"/>
          <w:b/>
          <w:szCs w:val="32"/>
        </w:rPr>
        <w:t>【计量单位】</w:t>
      </w:r>
      <w:r>
        <w:rPr>
          <w:rFonts w:hint="eastAsia"/>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bCs/>
          <w:szCs w:val="32"/>
        </w:rPr>
      </w:pPr>
      <w:r>
        <w:rPr>
          <w:rFonts w:hint="eastAsia"/>
          <w:bCs/>
          <w:szCs w:val="32"/>
        </w:rPr>
        <w:t>考核年度医院参加和通过省</w:t>
      </w:r>
      <w:r>
        <w:rPr>
          <w:bCs/>
          <w:szCs w:val="32"/>
        </w:rPr>
        <w:t>级（</w:t>
      </w:r>
      <w:r>
        <w:rPr>
          <w:rFonts w:hint="eastAsia"/>
          <w:bCs/>
          <w:szCs w:val="32"/>
        </w:rPr>
        <w:t>本</w:t>
      </w:r>
      <w:r>
        <w:rPr>
          <w:bCs/>
          <w:szCs w:val="32"/>
        </w:rPr>
        <w:t>省</w:t>
      </w:r>
      <w:r>
        <w:rPr>
          <w:rFonts w:hint="eastAsia"/>
          <w:bCs/>
          <w:szCs w:val="32"/>
        </w:rPr>
        <w:t>份）临床检验中心组织的室间质量评价情况。由两部分组成</w:t>
      </w:r>
      <w:r>
        <w:rPr>
          <w:bCs/>
          <w:szCs w:val="32"/>
        </w:rPr>
        <w:t>：</w:t>
      </w:r>
    </w:p>
    <w:p>
      <w:pPr>
        <w:adjustRightInd w:val="0"/>
        <w:spacing w:line="600" w:lineRule="exact"/>
        <w:ind w:firstLine="640" w:firstLineChars="200"/>
        <w:rPr>
          <w:bCs/>
          <w:szCs w:val="32"/>
        </w:rPr>
      </w:pPr>
      <w:r>
        <w:rPr>
          <w:bCs/>
          <w:szCs w:val="32"/>
        </w:rPr>
        <w:t>（</w:t>
      </w:r>
      <w:r>
        <w:rPr>
          <w:rFonts w:ascii="仿宋_GB2312"/>
          <w:kern w:val="0"/>
          <w:szCs w:val="32"/>
        </w:rPr>
        <w:t>1</w:t>
      </w:r>
      <w:r>
        <w:rPr>
          <w:bCs/>
          <w:szCs w:val="32"/>
        </w:rPr>
        <w:t>）</w:t>
      </w:r>
      <w:r>
        <w:rPr>
          <w:rFonts w:hint="eastAsia"/>
          <w:bCs/>
          <w:szCs w:val="32"/>
        </w:rPr>
        <w:t>室</w:t>
      </w:r>
      <w:r>
        <w:rPr>
          <w:bCs/>
          <w:szCs w:val="32"/>
        </w:rPr>
        <w:t>间质评</w:t>
      </w:r>
      <w:r>
        <w:rPr>
          <w:rFonts w:hint="eastAsia"/>
          <w:bCs/>
          <w:szCs w:val="32"/>
        </w:rPr>
        <w:t>项目参加率</w:t>
      </w:r>
      <w:r>
        <w:rPr>
          <w:bCs/>
          <w:szCs w:val="32"/>
        </w:rPr>
        <w:t>：</w:t>
      </w:r>
      <w:r>
        <w:rPr>
          <w:rFonts w:hint="eastAsia"/>
          <w:bCs/>
          <w:szCs w:val="32"/>
        </w:rPr>
        <w:t>考核年度</w:t>
      </w:r>
      <w:r>
        <w:rPr>
          <w:bCs/>
          <w:szCs w:val="32"/>
        </w:rPr>
        <w:t>医院参加本省</w:t>
      </w:r>
      <w:r>
        <w:rPr>
          <w:rFonts w:hint="eastAsia"/>
          <w:bCs/>
          <w:szCs w:val="32"/>
        </w:rPr>
        <w:t>份</w:t>
      </w:r>
      <w:r>
        <w:rPr>
          <w:bCs/>
          <w:szCs w:val="32"/>
        </w:rPr>
        <w:t>临床</w:t>
      </w:r>
      <w:r>
        <w:rPr>
          <w:rFonts w:hint="eastAsia"/>
          <w:bCs/>
          <w:szCs w:val="32"/>
        </w:rPr>
        <w:t>检验</w:t>
      </w:r>
      <w:r>
        <w:rPr>
          <w:bCs/>
          <w:szCs w:val="32"/>
        </w:rPr>
        <w:t>中心组织的室间质评的检验项目数</w:t>
      </w:r>
      <w:r>
        <w:rPr>
          <w:rFonts w:hint="eastAsia"/>
          <w:bCs/>
          <w:szCs w:val="32"/>
        </w:rPr>
        <w:t>占</w:t>
      </w:r>
      <w:r>
        <w:rPr>
          <w:bCs/>
          <w:szCs w:val="32"/>
        </w:rPr>
        <w:t>同期</w:t>
      </w:r>
      <w:r>
        <w:rPr>
          <w:rFonts w:hint="eastAsia"/>
          <w:bCs/>
          <w:szCs w:val="32"/>
        </w:rPr>
        <w:t>医院实验</w:t>
      </w:r>
      <w:r>
        <w:rPr>
          <w:bCs/>
          <w:szCs w:val="32"/>
        </w:rPr>
        <w:t>室</w:t>
      </w:r>
      <w:r>
        <w:rPr>
          <w:rFonts w:hint="eastAsia"/>
          <w:bCs/>
          <w:szCs w:val="32"/>
        </w:rPr>
        <w:t>参加本</w:t>
      </w:r>
      <w:r>
        <w:rPr>
          <w:bCs/>
          <w:szCs w:val="32"/>
        </w:rPr>
        <w:t>省</w:t>
      </w:r>
      <w:r>
        <w:rPr>
          <w:rFonts w:hint="eastAsia"/>
          <w:bCs/>
          <w:szCs w:val="32"/>
        </w:rPr>
        <w:t>份</w:t>
      </w:r>
      <w:r>
        <w:rPr>
          <w:bCs/>
          <w:szCs w:val="32"/>
        </w:rPr>
        <w:t>临床检验中心组织的室</w:t>
      </w:r>
      <w:r>
        <w:rPr>
          <w:rFonts w:hint="eastAsia"/>
          <w:bCs/>
          <w:szCs w:val="32"/>
        </w:rPr>
        <w:t>间</w:t>
      </w:r>
      <w:r>
        <w:rPr>
          <w:bCs/>
          <w:szCs w:val="32"/>
        </w:rPr>
        <w:t>质评检验项目总数</w:t>
      </w:r>
      <w:r>
        <w:rPr>
          <w:rFonts w:hint="eastAsia"/>
          <w:bCs/>
          <w:szCs w:val="32"/>
        </w:rPr>
        <w:t>的</w:t>
      </w:r>
      <w:r>
        <w:rPr>
          <w:bCs/>
          <w:szCs w:val="32"/>
        </w:rPr>
        <w:t>比</w:t>
      </w:r>
      <w:r>
        <w:rPr>
          <w:rFonts w:hint="eastAsia"/>
          <w:bCs/>
          <w:szCs w:val="32"/>
        </w:rPr>
        <w:t>例。</w:t>
      </w:r>
    </w:p>
    <w:p>
      <w:pPr>
        <w:adjustRightInd w:val="0"/>
        <w:spacing w:line="600" w:lineRule="exact"/>
        <w:ind w:firstLine="640" w:firstLineChars="200"/>
        <w:rPr>
          <w:szCs w:val="32"/>
        </w:rPr>
      </w:pPr>
      <w:r>
        <w:rPr>
          <w:rFonts w:hint="eastAsia"/>
          <w:szCs w:val="32"/>
        </w:rPr>
        <w:t>（</w:t>
      </w:r>
      <w:r>
        <w:rPr>
          <w:rFonts w:ascii="仿宋_GB2312"/>
          <w:kern w:val="0"/>
          <w:szCs w:val="32"/>
        </w:rPr>
        <w:t>2</w:t>
      </w:r>
      <w:r>
        <w:rPr>
          <w:szCs w:val="32"/>
        </w:rPr>
        <w:t>）</w:t>
      </w:r>
      <w:r>
        <w:rPr>
          <w:rFonts w:hint="eastAsia"/>
          <w:bCs/>
          <w:szCs w:val="32"/>
        </w:rPr>
        <w:t>室</w:t>
      </w:r>
      <w:r>
        <w:rPr>
          <w:bCs/>
          <w:szCs w:val="32"/>
        </w:rPr>
        <w:t>间质评</w:t>
      </w:r>
      <w:r>
        <w:rPr>
          <w:rFonts w:hint="eastAsia"/>
          <w:bCs/>
          <w:szCs w:val="32"/>
        </w:rPr>
        <w:t>项目合格率</w:t>
      </w:r>
      <w:r>
        <w:rPr>
          <w:bCs/>
          <w:szCs w:val="32"/>
        </w:rPr>
        <w:t>：</w:t>
      </w:r>
      <w:r>
        <w:rPr>
          <w:rFonts w:hint="eastAsia"/>
          <w:bCs/>
          <w:szCs w:val="32"/>
        </w:rPr>
        <w:t>考核</w:t>
      </w:r>
      <w:r>
        <w:rPr>
          <w:bCs/>
          <w:szCs w:val="32"/>
        </w:rPr>
        <w:t>年度医院参加</w:t>
      </w:r>
      <w:r>
        <w:rPr>
          <w:rFonts w:hint="eastAsia"/>
          <w:bCs/>
          <w:szCs w:val="32"/>
        </w:rPr>
        <w:t>本</w:t>
      </w:r>
      <w:r>
        <w:rPr>
          <w:bCs/>
          <w:szCs w:val="32"/>
        </w:rPr>
        <w:t>省</w:t>
      </w:r>
      <w:r>
        <w:rPr>
          <w:rFonts w:hint="eastAsia"/>
          <w:bCs/>
          <w:szCs w:val="32"/>
        </w:rPr>
        <w:t>份</w:t>
      </w:r>
      <w:r>
        <w:rPr>
          <w:bCs/>
          <w:szCs w:val="32"/>
        </w:rPr>
        <w:t>临床</w:t>
      </w:r>
      <w:r>
        <w:rPr>
          <w:rFonts w:hint="eastAsia"/>
          <w:bCs/>
          <w:szCs w:val="32"/>
        </w:rPr>
        <w:t>检验</w:t>
      </w:r>
      <w:r>
        <w:rPr>
          <w:bCs/>
          <w:szCs w:val="32"/>
        </w:rPr>
        <w:t>中心组织</w:t>
      </w:r>
      <w:r>
        <w:rPr>
          <w:rFonts w:hint="eastAsia"/>
          <w:bCs/>
          <w:szCs w:val="32"/>
        </w:rPr>
        <w:t>的</w:t>
      </w:r>
      <w:r>
        <w:rPr>
          <w:bCs/>
          <w:szCs w:val="32"/>
        </w:rPr>
        <w:t>室间质评成绩</w:t>
      </w:r>
      <w:r>
        <w:rPr>
          <w:rFonts w:hint="eastAsia"/>
          <w:bCs/>
          <w:szCs w:val="32"/>
        </w:rPr>
        <w:t>合格</w:t>
      </w:r>
      <w:r>
        <w:rPr>
          <w:bCs/>
          <w:szCs w:val="32"/>
        </w:rPr>
        <w:t>的检验项目数占</w:t>
      </w:r>
      <w:r>
        <w:rPr>
          <w:rFonts w:hint="eastAsia"/>
          <w:bCs/>
          <w:szCs w:val="32"/>
        </w:rPr>
        <w:t>同</w:t>
      </w:r>
      <w:r>
        <w:rPr>
          <w:bCs/>
          <w:szCs w:val="32"/>
        </w:rPr>
        <w:t>期医院</w:t>
      </w:r>
      <w:r>
        <w:rPr>
          <w:rFonts w:hint="eastAsia"/>
          <w:bCs/>
          <w:szCs w:val="32"/>
        </w:rPr>
        <w:t>实验</w:t>
      </w:r>
      <w:r>
        <w:rPr>
          <w:bCs/>
          <w:szCs w:val="32"/>
        </w:rPr>
        <w:t>室参加本省</w:t>
      </w:r>
      <w:r>
        <w:rPr>
          <w:rFonts w:hint="eastAsia"/>
          <w:bCs/>
          <w:szCs w:val="32"/>
        </w:rPr>
        <w:t>份</w:t>
      </w:r>
      <w:r>
        <w:rPr>
          <w:bCs/>
          <w:szCs w:val="32"/>
        </w:rPr>
        <w:t>临床检验中心组织的室间质评检验项目总数</w:t>
      </w:r>
      <w:r>
        <w:rPr>
          <w:rFonts w:hint="eastAsia"/>
          <w:bCs/>
          <w:szCs w:val="32"/>
        </w:rPr>
        <w:t>的</w:t>
      </w:r>
      <w:r>
        <w:rPr>
          <w:bCs/>
          <w:szCs w:val="32"/>
        </w:rPr>
        <w:t>比</w:t>
      </w:r>
      <w:r>
        <w:rPr>
          <w:rFonts w:hint="eastAsia"/>
          <w:bCs/>
          <w:szCs w:val="32"/>
        </w:rPr>
        <w:t>例</w:t>
      </w:r>
      <w:r>
        <w:rPr>
          <w:bCs/>
          <w:szCs w:val="32"/>
        </w:rPr>
        <w:t>。</w:t>
      </w:r>
    </w:p>
    <w:p>
      <w:pPr>
        <w:spacing w:line="600" w:lineRule="exact"/>
        <w:rPr>
          <w:b/>
          <w:szCs w:val="32"/>
        </w:rPr>
      </w:pPr>
      <w:r>
        <w:rPr>
          <w:rFonts w:hint="eastAsia"/>
          <w:b/>
          <w:szCs w:val="32"/>
        </w:rPr>
        <w:t>【计算方法】</w:t>
      </w:r>
    </w:p>
    <w:p>
      <w:pPr>
        <w:spacing w:line="360" w:lineRule="auto"/>
        <w:ind w:right="-1049" w:rightChars="-328"/>
        <w:rPr>
          <w:rFonts w:ascii="仿宋_GB2312" w:hAnsi="黑体"/>
          <w:b/>
          <w:sz w:val="28"/>
          <w:szCs w:val="32"/>
        </w:rPr>
      </w:pPr>
      <m:oMathPara>
        <m:oMathParaPr>
          <m:jc m:val="left"/>
        </m:oMathParaPr>
        <m:oMath>
          <m:r>
            <m:rPr>
              <m:sty m:val="b"/>
            </m:rPr>
            <w:rPr>
              <w:rFonts w:hint="eastAsia" w:ascii="Cambria Math" w:hAnsi="Cambria Math"/>
              <w:sz w:val="24"/>
              <w:szCs w:val="28"/>
            </w:rPr>
            <m:t>室间质评项目参加率=</m:t>
          </m:r>
          <m:f>
            <m:fPr>
              <m:ctrlPr>
                <w:rPr>
                  <w:rFonts w:hint="eastAsia" w:ascii="Cambria Math" w:hAnsi="Cambria Math"/>
                  <w:b/>
                  <w:sz w:val="24"/>
                  <w:szCs w:val="28"/>
                </w:rPr>
              </m:ctrlPr>
            </m:fPr>
            <m:num>
              <m:eqArr>
                <m:eqArrPr>
                  <m:ctrlPr>
                    <w:rPr>
                      <w:rFonts w:hint="eastAsia" w:ascii="Cambria Math" w:hAnsi="Cambria Math"/>
                      <w:sz w:val="24"/>
                      <w:szCs w:val="28"/>
                    </w:rPr>
                  </m:ctrlPr>
                </m:eqArrPr>
                <m:e>
                  <m:r>
                    <m:rPr>
                      <m:sty m:val="p"/>
                    </m:rPr>
                    <w:rPr>
                      <w:rFonts w:hint="eastAsia" w:ascii="Cambria Math" w:hAnsi="Cambria Math"/>
                      <w:sz w:val="24"/>
                      <w:szCs w:val="28"/>
                    </w:rPr>
                    <m:t>参加本省份临床检验中心组织的</m:t>
                  </m:r>
                  <m:ctrlPr>
                    <w:rPr>
                      <w:rFonts w:hint="eastAsia" w:ascii="Cambria Math" w:hAnsi="Cambria Math"/>
                      <w:sz w:val="24"/>
                      <w:szCs w:val="28"/>
                    </w:rPr>
                  </m:ctrlPr>
                </m:e>
                <m:e>
                  <m:r>
                    <m:rPr>
                      <m:sty m:val="p"/>
                    </m:rPr>
                    <w:rPr>
                      <w:rFonts w:hint="eastAsia" w:ascii="Cambria Math" w:hAnsi="Cambria Math"/>
                      <w:sz w:val="24"/>
                      <w:szCs w:val="28"/>
                    </w:rPr>
                    <m:t>室间质评的检验项目数</m:t>
                  </m:r>
                  <m:ctrlPr>
                    <w:rPr>
                      <w:rFonts w:hint="eastAsia" w:ascii="Cambria Math" w:hAnsi="Cambria Math"/>
                      <w:sz w:val="24"/>
                      <w:szCs w:val="28"/>
                    </w:rPr>
                  </m:ctrlPr>
                </m:e>
              </m:eqArr>
              <m:ctrlPr>
                <w:rPr>
                  <w:rFonts w:hint="eastAsia" w:ascii="Cambria Math" w:hAnsi="Cambria Math"/>
                  <w:b/>
                  <w:sz w:val="24"/>
                  <w:szCs w:val="28"/>
                </w:rPr>
              </m:ctrlPr>
            </m:num>
            <m:den>
              <m:eqArr>
                <m:eqArrPr>
                  <m:ctrlPr>
                    <w:rPr>
                      <w:rFonts w:hint="eastAsia" w:ascii="Cambria Math" w:hAnsi="Cambria Math"/>
                      <w:b/>
                      <w:sz w:val="24"/>
                      <w:szCs w:val="28"/>
                    </w:rPr>
                  </m:ctrlPr>
                </m:eqArrPr>
                <m:e>
                  <m:r>
                    <m:rPr>
                      <m:sty m:val="p"/>
                    </m:rPr>
                    <w:rPr>
                      <w:rFonts w:hint="eastAsia" w:ascii="Cambria Math" w:hAnsi="Cambria Math"/>
                      <w:sz w:val="24"/>
                      <w:szCs w:val="28"/>
                    </w:rPr>
                    <m:t>同期实验室已开展且同时本省份临床检验中心</m:t>
                  </m:r>
                  <m:ctrlPr>
                    <w:rPr>
                      <w:rFonts w:hint="eastAsia" w:ascii="Cambria Math" w:hAnsi="Cambria Math"/>
                      <w:sz w:val="24"/>
                      <w:szCs w:val="28"/>
                    </w:rPr>
                  </m:ctrlPr>
                </m:e>
                <m:e>
                  <m:r>
                    <m:rPr>
                      <m:sty m:val="p"/>
                    </m:rPr>
                    <w:rPr>
                      <w:rFonts w:hint="eastAsia" w:ascii="Cambria Math" w:hAnsi="Cambria Math"/>
                      <w:sz w:val="24"/>
                      <w:szCs w:val="28"/>
                    </w:rPr>
                    <m:t>已组织的室间质评检验项目总数</m:t>
                  </m:r>
                  <m:ctrlPr>
                    <w:rPr>
                      <w:rFonts w:hint="eastAsia" w:ascii="Cambria Math" w:hAnsi="Cambria Math"/>
                      <w:sz w:val="24"/>
                      <w:szCs w:val="28"/>
                    </w:rPr>
                  </m:ctrlPr>
                </m:e>
              </m:eqArr>
              <m:ctrlPr>
                <w:rPr>
                  <w:rFonts w:hint="eastAsia" w:ascii="Cambria Math" w:hAnsi="Cambria Math"/>
                  <w:b/>
                  <w:sz w:val="24"/>
                  <w:szCs w:val="28"/>
                </w:rPr>
              </m:ctrlPr>
            </m:den>
          </m:f>
          <m:r>
            <m:rPr>
              <m:sty m:val="p"/>
            </m:rPr>
            <w:rPr>
              <w:rFonts w:hint="eastAsia" w:ascii="Cambria Math" w:hAnsi="Cambria Math"/>
              <w:sz w:val="24"/>
              <w:szCs w:val="28"/>
            </w:rPr>
            <m:t>×100%</m:t>
          </m:r>
        </m:oMath>
      </m:oMathPara>
    </w:p>
    <w:p>
      <w:pPr>
        <w:spacing w:before="87" w:beforeLines="20" w:line="360" w:lineRule="auto"/>
        <w:rPr>
          <w:rFonts w:ascii="仿宋_GB2312" w:hAnsi="黑体"/>
          <w:b/>
          <w:szCs w:val="36"/>
        </w:rPr>
      </w:pPr>
      <m:oMathPara>
        <m:oMathParaPr>
          <m:jc m:val="left"/>
        </m:oMathParaPr>
        <m:oMath>
          <m:r>
            <m:rPr>
              <m:sty m:val="b"/>
            </m:rPr>
            <w:rPr>
              <w:rFonts w:hint="eastAsia" w:ascii="Cambria Math" w:hAnsi="Cambria Math"/>
              <w:sz w:val="24"/>
              <w:szCs w:val="28"/>
            </w:rPr>
            <m:t>室间质评项目合格率=</m:t>
          </m:r>
          <m:f>
            <m:fPr>
              <m:ctrlPr>
                <w:rPr>
                  <w:rFonts w:hint="eastAsia" w:ascii="Cambria Math" w:hAnsi="Cambria Math"/>
                  <w:sz w:val="24"/>
                  <w:szCs w:val="28"/>
                </w:rPr>
              </m:ctrlPr>
            </m:fPr>
            <m:num>
              <m:eqArr>
                <m:eqArrPr>
                  <m:ctrlPr>
                    <w:rPr>
                      <w:rFonts w:hint="eastAsia" w:ascii="Cambria Math" w:hAnsi="Cambria Math"/>
                      <w:sz w:val="24"/>
                      <w:szCs w:val="28"/>
                    </w:rPr>
                  </m:ctrlPr>
                </m:eqArrPr>
                <m:e>
                  <m:r>
                    <m:rPr>
                      <m:sty m:val="p"/>
                    </m:rPr>
                    <w:rPr>
                      <w:rFonts w:hint="eastAsia" w:ascii="Cambria Math" w:hAnsi="Cambria Math"/>
                      <w:sz w:val="24"/>
                      <w:szCs w:val="28"/>
                    </w:rPr>
                    <m:t>参加本省份临床检验中心组织的</m:t>
                  </m:r>
                  <m:ctrlPr>
                    <w:rPr>
                      <w:rFonts w:hint="eastAsia" w:ascii="Cambria Math" w:hAnsi="Cambria Math"/>
                      <w:sz w:val="24"/>
                      <w:szCs w:val="28"/>
                    </w:rPr>
                  </m:ctrlPr>
                </m:e>
                <m:e>
                  <m:r>
                    <m:rPr>
                      <m:sty m:val="p"/>
                    </m:rPr>
                    <w:rPr>
                      <w:rFonts w:hint="eastAsia" w:ascii="Cambria Math" w:hAnsi="Cambria Math"/>
                      <w:sz w:val="24"/>
                      <w:szCs w:val="28"/>
                    </w:rPr>
                    <m:t>室间质评成绩合格的检验项目数</m:t>
                  </m:r>
                  <m:ctrlPr>
                    <w:rPr>
                      <w:rFonts w:hint="eastAsia" w:ascii="Cambria Math" w:hAnsi="Cambria Math"/>
                      <w:sz w:val="24"/>
                      <w:szCs w:val="28"/>
                    </w:rPr>
                  </m:ctrlPr>
                </m:e>
              </m:eqArr>
              <m:ctrlPr>
                <w:rPr>
                  <w:rFonts w:hint="eastAsia" w:ascii="Cambria Math" w:hAnsi="Cambria Math"/>
                  <w:sz w:val="24"/>
                  <w:szCs w:val="28"/>
                </w:rPr>
              </m:ctrlPr>
            </m:num>
            <m:den>
              <m:eqArr>
                <m:eqArrPr>
                  <m:ctrlPr>
                    <w:rPr>
                      <w:rFonts w:hint="eastAsia" w:ascii="Cambria Math" w:hAnsi="Cambria Math"/>
                      <w:sz w:val="24"/>
                      <w:szCs w:val="28"/>
                    </w:rPr>
                  </m:ctrlPr>
                </m:eqArrPr>
                <m:e>
                  <m:r>
                    <m:rPr>
                      <m:sty m:val="p"/>
                    </m:rPr>
                    <w:rPr>
                      <w:rFonts w:hint="eastAsia" w:ascii="Cambria Math" w:hAnsi="Cambria Math"/>
                      <w:sz w:val="24"/>
                      <w:szCs w:val="28"/>
                    </w:rPr>
                    <m:t>同期实验室参加本省份临床检验中心</m:t>
                  </m:r>
                  <m:ctrlPr>
                    <w:rPr>
                      <w:rFonts w:hint="eastAsia" w:ascii="Cambria Math" w:hAnsi="Cambria Math"/>
                      <w:sz w:val="24"/>
                      <w:szCs w:val="28"/>
                    </w:rPr>
                  </m:ctrlPr>
                </m:e>
                <m:e>
                  <m:r>
                    <m:rPr>
                      <m:sty m:val="p"/>
                    </m:rPr>
                    <w:rPr>
                      <w:rFonts w:hint="eastAsia" w:ascii="Cambria Math" w:hAnsi="Cambria Math"/>
                      <w:sz w:val="24"/>
                      <w:szCs w:val="28"/>
                    </w:rPr>
                    <m:t>组织的室间质评检验项目总数</m:t>
                  </m:r>
                  <m:ctrlPr>
                    <w:rPr>
                      <w:rFonts w:hint="eastAsia" w:ascii="Cambria Math" w:hAnsi="Cambria Math"/>
                      <w:sz w:val="24"/>
                      <w:szCs w:val="28"/>
                    </w:rPr>
                  </m:ctrlPr>
                </m:e>
              </m:eqAr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szCs w:val="32"/>
        </w:rPr>
        <w:t>（</w:t>
      </w:r>
      <w:r>
        <w:rPr>
          <w:rFonts w:ascii="仿宋_GB2312"/>
          <w:kern w:val="0"/>
          <w:szCs w:val="32"/>
        </w:rPr>
        <w:t>1</w:t>
      </w:r>
      <w:r>
        <w:rPr>
          <w:rFonts w:hint="eastAsia"/>
          <w:szCs w:val="32"/>
        </w:rPr>
        <w:t>）分子</w:t>
      </w:r>
    </w:p>
    <w:p>
      <w:pPr>
        <w:adjustRightInd w:val="0"/>
        <w:spacing w:line="600" w:lineRule="exact"/>
        <w:ind w:firstLine="640" w:firstLineChars="200"/>
        <w:rPr>
          <w:szCs w:val="32"/>
        </w:rPr>
      </w:pPr>
      <w:r>
        <w:rPr>
          <w:rFonts w:hint="eastAsia"/>
          <w:bCs/>
          <w:szCs w:val="32"/>
        </w:rPr>
        <w:t>分子</w:t>
      </w:r>
      <w:r>
        <w:rPr>
          <w:rFonts w:ascii="仿宋_GB2312"/>
          <w:kern w:val="0"/>
          <w:szCs w:val="32"/>
        </w:rPr>
        <w:t>1</w:t>
      </w:r>
      <w:r>
        <w:rPr>
          <w:rFonts w:hint="eastAsia"/>
          <w:bCs/>
          <w:szCs w:val="32"/>
        </w:rPr>
        <w:t>：本年度考核的</w:t>
      </w:r>
      <w:r>
        <w:rPr>
          <w:rFonts w:hint="eastAsia"/>
          <w:szCs w:val="32"/>
        </w:rPr>
        <w:t>室间质评项目参加数指医院参加本</w:t>
      </w:r>
      <w:r>
        <w:rPr>
          <w:szCs w:val="32"/>
        </w:rPr>
        <w:t>省</w:t>
      </w:r>
      <w:r>
        <w:rPr>
          <w:rFonts w:hint="eastAsia"/>
          <w:szCs w:val="32"/>
        </w:rPr>
        <w:t>份临床检验中心组织的室间质量评价的检验项目数。</w:t>
      </w:r>
    </w:p>
    <w:p>
      <w:pPr>
        <w:adjustRightInd w:val="0"/>
        <w:spacing w:line="600" w:lineRule="exact"/>
        <w:ind w:firstLine="640" w:firstLineChars="200"/>
        <w:rPr>
          <w:szCs w:val="32"/>
        </w:rPr>
      </w:pPr>
      <w:r>
        <w:rPr>
          <w:rFonts w:hint="eastAsia"/>
          <w:szCs w:val="32"/>
        </w:rPr>
        <w:t>分子</w:t>
      </w:r>
      <w:r>
        <w:rPr>
          <w:rFonts w:ascii="仿宋_GB2312"/>
          <w:kern w:val="0"/>
          <w:szCs w:val="32"/>
        </w:rPr>
        <w:t>2</w:t>
      </w:r>
      <w:r>
        <w:rPr>
          <w:rFonts w:hint="eastAsia"/>
          <w:szCs w:val="32"/>
        </w:rPr>
        <w:t>：本年度考核的室间质评项目合格数指医院参加</w:t>
      </w:r>
      <w:r>
        <w:rPr>
          <w:rFonts w:hint="eastAsia"/>
          <w:bCs/>
          <w:szCs w:val="32"/>
        </w:rPr>
        <w:t>本</w:t>
      </w:r>
      <w:r>
        <w:rPr>
          <w:bCs/>
          <w:szCs w:val="32"/>
        </w:rPr>
        <w:t>省</w:t>
      </w:r>
      <w:r>
        <w:rPr>
          <w:rFonts w:hint="eastAsia"/>
          <w:bCs/>
          <w:szCs w:val="32"/>
        </w:rPr>
        <w:t>份</w:t>
      </w:r>
      <w:r>
        <w:rPr>
          <w:bCs/>
          <w:szCs w:val="32"/>
        </w:rPr>
        <w:t>临床</w:t>
      </w:r>
      <w:r>
        <w:rPr>
          <w:rFonts w:hint="eastAsia"/>
          <w:bCs/>
          <w:szCs w:val="32"/>
        </w:rPr>
        <w:t>检验</w:t>
      </w:r>
      <w:r>
        <w:rPr>
          <w:bCs/>
          <w:szCs w:val="32"/>
        </w:rPr>
        <w:t>中心组织</w:t>
      </w:r>
      <w:r>
        <w:rPr>
          <w:rFonts w:hint="eastAsia"/>
          <w:bCs/>
          <w:szCs w:val="32"/>
        </w:rPr>
        <w:t>的</w:t>
      </w:r>
      <w:r>
        <w:rPr>
          <w:bCs/>
          <w:szCs w:val="32"/>
        </w:rPr>
        <w:t>室间质评成绩</w:t>
      </w:r>
      <w:r>
        <w:rPr>
          <w:rFonts w:hint="eastAsia"/>
          <w:bCs/>
          <w:szCs w:val="32"/>
        </w:rPr>
        <w:t>合格</w:t>
      </w:r>
      <w:r>
        <w:rPr>
          <w:bCs/>
          <w:szCs w:val="32"/>
        </w:rPr>
        <w:t>的检验项目数</w:t>
      </w:r>
      <w:r>
        <w:rPr>
          <w:rFonts w:hint="eastAsia"/>
          <w:bCs/>
          <w:szCs w:val="32"/>
        </w:rPr>
        <w:t>。</w:t>
      </w:r>
    </w:p>
    <w:p>
      <w:pPr>
        <w:adjustRightInd w:val="0"/>
        <w:spacing w:line="600" w:lineRule="exact"/>
        <w:ind w:firstLine="640" w:firstLineChars="200"/>
        <w:rPr>
          <w:szCs w:val="32"/>
        </w:rPr>
      </w:pPr>
      <w:r>
        <w:rPr>
          <w:rFonts w:hint="eastAsia"/>
          <w:szCs w:val="32"/>
        </w:rPr>
        <w:t>（</w:t>
      </w:r>
      <w:r>
        <w:rPr>
          <w:rFonts w:ascii="仿宋_GB2312"/>
          <w:kern w:val="0"/>
          <w:szCs w:val="32"/>
        </w:rPr>
        <w:t>2</w:t>
      </w:r>
      <w:r>
        <w:rPr>
          <w:rFonts w:hint="eastAsia"/>
          <w:szCs w:val="32"/>
        </w:rPr>
        <w:t>）分母</w:t>
      </w:r>
    </w:p>
    <w:p>
      <w:pPr>
        <w:adjustRightInd w:val="0"/>
        <w:spacing w:line="600" w:lineRule="exact"/>
        <w:ind w:firstLine="640" w:firstLineChars="200"/>
        <w:rPr>
          <w:bCs/>
          <w:szCs w:val="32"/>
        </w:rPr>
      </w:pPr>
      <w:r>
        <w:rPr>
          <w:rFonts w:hint="eastAsia"/>
          <w:bCs/>
          <w:szCs w:val="32"/>
        </w:rPr>
        <w:t>分母</w:t>
      </w:r>
      <w:r>
        <w:rPr>
          <w:rFonts w:ascii="仿宋_GB2312"/>
          <w:kern w:val="0"/>
          <w:szCs w:val="32"/>
        </w:rPr>
        <w:t>1</w:t>
      </w:r>
      <w:r>
        <w:rPr>
          <w:rFonts w:hint="eastAsia"/>
          <w:bCs/>
          <w:szCs w:val="32"/>
        </w:rPr>
        <w:t>：</w:t>
      </w:r>
      <w:r>
        <w:rPr>
          <w:bCs/>
          <w:szCs w:val="32"/>
        </w:rPr>
        <w:t>同期</w:t>
      </w:r>
      <w:r>
        <w:rPr>
          <w:rFonts w:hint="eastAsia"/>
          <w:bCs/>
          <w:szCs w:val="32"/>
        </w:rPr>
        <w:t>医院实验</w:t>
      </w:r>
      <w:r>
        <w:rPr>
          <w:bCs/>
          <w:szCs w:val="32"/>
        </w:rPr>
        <w:t>室</w:t>
      </w:r>
      <w:r>
        <w:rPr>
          <w:rFonts w:hint="eastAsia"/>
          <w:bCs/>
          <w:szCs w:val="32"/>
        </w:rPr>
        <w:t>已开展且</w:t>
      </w:r>
      <w:r>
        <w:rPr>
          <w:bCs/>
          <w:szCs w:val="32"/>
        </w:rPr>
        <w:t>同时</w:t>
      </w:r>
      <w:r>
        <w:rPr>
          <w:rFonts w:hint="eastAsia"/>
          <w:bCs/>
          <w:szCs w:val="32"/>
        </w:rPr>
        <w:t>本</w:t>
      </w:r>
      <w:r>
        <w:rPr>
          <w:bCs/>
          <w:szCs w:val="32"/>
        </w:rPr>
        <w:t>省</w:t>
      </w:r>
      <w:r>
        <w:rPr>
          <w:rFonts w:hint="eastAsia"/>
          <w:bCs/>
          <w:szCs w:val="32"/>
        </w:rPr>
        <w:t>份</w:t>
      </w:r>
      <w:r>
        <w:rPr>
          <w:bCs/>
          <w:szCs w:val="32"/>
        </w:rPr>
        <w:t>临床检验中心</w:t>
      </w:r>
      <w:r>
        <w:rPr>
          <w:rFonts w:hint="eastAsia"/>
          <w:bCs/>
          <w:szCs w:val="32"/>
        </w:rPr>
        <w:t>已</w:t>
      </w:r>
      <w:r>
        <w:rPr>
          <w:bCs/>
          <w:szCs w:val="32"/>
        </w:rPr>
        <w:t>组织的室</w:t>
      </w:r>
      <w:r>
        <w:rPr>
          <w:rFonts w:hint="eastAsia"/>
          <w:bCs/>
          <w:szCs w:val="32"/>
        </w:rPr>
        <w:t>间</w:t>
      </w:r>
      <w:r>
        <w:rPr>
          <w:bCs/>
          <w:szCs w:val="32"/>
        </w:rPr>
        <w:t>质评检验项目总数</w:t>
      </w:r>
      <w:r>
        <w:rPr>
          <w:rFonts w:hint="eastAsia"/>
          <w:bCs/>
          <w:szCs w:val="32"/>
        </w:rPr>
        <w:t>指实验室开展的项目与本省份临床检验中心组织的室间质评项目中重叠的项目数。</w:t>
      </w:r>
    </w:p>
    <w:p>
      <w:pPr>
        <w:adjustRightInd w:val="0"/>
        <w:spacing w:line="600" w:lineRule="exact"/>
        <w:ind w:firstLine="640" w:firstLineChars="200"/>
        <w:rPr>
          <w:bCs/>
          <w:szCs w:val="32"/>
        </w:rPr>
      </w:pPr>
      <w:r>
        <w:rPr>
          <w:rFonts w:hint="eastAsia"/>
          <w:bCs/>
          <w:szCs w:val="32"/>
        </w:rPr>
        <w:t>分母</w:t>
      </w:r>
      <w:r>
        <w:rPr>
          <w:rFonts w:ascii="仿宋_GB2312"/>
          <w:kern w:val="0"/>
          <w:szCs w:val="32"/>
        </w:rPr>
        <w:t>2</w:t>
      </w:r>
      <w:r>
        <w:rPr>
          <w:rFonts w:hint="eastAsia"/>
          <w:bCs/>
          <w:szCs w:val="32"/>
        </w:rPr>
        <w:t>：同</w:t>
      </w:r>
      <w:r>
        <w:rPr>
          <w:bCs/>
          <w:szCs w:val="32"/>
        </w:rPr>
        <w:t>期医院参加本省</w:t>
      </w:r>
      <w:r>
        <w:rPr>
          <w:rFonts w:hint="eastAsia"/>
          <w:bCs/>
          <w:szCs w:val="32"/>
        </w:rPr>
        <w:t>份</w:t>
      </w:r>
      <w:r>
        <w:rPr>
          <w:bCs/>
          <w:szCs w:val="32"/>
        </w:rPr>
        <w:t>临床检验中心组织的室间质评检验项目总数</w:t>
      </w:r>
      <w:r>
        <w:rPr>
          <w:rFonts w:hint="eastAsia"/>
          <w:bCs/>
          <w:szCs w:val="32"/>
        </w:rPr>
        <w:t>。</w:t>
      </w:r>
    </w:p>
    <w:p>
      <w:pPr>
        <w:adjustRightInd w:val="0"/>
        <w:spacing w:line="600" w:lineRule="exact"/>
        <w:ind w:firstLine="640" w:firstLineChars="200"/>
        <w:rPr>
          <w:szCs w:val="32"/>
        </w:rPr>
      </w:pPr>
      <w:r>
        <w:rPr>
          <w:rFonts w:hint="eastAsia"/>
          <w:szCs w:val="32"/>
        </w:rPr>
        <w:t>（</w:t>
      </w:r>
      <w:r>
        <w:rPr>
          <w:rFonts w:ascii="仿宋_GB2312"/>
          <w:kern w:val="0"/>
          <w:szCs w:val="32"/>
        </w:rPr>
        <w:t>3</w:t>
      </w:r>
      <w:r>
        <w:rPr>
          <w:rFonts w:hint="eastAsia"/>
          <w:szCs w:val="32"/>
        </w:rPr>
        <w:t>）室间质评项目参加率统计如</w:t>
      </w:r>
      <w:r>
        <w:rPr>
          <w:szCs w:val="32"/>
        </w:rPr>
        <w:t>图</w:t>
      </w:r>
      <w:r>
        <w:rPr>
          <w:rFonts w:hint="eastAsia"/>
          <w:szCs w:val="32"/>
        </w:rPr>
        <w:t>所</w:t>
      </w:r>
      <w:r>
        <w:rPr>
          <w:szCs w:val="32"/>
        </w:rPr>
        <w:t>示：</w:t>
      </w:r>
    </w:p>
    <w:p>
      <w:pPr>
        <w:spacing w:line="360" w:lineRule="auto"/>
        <w:jc w:val="center"/>
        <w:rPr>
          <w:szCs w:val="32"/>
        </w:rPr>
      </w:pPr>
      <w:r>
        <w:drawing>
          <wp:inline distT="0" distB="0" distL="0" distR="0">
            <wp:extent cx="5194300" cy="354901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4" cstate="print"/>
                    <a:stretch>
                      <a:fillRect/>
                    </a:stretch>
                  </pic:blipFill>
                  <pic:spPr>
                    <a:xfrm>
                      <a:off x="0" y="0"/>
                      <a:ext cx="5199263" cy="3552830"/>
                    </a:xfrm>
                    <a:prstGeom prst="rect">
                      <a:avLst/>
                    </a:prstGeom>
                  </pic:spPr>
                </pic:pic>
              </a:graphicData>
            </a:graphic>
          </wp:inline>
        </w:drawing>
      </w:r>
    </w:p>
    <w:p>
      <w:pPr>
        <w:spacing w:line="360" w:lineRule="auto"/>
        <w:jc w:val="center"/>
        <w:rPr>
          <w:szCs w:val="32"/>
        </w:rPr>
      </w:pPr>
    </w:p>
    <w:p>
      <w:pPr>
        <w:spacing w:line="600" w:lineRule="exact"/>
        <w:rPr>
          <w:b/>
          <w:szCs w:val="32"/>
        </w:rPr>
      </w:pPr>
      <w:r>
        <w:rPr>
          <w:rFonts w:hint="eastAsia"/>
          <w:b/>
          <w:szCs w:val="32"/>
        </w:rPr>
        <w:t>【指标意义】</w:t>
      </w:r>
    </w:p>
    <w:p>
      <w:pPr>
        <w:adjustRightInd w:val="0"/>
        <w:spacing w:line="600" w:lineRule="exact"/>
        <w:ind w:firstLine="640" w:firstLineChars="200"/>
        <w:rPr>
          <w:szCs w:val="32"/>
        </w:rPr>
      </w:pPr>
      <w:r>
        <w:rPr>
          <w:bCs/>
          <w:szCs w:val="32"/>
        </w:rPr>
        <w:t>《国务院办公厅关于印发医药卫生体制五项重点改革</w:t>
      </w:r>
      <w:r>
        <w:rPr>
          <w:rFonts w:ascii="仿宋_GB2312"/>
          <w:bCs/>
          <w:szCs w:val="32"/>
        </w:rPr>
        <w:t>2010</w:t>
      </w:r>
      <w:r>
        <w:rPr>
          <w:rFonts w:hint="eastAsia" w:ascii="仿宋_GB2312"/>
          <w:bCs/>
          <w:szCs w:val="32"/>
        </w:rPr>
        <w:t>年度主要工作安排的通知》（国办函〔</w:t>
      </w:r>
      <w:r>
        <w:rPr>
          <w:rFonts w:ascii="仿宋_GB2312"/>
          <w:bCs/>
          <w:szCs w:val="32"/>
        </w:rPr>
        <w:t>2010</w:t>
      </w:r>
      <w:r>
        <w:rPr>
          <w:rFonts w:hint="eastAsia" w:ascii="仿宋_GB2312"/>
          <w:bCs/>
          <w:szCs w:val="32"/>
        </w:rPr>
        <w:t>〕</w:t>
      </w:r>
      <w:r>
        <w:rPr>
          <w:rFonts w:ascii="仿宋_GB2312"/>
          <w:bCs/>
          <w:szCs w:val="32"/>
        </w:rPr>
        <w:t>67</w:t>
      </w:r>
      <w:r>
        <w:rPr>
          <w:rFonts w:hint="eastAsia" w:ascii="仿宋_GB2312"/>
          <w:bCs/>
          <w:szCs w:val="32"/>
        </w:rPr>
        <w:t>号）和《卫生部办公厅关于加强医疗质量控制中心建设推进同级医疗机构检查结果互认工作的通知》（卫办医政发〔</w:t>
      </w:r>
      <w:r>
        <w:rPr>
          <w:rFonts w:ascii="仿宋_GB2312"/>
          <w:bCs/>
          <w:szCs w:val="32"/>
        </w:rPr>
        <w:t>2010</w:t>
      </w:r>
      <w:r>
        <w:rPr>
          <w:rFonts w:hint="eastAsia" w:ascii="仿宋_GB2312"/>
          <w:bCs/>
          <w:szCs w:val="32"/>
        </w:rPr>
        <w:t>〕</w:t>
      </w:r>
      <w:r>
        <w:rPr>
          <w:rFonts w:ascii="仿宋_GB2312"/>
          <w:bCs/>
          <w:szCs w:val="32"/>
        </w:rPr>
        <w:t>108</w:t>
      </w:r>
      <w:r>
        <w:rPr>
          <w:rFonts w:hint="eastAsia" w:ascii="仿宋_GB2312"/>
          <w:bCs/>
          <w:szCs w:val="32"/>
        </w:rPr>
        <w:t>号）要求加强医疗质量控制中心建设和管理，推进同级医疗机构检查结果互认。</w:t>
      </w:r>
      <w:r>
        <w:rPr>
          <w:rFonts w:hint="eastAsia" w:ascii="仿宋_GB2312"/>
        </w:rPr>
        <w:t>《国家卫生健康委办公厅关于加快推进检查检验结果互认工作的通知》（国卫办医函〔2021〕392号）要求各省级卫生健康行政部门要结合实际情况，建立结果互认体系，加强检查检验质量控制，推进检查资料互认共享，并优化激励措施，强化工作监督，提升医疗机构运行效率，促进医疗资源合理利用，减轻人民群众就医负担。</w:t>
      </w:r>
      <w:r>
        <w:rPr>
          <w:rFonts w:hint="eastAsia"/>
          <w:szCs w:val="32"/>
        </w:rPr>
        <w:t>《关于印发公立医院高质量发展促进行动</w:t>
      </w:r>
      <w:r>
        <w:rPr>
          <w:rFonts w:hint="eastAsia" w:ascii="仿宋_GB2312"/>
          <w:szCs w:val="32"/>
        </w:rPr>
        <w:t>（</w:t>
      </w:r>
      <w:r>
        <w:rPr>
          <w:rFonts w:ascii="仿宋_GB2312"/>
          <w:szCs w:val="32"/>
        </w:rPr>
        <w:t>2021-2025</w:t>
      </w:r>
      <w:r>
        <w:rPr>
          <w:rFonts w:hint="eastAsia" w:ascii="仿宋_GB2312"/>
          <w:szCs w:val="32"/>
        </w:rPr>
        <w:t>年）的通知》（国卫医发〔</w:t>
      </w:r>
      <w:r>
        <w:rPr>
          <w:rFonts w:ascii="仿宋_GB2312"/>
          <w:szCs w:val="32"/>
        </w:rPr>
        <w:t>2021</w:t>
      </w:r>
      <w:r>
        <w:rPr>
          <w:rFonts w:hint="eastAsia" w:ascii="仿宋_GB2312"/>
          <w:szCs w:val="32"/>
        </w:rPr>
        <w:t>〕</w:t>
      </w:r>
      <w:r>
        <w:rPr>
          <w:rFonts w:ascii="仿宋_GB2312"/>
          <w:szCs w:val="32"/>
        </w:rPr>
        <w:t>27</w:t>
      </w:r>
      <w:r>
        <w:rPr>
          <w:rFonts w:hint="eastAsia"/>
          <w:szCs w:val="32"/>
        </w:rPr>
        <w:t>号）要求，公立医院通过国家级、省级临床实验室室间质评的项目数和通过率持续提升，不断推进检验结果互认和检查资料共享。</w:t>
      </w:r>
    </w:p>
    <w:p>
      <w:pPr>
        <w:pStyle w:val="2"/>
        <w:spacing w:line="600" w:lineRule="exact"/>
        <w:ind w:firstLine="640"/>
      </w:pPr>
      <w:r>
        <w:rPr>
          <w:rFonts w:hint="eastAsia" w:ascii="仿宋_GB2312"/>
          <w:szCs w:val="32"/>
        </w:rPr>
        <w:t>室间质评反映实验室参加室间质评计划进行外部质量监测的情况</w:t>
      </w:r>
      <w:r>
        <w:rPr>
          <w:rStyle w:val="34"/>
          <w:rFonts w:hint="eastAsia" w:ascii="仿宋_GB2312"/>
        </w:rPr>
        <w:footnoteReference w:id="34"/>
      </w:r>
      <w:r>
        <w:rPr>
          <w:rFonts w:hint="eastAsia" w:ascii="仿宋_GB2312"/>
          <w:szCs w:val="32"/>
        </w:rPr>
        <w:t>，</w:t>
      </w:r>
      <w:r>
        <w:rPr>
          <w:rFonts w:hint="eastAsia" w:ascii="仿宋_GB2312"/>
        </w:rPr>
        <w:t>体现实验室检验结果的可比性和同质性，同时为临床检验结果互认提供科学依据。</w:t>
      </w:r>
    </w:p>
    <w:p>
      <w:pPr>
        <w:spacing w:line="600" w:lineRule="exact"/>
        <w:rPr>
          <w:b/>
          <w:bCs/>
          <w:szCs w:val="32"/>
        </w:rPr>
      </w:pPr>
      <w:r>
        <w:rPr>
          <w:rFonts w:hint="eastAsia"/>
          <w:b/>
          <w:szCs w:val="32"/>
        </w:rPr>
        <w:t>【</w:t>
      </w:r>
      <w:r>
        <w:rPr>
          <w:rFonts w:hint="eastAsia"/>
          <w:b/>
          <w:bCs/>
          <w:szCs w:val="32"/>
        </w:rPr>
        <w:t>指标导向】</w:t>
      </w:r>
      <w:r>
        <w:rPr>
          <w:rFonts w:hint="eastAsia"/>
          <w:bCs/>
          <w:szCs w:val="32"/>
        </w:rPr>
        <w:t>逐步提高。</w:t>
      </w:r>
    </w:p>
    <w:p>
      <w:pPr>
        <w:spacing w:line="600" w:lineRule="exact"/>
        <w:rPr>
          <w:b/>
          <w:szCs w:val="32"/>
        </w:rPr>
      </w:pPr>
      <w:r>
        <w:rPr>
          <w:rFonts w:hint="eastAsia"/>
          <w:b/>
          <w:szCs w:val="32"/>
        </w:rPr>
        <w:t>【指标来源】</w:t>
      </w:r>
      <w:r>
        <w:rPr>
          <w:rFonts w:hint="eastAsia"/>
          <w:szCs w:val="32"/>
        </w:rPr>
        <w:t>省</w:t>
      </w:r>
      <w:r>
        <w:rPr>
          <w:szCs w:val="32"/>
        </w:rPr>
        <w:t>级</w:t>
      </w:r>
      <w:r>
        <w:rPr>
          <w:rFonts w:hint="eastAsia"/>
          <w:szCs w:val="32"/>
        </w:rPr>
        <w:t>卫生健康委。</w:t>
      </w:r>
    </w:p>
    <w:p>
      <w:pPr>
        <w:spacing w:line="600" w:lineRule="exact"/>
        <w:rPr>
          <w:szCs w:val="32"/>
        </w:rPr>
      </w:pPr>
      <w:r>
        <w:rPr>
          <w:rFonts w:hint="eastAsia"/>
          <w:b/>
          <w:szCs w:val="32"/>
        </w:rPr>
        <w:t>【</w:t>
      </w:r>
      <w:r>
        <w:rPr>
          <w:rFonts w:hint="eastAsia"/>
          <w:b/>
          <w:bCs/>
          <w:szCs w:val="32"/>
        </w:rPr>
        <w:t>指标解释】</w:t>
      </w:r>
      <w:r>
        <w:rPr>
          <w:rFonts w:hint="eastAsia"/>
          <w:szCs w:val="32"/>
        </w:rPr>
        <w:t>省</w:t>
      </w:r>
      <w:r>
        <w:rPr>
          <w:szCs w:val="32"/>
        </w:rPr>
        <w:t>级</w:t>
      </w:r>
      <w:r>
        <w:rPr>
          <w:rFonts w:hint="eastAsia"/>
          <w:szCs w:val="32"/>
        </w:rPr>
        <w:t>卫生健康委、本</w:t>
      </w:r>
      <w:r>
        <w:rPr>
          <w:szCs w:val="32"/>
        </w:rPr>
        <w:t>省</w:t>
      </w:r>
      <w:r>
        <w:rPr>
          <w:rFonts w:hint="eastAsia"/>
          <w:szCs w:val="32"/>
        </w:rPr>
        <w:t>临床检验中心。</w:t>
      </w:r>
    </w:p>
    <w:p>
      <w:pPr>
        <w:widowControl/>
        <w:spacing w:line="600" w:lineRule="exact"/>
        <w:rPr>
          <w:rFonts w:eastAsia="宋体"/>
          <w:sz w:val="21"/>
          <w:szCs w:val="22"/>
        </w:rPr>
      </w:pPr>
      <w:r>
        <w:rPr>
          <w:rFonts w:eastAsia="仿宋"/>
          <w:kern w:val="0"/>
          <w:szCs w:val="32"/>
        </w:rPr>
        <w:br w:type="page"/>
      </w:r>
      <w:r>
        <w:rPr>
          <w:rFonts w:hint="eastAsia"/>
          <w:b/>
          <w:kern w:val="0"/>
          <w:szCs w:val="32"/>
        </w:rPr>
        <w:t>1</w:t>
      </w:r>
      <w:r>
        <w:rPr>
          <w:b/>
          <w:kern w:val="0"/>
          <w:szCs w:val="32"/>
        </w:rPr>
        <w:t>6</w:t>
      </w:r>
      <w:r>
        <w:rPr>
          <w:rFonts w:hint="eastAsia"/>
          <w:b/>
          <w:kern w:val="0"/>
          <w:szCs w:val="32"/>
        </w:rPr>
        <w:t>. 平均</w:t>
      </w:r>
      <w:r>
        <w:rPr>
          <w:b/>
          <w:kern w:val="0"/>
          <w:szCs w:val="32"/>
        </w:rPr>
        <w:t>住院日</w:t>
      </w:r>
      <w:r>
        <w:rPr>
          <w:rFonts w:hint="eastAsia"/>
          <w:b/>
          <w:kern w:val="0"/>
          <w:szCs w:val="32"/>
        </w:rPr>
        <w:t>▲</w:t>
      </w:r>
    </w:p>
    <w:p>
      <w:pPr>
        <w:widowControl/>
        <w:shd w:val="clear" w:color="auto" w:fill="FFFFFF"/>
        <w:spacing w:line="600" w:lineRule="exact"/>
        <w:rPr>
          <w:b/>
          <w:kern w:val="0"/>
          <w:szCs w:val="32"/>
        </w:rPr>
      </w:pPr>
      <w:r>
        <w:rPr>
          <w:rFonts w:hint="eastAsia"/>
          <w:b/>
          <w:kern w:val="0"/>
          <w:szCs w:val="32"/>
        </w:rPr>
        <w:t>【指标属性】</w:t>
      </w:r>
      <w:r>
        <w:rPr>
          <w:rFonts w:hint="eastAsia"/>
          <w:kern w:val="0"/>
          <w:szCs w:val="32"/>
        </w:rPr>
        <w:t>定量指标、国家监测指标。</w:t>
      </w:r>
    </w:p>
    <w:p>
      <w:pPr>
        <w:widowControl/>
        <w:shd w:val="clear" w:color="auto" w:fill="FFFFFF"/>
        <w:spacing w:line="600" w:lineRule="exact"/>
        <w:rPr>
          <w:b/>
          <w:kern w:val="0"/>
          <w:szCs w:val="32"/>
        </w:rPr>
      </w:pPr>
      <w:r>
        <w:rPr>
          <w:rFonts w:hint="eastAsia"/>
          <w:b/>
          <w:kern w:val="0"/>
          <w:szCs w:val="32"/>
        </w:rPr>
        <w:t>【计量单位】</w:t>
      </w:r>
      <w:r>
        <w:rPr>
          <w:rFonts w:hint="eastAsia"/>
          <w:kern w:val="0"/>
          <w:szCs w:val="32"/>
        </w:rPr>
        <w:t>天</w:t>
      </w:r>
    </w:p>
    <w:p>
      <w:pPr>
        <w:widowControl/>
        <w:shd w:val="clear" w:color="auto" w:fill="FFFFFF"/>
        <w:spacing w:line="600" w:lineRule="exact"/>
        <w:rPr>
          <w:b/>
          <w:kern w:val="0"/>
          <w:szCs w:val="32"/>
        </w:rPr>
      </w:pPr>
      <w:r>
        <w:rPr>
          <w:rFonts w:hint="eastAsia"/>
          <w:b/>
          <w:kern w:val="0"/>
          <w:szCs w:val="32"/>
        </w:rPr>
        <w:t>【指标定义】</w:t>
      </w:r>
    </w:p>
    <w:p>
      <w:pPr>
        <w:widowControl/>
        <w:shd w:val="clear" w:color="auto" w:fill="FFFFFF"/>
        <w:adjustRightInd w:val="0"/>
        <w:spacing w:line="600" w:lineRule="exact"/>
        <w:ind w:firstLine="640" w:firstLineChars="200"/>
        <w:rPr>
          <w:kern w:val="0"/>
          <w:szCs w:val="32"/>
        </w:rPr>
      </w:pPr>
      <w:r>
        <w:rPr>
          <w:rFonts w:hint="eastAsia"/>
          <w:kern w:val="0"/>
          <w:szCs w:val="32"/>
        </w:rPr>
        <w:t>考核年度医院平均每</w:t>
      </w:r>
      <w:r>
        <w:rPr>
          <w:kern w:val="0"/>
          <w:szCs w:val="32"/>
        </w:rPr>
        <w:t>个出院</w:t>
      </w:r>
      <w:r>
        <w:rPr>
          <w:rFonts w:hint="eastAsia"/>
          <w:kern w:val="0"/>
          <w:szCs w:val="32"/>
        </w:rPr>
        <w:t>患者</w:t>
      </w:r>
      <w:r>
        <w:rPr>
          <w:kern w:val="0"/>
          <w:szCs w:val="32"/>
        </w:rPr>
        <w:t>占用的住院床日数，</w:t>
      </w:r>
      <w:r>
        <w:rPr>
          <w:rFonts w:hint="eastAsia"/>
          <w:kern w:val="0"/>
          <w:szCs w:val="32"/>
        </w:rPr>
        <w:t>亦称</w:t>
      </w:r>
      <w:r>
        <w:rPr>
          <w:kern w:val="0"/>
          <w:szCs w:val="32"/>
        </w:rPr>
        <w:t>出院患者平均住院日</w:t>
      </w:r>
      <w:r>
        <w:rPr>
          <w:rFonts w:hint="eastAsia"/>
          <w:kern w:val="0"/>
          <w:szCs w:val="32"/>
        </w:rPr>
        <w:t>。</w:t>
      </w:r>
    </w:p>
    <w:p>
      <w:pPr>
        <w:widowControl/>
        <w:shd w:val="clear" w:color="auto" w:fill="FFFFFF"/>
        <w:spacing w:line="600" w:lineRule="exact"/>
        <w:rPr>
          <w:b/>
          <w:kern w:val="0"/>
          <w:szCs w:val="32"/>
        </w:rPr>
      </w:pPr>
      <w:r>
        <w:rPr>
          <w:rFonts w:hint="eastAsia"/>
          <w:b/>
          <w:kern w:val="0"/>
          <w:szCs w:val="32"/>
        </w:rPr>
        <w:t>【计算方法】</w:t>
      </w:r>
    </w:p>
    <w:p>
      <w:pPr>
        <w:spacing w:before="87" w:beforeLines="20" w:after="87" w:afterLines="20" w:line="360" w:lineRule="auto"/>
        <w:rPr>
          <w:rFonts w:ascii="仿宋_GB2312"/>
          <w:b/>
          <w:sz w:val="24"/>
        </w:rPr>
      </w:pPr>
      <m:oMathPara>
        <m:oMathParaPr>
          <m:jc m:val="center"/>
        </m:oMathParaPr>
        <m:oMath>
          <m:r>
            <m:rPr>
              <m:sty m:val="b"/>
            </m:rPr>
            <w:rPr>
              <w:rFonts w:hint="eastAsia" w:ascii="Cambria Math" w:hAnsi="Cambria Math"/>
              <w:sz w:val="24"/>
            </w:rPr>
            <m:t>平均住院日=</m:t>
          </m:r>
          <m:f>
            <m:fPr>
              <m:ctrlPr>
                <w:rPr>
                  <w:rFonts w:hint="eastAsia" w:ascii="Cambria Math" w:hAnsi="Cambria Math"/>
                  <w:b/>
                  <w:sz w:val="24"/>
                </w:rPr>
              </m:ctrlPr>
            </m:fPr>
            <m:num>
              <m:r>
                <m:rPr>
                  <m:sty m:val="p"/>
                </m:rPr>
                <w:rPr>
                  <w:rFonts w:hint="eastAsia" w:ascii="Cambria Math" w:hAnsi="Cambria Math"/>
                  <w:sz w:val="24"/>
                </w:rPr>
                <m:t>出院患者占用总床日数</m:t>
              </m:r>
              <m:ctrlPr>
                <w:rPr>
                  <w:rFonts w:hint="eastAsia" w:ascii="Cambria Math" w:hAnsi="Cambria Math"/>
                  <w:b/>
                  <w:sz w:val="24"/>
                </w:rPr>
              </m:ctrlPr>
            </m:num>
            <m:den>
              <m:r>
                <m:rPr>
                  <m:sty m:val="p"/>
                </m:rPr>
                <w:rPr>
                  <w:rFonts w:hint="eastAsia" w:ascii="Cambria Math" w:hAnsi="Cambria Math"/>
                  <w:sz w:val="24"/>
                </w:rPr>
                <m:t>同期出院患者人数</m:t>
              </m:r>
              <m:ctrlPr>
                <w:rPr>
                  <w:rFonts w:hint="eastAsia" w:ascii="Cambria Math" w:hAnsi="Cambria Math"/>
                  <w:b/>
                  <w:sz w:val="24"/>
                </w:rPr>
              </m:ctrlPr>
            </m:den>
          </m:f>
        </m:oMath>
      </m:oMathPara>
    </w:p>
    <w:p>
      <w:pPr>
        <w:widowControl/>
        <w:shd w:val="clear" w:color="auto" w:fill="FFFFFF"/>
        <w:spacing w:line="600" w:lineRule="exact"/>
        <w:rPr>
          <w:b/>
          <w:kern w:val="0"/>
          <w:szCs w:val="32"/>
        </w:rPr>
      </w:pPr>
      <w:r>
        <w:rPr>
          <w:rFonts w:hint="eastAsia"/>
          <w:b/>
          <w:kern w:val="0"/>
          <w:szCs w:val="32"/>
        </w:rPr>
        <w:t>【指标说明】</w:t>
      </w:r>
    </w:p>
    <w:p>
      <w:pPr>
        <w:widowControl/>
        <w:shd w:val="clear" w:color="auto" w:fill="FFFFFF"/>
        <w:adjustRightInd w:val="0"/>
        <w:spacing w:line="600" w:lineRule="exact"/>
        <w:ind w:firstLine="640" w:firstLineChars="200"/>
        <w:rPr>
          <w:kern w:val="0"/>
          <w:szCs w:val="32"/>
        </w:rPr>
      </w:pPr>
      <w:r>
        <w:rPr>
          <w:rFonts w:hint="eastAsia" w:ascii="仿宋_GB2312"/>
          <w:kern w:val="0"/>
          <w:szCs w:val="32"/>
        </w:rPr>
        <w:t>（</w:t>
      </w:r>
      <w:r>
        <w:rPr>
          <w:rFonts w:ascii="仿宋_GB2312"/>
          <w:kern w:val="0"/>
          <w:szCs w:val="32"/>
        </w:rPr>
        <w:t>1</w:t>
      </w:r>
      <w:r>
        <w:rPr>
          <w:rFonts w:hint="eastAsia" w:ascii="仿宋_GB2312"/>
          <w:kern w:val="0"/>
          <w:szCs w:val="32"/>
        </w:rPr>
        <w:t>）</w:t>
      </w:r>
      <w:r>
        <w:rPr>
          <w:rFonts w:hint="eastAsia"/>
          <w:kern w:val="0"/>
          <w:szCs w:val="32"/>
        </w:rPr>
        <w:t>分子：</w:t>
      </w:r>
      <w:r>
        <w:rPr>
          <w:kern w:val="0"/>
          <w:szCs w:val="32"/>
        </w:rPr>
        <w:t>出院</w:t>
      </w:r>
      <w:r>
        <w:rPr>
          <w:rFonts w:hint="eastAsia"/>
          <w:kern w:val="0"/>
          <w:szCs w:val="32"/>
        </w:rPr>
        <w:t>患者</w:t>
      </w:r>
      <w:r>
        <w:rPr>
          <w:kern w:val="0"/>
          <w:szCs w:val="32"/>
        </w:rPr>
        <w:t>占用总床日数指</w:t>
      </w:r>
      <w:r>
        <w:rPr>
          <w:rFonts w:hint="eastAsia"/>
          <w:kern w:val="0"/>
          <w:szCs w:val="32"/>
        </w:rPr>
        <w:t>考核</w:t>
      </w:r>
      <w:r>
        <w:rPr>
          <w:kern w:val="0"/>
          <w:szCs w:val="32"/>
        </w:rPr>
        <w:t>年度</w:t>
      </w:r>
      <w:r>
        <w:rPr>
          <w:rFonts w:hint="eastAsia"/>
          <w:kern w:val="0"/>
          <w:szCs w:val="32"/>
        </w:rPr>
        <w:t>所</w:t>
      </w:r>
      <w:r>
        <w:rPr>
          <w:kern w:val="0"/>
          <w:szCs w:val="32"/>
        </w:rPr>
        <w:t>有</w:t>
      </w:r>
      <w:r>
        <w:rPr>
          <w:rFonts w:hint="eastAsia"/>
          <w:kern w:val="0"/>
          <w:szCs w:val="32"/>
        </w:rPr>
        <w:t>出院人数</w:t>
      </w:r>
      <w:r>
        <w:rPr>
          <w:kern w:val="0"/>
          <w:szCs w:val="32"/>
        </w:rPr>
        <w:t>的住院</w:t>
      </w:r>
      <w:r>
        <w:rPr>
          <w:rFonts w:hint="eastAsia"/>
          <w:kern w:val="0"/>
          <w:szCs w:val="32"/>
        </w:rPr>
        <w:t>床</w:t>
      </w:r>
      <w:r>
        <w:rPr>
          <w:kern w:val="0"/>
          <w:szCs w:val="32"/>
        </w:rPr>
        <w:t>日</w:t>
      </w:r>
      <w:r>
        <w:rPr>
          <w:rFonts w:hint="eastAsia"/>
          <w:kern w:val="0"/>
          <w:szCs w:val="32"/>
        </w:rPr>
        <w:t>之</w:t>
      </w:r>
      <w:r>
        <w:rPr>
          <w:kern w:val="0"/>
          <w:szCs w:val="32"/>
        </w:rPr>
        <w:t>和</w:t>
      </w:r>
      <w:r>
        <w:rPr>
          <w:rFonts w:hint="eastAsia"/>
          <w:kern w:val="0"/>
          <w:szCs w:val="32"/>
        </w:rPr>
        <w:t>。包括正常分娩、未产出院、住院经检查无病出院、未治出院及健康人进行人工流产或绝育手术后正常出院者的住院床日数。</w:t>
      </w:r>
    </w:p>
    <w:p>
      <w:pPr>
        <w:widowControl/>
        <w:shd w:val="clear" w:color="auto" w:fill="FFFFFF"/>
        <w:adjustRightInd w:val="0"/>
        <w:spacing w:line="600" w:lineRule="exact"/>
        <w:ind w:firstLine="640" w:firstLineChars="200"/>
        <w:rPr>
          <w:kern w:val="0"/>
          <w:szCs w:val="32"/>
        </w:rPr>
      </w:pPr>
      <w:r>
        <w:rPr>
          <w:rFonts w:hint="eastAsia"/>
          <w:kern w:val="0"/>
          <w:szCs w:val="32"/>
        </w:rPr>
        <w:t>（</w:t>
      </w:r>
      <w:r>
        <w:rPr>
          <w:rFonts w:ascii="仿宋_GB2312"/>
          <w:kern w:val="0"/>
          <w:szCs w:val="32"/>
        </w:rPr>
        <w:t>2</w:t>
      </w:r>
      <w:r>
        <w:rPr>
          <w:rFonts w:hint="eastAsia"/>
          <w:kern w:val="0"/>
          <w:szCs w:val="32"/>
        </w:rPr>
        <w:t>）分母：</w:t>
      </w:r>
      <w:r>
        <w:rPr>
          <w:rFonts w:hint="eastAsia"/>
          <w:bCs/>
          <w:szCs w:val="32"/>
        </w:rPr>
        <w:t>同期出院患者人数指同期出院人数，即考核年度内所有住院后出院的人数。包括医嘱离院、医嘱转其他医疗机构、非医嘱离院、死亡及其他人数，不含家庭病床撤床人数。</w:t>
      </w:r>
    </w:p>
    <w:p>
      <w:pPr>
        <w:widowControl/>
        <w:shd w:val="clear" w:color="auto" w:fill="FFFFFF"/>
        <w:adjustRightInd w:val="0"/>
        <w:spacing w:line="600" w:lineRule="exact"/>
        <w:rPr>
          <w:b/>
          <w:kern w:val="0"/>
          <w:szCs w:val="32"/>
        </w:rPr>
      </w:pPr>
      <w:r>
        <w:rPr>
          <w:rFonts w:hint="eastAsia"/>
          <w:b/>
          <w:kern w:val="0"/>
          <w:szCs w:val="32"/>
        </w:rPr>
        <w:t>【指标意义】</w:t>
      </w:r>
    </w:p>
    <w:p>
      <w:pPr>
        <w:widowControl/>
        <w:adjustRightInd w:val="0"/>
        <w:spacing w:line="600" w:lineRule="exact"/>
        <w:ind w:firstLine="640" w:firstLineChars="200"/>
        <w:rPr>
          <w:kern w:val="0"/>
          <w:szCs w:val="32"/>
        </w:rPr>
      </w:pPr>
      <w:r>
        <w:rPr>
          <w:rFonts w:hint="eastAsia"/>
          <w:kern w:val="0"/>
          <w:szCs w:val="32"/>
        </w:rPr>
        <w:t>平</w:t>
      </w:r>
      <w:r>
        <w:rPr>
          <w:kern w:val="0"/>
          <w:szCs w:val="32"/>
        </w:rPr>
        <w:t>均住院日是衡量医院</w:t>
      </w:r>
      <w:r>
        <w:rPr>
          <w:rFonts w:hint="eastAsia"/>
          <w:kern w:val="0"/>
          <w:szCs w:val="32"/>
        </w:rPr>
        <w:t>医疗</w:t>
      </w:r>
      <w:r>
        <w:rPr>
          <w:kern w:val="0"/>
          <w:szCs w:val="32"/>
        </w:rPr>
        <w:t>资源</w:t>
      </w:r>
      <w:r>
        <w:rPr>
          <w:rFonts w:hint="eastAsia"/>
          <w:kern w:val="0"/>
          <w:szCs w:val="32"/>
        </w:rPr>
        <w:t>利用</w:t>
      </w:r>
      <w:r>
        <w:rPr>
          <w:kern w:val="0"/>
          <w:szCs w:val="32"/>
        </w:rPr>
        <w:t>情况和</w:t>
      </w:r>
      <w:r>
        <w:rPr>
          <w:rFonts w:hint="eastAsia"/>
          <w:kern w:val="0"/>
          <w:szCs w:val="32"/>
        </w:rPr>
        <w:t>医疗</w:t>
      </w:r>
      <w:r>
        <w:rPr>
          <w:kern w:val="0"/>
          <w:szCs w:val="32"/>
        </w:rPr>
        <w:t>服务能力，集中体现运行效率、</w:t>
      </w:r>
      <w:r>
        <w:rPr>
          <w:rFonts w:hint="eastAsia"/>
          <w:kern w:val="0"/>
          <w:szCs w:val="32"/>
        </w:rPr>
        <w:t>医疗</w:t>
      </w:r>
      <w:r>
        <w:rPr>
          <w:kern w:val="0"/>
          <w:szCs w:val="32"/>
        </w:rPr>
        <w:t>质量和医院管理</w:t>
      </w:r>
      <w:r>
        <w:rPr>
          <w:rFonts w:hint="eastAsia"/>
          <w:kern w:val="0"/>
          <w:szCs w:val="32"/>
        </w:rPr>
        <w:t>的</w:t>
      </w:r>
      <w:r>
        <w:rPr>
          <w:kern w:val="0"/>
          <w:szCs w:val="32"/>
        </w:rPr>
        <w:t>综合性</w:t>
      </w:r>
      <w:r>
        <w:rPr>
          <w:rFonts w:hint="eastAsia"/>
          <w:kern w:val="0"/>
          <w:szCs w:val="32"/>
        </w:rPr>
        <w:t>指标</w:t>
      </w:r>
      <w:r>
        <w:rPr>
          <w:kern w:val="0"/>
          <w:szCs w:val="32"/>
        </w:rPr>
        <w:t>之一。</w:t>
      </w:r>
      <w:r>
        <w:rPr>
          <w:rFonts w:hint="eastAsia"/>
          <w:kern w:val="0"/>
          <w:szCs w:val="32"/>
        </w:rPr>
        <w:t>《国务院办公厅关于全面推开县级公立医院综合改革的实施意见》（国办发</w:t>
      </w:r>
      <w:r>
        <w:rPr>
          <w:rFonts w:hint="eastAsia" w:ascii="仿宋_GB2312"/>
          <w:kern w:val="0"/>
          <w:szCs w:val="32"/>
        </w:rPr>
        <w:t>〔</w:t>
      </w:r>
      <w:r>
        <w:rPr>
          <w:rFonts w:ascii="仿宋_GB2312"/>
          <w:kern w:val="0"/>
          <w:szCs w:val="32"/>
        </w:rPr>
        <w:t>2015</w:t>
      </w:r>
      <w:r>
        <w:rPr>
          <w:rFonts w:hint="eastAsia" w:ascii="仿宋_GB2312"/>
          <w:kern w:val="0"/>
          <w:szCs w:val="32"/>
        </w:rPr>
        <w:t>〕</w:t>
      </w:r>
      <w:r>
        <w:rPr>
          <w:rFonts w:ascii="仿宋_GB2312"/>
          <w:kern w:val="0"/>
          <w:szCs w:val="32"/>
        </w:rPr>
        <w:t>33</w:t>
      </w:r>
      <w:r>
        <w:rPr>
          <w:rFonts w:hint="eastAsia"/>
          <w:kern w:val="0"/>
          <w:szCs w:val="32"/>
        </w:rPr>
        <w:t>号）、《关于印发</w:t>
      </w:r>
      <w:r>
        <w:rPr>
          <w:kern w:val="0"/>
          <w:szCs w:val="32"/>
        </w:rPr>
        <w:t>控制公立医院医疗费用不合理增长的若干意见</w:t>
      </w:r>
      <w:r>
        <w:rPr>
          <w:rFonts w:hint="eastAsia"/>
          <w:kern w:val="0"/>
          <w:szCs w:val="32"/>
        </w:rPr>
        <w:t>的通知》</w:t>
      </w:r>
      <w:r>
        <w:rPr>
          <w:rFonts w:hint="eastAsia"/>
          <w:szCs w:val="32"/>
        </w:rPr>
        <w:t>（国卫体</w:t>
      </w:r>
      <w:r>
        <w:rPr>
          <w:szCs w:val="32"/>
        </w:rPr>
        <w:t>改</w:t>
      </w:r>
      <w:r>
        <w:rPr>
          <w:rFonts w:hint="eastAsia"/>
          <w:szCs w:val="32"/>
        </w:rPr>
        <w:t>发</w:t>
      </w:r>
      <w:r>
        <w:rPr>
          <w:rFonts w:hint="eastAsia" w:ascii="仿宋_GB2312"/>
          <w:szCs w:val="32"/>
        </w:rPr>
        <w:t>〔</w:t>
      </w:r>
      <w:r>
        <w:rPr>
          <w:rFonts w:ascii="仿宋_GB2312"/>
          <w:szCs w:val="32"/>
        </w:rPr>
        <w:t>2015</w:t>
      </w:r>
      <w:r>
        <w:rPr>
          <w:rFonts w:hint="eastAsia" w:ascii="仿宋_GB2312"/>
          <w:szCs w:val="32"/>
        </w:rPr>
        <w:t>〕</w:t>
      </w:r>
      <w:r>
        <w:rPr>
          <w:rFonts w:ascii="仿宋_GB2312"/>
          <w:szCs w:val="32"/>
        </w:rPr>
        <w:t>89</w:t>
      </w:r>
      <w:r>
        <w:rPr>
          <w:rFonts w:hint="eastAsia" w:ascii="仿宋_GB2312"/>
          <w:szCs w:val="32"/>
        </w:rPr>
        <w:t>号）</w:t>
      </w:r>
      <w:r>
        <w:rPr>
          <w:rFonts w:hint="eastAsia"/>
          <w:szCs w:val="32"/>
        </w:rPr>
        <w:t>要求</w:t>
      </w:r>
      <w:r>
        <w:rPr>
          <w:szCs w:val="32"/>
        </w:rPr>
        <w:t>，</w:t>
      </w:r>
      <w:r>
        <w:rPr>
          <w:rFonts w:hint="eastAsia"/>
          <w:szCs w:val="32"/>
        </w:rPr>
        <w:t>加强</w:t>
      </w:r>
      <w:r>
        <w:rPr>
          <w:szCs w:val="32"/>
        </w:rPr>
        <w:t>对平均住院日的监控，</w:t>
      </w:r>
      <w:r>
        <w:rPr>
          <w:rFonts w:hint="eastAsia"/>
          <w:szCs w:val="32"/>
        </w:rPr>
        <w:t>将</w:t>
      </w:r>
      <w:r>
        <w:rPr>
          <w:szCs w:val="32"/>
        </w:rPr>
        <w:t>出院患者平均</w:t>
      </w:r>
      <w:r>
        <w:rPr>
          <w:rFonts w:hint="eastAsia"/>
          <w:szCs w:val="32"/>
        </w:rPr>
        <w:t>住院</w:t>
      </w:r>
      <w:r>
        <w:rPr>
          <w:szCs w:val="32"/>
        </w:rPr>
        <w:t>日</w:t>
      </w:r>
      <w:r>
        <w:rPr>
          <w:rFonts w:hint="eastAsia"/>
          <w:szCs w:val="32"/>
        </w:rPr>
        <w:t>列</w:t>
      </w:r>
      <w:r>
        <w:rPr>
          <w:szCs w:val="32"/>
        </w:rPr>
        <w:t>为</w:t>
      </w:r>
      <w:r>
        <w:rPr>
          <w:rFonts w:hint="eastAsia"/>
          <w:szCs w:val="32"/>
        </w:rPr>
        <w:t>监</w:t>
      </w:r>
      <w:r>
        <w:rPr>
          <w:szCs w:val="32"/>
        </w:rPr>
        <w:t>测指标，并要求该</w:t>
      </w:r>
      <w:r>
        <w:rPr>
          <w:rFonts w:hint="eastAsia"/>
          <w:szCs w:val="32"/>
        </w:rPr>
        <w:t>指标</w:t>
      </w:r>
      <w:r>
        <w:rPr>
          <w:szCs w:val="32"/>
        </w:rPr>
        <w:t>值逐步降低。</w:t>
      </w:r>
    </w:p>
    <w:p>
      <w:pPr>
        <w:widowControl/>
        <w:shd w:val="clear" w:color="auto" w:fill="FFFFFF"/>
        <w:spacing w:line="600" w:lineRule="exact"/>
        <w:rPr>
          <w:b/>
          <w:kern w:val="0"/>
          <w:szCs w:val="32"/>
        </w:rPr>
      </w:pPr>
      <w:r>
        <w:rPr>
          <w:rFonts w:hint="eastAsia"/>
          <w:b/>
          <w:kern w:val="0"/>
          <w:szCs w:val="32"/>
        </w:rPr>
        <w:t>【指标导向</w:t>
      </w:r>
      <w:r>
        <w:rPr>
          <w:rFonts w:hint="eastAsia"/>
          <w:b/>
          <w:bCs/>
          <w:kern w:val="0"/>
          <w:szCs w:val="32"/>
        </w:rPr>
        <w:t>】</w:t>
      </w:r>
      <w:r>
        <w:rPr>
          <w:rFonts w:hint="eastAsia"/>
          <w:kern w:val="0"/>
          <w:szCs w:val="32"/>
        </w:rPr>
        <w:t>逐步降低。</w:t>
      </w:r>
    </w:p>
    <w:p>
      <w:pPr>
        <w:shd w:val="clear" w:color="auto" w:fill="FFFFFF"/>
        <w:spacing w:line="600" w:lineRule="exact"/>
        <w:rPr>
          <w:b/>
          <w:szCs w:val="32"/>
        </w:rPr>
      </w:pPr>
      <w:r>
        <w:rPr>
          <w:rFonts w:hint="eastAsia"/>
          <w:b/>
          <w:szCs w:val="32"/>
        </w:rPr>
        <w:t>【指标来源】</w:t>
      </w:r>
      <w:r>
        <w:rPr>
          <w:rFonts w:hint="eastAsia"/>
          <w:kern w:val="0"/>
          <w:szCs w:val="32"/>
        </w:rPr>
        <w:t>中医</w:t>
      </w:r>
      <w:r>
        <w:rPr>
          <w:rFonts w:hint="eastAsia"/>
          <w:bCs/>
          <w:szCs w:val="32"/>
        </w:rPr>
        <w:t>病案首页</w:t>
      </w:r>
      <w:r>
        <w:rPr>
          <w:rFonts w:hint="eastAsia"/>
          <w:szCs w:val="32"/>
        </w:rPr>
        <w:t>。</w:t>
      </w:r>
    </w:p>
    <w:p>
      <w:pPr>
        <w:widowControl/>
        <w:shd w:val="clear" w:color="auto" w:fill="FFFFFF"/>
        <w:spacing w:line="600" w:lineRule="exact"/>
        <w:rPr>
          <w:b/>
          <w:kern w:val="0"/>
          <w:szCs w:val="32"/>
        </w:rPr>
      </w:pPr>
      <w:r>
        <w:rPr>
          <w:rFonts w:hint="eastAsia"/>
          <w:b/>
          <w:kern w:val="0"/>
          <w:szCs w:val="32"/>
        </w:rPr>
        <w:t>【指标解释】</w:t>
      </w:r>
      <w:r>
        <w:rPr>
          <w:rFonts w:hint="eastAsia"/>
          <w:kern w:val="0"/>
          <w:szCs w:val="32"/>
        </w:rPr>
        <w:t>中国中医科学院。</w:t>
      </w:r>
    </w:p>
    <w:p>
      <w:pPr>
        <w:keepNext/>
        <w:keepLines/>
        <w:spacing w:line="600" w:lineRule="exact"/>
        <w:ind w:firstLine="640" w:firstLineChars="200"/>
        <w:outlineLvl w:val="0"/>
        <w:rPr>
          <w:rFonts w:eastAsia="黑体"/>
          <w:b/>
          <w:bCs/>
          <w:kern w:val="44"/>
          <w:szCs w:val="32"/>
        </w:rPr>
      </w:pPr>
      <w:r>
        <w:rPr>
          <w:b/>
          <w:kern w:val="0"/>
          <w:szCs w:val="32"/>
        </w:rPr>
        <w:br w:type="page"/>
      </w:r>
      <w:bookmarkStart w:id="24" w:name="_Toc42857913"/>
      <w:r>
        <w:rPr>
          <w:rFonts w:hint="eastAsia" w:eastAsia="黑体"/>
          <w:b/>
          <w:bCs/>
          <w:kern w:val="44"/>
          <w:szCs w:val="32"/>
        </w:rPr>
        <w:t>三、运营效率相关指标</w:t>
      </w:r>
      <w:bookmarkEnd w:id="24"/>
    </w:p>
    <w:p>
      <w:pPr>
        <w:widowControl/>
        <w:spacing w:line="600" w:lineRule="exact"/>
        <w:ind w:firstLine="640" w:firstLineChars="200"/>
        <w:rPr>
          <w:szCs w:val="32"/>
        </w:rPr>
      </w:pPr>
      <w:r>
        <w:rPr>
          <w:rFonts w:hint="eastAsia"/>
          <w:szCs w:val="32"/>
        </w:rPr>
        <w:t>运营</w:t>
      </w:r>
      <w:r>
        <w:rPr>
          <w:szCs w:val="32"/>
        </w:rPr>
        <w:t>效率</w:t>
      </w:r>
      <w:r>
        <w:rPr>
          <w:rFonts w:hint="eastAsia"/>
          <w:szCs w:val="32"/>
        </w:rPr>
        <w:t>指标部分，</w:t>
      </w:r>
      <w:r>
        <w:rPr>
          <w:rFonts w:hint="eastAsia" w:ascii="仿宋_GB2312"/>
          <w:szCs w:val="32"/>
        </w:rPr>
        <w:t>共有二级指标</w:t>
      </w:r>
      <w:r>
        <w:rPr>
          <w:rFonts w:ascii="仿宋_GB2312"/>
          <w:szCs w:val="32"/>
        </w:rPr>
        <w:t>2</w:t>
      </w:r>
      <w:r>
        <w:rPr>
          <w:rFonts w:hint="eastAsia" w:ascii="仿宋_GB2312"/>
          <w:szCs w:val="32"/>
        </w:rPr>
        <w:t>个，三级指标</w:t>
      </w:r>
      <w:r>
        <w:rPr>
          <w:rFonts w:ascii="仿宋_GB2312"/>
          <w:szCs w:val="32"/>
        </w:rPr>
        <w:t>10</w:t>
      </w:r>
      <w:r>
        <w:rPr>
          <w:rFonts w:hint="eastAsia" w:ascii="仿宋_GB2312"/>
          <w:szCs w:val="32"/>
        </w:rPr>
        <w:t>个，其中国家监测指标</w:t>
      </w:r>
      <w:r>
        <w:rPr>
          <w:rFonts w:ascii="仿宋_GB2312"/>
          <w:szCs w:val="32"/>
        </w:rPr>
        <w:t>10</w:t>
      </w:r>
      <w:r>
        <w:rPr>
          <w:rFonts w:hint="eastAsia" w:ascii="仿宋_GB2312"/>
          <w:szCs w:val="32"/>
        </w:rPr>
        <w:t>个，均</w:t>
      </w:r>
      <w:r>
        <w:rPr>
          <w:szCs w:val="32"/>
        </w:rPr>
        <w:t>为</w:t>
      </w:r>
      <w:r>
        <w:rPr>
          <w:rFonts w:hint="eastAsia"/>
          <w:szCs w:val="32"/>
        </w:rPr>
        <w:t>定量指标。</w:t>
      </w:r>
    </w:p>
    <w:p>
      <w:pPr>
        <w:keepNext/>
        <w:keepLines/>
        <w:shd w:val="clear" w:color="auto" w:fill="FFFFFF"/>
        <w:spacing w:line="600" w:lineRule="exact"/>
        <w:ind w:left="425" w:hanging="425"/>
        <w:outlineLvl w:val="1"/>
        <w:rPr>
          <w:rFonts w:eastAsia="楷体_GB2312"/>
          <w:b/>
          <w:bCs/>
          <w:szCs w:val="32"/>
        </w:rPr>
      </w:pPr>
      <w:bookmarkStart w:id="25" w:name="_Toc42857914"/>
      <w:r>
        <w:rPr>
          <w:rFonts w:hint="eastAsia" w:eastAsia="楷体_GB2312"/>
          <w:b/>
          <w:bCs/>
          <w:szCs w:val="32"/>
        </w:rPr>
        <w:t>（五）收支结构（指标</w:t>
      </w:r>
      <w:r>
        <w:rPr>
          <w:rFonts w:eastAsia="楷体_GB2312"/>
          <w:b/>
          <w:bCs/>
          <w:szCs w:val="32"/>
        </w:rPr>
        <w:t>17</w:t>
      </w:r>
      <w:r>
        <w:rPr>
          <w:rFonts w:hint="eastAsia" w:eastAsia="楷体_GB2312"/>
          <w:b/>
          <w:bCs/>
          <w:szCs w:val="32"/>
        </w:rPr>
        <w:t>—</w:t>
      </w:r>
      <w:r>
        <w:rPr>
          <w:rFonts w:eastAsia="楷体_GB2312"/>
          <w:b/>
          <w:bCs/>
          <w:szCs w:val="32"/>
        </w:rPr>
        <w:t>24</w:t>
      </w:r>
      <w:r>
        <w:rPr>
          <w:rFonts w:hint="eastAsia" w:eastAsia="楷体_GB2312"/>
          <w:b/>
          <w:bCs/>
          <w:szCs w:val="32"/>
        </w:rPr>
        <w:t>）</w:t>
      </w:r>
      <w:bookmarkEnd w:id="25"/>
    </w:p>
    <w:p>
      <w:pPr>
        <w:widowControl/>
        <w:spacing w:line="600" w:lineRule="exact"/>
        <w:rPr>
          <w:b/>
          <w:szCs w:val="32"/>
        </w:rPr>
      </w:pPr>
      <w:r>
        <w:rPr>
          <w:b/>
          <w:szCs w:val="32"/>
        </w:rPr>
        <w:t>17</w:t>
      </w:r>
      <w:r>
        <w:rPr>
          <w:rFonts w:hint="eastAsia"/>
          <w:b/>
          <w:szCs w:val="32"/>
        </w:rPr>
        <w:t>. 医疗盈余率▲</w:t>
      </w:r>
    </w:p>
    <w:p>
      <w:pPr>
        <w:spacing w:line="600" w:lineRule="exact"/>
        <w:rPr>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spacing w:line="600" w:lineRule="exact"/>
        <w:ind w:firstLine="640" w:firstLineChars="200"/>
        <w:rPr>
          <w:szCs w:val="32"/>
        </w:rPr>
      </w:pPr>
      <w:r>
        <w:rPr>
          <w:rFonts w:hint="eastAsia"/>
          <w:szCs w:val="32"/>
        </w:rPr>
        <w:t>考核</w:t>
      </w:r>
      <w:r>
        <w:rPr>
          <w:szCs w:val="32"/>
        </w:rPr>
        <w:t>年度</w:t>
      </w:r>
      <w:r>
        <w:rPr>
          <w:rFonts w:hint="eastAsia"/>
          <w:szCs w:val="32"/>
        </w:rPr>
        <w:t>医院医疗盈余占同期医疗活动收入的比例。</w:t>
      </w:r>
    </w:p>
    <w:p>
      <w:pPr>
        <w:spacing w:line="600" w:lineRule="exact"/>
        <w:rPr>
          <w:b/>
          <w:szCs w:val="32"/>
        </w:rPr>
      </w:pPr>
      <w:r>
        <w:rPr>
          <w:rFonts w:hint="eastAsia"/>
          <w:b/>
          <w:szCs w:val="32"/>
        </w:rPr>
        <w:t>【计算方法】</w:t>
      </w:r>
    </w:p>
    <w:p>
      <w:pPr>
        <w:jc w:val="left"/>
        <w:rPr>
          <w:b/>
          <w:szCs w:val="32"/>
        </w:rPr>
      </w:pPr>
      <m:oMathPara>
        <m:oMath>
          <m:r>
            <m:rPr>
              <m:sty m:val="b"/>
            </m:rPr>
            <w:rPr>
              <w:rFonts w:hint="eastAsia" w:ascii="Cambria Math" w:hAnsi="Cambria Math"/>
              <w:sz w:val="24"/>
            </w:rPr>
            <m:t>医疗盈余率=</m:t>
          </m:r>
          <m:f>
            <m:fPr>
              <m:ctrlPr>
                <w:rPr>
                  <w:rFonts w:hint="eastAsia" w:ascii="Cambria Math" w:hAnsi="Cambria Math"/>
                  <w:b/>
                  <w:sz w:val="24"/>
                </w:rPr>
              </m:ctrlPr>
            </m:fPr>
            <m:num>
              <m:r>
                <m:rPr>
                  <m:sty m:val="p"/>
                </m:rPr>
                <w:rPr>
                  <w:rFonts w:hint="eastAsia" w:ascii="Cambria Math" w:hAnsi="Cambria Math"/>
                  <w:sz w:val="24"/>
                </w:rPr>
                <m:t>医疗盈余</m:t>
              </m:r>
              <m:ctrlPr>
                <w:rPr>
                  <w:rFonts w:hint="eastAsia" w:ascii="Cambria Math" w:hAnsi="Cambria Math"/>
                  <w:b/>
                  <w:sz w:val="24"/>
                </w:rPr>
              </m:ctrlPr>
            </m:num>
            <m:den>
              <m:r>
                <m:rPr>
                  <m:sty m:val="p"/>
                </m:rPr>
                <w:rPr>
                  <w:rFonts w:hint="eastAsia" w:ascii="Cambria Math" w:hAnsi="Cambria Math"/>
                  <w:sz w:val="24"/>
                </w:rPr>
                <m:t>同期医疗活动收入</m:t>
              </m:r>
              <m:ctrlPr>
                <w:rPr>
                  <w:rFonts w:hint="eastAsia" w:ascii="Cambria Math" w:hAnsi="Cambria Math"/>
                  <w:b/>
                  <w:sz w:val="24"/>
                </w:rPr>
              </m:ctrlPr>
            </m:den>
          </m:f>
          <m:r>
            <m:rPr>
              <m:sty m:val="p"/>
            </m:rPr>
            <w:rPr>
              <w:rFonts w:hint="eastAsia" w:ascii="Cambria Math" w:hAnsi="Cambria Math"/>
              <w:sz w:val="24"/>
            </w:rPr>
            <m:t>×100%</m:t>
          </m:r>
          <m:r>
            <m:rPr>
              <m:sty m:val="p"/>
            </m:rPr>
            <w:rPr>
              <w:rFonts w:ascii="Cambria Math" w:hAnsi="Cambria Math"/>
              <w:sz w:val="24"/>
            </w:rPr>
            <m:t xml:space="preserve">                                     </m:t>
          </m:r>
        </m:oMath>
      </m:oMathPara>
    </w:p>
    <w:p>
      <w:pPr>
        <w:spacing w:line="600" w:lineRule="exact"/>
        <w:rPr>
          <w:rFonts w:ascii="仿宋_GB2312"/>
          <w:b/>
          <w:szCs w:val="32"/>
        </w:rPr>
      </w:pPr>
      <w:r>
        <w:rPr>
          <w:rFonts w:ascii="仿宋_GB2312"/>
          <w:b/>
          <w:sz w:val="36"/>
          <w:szCs w:val="32"/>
        </w:rPr>
        <mc:AlternateContent>
          <mc:Choice Requires="wps">
            <w:drawing>
              <wp:anchor distT="0" distB="0" distL="114300" distR="114300" simplePos="0" relativeHeight="251660288" behindDoc="0" locked="0" layoutInCell="1" allowOverlap="1">
                <wp:simplePos x="0" y="0"/>
                <wp:positionH relativeFrom="column">
                  <wp:posOffset>-3444875</wp:posOffset>
                </wp:positionH>
                <wp:positionV relativeFrom="paragraph">
                  <wp:posOffset>31115</wp:posOffset>
                </wp:positionV>
                <wp:extent cx="1115060" cy="0"/>
                <wp:effectExtent l="0" t="0" r="8890" b="0"/>
                <wp:wrapNone/>
                <wp:docPr id="90" name="Line 221"/>
                <wp:cNvGraphicFramePr/>
                <a:graphic xmlns:a="http://schemas.openxmlformats.org/drawingml/2006/main">
                  <a:graphicData uri="http://schemas.microsoft.com/office/word/2010/wordprocessingShape">
                    <wps:wsp>
                      <wps:cNvCnPr>
                        <a:cxnSpLocks noChangeShapeType="1"/>
                      </wps:cNvCnPr>
                      <wps:spPr bwMode="auto">
                        <a:xfrm>
                          <a:off x="0" y="0"/>
                          <a:ext cx="1115060" cy="0"/>
                        </a:xfrm>
                        <a:prstGeom prst="line">
                          <a:avLst/>
                        </a:prstGeom>
                        <a:noFill/>
                        <a:ln w="9525">
                          <a:solidFill>
                            <a:srgbClr val="000000"/>
                          </a:solidFill>
                          <a:round/>
                        </a:ln>
                      </wps:spPr>
                      <wps:bodyPr/>
                    </wps:wsp>
                  </a:graphicData>
                </a:graphic>
              </wp:anchor>
            </w:drawing>
          </mc:Choice>
          <mc:Fallback>
            <w:pict>
              <v:line id="Line 221" o:spid="_x0000_s1026" o:spt="20" style="position:absolute;left:0pt;margin-left:-271.25pt;margin-top:2.45pt;height:0pt;width:87.8pt;z-index:251660288;mso-width-relative:page;mso-height-relative:page;" filled="f" stroked="t" coordsize="21600,21600" o:gfxdata="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S/5OdcAAAAJAQAADwAAAAAAAAABACAAAAAiAAAAZHJzL2Rv&#10;d25yZXYueG1sUEsBAhQAFAAAAAgAh07iQJ008IPJAQAAogMAAA4AAAAAAAAAAQAgAAAAJgEAAGRy&#10;cy9lMm9Eb2MueG1sUEsFBgAAAAAGAAYAWQEAAGEFAAAAAA==&#10;">
                <v:fill on="f" focussize="0,0"/>
                <v:stroke color="#000000" joinstyle="round"/>
                <v:imagedata o:title=""/>
                <o:lock v:ext="edit" aspectratio="f"/>
              </v:line>
            </w:pict>
          </mc:Fallback>
        </mc:AlternateContent>
      </w:r>
      <w:r>
        <w:rPr>
          <w:rFonts w:hint="eastAsia" w:ascii="仿宋_GB2312"/>
          <w:b/>
          <w:szCs w:val="32"/>
          <w:shd w:val="clear" w:color="auto" w:fill="FFFFFF"/>
        </w:rPr>
        <w:t>【指标说明】</w:t>
      </w:r>
    </w:p>
    <w:p>
      <w:pPr>
        <w:adjustRightInd w:val="0"/>
        <w:spacing w:line="600" w:lineRule="exact"/>
        <w:ind w:firstLine="640" w:firstLineChars="200"/>
        <w:rPr>
          <w:rFonts w:ascii="仿宋_GB2312"/>
          <w:szCs w:val="32"/>
          <w:shd w:val="clear" w:color="auto" w:fill="FFFFFF"/>
        </w:rPr>
      </w:pPr>
      <w:r>
        <w:rPr>
          <w:rFonts w:hint="eastAsia" w:ascii="仿宋_GB2312"/>
          <w:szCs w:val="32"/>
          <w:shd w:val="clear" w:color="auto" w:fill="FFFFFF"/>
        </w:rPr>
        <w:t>（1）分子：医疗盈余是反映医院考核年度医疗活动相关收入扣除医疗活动相关费用后的净额。不包括具有限定用途的项目资金盈余。</w:t>
      </w:r>
    </w:p>
    <w:p>
      <w:pPr>
        <w:adjustRightInd w:val="0"/>
        <w:spacing w:line="600" w:lineRule="exact"/>
        <w:ind w:firstLine="640" w:firstLineChars="200"/>
        <w:rPr>
          <w:rFonts w:ascii="仿宋_GB2312"/>
          <w:szCs w:val="32"/>
          <w:shd w:val="clear" w:color="auto" w:fill="FFFFFF"/>
        </w:rPr>
      </w:pPr>
      <w:r>
        <w:rPr>
          <w:rFonts w:hint="eastAsia" w:ascii="仿宋_GB2312"/>
          <w:bCs/>
          <w:szCs w:val="32"/>
          <w:shd w:val="clear" w:color="auto" w:fill="FFFFFF"/>
        </w:rPr>
        <w:t>医疗盈余=</w:t>
      </w:r>
      <w:r>
        <w:rPr>
          <w:rFonts w:hint="eastAsia" w:ascii="仿宋_GB2312"/>
          <w:szCs w:val="32"/>
          <w:shd w:val="clear" w:color="auto" w:fill="FFFFFF"/>
        </w:rPr>
        <w:t>“财政拨款收入”下“财政基本拨款收入”+“事业收入”下“医疗收入</w:t>
      </w:r>
      <w:r>
        <w:rPr>
          <w:rFonts w:ascii="仿宋_GB2312"/>
          <w:szCs w:val="32"/>
          <w:shd w:val="clear" w:color="auto" w:fill="FFFFFF"/>
        </w:rPr>
        <w:t>”</w:t>
      </w:r>
      <w:r>
        <w:rPr>
          <w:rFonts w:hint="eastAsia" w:ascii="仿宋_GB2312"/>
          <w:szCs w:val="32"/>
          <w:shd w:val="clear" w:color="auto" w:fill="FFFFFF"/>
        </w:rPr>
        <w:t>及“非同级财政拨款”+“上级补助收入”+“附属单位上缴收入”+“经营收入”+“非同级财政拨款收入”+“投资收益”+“捐赠收入”+“利息收入”+“租金收入”+“其他收入”－“业务活动费用”下“财政基本拨款经费”和“其他经费”－“单位管理费用”项目下“财政基本拨款经费”和“其他经费”－“经营费用”－“资产处置费用”－“上缴上级费用”－“对附属单位补助费用”－“所得税费用”－“其他费用”。</w:t>
      </w:r>
    </w:p>
    <w:p>
      <w:pPr>
        <w:spacing w:line="600" w:lineRule="exact"/>
        <w:ind w:firstLine="640" w:firstLineChars="200"/>
        <w:rPr>
          <w:b/>
          <w:szCs w:val="32"/>
        </w:rPr>
      </w:pPr>
      <w:r>
        <w:rPr>
          <w:rFonts w:hint="eastAsia" w:ascii="仿宋_GB2312"/>
          <w:szCs w:val="32"/>
          <w:shd w:val="clear" w:color="auto" w:fill="FFFFFF"/>
        </w:rPr>
        <w:t>（2）分母：同期医疗活动收入包括“财政拨款收入”下“财政基本拨款收入”、“事业收入”下“医疗收入”及“非同级财政拨款”、“上级补助收入”、“附属单位上缴收入”、“经营收入”、“非同级财政拨款收入”、“投资收益”、“捐赠收入”、“利息收入”、“租金收入”、“其他收入”。</w:t>
      </w:r>
    </w:p>
    <w:p>
      <w:pPr>
        <w:spacing w:line="600" w:lineRule="exact"/>
        <w:ind w:firstLine="640" w:firstLineChars="200"/>
        <w:rPr>
          <w:szCs w:val="32"/>
        </w:rPr>
      </w:pPr>
      <w:r>
        <w:rPr>
          <w:rFonts w:hint="eastAsia"/>
          <w:szCs w:val="32"/>
        </w:rPr>
        <w:t>（3）医疗盈余与</w:t>
      </w:r>
      <w:r>
        <w:rPr>
          <w:szCs w:val="32"/>
        </w:rPr>
        <w:t>《</w:t>
      </w:r>
      <w:r>
        <w:rPr>
          <w:rFonts w:hint="eastAsia"/>
          <w:szCs w:val="32"/>
        </w:rPr>
        <w:t>财政部关于印发&lt;</w:t>
      </w:r>
      <w:r>
        <w:rPr>
          <w:szCs w:val="32"/>
        </w:rPr>
        <w:t>政府会计制度</w:t>
      </w:r>
      <w:r>
        <w:rPr>
          <w:rFonts w:hint="eastAsia"/>
          <w:szCs w:val="32"/>
        </w:rPr>
        <w:t>——</w:t>
      </w:r>
      <w:r>
        <w:rPr>
          <w:szCs w:val="32"/>
        </w:rPr>
        <w:t>行政事业单位会计科目和报表</w:t>
      </w:r>
      <w:r>
        <w:rPr>
          <w:rFonts w:hint="eastAsia"/>
          <w:szCs w:val="32"/>
        </w:rPr>
        <w:t>&gt;的通知</w:t>
      </w:r>
      <w:r>
        <w:rPr>
          <w:szCs w:val="32"/>
        </w:rPr>
        <w:t>》（财会</w:t>
      </w:r>
      <w:r>
        <w:rPr>
          <w:rFonts w:hint="eastAsia" w:ascii="仿宋_GB2312"/>
          <w:szCs w:val="32"/>
        </w:rPr>
        <w:t>〔</w:t>
      </w:r>
      <w:r>
        <w:rPr>
          <w:rFonts w:ascii="仿宋_GB2312"/>
          <w:szCs w:val="32"/>
        </w:rPr>
        <w:t>2017</w:t>
      </w:r>
      <w:r>
        <w:rPr>
          <w:rFonts w:hint="eastAsia" w:ascii="仿宋_GB2312"/>
          <w:szCs w:val="32"/>
        </w:rPr>
        <w:t>〕</w:t>
      </w:r>
      <w:r>
        <w:rPr>
          <w:rFonts w:ascii="仿宋_GB2312"/>
          <w:szCs w:val="32"/>
        </w:rPr>
        <w:t>25</w:t>
      </w:r>
      <w:r>
        <w:rPr>
          <w:rFonts w:hint="eastAsia" w:ascii="仿宋_GB2312"/>
          <w:szCs w:val="32"/>
        </w:rPr>
        <w:t>号）和《财政部关于印发医院执行</w:t>
      </w:r>
      <w:r>
        <w:rPr>
          <w:rFonts w:ascii="仿宋_GB2312"/>
          <w:szCs w:val="32"/>
        </w:rPr>
        <w:t>&lt;</w:t>
      </w:r>
      <w:r>
        <w:rPr>
          <w:rFonts w:hint="eastAsia" w:ascii="仿宋_GB2312"/>
          <w:szCs w:val="32"/>
        </w:rPr>
        <w:t>政府会计制度——行政事业单位会计科目和报表</w:t>
      </w:r>
      <w:r>
        <w:rPr>
          <w:rFonts w:ascii="仿宋_GB2312"/>
          <w:szCs w:val="32"/>
        </w:rPr>
        <w:t>&gt;</w:t>
      </w:r>
      <w:r>
        <w:rPr>
          <w:rFonts w:hint="eastAsia" w:ascii="仿宋_GB2312"/>
          <w:szCs w:val="32"/>
        </w:rPr>
        <w:t>的补充规定和衔接规定的通知</w:t>
      </w:r>
      <w:r>
        <w:rPr>
          <w:rFonts w:hint="eastAsia" w:ascii="仿宋_GB2312" w:hAnsi="Arial" w:cs="Arial"/>
        </w:rPr>
        <w:t>》</w:t>
      </w:r>
      <w:r>
        <w:rPr>
          <w:rFonts w:hint="eastAsia" w:ascii="仿宋_GB2312"/>
          <w:szCs w:val="32"/>
        </w:rPr>
        <w:t>（财会〔</w:t>
      </w:r>
      <w:r>
        <w:rPr>
          <w:rFonts w:ascii="仿宋_GB2312"/>
          <w:szCs w:val="32"/>
        </w:rPr>
        <w:t>2018</w:t>
      </w:r>
      <w:r>
        <w:rPr>
          <w:rFonts w:hint="eastAsia" w:ascii="仿宋_GB2312"/>
          <w:szCs w:val="32"/>
        </w:rPr>
        <w:t>〕</w:t>
      </w:r>
      <w:r>
        <w:rPr>
          <w:rFonts w:ascii="仿宋_GB2312"/>
          <w:szCs w:val="32"/>
        </w:rPr>
        <w:t>24</w:t>
      </w:r>
      <w:r>
        <w:rPr>
          <w:rFonts w:hint="eastAsia" w:ascii="仿宋_GB2312"/>
          <w:szCs w:val="32"/>
        </w:rPr>
        <w:t>号）要求一</w:t>
      </w:r>
      <w:r>
        <w:rPr>
          <w:rFonts w:hint="eastAsia"/>
          <w:szCs w:val="32"/>
        </w:rPr>
        <w:t>致。</w:t>
      </w:r>
    </w:p>
    <w:p>
      <w:pPr>
        <w:spacing w:line="600" w:lineRule="exact"/>
        <w:rPr>
          <w:b/>
          <w:szCs w:val="32"/>
        </w:rPr>
      </w:pPr>
      <w:r>
        <w:rPr>
          <w:rFonts w:hint="eastAsia"/>
          <w:b/>
          <w:szCs w:val="32"/>
        </w:rPr>
        <w:t>【指标意义】</w:t>
      </w:r>
    </w:p>
    <w:p>
      <w:pPr>
        <w:adjustRightInd w:val="0"/>
        <w:spacing w:line="600" w:lineRule="exact"/>
        <w:ind w:firstLine="640" w:firstLineChars="200"/>
        <w:rPr>
          <w:szCs w:val="32"/>
        </w:rPr>
      </w:pPr>
      <w:r>
        <w:rPr>
          <w:rFonts w:hint="eastAsia"/>
          <w:szCs w:val="32"/>
        </w:rPr>
        <w:t>通过监测医院医疗盈余率，了解医院运营状况，引导医院坚持公益性，提高可持续发展的能力。</w:t>
      </w:r>
    </w:p>
    <w:p>
      <w:pPr>
        <w:widowControl/>
        <w:spacing w:line="600" w:lineRule="exact"/>
        <w:rPr>
          <w:b/>
          <w:szCs w:val="32"/>
        </w:rPr>
      </w:pPr>
      <w:r>
        <w:rPr>
          <w:rFonts w:hint="eastAsia"/>
          <w:b/>
          <w:szCs w:val="32"/>
        </w:rPr>
        <w:t>【指标导向】</w:t>
      </w:r>
      <w:r>
        <w:rPr>
          <w:rFonts w:hint="eastAsia"/>
          <w:szCs w:val="32"/>
        </w:rPr>
        <w:t>监测比较。</w:t>
      </w:r>
    </w:p>
    <w:p>
      <w:pPr>
        <w:spacing w:line="600" w:lineRule="exact"/>
        <w:rPr>
          <w:szCs w:val="32"/>
        </w:rPr>
      </w:pPr>
      <w:r>
        <w:rPr>
          <w:rFonts w:hint="eastAsia"/>
          <w:b/>
          <w:szCs w:val="32"/>
        </w:rPr>
        <w:t>【指标来源】</w:t>
      </w:r>
      <w:r>
        <w:rPr>
          <w:rFonts w:hint="eastAsia"/>
          <w:szCs w:val="32"/>
        </w:rPr>
        <w:t>财务年报表。</w:t>
      </w:r>
    </w:p>
    <w:p>
      <w:pPr>
        <w:spacing w:line="600" w:lineRule="exact"/>
        <w:rPr>
          <w:szCs w:val="32"/>
        </w:rPr>
      </w:pPr>
      <w:r>
        <w:rPr>
          <w:rFonts w:hint="eastAsia"/>
          <w:b/>
          <w:szCs w:val="32"/>
        </w:rPr>
        <w:t>【指标解释】</w:t>
      </w:r>
      <w:r>
        <w:rPr>
          <w:rFonts w:hint="eastAsia"/>
          <w:szCs w:val="32"/>
        </w:rPr>
        <w:t>国家卫生健康委、省级卫生健康委。</w:t>
      </w:r>
    </w:p>
    <w:p>
      <w:pPr>
        <w:spacing w:line="600" w:lineRule="exact"/>
        <w:rPr>
          <w:b/>
          <w:szCs w:val="32"/>
        </w:rPr>
      </w:pPr>
      <w:r>
        <w:rPr>
          <w:szCs w:val="32"/>
        </w:rPr>
        <w:br w:type="page"/>
      </w:r>
      <w:r>
        <w:rPr>
          <w:b/>
          <w:szCs w:val="32"/>
        </w:rPr>
        <w:t>18</w:t>
      </w:r>
      <w:r>
        <w:rPr>
          <w:rFonts w:hint="eastAsia"/>
          <w:b/>
          <w:szCs w:val="32"/>
        </w:rPr>
        <w:t>. 资产负债率▲</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spacing w:line="600" w:lineRule="exact"/>
        <w:ind w:firstLine="640" w:firstLineChars="200"/>
        <w:rPr>
          <w:szCs w:val="32"/>
        </w:rPr>
      </w:pPr>
      <w:r>
        <w:rPr>
          <w:rFonts w:hint="eastAsia"/>
          <w:szCs w:val="32"/>
        </w:rPr>
        <w:t>考核年度医院负债合计与同期资产合计的比值。</w:t>
      </w:r>
    </w:p>
    <w:p>
      <w:pPr>
        <w:spacing w:line="600" w:lineRule="exact"/>
        <w:rPr>
          <w:b/>
          <w:szCs w:val="32"/>
        </w:rPr>
      </w:pPr>
      <w:r>
        <w:rPr>
          <w:rFonts w:hint="eastAsia"/>
          <w:b/>
          <w:szCs w:val="32"/>
        </w:rPr>
        <w:t>【计算方法】</w:t>
      </w:r>
    </w:p>
    <w:p>
      <w:pPr>
        <w:rPr>
          <w:rFonts w:ascii="仿宋_GB2312" w:hAnsi="黑体"/>
          <w:b/>
          <w:sz w:val="22"/>
          <w:szCs w:val="28"/>
        </w:rPr>
      </w:pPr>
      <m:oMathPara>
        <m:oMath>
          <m:r>
            <m:rPr>
              <m:sty m:val="b"/>
            </m:rPr>
            <w:rPr>
              <w:rFonts w:hint="eastAsia" w:ascii="Cambria Math" w:hAnsi="Cambria Math"/>
              <w:sz w:val="24"/>
            </w:rPr>
            <m:t>资产负债率</m:t>
          </m:r>
          <m:r>
            <m:rPr>
              <m:sty m:val="p"/>
            </m:rPr>
            <w:rPr>
              <w:rFonts w:hint="eastAsia" w:ascii="Cambria Math" w:hAnsi="Cambria Math"/>
              <w:sz w:val="24"/>
            </w:rPr>
            <m:t>=</m:t>
          </m:r>
          <m:f>
            <m:fPr>
              <m:ctrlPr>
                <w:rPr>
                  <w:rFonts w:hint="eastAsia" w:ascii="Cambria Math" w:hAnsi="Cambria Math"/>
                  <w:b/>
                  <w:sz w:val="24"/>
                </w:rPr>
              </m:ctrlPr>
            </m:fPr>
            <m:num>
              <m:r>
                <m:rPr>
                  <m:sty m:val="p"/>
                </m:rPr>
                <w:rPr>
                  <w:rFonts w:hint="eastAsia" w:ascii="Cambria Math" w:hAnsi="Cambria Math"/>
                  <w:sz w:val="24"/>
                </w:rPr>
                <m:t>负债合计</m:t>
              </m:r>
              <m:ctrlPr>
                <w:rPr>
                  <w:rFonts w:hint="eastAsia" w:ascii="Cambria Math" w:hAnsi="Cambria Math"/>
                  <w:b/>
                  <w:sz w:val="24"/>
                </w:rPr>
              </m:ctrlPr>
            </m:num>
            <m:den>
              <m:r>
                <m:rPr>
                  <m:sty m:val="p"/>
                </m:rPr>
                <w:rPr>
                  <w:rFonts w:hint="eastAsia" w:ascii="Cambria Math" w:hAnsi="Cambria Math"/>
                  <w:sz w:val="24"/>
                </w:rPr>
                <m:t>同期资产合计</m:t>
              </m:r>
              <m:ctrlPr>
                <w:rPr>
                  <w:rFonts w:hint="eastAsia" w:ascii="Cambria Math" w:hAnsi="Cambria Math"/>
                  <w:b/>
                  <w:sz w:val="24"/>
                </w:rPr>
              </m:ctrlPr>
            </m:den>
          </m:f>
          <m:r>
            <m:rPr>
              <m:sty m:val="p"/>
            </m:rPr>
            <w:rPr>
              <w:rFonts w:hint="eastAsia" w:ascii="Cambria Math" w:hAnsi="Cambria Math"/>
              <w:sz w:val="24"/>
            </w:rPr>
            <m:t>×100%</m:t>
          </m:r>
          <m:r>
            <m:rPr>
              <m:sty m:val="p"/>
            </m:rPr>
            <w:rPr>
              <w:rFonts w:ascii="Cambria Math" w:hAnsi="Cambria Math"/>
              <w:sz w:val="24"/>
            </w:rPr>
            <m:t xml:space="preserve">                                      </m:t>
          </m:r>
        </m:oMath>
      </m:oMathPara>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szCs w:val="32"/>
        </w:rPr>
        <w:t>（</w:t>
      </w:r>
      <w:r>
        <w:rPr>
          <w:rFonts w:ascii="仿宋_GB2312"/>
          <w:kern w:val="0"/>
          <w:szCs w:val="32"/>
        </w:rPr>
        <w:t>1</w:t>
      </w:r>
      <w:r>
        <w:rPr>
          <w:rFonts w:hint="eastAsia"/>
          <w:szCs w:val="32"/>
        </w:rPr>
        <w:t>）分子：负债合计包括流动负债、非流动负债和受托代理负债。</w:t>
      </w:r>
    </w:p>
    <w:p>
      <w:pPr>
        <w:spacing w:line="600" w:lineRule="exact"/>
        <w:ind w:firstLine="640" w:firstLineChars="200"/>
        <w:rPr>
          <w:szCs w:val="32"/>
        </w:rPr>
      </w:pPr>
      <w:r>
        <w:rPr>
          <w:rFonts w:hint="eastAsia"/>
          <w:szCs w:val="32"/>
        </w:rPr>
        <w:t>（</w:t>
      </w:r>
      <w:r>
        <w:rPr>
          <w:rFonts w:ascii="仿宋_GB2312"/>
          <w:kern w:val="0"/>
          <w:szCs w:val="32"/>
        </w:rPr>
        <w:t>2</w:t>
      </w:r>
      <w:r>
        <w:rPr>
          <w:rFonts w:hint="eastAsia" w:ascii="仿宋_GB2312"/>
          <w:kern w:val="0"/>
          <w:szCs w:val="32"/>
        </w:rPr>
        <w:t>）</w:t>
      </w:r>
      <w:r>
        <w:rPr>
          <w:rFonts w:hint="eastAsia"/>
          <w:szCs w:val="32"/>
        </w:rPr>
        <w:t>分母：资产合计包括流动资产、非流动资产和受托代理资产。</w:t>
      </w:r>
    </w:p>
    <w:p>
      <w:pPr>
        <w:spacing w:line="600" w:lineRule="exact"/>
        <w:rPr>
          <w:b/>
          <w:szCs w:val="32"/>
        </w:rPr>
      </w:pPr>
      <w:r>
        <w:rPr>
          <w:rFonts w:hint="eastAsia"/>
          <w:b/>
          <w:szCs w:val="32"/>
        </w:rPr>
        <w:t>【指标意义】</w:t>
      </w:r>
    </w:p>
    <w:p>
      <w:pPr>
        <w:spacing w:line="600" w:lineRule="exact"/>
        <w:ind w:firstLine="640" w:firstLineChars="200"/>
        <w:rPr>
          <w:szCs w:val="32"/>
        </w:rPr>
      </w:pPr>
      <w:r>
        <w:rPr>
          <w:rFonts w:hint="eastAsia"/>
          <w:szCs w:val="32"/>
        </w:rPr>
        <w:t>反映医院资产中借贷筹资的比重，引导医院避免盲目负债扩张或经营，降低医院运行潜在风险。</w:t>
      </w:r>
    </w:p>
    <w:p>
      <w:pPr>
        <w:widowControl/>
        <w:spacing w:line="600" w:lineRule="exact"/>
        <w:rPr>
          <w:b/>
          <w:szCs w:val="32"/>
        </w:rPr>
      </w:pPr>
      <w:r>
        <w:rPr>
          <w:rFonts w:hint="eastAsia"/>
          <w:b/>
          <w:szCs w:val="32"/>
        </w:rPr>
        <w:t>【指标导向】</w:t>
      </w:r>
      <w:r>
        <w:rPr>
          <w:rFonts w:hint="eastAsia"/>
          <w:szCs w:val="32"/>
        </w:rPr>
        <w:t>监测比较。</w:t>
      </w:r>
    </w:p>
    <w:p>
      <w:pPr>
        <w:spacing w:line="600" w:lineRule="exact"/>
        <w:rPr>
          <w:szCs w:val="32"/>
        </w:rPr>
      </w:pPr>
      <w:r>
        <w:rPr>
          <w:rFonts w:hint="eastAsia"/>
          <w:b/>
          <w:szCs w:val="32"/>
        </w:rPr>
        <w:t>【指标来源】</w:t>
      </w:r>
      <w:r>
        <w:rPr>
          <w:rFonts w:hint="eastAsia"/>
          <w:szCs w:val="32"/>
        </w:rPr>
        <w:t>财务年报表。</w:t>
      </w:r>
    </w:p>
    <w:p>
      <w:pPr>
        <w:spacing w:line="600" w:lineRule="exact"/>
        <w:rPr>
          <w:szCs w:val="32"/>
        </w:rPr>
      </w:pPr>
      <w:r>
        <w:rPr>
          <w:rFonts w:hint="eastAsia"/>
          <w:b/>
          <w:szCs w:val="32"/>
        </w:rPr>
        <w:t>【指标解释】</w:t>
      </w:r>
      <w:r>
        <w:rPr>
          <w:rFonts w:hint="eastAsia"/>
          <w:szCs w:val="32"/>
        </w:rPr>
        <w:t>国家卫生健康委、省级卫生健康委。</w:t>
      </w:r>
    </w:p>
    <w:p>
      <w:pPr>
        <w:spacing w:line="600" w:lineRule="exact"/>
        <w:rPr>
          <w:b/>
          <w:szCs w:val="32"/>
        </w:rPr>
      </w:pPr>
      <w:r>
        <w:rPr>
          <w:szCs w:val="32"/>
        </w:rPr>
        <w:br w:type="page"/>
      </w:r>
      <w:r>
        <w:rPr>
          <w:b/>
          <w:szCs w:val="32"/>
        </w:rPr>
        <w:t>19</w:t>
      </w:r>
      <w:r>
        <w:rPr>
          <w:rFonts w:hint="eastAsia"/>
          <w:b/>
          <w:szCs w:val="32"/>
        </w:rPr>
        <w:t>. 人员经费占比▲</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spacing w:line="600" w:lineRule="exact"/>
        <w:ind w:firstLine="640" w:firstLineChars="200"/>
        <w:rPr>
          <w:szCs w:val="32"/>
        </w:rPr>
      </w:pPr>
      <w:r>
        <w:rPr>
          <w:rFonts w:hint="eastAsia"/>
          <w:szCs w:val="32"/>
        </w:rPr>
        <w:t>考核年度人员经费占同期医疗活动</w:t>
      </w:r>
      <w:r>
        <w:rPr>
          <w:szCs w:val="32"/>
        </w:rPr>
        <w:t>费用</w:t>
      </w:r>
      <w:r>
        <w:rPr>
          <w:rFonts w:hint="eastAsia"/>
          <w:szCs w:val="32"/>
        </w:rPr>
        <w:t>的比例。</w:t>
      </w:r>
    </w:p>
    <w:p>
      <w:pPr>
        <w:spacing w:line="600" w:lineRule="exact"/>
        <w:rPr>
          <w:b/>
          <w:szCs w:val="32"/>
        </w:rPr>
      </w:pPr>
      <w:r>
        <w:rPr>
          <w:rFonts w:hint="eastAsia"/>
          <w:b/>
          <w:szCs w:val="32"/>
        </w:rPr>
        <w:t>【计算方法】</w:t>
      </w:r>
    </w:p>
    <w:p>
      <w:pPr>
        <w:ind w:firstLine="420"/>
        <w:rPr>
          <w:rFonts w:ascii="仿宋_GB2312" w:hAnsi="黑体"/>
          <w:sz w:val="28"/>
          <w:szCs w:val="28"/>
        </w:rPr>
      </w:pPr>
      <m:oMathPara>
        <m:oMath>
          <m:r>
            <m:rPr>
              <m:sty m:val="b"/>
            </m:rPr>
            <w:rPr>
              <w:rFonts w:hint="eastAsia" w:ascii="Cambria Math" w:hAnsi="Cambria Math"/>
              <w:sz w:val="24"/>
              <w:szCs w:val="28"/>
            </w:rPr>
            <m:t>人员经费占比=</m:t>
          </m:r>
          <m:f>
            <m:fPr>
              <m:ctrlPr>
                <w:rPr>
                  <w:rFonts w:hint="eastAsia" w:ascii="Cambria Math" w:hAnsi="Cambria Math"/>
                  <w:b/>
                  <w:sz w:val="24"/>
                  <w:szCs w:val="28"/>
                </w:rPr>
              </m:ctrlPr>
            </m:fPr>
            <m:num>
              <m:r>
                <m:rPr>
                  <m:sty m:val="p"/>
                </m:rPr>
                <w:rPr>
                  <w:rFonts w:hint="eastAsia" w:ascii="Cambria Math" w:hAnsi="Cambria Math"/>
                  <w:sz w:val="24"/>
                  <w:szCs w:val="28"/>
                </w:rPr>
                <m:t>人员经费</m:t>
              </m:r>
              <m:ctrlPr>
                <w:rPr>
                  <w:rFonts w:hint="eastAsia" w:ascii="Cambria Math" w:hAnsi="Cambria Math"/>
                  <w:b/>
                  <w:sz w:val="24"/>
                  <w:szCs w:val="28"/>
                </w:rPr>
              </m:ctrlPr>
            </m:num>
            <m:den>
              <m:r>
                <m:rPr>
                  <m:sty m:val="p"/>
                </m:rPr>
                <w:rPr>
                  <w:rFonts w:hint="eastAsia" w:ascii="Cambria Math" w:hAnsi="Cambria Math"/>
                  <w:sz w:val="24"/>
                  <w:szCs w:val="28"/>
                </w:rPr>
                <m:t>同期医疗活动费用</m:t>
              </m:r>
              <m:ctrlPr>
                <w:rPr>
                  <w:rFonts w:hint="eastAsia" w:ascii="Cambria Math" w:hAnsi="Cambria Math"/>
                  <w:b/>
                  <w:sz w:val="24"/>
                  <w:szCs w:val="28"/>
                </w:rPr>
              </m:ctrlPr>
            </m:den>
          </m:f>
          <m:r>
            <m:rPr>
              <m:sty m:val="b"/>
            </m:rPr>
            <w:rPr>
              <w:rFonts w:hint="eastAsia" w:ascii="Cambria Math" w:hAnsi="Cambria Math"/>
              <w:sz w:val="24"/>
              <w:szCs w:val="28"/>
            </w:rPr>
            <m:t>×</m:t>
          </m:r>
          <m:r>
            <m:rPr>
              <m:sty m:val="p"/>
            </m:rPr>
            <w:rPr>
              <w:rFonts w:hint="eastAsia" w:ascii="Cambria Math" w:hAnsi="Cambria Math"/>
              <w:sz w:val="24"/>
              <w:szCs w:val="28"/>
            </w:rPr>
            <m:t>100</m:t>
          </m:r>
          <m:r>
            <m:rPr>
              <m:sty m:val="b"/>
            </m:rPr>
            <w:rPr>
              <w:rFonts w:hint="eastAsia" w:ascii="Cambria Math" w:hAnsi="Cambria Math"/>
              <w:sz w:val="24"/>
              <w:szCs w:val="28"/>
            </w:rPr>
            <m:t>%</m:t>
          </m:r>
          <m:r>
            <m:rPr>
              <m:sty m:val="b"/>
            </m:rPr>
            <w:rPr>
              <w:rFonts w:ascii="Cambria Math" w:hAnsi="Cambria Math"/>
              <w:sz w:val="24"/>
              <w:szCs w:val="28"/>
            </w:rPr>
            <m:t xml:space="preserve">                                 </m:t>
          </m:r>
        </m:oMath>
      </m:oMathPara>
    </w:p>
    <w:p>
      <w:pPr>
        <w:spacing w:line="600" w:lineRule="exact"/>
        <w:rPr>
          <w:b/>
          <w:szCs w:val="32"/>
        </w:rPr>
      </w:pPr>
      <w:r>
        <w:rPr>
          <w:rFonts w:hint="eastAsia"/>
          <w:b/>
          <w:szCs w:val="32"/>
        </w:rPr>
        <w:t>【指标说明】</w:t>
      </w:r>
    </w:p>
    <w:p>
      <w:pPr>
        <w:adjustRightInd w:val="0"/>
        <w:spacing w:line="600" w:lineRule="exact"/>
        <w:ind w:firstLine="640" w:firstLineChars="200"/>
        <w:rPr>
          <w:szCs w:val="32"/>
        </w:rPr>
      </w:pPr>
      <w:r>
        <w:rPr>
          <w:rFonts w:hint="eastAsia"/>
          <w:szCs w:val="32"/>
        </w:rPr>
        <w:t>（</w:t>
      </w:r>
      <w:r>
        <w:rPr>
          <w:rFonts w:ascii="仿宋_GB2312"/>
          <w:kern w:val="0"/>
          <w:szCs w:val="32"/>
        </w:rPr>
        <w:t>1</w:t>
      </w:r>
      <w:r>
        <w:rPr>
          <w:rFonts w:hint="eastAsia"/>
          <w:szCs w:val="32"/>
        </w:rPr>
        <w:t>）分子：人员经费包括医院全部人员发生的费用（不含财政项目拨款经费和科教经费中人员发生的费用）</w:t>
      </w:r>
      <w:r>
        <w:t>。</w:t>
      </w:r>
    </w:p>
    <w:p>
      <w:pPr>
        <w:adjustRightInd w:val="0"/>
        <w:spacing w:line="600" w:lineRule="exact"/>
        <w:ind w:firstLine="640" w:firstLineChars="200"/>
        <w:rPr>
          <w:szCs w:val="32"/>
        </w:rPr>
      </w:pPr>
      <w:r>
        <w:rPr>
          <w:rFonts w:hint="eastAsia"/>
          <w:szCs w:val="32"/>
        </w:rPr>
        <w:t>（</w:t>
      </w:r>
      <w:r>
        <w:rPr>
          <w:rFonts w:ascii="仿宋_GB2312"/>
          <w:kern w:val="0"/>
          <w:szCs w:val="32"/>
        </w:rPr>
        <w:t>2</w:t>
      </w:r>
      <w:r>
        <w:rPr>
          <w:rFonts w:hint="eastAsia"/>
          <w:szCs w:val="32"/>
        </w:rPr>
        <w:t>）分母：医疗活动费用包括业务活动费用（不含财政项目拨款经费和科教经费）、单位管理费用（不含财政项目拨款经费和科教经费）、经营费用、资产处置费用、上缴上级费用、对附属单位补助费用、所得税费用、其他费用。</w:t>
      </w:r>
    </w:p>
    <w:p>
      <w:pPr>
        <w:adjustRightInd w:val="0"/>
        <w:spacing w:line="600" w:lineRule="exact"/>
        <w:ind w:firstLine="640" w:firstLineChars="200"/>
        <w:rPr>
          <w:szCs w:val="32"/>
        </w:rPr>
      </w:pPr>
      <w:r>
        <w:rPr>
          <w:rFonts w:hint="eastAsia"/>
          <w:szCs w:val="32"/>
        </w:rPr>
        <w:t>（</w:t>
      </w:r>
      <w:r>
        <w:rPr>
          <w:rFonts w:ascii="仿宋_GB2312"/>
          <w:kern w:val="0"/>
          <w:szCs w:val="32"/>
        </w:rPr>
        <w:t>3</w:t>
      </w:r>
      <w:r>
        <w:rPr>
          <w:rFonts w:hint="eastAsia"/>
          <w:szCs w:val="32"/>
        </w:rPr>
        <w:t>）财政项目拨款经费和科教经费支付的人员劳务费、专家咨询费等人员费用不在本指标计算范围内。</w:t>
      </w:r>
    </w:p>
    <w:p>
      <w:pPr>
        <w:adjustRightInd w:val="0"/>
        <w:spacing w:line="600" w:lineRule="exact"/>
        <w:rPr>
          <w:b/>
          <w:szCs w:val="32"/>
        </w:rPr>
      </w:pPr>
      <w:r>
        <w:rPr>
          <w:rFonts w:hint="eastAsia"/>
          <w:b/>
          <w:szCs w:val="32"/>
        </w:rPr>
        <w:t>【指标意义】</w:t>
      </w:r>
    </w:p>
    <w:p>
      <w:pPr>
        <w:adjustRightInd w:val="0"/>
        <w:spacing w:line="600" w:lineRule="exact"/>
        <w:ind w:firstLine="640" w:firstLineChars="200"/>
        <w:rPr>
          <w:rFonts w:ascii="仿宋" w:hAnsi="仿宋" w:eastAsia="仿宋"/>
          <w:szCs w:val="32"/>
        </w:rPr>
      </w:pPr>
      <w:r>
        <w:rPr>
          <w:rFonts w:hint="eastAsia"/>
          <w:szCs w:val="32"/>
          <w:shd w:val="clear" w:color="auto" w:fill="FFFFFF"/>
        </w:rPr>
        <w:t>《国务院办公厅关于全面</w:t>
      </w:r>
      <w:r>
        <w:rPr>
          <w:szCs w:val="32"/>
          <w:shd w:val="clear" w:color="auto" w:fill="FFFFFF"/>
        </w:rPr>
        <w:t>推开县级公立医院综合改革的实施意见</w:t>
      </w:r>
      <w:r>
        <w:rPr>
          <w:rFonts w:hint="eastAsia"/>
          <w:szCs w:val="32"/>
          <w:shd w:val="clear" w:color="auto" w:fill="FFFFFF"/>
        </w:rPr>
        <w:t>》（国办发</w:t>
      </w:r>
      <w:r>
        <w:rPr>
          <w:rFonts w:hint="eastAsia" w:ascii="仿宋_GB2312"/>
          <w:szCs w:val="32"/>
          <w:shd w:val="clear" w:color="auto" w:fill="FFFFFF"/>
        </w:rPr>
        <w:t>〔</w:t>
      </w:r>
      <w:r>
        <w:rPr>
          <w:rFonts w:ascii="仿宋_GB2312"/>
          <w:szCs w:val="32"/>
          <w:shd w:val="clear" w:color="auto" w:fill="FFFFFF"/>
        </w:rPr>
        <w:t>2015</w:t>
      </w:r>
      <w:r>
        <w:rPr>
          <w:rFonts w:hint="eastAsia" w:ascii="仿宋_GB2312"/>
          <w:szCs w:val="32"/>
          <w:shd w:val="clear" w:color="auto" w:fill="FFFFFF"/>
        </w:rPr>
        <w:t>〕</w:t>
      </w:r>
      <w:r>
        <w:rPr>
          <w:rFonts w:ascii="仿宋_GB2312"/>
          <w:szCs w:val="32"/>
          <w:shd w:val="clear" w:color="auto" w:fill="FFFFFF"/>
        </w:rPr>
        <w:t>33</w:t>
      </w:r>
      <w:r>
        <w:rPr>
          <w:rFonts w:hint="eastAsia"/>
          <w:szCs w:val="32"/>
          <w:shd w:val="clear" w:color="auto" w:fill="FFFFFF"/>
        </w:rPr>
        <w:t>号）提出，</w:t>
      </w:r>
      <w:r>
        <w:rPr>
          <w:rFonts w:hint="eastAsia"/>
          <w:szCs w:val="32"/>
        </w:rPr>
        <w:t>建立起维护公益性、调动积极性、保障可持续的运行新机制。探</w:t>
      </w:r>
      <w:r>
        <w:rPr>
          <w:rFonts w:hint="eastAsia"/>
          <w:color w:val="000000" w:themeColor="text1"/>
          <w:szCs w:val="32"/>
          <w14:textFill>
            <w14:solidFill>
              <w14:schemeClr w14:val="tx1"/>
            </w14:solidFill>
          </w14:textFill>
        </w:rPr>
        <w:t>索制定</w:t>
      </w:r>
      <w:r>
        <w:rPr>
          <w:rFonts w:hint="eastAsia" w:ascii="仿宋_GB2312" w:hAnsi="宋体" w:cs="宋体"/>
          <w:color w:val="000000" w:themeColor="text1"/>
          <w:kern w:val="0"/>
          <w:szCs w:val="32"/>
          <w14:textFill>
            <w14:solidFill>
              <w14:schemeClr w14:val="tx1"/>
            </w14:solidFill>
          </w14:textFill>
        </w:rPr>
        <w:t>县级</w:t>
      </w:r>
      <w:r>
        <w:rPr>
          <w:rFonts w:hint="eastAsia"/>
          <w:color w:val="000000" w:themeColor="text1"/>
          <w:szCs w:val="32"/>
          <w14:textFill>
            <w14:solidFill>
              <w14:schemeClr w14:val="tx1"/>
            </w14:solidFill>
          </w14:textFill>
        </w:rPr>
        <w:t>公立医院绩效工资总量核定办法，着力体现医务人员技术劳务价值，合理确定医务人员收入水平，并建立动态调整机制，做到多劳多得、优绩优酬，重点向临床和</w:t>
      </w:r>
      <w:r>
        <w:rPr>
          <w:color w:val="000000" w:themeColor="text1"/>
          <w:szCs w:val="32"/>
          <w14:textFill>
            <w14:solidFill>
              <w14:schemeClr w14:val="tx1"/>
            </w14:solidFill>
          </w14:textFill>
        </w:rPr>
        <w:t>公共卫生</w:t>
      </w:r>
      <w:r>
        <w:rPr>
          <w:rFonts w:hint="eastAsia"/>
          <w:color w:val="000000" w:themeColor="text1"/>
          <w:szCs w:val="32"/>
          <w14:textFill>
            <w14:solidFill>
              <w14:schemeClr w14:val="tx1"/>
            </w14:solidFill>
          </w14:textFill>
        </w:rPr>
        <w:t>一线、业</w:t>
      </w:r>
      <w:r>
        <w:rPr>
          <w:rFonts w:hint="eastAsia"/>
          <w:szCs w:val="32"/>
        </w:rPr>
        <w:t>务骨干、关键岗位和有突出贡献的人员倾斜。</w:t>
      </w:r>
      <w:r>
        <w:rPr>
          <w:rFonts w:hint="eastAsia" w:ascii="仿宋" w:hAnsi="仿宋" w:eastAsia="仿宋" w:cs="仿宋"/>
          <w:szCs w:val="21"/>
        </w:rPr>
        <w:t>《国务院办公厅关于推动公立医院高质量发展的意见》（国办发</w:t>
      </w:r>
      <w:r>
        <w:rPr>
          <w:rFonts w:hint="eastAsia" w:ascii="仿宋_GB2312" w:hAnsi="仿宋" w:cs="仿宋"/>
          <w:szCs w:val="21"/>
        </w:rPr>
        <w:t>〔</w:t>
      </w:r>
      <w:r>
        <w:rPr>
          <w:rFonts w:ascii="仿宋_GB2312" w:hAnsi="仿宋" w:cs="仿宋"/>
          <w:szCs w:val="21"/>
        </w:rPr>
        <w:t>2021</w:t>
      </w:r>
      <w:r>
        <w:rPr>
          <w:rFonts w:hint="eastAsia" w:ascii="仿宋_GB2312" w:hAnsi="仿宋" w:cs="仿宋"/>
          <w:szCs w:val="21"/>
        </w:rPr>
        <w:t>〕</w:t>
      </w:r>
      <w:r>
        <w:rPr>
          <w:rFonts w:ascii="仿宋_GB2312" w:hAnsi="仿宋" w:cs="仿宋"/>
          <w:szCs w:val="21"/>
        </w:rPr>
        <w:t>18</w:t>
      </w:r>
      <w:r>
        <w:rPr>
          <w:rFonts w:hint="eastAsia" w:ascii="仿宋" w:hAnsi="仿宋" w:eastAsia="仿宋" w:cs="仿宋"/>
          <w:szCs w:val="21"/>
        </w:rPr>
        <w:t>号）要求，改革薪酬分配制度，落实“允许医疗卫生机构突破现行事业单位工资调控水平，允许医疗服务收入扣除成本并按规定提取各项基金后主要用于人员奖励”要求，合理确定、动态调整公立医院薪酬水平，合理确定人员支出占公立医院业务支出的比例。建立主要体现岗位职责和知识价值的薪酬体系，实行以岗定责、以岗定薪、责薪相适、考核兑现。在核定的薪酬总量内，公立医院可采取多种方式自主分配。医院可自主设立体现医疗行业特点、劳动特点和岗位价值的薪酬项目，充分发挥各项目的保障和激励作用，更加注重发挥薪酬制度的保障功能。</w:t>
      </w:r>
    </w:p>
    <w:p>
      <w:pPr>
        <w:widowControl/>
        <w:spacing w:line="600" w:lineRule="exact"/>
        <w:rPr>
          <w:b/>
          <w:bCs/>
          <w:szCs w:val="32"/>
        </w:rPr>
      </w:pPr>
      <w:r>
        <w:rPr>
          <w:rFonts w:hint="eastAsia"/>
          <w:b/>
          <w:bCs/>
          <w:szCs w:val="32"/>
        </w:rPr>
        <w:t>【指标导向】</w:t>
      </w:r>
      <w:r>
        <w:rPr>
          <w:rFonts w:hint="eastAsia"/>
          <w:bCs/>
          <w:szCs w:val="32"/>
        </w:rPr>
        <w:t>逐步提高。</w:t>
      </w:r>
    </w:p>
    <w:p>
      <w:pPr>
        <w:spacing w:line="600" w:lineRule="exact"/>
        <w:rPr>
          <w:bCs/>
          <w:szCs w:val="32"/>
        </w:rPr>
      </w:pPr>
      <w:r>
        <w:rPr>
          <w:rFonts w:hint="eastAsia"/>
          <w:b/>
          <w:szCs w:val="32"/>
        </w:rPr>
        <w:t>【指标来源】</w:t>
      </w:r>
      <w:r>
        <w:rPr>
          <w:rFonts w:hint="eastAsia"/>
          <w:szCs w:val="32"/>
        </w:rPr>
        <w:t>财务年报表</w:t>
      </w:r>
      <w:r>
        <w:rPr>
          <w:rFonts w:hint="eastAsia"/>
          <w:bCs/>
          <w:szCs w:val="32"/>
        </w:rPr>
        <w:t>。</w:t>
      </w:r>
    </w:p>
    <w:p>
      <w:pPr>
        <w:spacing w:line="600" w:lineRule="exact"/>
        <w:rPr>
          <w:szCs w:val="32"/>
        </w:rPr>
      </w:pPr>
      <w:r>
        <w:rPr>
          <w:rFonts w:hint="eastAsia"/>
          <w:b/>
          <w:szCs w:val="32"/>
        </w:rPr>
        <w:t>【指标解释】</w:t>
      </w:r>
      <w:r>
        <w:rPr>
          <w:rFonts w:hint="eastAsia"/>
          <w:szCs w:val="32"/>
        </w:rPr>
        <w:t>国家卫生健康委、省级卫生健康委。</w:t>
      </w:r>
    </w:p>
    <w:p>
      <w:pPr>
        <w:widowControl/>
        <w:spacing w:line="580" w:lineRule="exact"/>
        <w:rPr>
          <w:rFonts w:ascii="仿宋" w:hAnsi="仿宋" w:eastAsia="仿宋"/>
          <w:b/>
          <w:szCs w:val="32"/>
        </w:rPr>
      </w:pPr>
      <w:r>
        <w:rPr>
          <w:rFonts w:hint="eastAsia"/>
          <w:b/>
          <w:kern w:val="0"/>
          <w:szCs w:val="32"/>
        </w:rPr>
        <w:br w:type="page"/>
      </w:r>
      <w:r>
        <w:rPr>
          <w:rFonts w:ascii="仿宋" w:hAnsi="仿宋" w:eastAsia="仿宋"/>
          <w:b/>
          <w:szCs w:val="32"/>
        </w:rPr>
        <w:t>20</w:t>
      </w:r>
      <w:r>
        <w:rPr>
          <w:rFonts w:hint="eastAsia" w:ascii="仿宋" w:hAnsi="仿宋" w:eastAsia="仿宋"/>
          <w:b/>
          <w:szCs w:val="32"/>
        </w:rPr>
        <w:t>.</w:t>
      </w:r>
      <w:r>
        <w:rPr>
          <w:rFonts w:hint="eastAsia"/>
          <w:b/>
          <w:szCs w:val="32"/>
        </w:rPr>
        <w:t>万元收入能耗占</w:t>
      </w:r>
      <w:r>
        <w:rPr>
          <w:b/>
          <w:szCs w:val="32"/>
        </w:rPr>
        <w:t>比</w:t>
      </w:r>
      <w:r>
        <w:rPr>
          <w:rFonts w:hint="eastAsia" w:ascii="仿宋" w:hAnsi="仿宋" w:eastAsia="仿宋"/>
          <w:b/>
          <w:szCs w:val="32"/>
        </w:rPr>
        <w:t>▲</w:t>
      </w:r>
    </w:p>
    <w:p>
      <w:pPr>
        <w:spacing w:line="580" w:lineRule="exact"/>
        <w:rPr>
          <w:rFonts w:ascii="仿宋" w:hAnsi="仿宋" w:eastAsia="仿宋"/>
          <w:b/>
          <w:szCs w:val="32"/>
        </w:rPr>
      </w:pPr>
      <w:r>
        <w:rPr>
          <w:rFonts w:hint="eastAsia" w:ascii="仿宋" w:hAnsi="仿宋" w:eastAsia="仿宋"/>
          <w:b/>
          <w:szCs w:val="32"/>
        </w:rPr>
        <w:t>【</w:t>
      </w:r>
      <w:r>
        <w:rPr>
          <w:rFonts w:hint="eastAsia"/>
          <w:b/>
          <w:szCs w:val="32"/>
        </w:rPr>
        <w:t>指标属性</w:t>
      </w:r>
      <w:r>
        <w:rPr>
          <w:rFonts w:hint="eastAsia" w:ascii="仿宋" w:hAnsi="仿宋" w:eastAsia="仿宋"/>
          <w:b/>
          <w:szCs w:val="32"/>
        </w:rPr>
        <w:t>】</w:t>
      </w:r>
      <w:r>
        <w:rPr>
          <w:rFonts w:hint="eastAsia" w:ascii="仿宋_GB2312" w:hAnsi="仿宋"/>
          <w:szCs w:val="32"/>
        </w:rPr>
        <w:t>定量指标、国家监测指标。</w:t>
      </w:r>
    </w:p>
    <w:p>
      <w:pPr>
        <w:spacing w:line="580" w:lineRule="exact"/>
        <w:rPr>
          <w:rFonts w:ascii="仿宋" w:hAnsi="仿宋" w:eastAsia="仿宋"/>
          <w:b/>
          <w:szCs w:val="32"/>
        </w:rPr>
      </w:pPr>
      <w:r>
        <w:rPr>
          <w:rFonts w:hint="eastAsia" w:ascii="仿宋" w:hAnsi="仿宋" w:eastAsia="仿宋"/>
          <w:b/>
          <w:szCs w:val="32"/>
        </w:rPr>
        <w:t>【</w:t>
      </w:r>
      <w:r>
        <w:rPr>
          <w:rFonts w:hint="eastAsia"/>
          <w:b/>
          <w:szCs w:val="32"/>
        </w:rPr>
        <w:t>计量单位</w:t>
      </w:r>
      <w:r>
        <w:rPr>
          <w:rFonts w:hint="eastAsia" w:ascii="仿宋" w:hAnsi="仿宋" w:eastAsia="仿宋"/>
          <w:b/>
          <w:szCs w:val="32"/>
        </w:rPr>
        <w:t>】</w:t>
      </w:r>
      <w:r>
        <w:rPr>
          <w:rFonts w:hint="eastAsia" w:ascii="仿宋_GB2312" w:hAnsi="仿宋"/>
          <w:szCs w:val="32"/>
        </w:rPr>
        <w:t>吨标煤/万元</w:t>
      </w:r>
    </w:p>
    <w:p>
      <w:pPr>
        <w:spacing w:line="580" w:lineRule="exact"/>
        <w:rPr>
          <w:rFonts w:ascii="仿宋" w:hAnsi="仿宋" w:eastAsia="仿宋"/>
          <w:b/>
          <w:szCs w:val="32"/>
        </w:rPr>
      </w:pPr>
      <w:r>
        <w:rPr>
          <w:rFonts w:hint="eastAsia" w:ascii="仿宋" w:hAnsi="仿宋" w:eastAsia="仿宋"/>
          <w:b/>
          <w:szCs w:val="32"/>
        </w:rPr>
        <w:t>【</w:t>
      </w:r>
      <w:r>
        <w:rPr>
          <w:rFonts w:hint="eastAsia"/>
          <w:b/>
          <w:szCs w:val="32"/>
        </w:rPr>
        <w:t>指标定义</w:t>
      </w:r>
      <w:r>
        <w:rPr>
          <w:rFonts w:hint="eastAsia" w:ascii="仿宋" w:hAnsi="仿宋" w:eastAsia="仿宋"/>
          <w:b/>
          <w:szCs w:val="32"/>
        </w:rPr>
        <w:t>】</w:t>
      </w:r>
    </w:p>
    <w:p>
      <w:pPr>
        <w:adjustRightInd w:val="0"/>
        <w:spacing w:line="580" w:lineRule="exact"/>
        <w:ind w:firstLine="640" w:firstLineChars="200"/>
        <w:rPr>
          <w:rFonts w:hint="eastAsia" w:ascii="仿宋_GB2312" w:hAnsi="仿宋" w:eastAsia="仿宋_GB2312"/>
          <w:szCs w:val="32"/>
          <w:lang w:val="en-US" w:eastAsia="zh-CN"/>
        </w:rPr>
      </w:pPr>
      <w:r>
        <w:rPr>
          <w:rFonts w:hint="eastAsia" w:ascii="仿宋_GB2312" w:hAnsi="仿宋"/>
          <w:szCs w:val="32"/>
        </w:rPr>
        <w:t>考核年度医院总能耗与同期总收入的比值，即每万元收入消耗的吨标煤数量。</w:t>
      </w:r>
      <w:r>
        <w:rPr>
          <w:rFonts w:hint="eastAsia" w:ascii="仿宋_GB2312" w:hAnsi="仿宋"/>
          <w:szCs w:val="32"/>
          <w:lang w:val="en-US" w:eastAsia="zh-CN"/>
        </w:rPr>
        <w:t xml:space="preserve"> </w:t>
      </w:r>
    </w:p>
    <w:p>
      <w:pPr>
        <w:adjustRightInd w:val="0"/>
        <w:spacing w:line="580" w:lineRule="exact"/>
        <w:rPr>
          <w:rFonts w:ascii="仿宋" w:hAnsi="仿宋" w:eastAsia="仿宋"/>
          <w:b/>
          <w:szCs w:val="32"/>
        </w:rPr>
      </w:pPr>
      <w:r>
        <w:rPr>
          <w:rFonts w:hint="eastAsia" w:ascii="仿宋" w:hAnsi="仿宋" w:eastAsia="仿宋"/>
          <w:b/>
          <w:szCs w:val="32"/>
        </w:rPr>
        <w:t>【</w:t>
      </w:r>
      <w:r>
        <w:rPr>
          <w:rFonts w:hint="eastAsia"/>
          <w:b/>
          <w:szCs w:val="32"/>
        </w:rPr>
        <w:t>计算方法</w:t>
      </w:r>
      <w:r>
        <w:rPr>
          <w:rFonts w:hint="eastAsia" w:ascii="仿宋" w:hAnsi="仿宋" w:eastAsia="仿宋"/>
          <w:b/>
          <w:szCs w:val="32"/>
        </w:rPr>
        <w:t>】</w:t>
      </w:r>
    </w:p>
    <w:p>
      <w:pPr>
        <w:adjustRightInd w:val="0"/>
        <w:rPr>
          <w:rFonts w:ascii="仿宋" w:hAnsi="仿宋" w:eastAsia="仿宋"/>
          <w:b/>
          <w:szCs w:val="32"/>
        </w:rPr>
      </w:pPr>
      <m:oMathPara>
        <m:oMath>
          <m:r>
            <m:rPr>
              <m:sty m:val="b"/>
            </m:rPr>
            <w:rPr>
              <w:rFonts w:hint="eastAsia" w:ascii="Cambria Math" w:hAnsi="Cambria Math"/>
              <w:sz w:val="24"/>
            </w:rPr>
            <m:t>万元收入能耗占比</m:t>
          </m:r>
          <m:r>
            <m:rPr>
              <m:sty m:val="b"/>
            </m:rPr>
            <w:rPr>
              <w:rFonts w:ascii="Cambria Math" w:hAnsi="Cambria Math"/>
              <w:sz w:val="24"/>
            </w:rPr>
            <m:t>=</m:t>
          </m:r>
          <m:f>
            <m:fPr>
              <m:ctrlPr>
                <w:rPr>
                  <w:rFonts w:ascii="Cambria Math" w:hAnsi="Cambria Math"/>
                  <w:b/>
                  <w:sz w:val="24"/>
                </w:rPr>
              </m:ctrlPr>
            </m:fPr>
            <m:num>
              <m:r>
                <m:rPr>
                  <m:sty m:val="p"/>
                </m:rPr>
                <w:rPr>
                  <w:rFonts w:hint="eastAsia" w:ascii="Cambria Math" w:hAnsi="Cambria Math"/>
                  <w:sz w:val="24"/>
                </w:rPr>
                <m:t>总能耗</m:t>
              </m:r>
              <m:ctrlPr>
                <w:rPr>
                  <w:rFonts w:ascii="Cambria Math" w:hAnsi="Cambria Math"/>
                  <w:b/>
                  <w:sz w:val="24"/>
                </w:rPr>
              </m:ctrlPr>
            </m:num>
            <m:den>
              <m:r>
                <m:rPr>
                  <m:sty m:val="p"/>
                </m:rPr>
                <w:rPr>
                  <w:rFonts w:hint="eastAsia" w:ascii="Cambria Math" w:hAnsi="Cambria Math"/>
                  <w:sz w:val="24"/>
                </w:rPr>
                <m:t>同期总收入</m:t>
              </m:r>
              <m:ctrlPr>
                <w:rPr>
                  <w:rFonts w:ascii="Cambria Math" w:hAnsi="Cambria Math"/>
                  <w:b/>
                  <w:sz w:val="24"/>
                </w:rPr>
              </m:ctrlPr>
            </m:den>
          </m:f>
          <m:r>
            <m:rPr>
              <m:sty m:val="p"/>
            </m:rPr>
            <w:rPr>
              <w:rFonts w:hint="eastAsia" w:ascii="Cambria Math" w:hAnsi="Cambria Math"/>
              <w:sz w:val="24"/>
            </w:rPr>
            <m:t>×</m:t>
          </m:r>
          <m:r>
            <m:rPr>
              <m:sty m:val="p"/>
            </m:rPr>
            <w:rPr>
              <w:rFonts w:ascii="Cambria Math" w:hAnsi="Cambria Math"/>
              <w:sz w:val="24"/>
            </w:rPr>
            <m:t xml:space="preserve">10000                                  </m:t>
          </m:r>
        </m:oMath>
      </m:oMathPara>
    </w:p>
    <w:p>
      <w:pPr>
        <w:adjustRightInd w:val="0"/>
        <w:rPr>
          <w:rFonts w:ascii="仿宋" w:hAnsi="仿宋" w:eastAsia="仿宋"/>
          <w:b/>
          <w:szCs w:val="32"/>
        </w:rPr>
      </w:pPr>
      <w:r>
        <w:rPr>
          <w:rFonts w:hint="eastAsia" w:ascii="仿宋" w:hAnsi="仿宋" w:eastAsia="仿宋"/>
          <w:b/>
          <w:szCs w:val="32"/>
        </w:rPr>
        <w:t>【</w:t>
      </w:r>
      <w:r>
        <w:rPr>
          <w:rFonts w:hint="eastAsia"/>
          <w:b/>
          <w:szCs w:val="32"/>
        </w:rPr>
        <w:t>指标说明</w:t>
      </w:r>
      <w:r>
        <w:rPr>
          <w:rFonts w:hint="eastAsia" w:ascii="仿宋" w:hAnsi="仿宋" w:eastAsia="仿宋"/>
          <w:b/>
          <w:szCs w:val="32"/>
        </w:rPr>
        <w:t>】</w:t>
      </w:r>
    </w:p>
    <w:p>
      <w:pPr>
        <w:adjustRightInd w:val="0"/>
        <w:spacing w:line="580" w:lineRule="exact"/>
        <w:ind w:firstLine="640" w:firstLineChars="200"/>
        <w:rPr>
          <w:rFonts w:ascii="仿宋_GB2312" w:hAnsi="仿宋"/>
          <w:szCs w:val="32"/>
        </w:rPr>
      </w:pPr>
      <w:r>
        <w:rPr>
          <w:rFonts w:hint="eastAsia" w:ascii="仿宋_GB2312" w:hAnsi="仿宋"/>
          <w:szCs w:val="32"/>
        </w:rPr>
        <w:t>（</w:t>
      </w:r>
      <w:r>
        <w:rPr>
          <w:rFonts w:ascii="仿宋_GB2312"/>
          <w:szCs w:val="32"/>
        </w:rPr>
        <w:t>1）</w:t>
      </w:r>
      <w:r>
        <w:rPr>
          <w:rFonts w:hint="eastAsia" w:ascii="仿宋_GB2312" w:hAnsi="仿宋"/>
          <w:szCs w:val="32"/>
        </w:rPr>
        <w:t>分子：总能耗指考核年度医院发生的水、电、气、热等能耗折算为吨标煤后之和</w:t>
      </w:r>
      <w:r>
        <w:rPr>
          <w:rStyle w:val="34"/>
          <w:rFonts w:ascii="仿宋_GB2312" w:hAnsi="仿宋"/>
          <w:szCs w:val="32"/>
        </w:rPr>
        <w:footnoteReference w:id="35"/>
      </w:r>
      <w:r>
        <w:rPr>
          <w:rFonts w:hint="eastAsia" w:ascii="仿宋_GB2312" w:hAnsi="仿宋"/>
          <w:szCs w:val="32"/>
        </w:rPr>
        <w:t>。</w:t>
      </w:r>
    </w:p>
    <w:p>
      <w:pPr>
        <w:adjustRightInd w:val="0"/>
        <w:spacing w:line="580" w:lineRule="exact"/>
        <w:ind w:firstLine="640" w:firstLineChars="200"/>
        <w:rPr>
          <w:rFonts w:ascii="仿宋_GB2312" w:hAnsi="仿宋"/>
          <w:b/>
          <w:szCs w:val="32"/>
        </w:rPr>
      </w:pPr>
      <w:r>
        <w:rPr>
          <w:rFonts w:hint="eastAsia" w:ascii="仿宋_GB2312" w:hAnsi="仿宋"/>
          <w:szCs w:val="32"/>
        </w:rPr>
        <w:t>（</w:t>
      </w:r>
      <w:r>
        <w:rPr>
          <w:rFonts w:ascii="仿宋_GB2312"/>
          <w:szCs w:val="32"/>
        </w:rPr>
        <w:t>2</w:t>
      </w:r>
      <w:r>
        <w:rPr>
          <w:rFonts w:hint="eastAsia" w:ascii="仿宋_GB2312" w:hAnsi="仿宋"/>
          <w:szCs w:val="32"/>
        </w:rPr>
        <w:t>）分母：同期总收入包括“财政拨款收入”、“事业收入”、“上级补助收入”、“附属单位上缴收入”、“经营收入”、“非同级财政拨款收入”、“投资收益”、“捐赠收入”、“利息收入”、“租金收入”、“其他收入”等全部收入。</w:t>
      </w:r>
    </w:p>
    <w:p>
      <w:pPr>
        <w:adjustRightInd w:val="0"/>
        <w:spacing w:line="580" w:lineRule="exact"/>
        <w:rPr>
          <w:rFonts w:ascii="仿宋" w:hAnsi="仿宋" w:eastAsia="仿宋"/>
          <w:b/>
          <w:szCs w:val="32"/>
        </w:rPr>
      </w:pPr>
      <w:r>
        <w:rPr>
          <w:rFonts w:hint="eastAsia" w:ascii="仿宋" w:hAnsi="仿宋" w:eastAsia="仿宋"/>
          <w:b/>
          <w:szCs w:val="32"/>
        </w:rPr>
        <w:t>【</w:t>
      </w:r>
      <w:r>
        <w:rPr>
          <w:rFonts w:hint="eastAsia"/>
          <w:b/>
          <w:szCs w:val="32"/>
        </w:rPr>
        <w:t>指标意义</w:t>
      </w:r>
      <w:r>
        <w:rPr>
          <w:rFonts w:hint="eastAsia" w:ascii="仿宋" w:hAnsi="仿宋" w:eastAsia="仿宋"/>
          <w:b/>
          <w:szCs w:val="32"/>
        </w:rPr>
        <w:t>】</w:t>
      </w:r>
    </w:p>
    <w:p>
      <w:pPr>
        <w:adjustRightInd w:val="0"/>
        <w:spacing w:line="580" w:lineRule="exact"/>
        <w:ind w:firstLine="739" w:firstLineChars="231"/>
        <w:rPr>
          <w:rFonts w:ascii="仿宋" w:hAnsi="仿宋" w:eastAsia="仿宋" w:cs="Arial"/>
          <w:color w:val="333333"/>
          <w:kern w:val="0"/>
          <w:szCs w:val="21"/>
        </w:rPr>
      </w:pPr>
      <w:r>
        <w:rPr>
          <w:rFonts w:hint="eastAsia"/>
        </w:rPr>
        <w:t>《关于开展“公立医疗机构经济管理年”活动的通知》（国卫财务函〔2020〕262号）、《关于在全国范围内持续开展“公立医疗机构经济管理年”活动的通知》（国卫财务函〔2022〕72号）提出牢固树立“过紧日子”理念，将日常业务管理与严控一般性支出、节约资源成本同部署、同落实、同监管、同评价，确保全员参与、全流程管控。</w:t>
      </w:r>
      <w:r>
        <w:t>引导医院进一步加强节能管理工作，推进节约型医院建设，实现节能减排的目标，合理降低医院运行成本，提升精细化管理水平。</w:t>
      </w:r>
    </w:p>
    <w:p>
      <w:pPr>
        <w:spacing w:line="580" w:lineRule="exact"/>
        <w:rPr>
          <w:rFonts w:ascii="仿宋" w:hAnsi="仿宋" w:eastAsia="仿宋"/>
          <w:b/>
          <w:szCs w:val="32"/>
        </w:rPr>
      </w:pPr>
      <w:r>
        <w:rPr>
          <w:rFonts w:hint="eastAsia" w:ascii="仿宋" w:hAnsi="仿宋" w:eastAsia="仿宋"/>
          <w:b/>
          <w:szCs w:val="32"/>
        </w:rPr>
        <w:t>【</w:t>
      </w:r>
      <w:r>
        <w:rPr>
          <w:rFonts w:hint="eastAsia"/>
          <w:b/>
          <w:szCs w:val="32"/>
        </w:rPr>
        <w:t>指标导向</w:t>
      </w:r>
      <w:r>
        <w:rPr>
          <w:rFonts w:hint="eastAsia" w:ascii="仿宋" w:hAnsi="仿宋" w:eastAsia="仿宋"/>
          <w:b/>
          <w:szCs w:val="32"/>
        </w:rPr>
        <w:t>】</w:t>
      </w:r>
      <w:r>
        <w:rPr>
          <w:rFonts w:hint="eastAsia" w:ascii="仿宋_GB2312" w:hAnsi="仿宋"/>
          <w:szCs w:val="32"/>
        </w:rPr>
        <w:t>逐步降低。</w:t>
      </w:r>
    </w:p>
    <w:p>
      <w:pPr>
        <w:spacing w:line="580" w:lineRule="exact"/>
        <w:rPr>
          <w:rFonts w:ascii="仿宋" w:hAnsi="仿宋" w:eastAsia="仿宋"/>
          <w:szCs w:val="32"/>
          <w:shd w:val="clear" w:color="auto" w:fill="FFFFFF"/>
        </w:rPr>
      </w:pPr>
      <w:r>
        <w:rPr>
          <w:rFonts w:hint="eastAsia" w:ascii="仿宋" w:hAnsi="仿宋" w:eastAsia="仿宋"/>
          <w:b/>
          <w:szCs w:val="32"/>
        </w:rPr>
        <w:t>【</w:t>
      </w:r>
      <w:r>
        <w:rPr>
          <w:rFonts w:hint="eastAsia"/>
          <w:b/>
          <w:szCs w:val="32"/>
        </w:rPr>
        <w:t>指标来源</w:t>
      </w:r>
      <w:r>
        <w:rPr>
          <w:rFonts w:hint="eastAsia" w:ascii="仿宋" w:hAnsi="仿宋" w:eastAsia="仿宋"/>
          <w:b/>
          <w:szCs w:val="32"/>
        </w:rPr>
        <w:t>】</w:t>
      </w:r>
      <w:r>
        <w:rPr>
          <w:rFonts w:hint="eastAsia" w:ascii="仿宋_GB2312" w:hAnsi="仿宋"/>
          <w:szCs w:val="32"/>
        </w:rPr>
        <w:t>财务年报表</w:t>
      </w:r>
      <w:r>
        <w:rPr>
          <w:rFonts w:hint="eastAsia"/>
          <w:szCs w:val="32"/>
        </w:rPr>
        <w:t>（其中“</w:t>
      </w:r>
      <w:r>
        <w:rPr>
          <w:szCs w:val="32"/>
        </w:rPr>
        <w:t>总能耗</w:t>
      </w:r>
      <w:r>
        <w:rPr>
          <w:rFonts w:hint="eastAsia"/>
          <w:szCs w:val="32"/>
        </w:rPr>
        <w:t>”由</w:t>
      </w:r>
      <w:r>
        <w:rPr>
          <w:szCs w:val="32"/>
        </w:rPr>
        <w:t>医院填报）</w:t>
      </w:r>
      <w:r>
        <w:rPr>
          <w:rFonts w:hint="eastAsia" w:ascii="仿宋_GB2312" w:hAnsi="仿宋"/>
          <w:szCs w:val="32"/>
          <w:shd w:val="clear" w:color="auto" w:fill="FFFFFF"/>
        </w:rPr>
        <w:t>。</w:t>
      </w:r>
    </w:p>
    <w:p>
      <w:pPr>
        <w:spacing w:line="580" w:lineRule="exact"/>
        <w:rPr>
          <w:rFonts w:ascii="仿宋" w:hAnsi="仿宋" w:eastAsia="仿宋"/>
          <w:szCs w:val="32"/>
        </w:rPr>
      </w:pPr>
      <w:r>
        <w:rPr>
          <w:rFonts w:hint="eastAsia" w:ascii="仿宋" w:hAnsi="仿宋" w:eastAsia="仿宋"/>
          <w:b/>
          <w:szCs w:val="32"/>
        </w:rPr>
        <w:t>【</w:t>
      </w:r>
      <w:r>
        <w:rPr>
          <w:rFonts w:hint="eastAsia"/>
          <w:b/>
          <w:szCs w:val="32"/>
        </w:rPr>
        <w:t>指标解释</w:t>
      </w:r>
      <w:r>
        <w:rPr>
          <w:rFonts w:hint="eastAsia" w:ascii="仿宋" w:hAnsi="仿宋" w:eastAsia="仿宋"/>
          <w:b/>
          <w:szCs w:val="32"/>
        </w:rPr>
        <w:t>】</w:t>
      </w:r>
      <w:r>
        <w:rPr>
          <w:rFonts w:hint="eastAsia" w:ascii="仿宋_GB2312" w:hAnsi="仿宋"/>
          <w:szCs w:val="32"/>
        </w:rPr>
        <w:t>国家卫生健康委、省级卫生健康委。</w:t>
      </w:r>
    </w:p>
    <w:p>
      <w:pPr>
        <w:spacing w:line="600" w:lineRule="exact"/>
        <w:rPr>
          <w:b/>
          <w:szCs w:val="32"/>
        </w:rPr>
      </w:pPr>
      <w:r>
        <w:rPr>
          <w:rFonts w:ascii="仿宋" w:hAnsi="仿宋" w:eastAsia="仿宋"/>
          <w:b/>
          <w:kern w:val="0"/>
          <w:szCs w:val="32"/>
        </w:rPr>
        <w:br w:type="page"/>
      </w:r>
      <w:r>
        <w:rPr>
          <w:b/>
          <w:szCs w:val="32"/>
        </w:rPr>
        <w:t>21</w:t>
      </w:r>
      <w:r>
        <w:rPr>
          <w:rFonts w:hint="eastAsia"/>
          <w:b/>
          <w:szCs w:val="32"/>
        </w:rPr>
        <w:t>. 医疗收入中来自医保基金的比例</w:t>
      </w:r>
    </w:p>
    <w:p>
      <w:pPr>
        <w:spacing w:line="600" w:lineRule="exact"/>
        <w:rPr>
          <w:b/>
          <w:szCs w:val="32"/>
        </w:rPr>
      </w:pPr>
      <w:r>
        <w:rPr>
          <w:rFonts w:hint="eastAsia"/>
          <w:b/>
          <w:szCs w:val="32"/>
        </w:rPr>
        <w:t>【指标属性】</w:t>
      </w:r>
      <w:r>
        <w:rPr>
          <w:rFonts w:hint="eastAsia"/>
          <w:szCs w:val="32"/>
        </w:rPr>
        <w:t>定量指标。</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szCs w:val="32"/>
        </w:rPr>
      </w:pPr>
      <w:r>
        <w:rPr>
          <w:rFonts w:hint="eastAsia"/>
          <w:szCs w:val="32"/>
        </w:rPr>
        <w:t>医疗</w:t>
      </w:r>
      <w:r>
        <w:rPr>
          <w:szCs w:val="32"/>
        </w:rPr>
        <w:t>收入中</w:t>
      </w:r>
      <w:r>
        <w:rPr>
          <w:rFonts w:hint="eastAsia"/>
          <w:szCs w:val="32"/>
        </w:rPr>
        <w:t>来自</w:t>
      </w:r>
      <w:r>
        <w:rPr>
          <w:szCs w:val="32"/>
        </w:rPr>
        <w:t>医保基金</w:t>
      </w:r>
      <w:r>
        <w:rPr>
          <w:rFonts w:hint="eastAsia"/>
          <w:szCs w:val="32"/>
        </w:rPr>
        <w:t>的比例由门诊和住院</w:t>
      </w:r>
      <w:r>
        <w:rPr>
          <w:szCs w:val="32"/>
        </w:rPr>
        <w:t>两</w:t>
      </w:r>
      <w:r>
        <w:rPr>
          <w:rFonts w:hint="eastAsia"/>
          <w:szCs w:val="32"/>
        </w:rPr>
        <w:t>部分构成：</w:t>
      </w:r>
    </w:p>
    <w:p>
      <w:pPr>
        <w:adjustRightInd w:val="0"/>
        <w:spacing w:line="600" w:lineRule="exact"/>
        <w:ind w:firstLine="640" w:firstLineChars="200"/>
        <w:rPr>
          <w:szCs w:val="32"/>
        </w:rPr>
      </w:pPr>
      <w:r>
        <w:rPr>
          <w:rFonts w:hint="eastAsia"/>
          <w:szCs w:val="32"/>
        </w:rPr>
        <w:t>（</w:t>
      </w:r>
      <w:r>
        <w:rPr>
          <w:rFonts w:ascii="仿宋_GB2312"/>
          <w:szCs w:val="32"/>
        </w:rPr>
        <w:t>1</w:t>
      </w:r>
      <w:r>
        <w:rPr>
          <w:rFonts w:hint="eastAsia"/>
          <w:szCs w:val="32"/>
        </w:rPr>
        <w:t>）门诊收入中来自医保基金的比例：考核年度门诊收入中来自医保基金的收入占门诊收入的比例。</w:t>
      </w:r>
    </w:p>
    <w:p>
      <w:pPr>
        <w:adjustRightInd w:val="0"/>
        <w:spacing w:line="600" w:lineRule="exact"/>
        <w:ind w:firstLine="640" w:firstLineChars="200"/>
        <w:rPr>
          <w:b/>
          <w:szCs w:val="32"/>
        </w:rPr>
      </w:pPr>
      <w:r>
        <w:rPr>
          <w:rFonts w:hint="eastAsia"/>
          <w:szCs w:val="32"/>
        </w:rPr>
        <w:t>（</w:t>
      </w:r>
      <w:r>
        <w:rPr>
          <w:rFonts w:ascii="仿宋_GB2312"/>
          <w:szCs w:val="32"/>
        </w:rPr>
        <w:t>2</w:t>
      </w:r>
      <w:r>
        <w:rPr>
          <w:rFonts w:hint="eastAsia"/>
          <w:szCs w:val="32"/>
        </w:rPr>
        <w:t>）住院收入中来自医保基金的比例：考核年度住院收入中来自医保基金的收入占住院收入的比例。</w:t>
      </w:r>
    </w:p>
    <w:p>
      <w:pPr>
        <w:spacing w:line="600" w:lineRule="exact"/>
        <w:rPr>
          <w:b/>
          <w:szCs w:val="32"/>
        </w:rPr>
      </w:pPr>
      <w:r>
        <w:rPr>
          <w:rFonts w:hint="eastAsia"/>
          <w:b/>
          <w:szCs w:val="32"/>
        </w:rPr>
        <w:t>【计算方法】</w:t>
      </w:r>
    </w:p>
    <w:p>
      <w:pPr>
        <w:spacing w:before="87" w:beforeLines="20" w:after="360" w:line="360" w:lineRule="auto"/>
        <w:ind w:right="-1043" w:rightChars="-326"/>
        <w:rPr>
          <w:rFonts w:ascii="仿宋_GB2312" w:hAnsi="黑体"/>
          <w:b/>
          <w:sz w:val="24"/>
        </w:rPr>
      </w:pPr>
      <m:oMathPara>
        <m:oMathParaPr>
          <m:jc m:val="left"/>
        </m:oMathParaPr>
        <m:oMath>
          <m:r>
            <m:rPr>
              <m:sty m:val="b"/>
            </m:rPr>
            <w:rPr>
              <w:rFonts w:ascii="Cambria Math" w:hAnsi="Cambria Math"/>
              <w:sz w:val="24"/>
            </w:rPr>
            <m:t xml:space="preserve">         </m:t>
          </m:r>
          <m:r>
            <m:rPr>
              <m:sty m:val="b"/>
            </m:rPr>
            <w:rPr>
              <w:rFonts w:hint="eastAsia" w:ascii="Cambria Math" w:hAnsi="Cambria Math"/>
              <w:sz w:val="24"/>
            </w:rPr>
            <m:t>（1）门诊收入中来自医保基金的比例=</m:t>
          </m:r>
          <m:f>
            <m:fPr>
              <m:ctrlPr>
                <w:rPr>
                  <w:rFonts w:hint="eastAsia" w:ascii="Cambria Math" w:hAnsi="Cambria Math"/>
                  <w:b/>
                  <w:sz w:val="24"/>
                </w:rPr>
              </m:ctrlPr>
            </m:fPr>
            <m:num>
              <m:r>
                <m:rPr>
                  <m:sty m:val="p"/>
                </m:rPr>
                <w:rPr>
                  <w:rFonts w:hint="eastAsia" w:ascii="Cambria Math" w:hAnsi="Cambria Math"/>
                  <w:sz w:val="24"/>
                </w:rPr>
                <m:t>门诊收入中来自医保基金的收入</m:t>
              </m:r>
              <m:ctrlPr>
                <w:rPr>
                  <w:rFonts w:hint="eastAsia" w:ascii="Cambria Math" w:hAnsi="Cambria Math"/>
                  <w:b/>
                  <w:sz w:val="24"/>
                </w:rPr>
              </m:ctrlPr>
            </m:num>
            <m:den>
              <m:r>
                <m:rPr>
                  <m:sty m:val="p"/>
                </m:rPr>
                <w:rPr>
                  <w:rFonts w:hint="eastAsia" w:ascii="Cambria Math" w:hAnsi="Cambria Math"/>
                  <w:sz w:val="24"/>
                </w:rPr>
                <m:t>门诊收入</m:t>
              </m:r>
              <m:ctrlPr>
                <w:rPr>
                  <w:rFonts w:hint="eastAsia" w:ascii="Cambria Math" w:hAnsi="Cambria Math"/>
                  <w:b/>
                  <w:sz w:val="24"/>
                </w:rPr>
              </m:ctrlPr>
            </m:den>
          </m:f>
          <m:r>
            <m:rPr>
              <m:sty m:val="b"/>
            </m:rPr>
            <w:rPr>
              <w:rFonts w:hint="eastAsia" w:ascii="Cambria Math" w:hAnsi="Cambria Math"/>
              <w:sz w:val="24"/>
            </w:rPr>
            <m:t>×</m:t>
          </m:r>
          <m:r>
            <m:rPr>
              <m:sty m:val="p"/>
            </m:rPr>
            <w:rPr>
              <w:rFonts w:hint="eastAsia" w:ascii="Cambria Math" w:hAnsi="Cambria Math"/>
              <w:sz w:val="24"/>
            </w:rPr>
            <m:t>100</m:t>
          </m:r>
          <m:r>
            <m:rPr>
              <m:sty m:val="b"/>
            </m:rPr>
            <w:rPr>
              <w:rFonts w:hint="eastAsia" w:ascii="Cambria Math" w:hAnsi="Cambria Math"/>
              <w:sz w:val="24"/>
            </w:rPr>
            <m:t>%</m:t>
          </m:r>
        </m:oMath>
      </m:oMathPara>
    </w:p>
    <w:p>
      <w:pPr>
        <w:spacing w:after="217" w:afterLines="50" w:line="360" w:lineRule="auto"/>
        <w:ind w:right="-1043" w:rightChars="-326"/>
        <w:rPr>
          <w:rFonts w:ascii="仿宋_GB2312" w:hAnsi="黑体"/>
          <w:sz w:val="24"/>
        </w:rPr>
      </w:pPr>
      <m:oMathPara>
        <m:oMathParaPr>
          <m:jc m:val="left"/>
        </m:oMathParaPr>
        <m:oMath>
          <m:r>
            <m:rPr>
              <m:sty m:val="b"/>
            </m:rPr>
            <w:rPr>
              <w:rFonts w:ascii="Cambria Math" w:hAnsi="Cambria Math"/>
              <w:sz w:val="24"/>
            </w:rPr>
            <m:t xml:space="preserve">         </m:t>
          </m:r>
          <m:r>
            <m:rPr>
              <m:sty m:val="b"/>
            </m:rPr>
            <w:rPr>
              <w:rFonts w:hint="eastAsia" w:ascii="Cambria Math" w:hAnsi="Cambria Math"/>
              <w:sz w:val="24"/>
            </w:rPr>
            <m:t>（2）住院收入中来自医保基金的比例=</m:t>
          </m:r>
          <m:f>
            <m:fPr>
              <m:ctrlPr>
                <w:rPr>
                  <w:rFonts w:hint="eastAsia" w:ascii="Cambria Math" w:hAnsi="Cambria Math"/>
                  <w:b/>
                  <w:sz w:val="24"/>
                </w:rPr>
              </m:ctrlPr>
            </m:fPr>
            <m:num>
              <m:r>
                <m:rPr>
                  <m:sty m:val="p"/>
                </m:rPr>
                <w:rPr>
                  <w:rFonts w:hint="eastAsia" w:ascii="Cambria Math" w:hAnsi="Cambria Math" w:cs="宋体"/>
                  <w:sz w:val="24"/>
                </w:rPr>
                <m:t>住院收入中来自医保基金的收入</m:t>
              </m:r>
              <m:ctrlPr>
                <w:rPr>
                  <w:rFonts w:hint="eastAsia" w:ascii="Cambria Math" w:hAnsi="Cambria Math"/>
                  <w:b/>
                  <w:sz w:val="24"/>
                </w:rPr>
              </m:ctrlPr>
            </m:num>
            <m:den>
              <m:r>
                <m:rPr>
                  <m:sty m:val="p"/>
                </m:rPr>
                <w:rPr>
                  <w:rFonts w:hint="eastAsia" w:ascii="Cambria Math" w:hAnsi="Cambria Math"/>
                  <w:sz w:val="24"/>
                </w:rPr>
                <m:t>住院收入</m:t>
              </m:r>
              <m:ctrlPr>
                <w:rPr>
                  <w:rFonts w:hint="eastAsia" w:ascii="Cambria Math" w:hAnsi="Cambria Math"/>
                  <w:b/>
                  <w:sz w:val="24"/>
                </w:rPr>
              </m:ctrlPr>
            </m:den>
          </m:f>
          <m:r>
            <m:rPr>
              <m:sty m:val="p"/>
            </m:rPr>
            <w:rPr>
              <w:rFonts w:hint="eastAsia" w:ascii="Cambria Math" w:hAnsi="Cambria Math"/>
              <w:sz w:val="24"/>
            </w:rPr>
            <m:t>×100%</m:t>
          </m:r>
        </m:oMath>
      </m:oMathPara>
    </w:p>
    <w:p>
      <w:pPr>
        <w:spacing w:line="360" w:lineRule="auto"/>
        <w:rPr>
          <w:rFonts w:ascii="仿宋_GB2312"/>
          <w:b/>
          <w:color w:val="000000" w:themeColor="text1"/>
          <w:sz w:val="28"/>
          <w:szCs w:val="28"/>
          <w14:textFill>
            <w14:solidFill>
              <w14:schemeClr w14:val="tx1"/>
            </w14:solidFill>
          </w14:textFill>
        </w:rPr>
      </w:pPr>
      <w:r>
        <w:rPr>
          <w:rFonts w:hint="eastAsia" w:ascii="仿宋_GB2312"/>
          <w:b/>
          <w:color w:val="000000" w:themeColor="text1"/>
          <w:sz w:val="28"/>
          <w:szCs w:val="28"/>
          <w14:textFill>
            <w14:solidFill>
              <w14:schemeClr w14:val="tx1"/>
            </w14:solidFill>
          </w14:textFill>
        </w:rPr>
        <w:t>延伸指标：</w:t>
      </w:r>
    </w:p>
    <w:p>
      <w:pPr>
        <w:rPr>
          <w:rFonts w:ascii="仿宋_GB2312" w:hAnsi="黑体"/>
          <w:sz w:val="28"/>
          <w:szCs w:val="28"/>
        </w:rPr>
      </w:pPr>
      <m:oMathPara>
        <m:oMath>
          <m:r>
            <m:rPr>
              <m:sty m:val="b"/>
            </m:rPr>
            <w:rPr>
              <w:rFonts w:hint="eastAsia" w:ascii="Cambria Math" w:hAnsi="Cambria Math" w:cs="Cambria Math"/>
              <w:sz w:val="24"/>
              <w:szCs w:val="28"/>
            </w:rPr>
            <m:t>医保基金回款率</m:t>
          </m:r>
          <m:r>
            <m:rPr>
              <m:sty m:val="p"/>
            </m:rPr>
            <w:rPr>
              <w:rFonts w:hint="eastAsia" w:ascii="Cambria Math" w:hAnsi="Cambria Math" w:cs="Cambria Math"/>
              <w:sz w:val="24"/>
              <w:szCs w:val="28"/>
            </w:rPr>
            <m:t>=</m:t>
          </m:r>
          <m:f>
            <m:fPr>
              <m:ctrlPr>
                <w:rPr>
                  <w:rFonts w:hint="eastAsia" w:ascii="Cambria Math" w:hAnsi="Cambria Math"/>
                  <w:sz w:val="24"/>
                  <w:szCs w:val="28"/>
                </w:rPr>
              </m:ctrlPr>
            </m:fPr>
            <m:num>
              <m:r>
                <m:rPr>
                  <m:sty m:val="p"/>
                </m:rPr>
                <w:rPr>
                  <w:rFonts w:hint="eastAsia" w:ascii="Cambria Math" w:hAnsi="Cambria Math" w:cs="Cambria Math"/>
                  <w:sz w:val="24"/>
                  <w:szCs w:val="28"/>
                </w:rPr>
                <m:t>从医保基金收到的款项</m:t>
              </m:r>
              <m:ctrlPr>
                <w:rPr>
                  <w:rFonts w:hint="eastAsia" w:ascii="Cambria Math" w:hAnsi="Cambria Math"/>
                  <w:sz w:val="24"/>
                  <w:szCs w:val="28"/>
                </w:rPr>
              </m:ctrlPr>
            </m:num>
            <m:den>
              <m:r>
                <m:rPr>
                  <m:sty m:val="p"/>
                </m:rPr>
                <w:rPr>
                  <w:rFonts w:hint="eastAsia" w:ascii="Cambria Math" w:hAnsi="Cambria Math" w:cs="Cambria Math"/>
                  <w:sz w:val="24"/>
                  <w:szCs w:val="28"/>
                </w:rPr>
                <m:t>医疗收入中来自医保基金的收入</m:t>
              </m:r>
              <m:ctrlPr>
                <w:rPr>
                  <w:rFonts w:hint="eastAsia" w:ascii="Cambria Math" w:hAnsi="Cambria Math"/>
                  <w:sz w:val="24"/>
                  <w:szCs w:val="28"/>
                </w:rPr>
              </m:ctrlPr>
            </m:den>
          </m:f>
          <m:r>
            <m:rPr>
              <m:sty m:val="p"/>
            </m:rPr>
            <w:rPr>
              <w:rFonts w:hint="eastAsia" w:ascii="Cambria Math" w:hAnsi="Cambria Math"/>
              <w:sz w:val="24"/>
              <w:szCs w:val="28"/>
            </w:rPr>
            <m:t>×100%</m:t>
          </m:r>
          <m:r>
            <m:rPr>
              <m:sty m:val="p"/>
            </m:rPr>
            <w:rPr>
              <w:rFonts w:ascii="Cambria Math" w:hAnsi="Cambria Math"/>
              <w:sz w:val="24"/>
              <w:szCs w:val="28"/>
            </w:rPr>
            <m:t xml:space="preserve">                    </m:t>
          </m:r>
        </m:oMath>
      </m:oMathPara>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szCs w:val="32"/>
        </w:rPr>
        <w:t>（</w:t>
      </w:r>
      <w:r>
        <w:rPr>
          <w:rFonts w:ascii="仿宋_GB2312"/>
          <w:szCs w:val="32"/>
        </w:rPr>
        <w:t>1</w:t>
      </w:r>
      <w:r>
        <w:rPr>
          <w:rFonts w:hint="eastAsia"/>
          <w:szCs w:val="32"/>
        </w:rPr>
        <w:t>）分子</w:t>
      </w:r>
    </w:p>
    <w:p>
      <w:pPr>
        <w:adjustRightInd w:val="0"/>
        <w:spacing w:line="600" w:lineRule="exact"/>
        <w:ind w:firstLine="640" w:firstLineChars="200"/>
        <w:rPr>
          <w:szCs w:val="32"/>
        </w:rPr>
      </w:pPr>
      <w:r>
        <w:rPr>
          <w:rFonts w:hint="eastAsia"/>
          <w:szCs w:val="32"/>
        </w:rPr>
        <w:t>分子</w:t>
      </w:r>
      <w:r>
        <w:rPr>
          <w:rFonts w:ascii="仿宋_GB2312"/>
          <w:szCs w:val="32"/>
        </w:rPr>
        <w:t>1</w:t>
      </w:r>
      <w:r>
        <w:rPr>
          <w:rFonts w:hint="eastAsia"/>
          <w:szCs w:val="32"/>
        </w:rPr>
        <w:t>：门诊收入中来自医保基金的收入</w:t>
      </w:r>
      <w:r>
        <w:rPr>
          <w:rStyle w:val="34"/>
          <w:rFonts w:ascii="仿宋_GB2312"/>
          <w:szCs w:val="32"/>
        </w:rPr>
        <w:footnoteReference w:id="36"/>
      </w:r>
      <w:r>
        <w:rPr>
          <w:rFonts w:hint="eastAsia"/>
          <w:szCs w:val="32"/>
        </w:rPr>
        <w:t>指医院为医保患者提供门急诊医疗服务活动取得的收入中，应由医疗保险机构直接支付的部分。</w:t>
      </w:r>
    </w:p>
    <w:p>
      <w:pPr>
        <w:adjustRightInd w:val="0"/>
        <w:spacing w:line="600" w:lineRule="exact"/>
        <w:ind w:firstLine="640" w:firstLineChars="200"/>
        <w:rPr>
          <w:szCs w:val="32"/>
        </w:rPr>
      </w:pPr>
      <w:r>
        <w:rPr>
          <w:rFonts w:hint="eastAsia"/>
          <w:szCs w:val="32"/>
        </w:rPr>
        <w:t>分子</w:t>
      </w:r>
      <w:r>
        <w:rPr>
          <w:rFonts w:ascii="仿宋_GB2312"/>
          <w:szCs w:val="32"/>
        </w:rPr>
        <w:t>2</w:t>
      </w:r>
      <w:r>
        <w:rPr>
          <w:rFonts w:hint="eastAsia"/>
          <w:szCs w:val="32"/>
        </w:rPr>
        <w:t>：住院收入中来自医保基金的收入指医院为医保患者提供住院医疗服务活动取得的收入中，应由医疗保险机构直接支付的部分。</w:t>
      </w:r>
    </w:p>
    <w:p>
      <w:pPr>
        <w:adjustRightInd w:val="0"/>
        <w:spacing w:line="600" w:lineRule="exact"/>
        <w:ind w:firstLine="640" w:firstLineChars="200"/>
        <w:rPr>
          <w:szCs w:val="32"/>
        </w:rPr>
      </w:pPr>
      <w:r>
        <w:rPr>
          <w:rFonts w:hint="eastAsia"/>
          <w:szCs w:val="32"/>
        </w:rPr>
        <w:t>（</w:t>
      </w:r>
      <w:r>
        <w:rPr>
          <w:rFonts w:ascii="仿宋_GB2312"/>
          <w:szCs w:val="32"/>
        </w:rPr>
        <w:t>2</w:t>
      </w:r>
      <w:r>
        <w:rPr>
          <w:rFonts w:hint="eastAsia"/>
          <w:szCs w:val="32"/>
        </w:rPr>
        <w:t>）分母</w:t>
      </w:r>
    </w:p>
    <w:p>
      <w:pPr>
        <w:adjustRightInd w:val="0"/>
        <w:spacing w:line="600" w:lineRule="exact"/>
        <w:ind w:firstLine="640" w:firstLineChars="200"/>
        <w:rPr>
          <w:szCs w:val="32"/>
        </w:rPr>
      </w:pPr>
      <w:r>
        <w:rPr>
          <w:rFonts w:hint="eastAsia"/>
          <w:szCs w:val="32"/>
        </w:rPr>
        <w:t>分母</w:t>
      </w:r>
      <w:r>
        <w:rPr>
          <w:rFonts w:ascii="仿宋_GB2312"/>
          <w:szCs w:val="32"/>
        </w:rPr>
        <w:t>1</w:t>
      </w:r>
      <w:r>
        <w:rPr>
          <w:rFonts w:hint="eastAsia"/>
          <w:szCs w:val="32"/>
        </w:rPr>
        <w:t>：门诊收入指医院开展门急诊医疗服务活动取得的收入，包括门诊、急诊、健康体检收入等。</w:t>
      </w:r>
    </w:p>
    <w:p>
      <w:pPr>
        <w:adjustRightInd w:val="0"/>
        <w:spacing w:line="600" w:lineRule="exact"/>
        <w:ind w:firstLine="640" w:firstLineChars="200"/>
        <w:rPr>
          <w:szCs w:val="32"/>
        </w:rPr>
      </w:pPr>
      <w:r>
        <w:rPr>
          <w:rFonts w:hint="eastAsia"/>
          <w:szCs w:val="32"/>
        </w:rPr>
        <w:t>分母</w:t>
      </w:r>
      <w:r>
        <w:rPr>
          <w:rFonts w:ascii="仿宋_GB2312"/>
          <w:szCs w:val="32"/>
        </w:rPr>
        <w:t>2</w:t>
      </w:r>
      <w:r>
        <w:rPr>
          <w:rFonts w:hint="eastAsia"/>
          <w:szCs w:val="32"/>
        </w:rPr>
        <w:t>：住院收入指医院开展住院医疗服务活动取得的收入。</w:t>
      </w:r>
    </w:p>
    <w:p>
      <w:pPr>
        <w:adjustRightInd w:val="0"/>
        <w:spacing w:line="600" w:lineRule="exact"/>
        <w:ind w:firstLine="640" w:firstLineChars="200"/>
        <w:rPr>
          <w:szCs w:val="32"/>
        </w:rPr>
      </w:pPr>
      <w:r>
        <w:rPr>
          <w:rFonts w:hint="eastAsia"/>
          <w:szCs w:val="32"/>
        </w:rPr>
        <w:t>（</w:t>
      </w:r>
      <w:r>
        <w:rPr>
          <w:rFonts w:ascii="仿宋_GB2312"/>
          <w:szCs w:val="32"/>
        </w:rPr>
        <w:t>3</w:t>
      </w:r>
      <w:r>
        <w:rPr>
          <w:rFonts w:hint="eastAsia"/>
          <w:szCs w:val="32"/>
        </w:rPr>
        <w:t>）“门诊收入中来自医保基金的比例”、“住院收入中来自医保基金的比例”可用于医院自身纵向比较，而不在医院之间进行比较评价。</w:t>
      </w:r>
    </w:p>
    <w:p>
      <w:pPr>
        <w:adjustRightInd w:val="0"/>
        <w:spacing w:line="600" w:lineRule="exact"/>
        <w:ind w:firstLine="640" w:firstLineChars="200"/>
        <w:rPr>
          <w:szCs w:val="32"/>
        </w:rPr>
      </w:pPr>
      <w:r>
        <w:rPr>
          <w:rFonts w:hint="eastAsia"/>
          <w:szCs w:val="32"/>
        </w:rPr>
        <w:t>（</w:t>
      </w:r>
      <w:r>
        <w:rPr>
          <w:rFonts w:ascii="仿宋_GB2312"/>
          <w:szCs w:val="32"/>
        </w:rPr>
        <w:t>4</w:t>
      </w:r>
      <w:r>
        <w:rPr>
          <w:rFonts w:hint="eastAsia"/>
          <w:szCs w:val="32"/>
        </w:rPr>
        <w:t>）个别未签署门诊医疗保险服务协议的专科医院不参与此项指标考核。</w:t>
      </w:r>
    </w:p>
    <w:p>
      <w:pPr>
        <w:adjustRightInd w:val="0"/>
        <w:spacing w:line="600" w:lineRule="exact"/>
        <w:ind w:firstLine="640" w:firstLineChars="200"/>
        <w:rPr>
          <w:szCs w:val="32"/>
        </w:rPr>
      </w:pPr>
      <w:r>
        <w:rPr>
          <w:rFonts w:hint="eastAsia"/>
          <w:szCs w:val="32"/>
        </w:rPr>
        <w:t>（</w:t>
      </w:r>
      <w:r>
        <w:rPr>
          <w:rFonts w:ascii="仿宋_GB2312"/>
          <w:szCs w:val="32"/>
        </w:rPr>
        <w:t>5</w:t>
      </w:r>
      <w:r>
        <w:rPr>
          <w:rFonts w:hint="eastAsia"/>
          <w:szCs w:val="32"/>
        </w:rPr>
        <w:t>）延伸指标：医保基金回款率。为了分析、反映医疗保险机构向医院支付医保患者医药费用的回款情况，增设此项延伸指标。考虑到各地医保结算情况以及信息化程度的差异，此项指标不区分门急诊和住院。</w:t>
      </w:r>
      <w:r>
        <w:t>从医保基金收到的款项按会计年度（财务报表年度）统计，以当年实际收到的医保基金返款数进行填报。</w:t>
      </w:r>
    </w:p>
    <w:p>
      <w:pPr>
        <w:spacing w:line="600" w:lineRule="exact"/>
        <w:rPr>
          <w:b/>
          <w:szCs w:val="32"/>
        </w:rPr>
      </w:pPr>
      <w:r>
        <w:rPr>
          <w:rFonts w:hint="eastAsia"/>
          <w:b/>
          <w:szCs w:val="32"/>
        </w:rPr>
        <w:t>【指标意义】</w:t>
      </w:r>
    </w:p>
    <w:p>
      <w:pPr>
        <w:widowControl/>
        <w:adjustRightInd w:val="0"/>
        <w:spacing w:line="600" w:lineRule="exact"/>
        <w:ind w:firstLine="640" w:firstLineChars="200"/>
        <w:rPr>
          <w:szCs w:val="32"/>
        </w:rPr>
      </w:pPr>
      <w:r>
        <w:rPr>
          <w:rFonts w:hint="eastAsia"/>
          <w:szCs w:val="32"/>
        </w:rPr>
        <w:t>《人力资源社会保障部关于积极推动医疗、医保、医药联动改革的指导意见》（人社部发</w:t>
      </w:r>
      <w:r>
        <w:rPr>
          <w:rFonts w:hint="eastAsia" w:ascii="仿宋_GB2312"/>
          <w:szCs w:val="32"/>
        </w:rPr>
        <w:t>〔</w:t>
      </w:r>
      <w:r>
        <w:rPr>
          <w:rFonts w:ascii="仿宋_GB2312"/>
          <w:szCs w:val="32"/>
        </w:rPr>
        <w:t>2016</w:t>
      </w:r>
      <w:r>
        <w:rPr>
          <w:rFonts w:hint="eastAsia" w:ascii="仿宋_GB2312"/>
          <w:szCs w:val="32"/>
        </w:rPr>
        <w:t>〕</w:t>
      </w:r>
      <w:r>
        <w:rPr>
          <w:rFonts w:ascii="仿宋_GB2312"/>
          <w:szCs w:val="32"/>
        </w:rPr>
        <w:t>56</w:t>
      </w:r>
      <w:r>
        <w:rPr>
          <w:rFonts w:hint="eastAsia"/>
          <w:szCs w:val="32"/>
        </w:rPr>
        <w:t>号）要求，加快推进医保统筹，继续深化医保支付方式改革，发挥支付方式在规范医疗服务行为、控制医疗费用不合理增长方面的积极作用，加强与公立医院改革、价格改革等各方联动，同步推进医疗、医药领域的供给侧改革。</w:t>
      </w:r>
    </w:p>
    <w:p>
      <w:pPr>
        <w:widowControl/>
        <w:spacing w:line="600" w:lineRule="exact"/>
        <w:ind w:firstLine="640" w:firstLineChars="200"/>
        <w:rPr>
          <w:rFonts w:ascii="仿宋_GB2312"/>
          <w:szCs w:val="32"/>
        </w:rPr>
      </w:pPr>
      <w:r>
        <w:rPr>
          <w:rFonts w:hint="eastAsia" w:ascii="仿宋_GB2312"/>
          <w:szCs w:val="32"/>
        </w:rPr>
        <w:t>《国务院办公厅印发关于加快中医药特色发展若干政策措施的通知》</w:t>
      </w:r>
      <w:r>
        <w:rPr>
          <w:rFonts w:hint="eastAsia" w:ascii="仿宋_GB2312"/>
          <w:b w:val="0"/>
          <w:bCs w:val="0"/>
          <w:color w:val="auto"/>
          <w:szCs w:val="32"/>
        </w:rPr>
        <w:t>（国办发〔2021〕3号）</w:t>
      </w:r>
      <w:r>
        <w:rPr>
          <w:rFonts w:hint="eastAsia" w:ascii="仿宋_GB2312"/>
          <w:szCs w:val="32"/>
        </w:rPr>
        <w:t>、《国务院办公厅关于推动公立医院高质量发展的意见》</w:t>
      </w:r>
      <w:r>
        <w:rPr>
          <w:rFonts w:hint="eastAsia" w:ascii="仿宋_GB2312"/>
          <w:b w:val="0"/>
          <w:bCs w:val="0"/>
          <w:color w:val="auto"/>
          <w:szCs w:val="32"/>
        </w:rPr>
        <w:t>（国办发</w:t>
      </w:r>
      <w:r>
        <w:rPr>
          <w:rFonts w:hint="eastAsia" w:ascii="宋体" w:hAnsi="宋体" w:cs="宋体"/>
          <w:b w:val="0"/>
          <w:bCs w:val="0"/>
          <w:color w:val="auto"/>
          <w:szCs w:val="32"/>
        </w:rPr>
        <w:t>〔</w:t>
      </w:r>
      <w:r>
        <w:rPr>
          <w:rFonts w:ascii="仿宋_GB2312"/>
          <w:b w:val="0"/>
          <w:bCs w:val="0"/>
          <w:color w:val="auto"/>
          <w:szCs w:val="32"/>
        </w:rPr>
        <w:t>2021</w:t>
      </w:r>
      <w:r>
        <w:rPr>
          <w:rFonts w:hint="eastAsia" w:ascii="宋体" w:hAnsi="宋体" w:cs="宋体"/>
          <w:b w:val="0"/>
          <w:bCs w:val="0"/>
          <w:color w:val="auto"/>
          <w:szCs w:val="32"/>
        </w:rPr>
        <w:t>〕</w:t>
      </w:r>
      <w:r>
        <w:rPr>
          <w:rFonts w:ascii="仿宋_GB2312"/>
          <w:b w:val="0"/>
          <w:bCs w:val="0"/>
          <w:color w:val="auto"/>
          <w:szCs w:val="32"/>
        </w:rPr>
        <w:t>18</w:t>
      </w:r>
      <w:r>
        <w:rPr>
          <w:rFonts w:hint="eastAsia" w:ascii="仿宋_GB2312"/>
          <w:b w:val="0"/>
          <w:bCs w:val="0"/>
          <w:color w:val="auto"/>
          <w:szCs w:val="32"/>
        </w:rPr>
        <w:t>号）</w:t>
      </w:r>
      <w:r>
        <w:rPr>
          <w:rFonts w:hint="eastAsia" w:ascii="仿宋_GB2312"/>
          <w:szCs w:val="32"/>
        </w:rPr>
        <w:t>、</w:t>
      </w:r>
      <w:r>
        <w:rPr>
          <w:rFonts w:hint="eastAsia" w:ascii="仿宋" w:hAnsi="仿宋" w:eastAsia="仿宋" w:cs="宋体"/>
          <w:kern w:val="0"/>
          <w:szCs w:val="32"/>
        </w:rPr>
        <w:t>国家医疗保障局、国家中医药管理局《关于医保支持中医药传承创新发展的指导意见》</w:t>
      </w:r>
      <w:r>
        <w:rPr>
          <w:rFonts w:hint="eastAsia" w:ascii="仿宋_GB2312"/>
          <w:szCs w:val="32"/>
        </w:rPr>
        <w:t>（医保函</w:t>
      </w:r>
      <w:r>
        <w:rPr>
          <w:rFonts w:hint="eastAsia" w:ascii="宋体" w:hAnsi="宋体" w:cs="宋体"/>
          <w:szCs w:val="32"/>
        </w:rPr>
        <w:t>〔</w:t>
      </w:r>
      <w:r>
        <w:rPr>
          <w:rFonts w:ascii="仿宋_GB2312"/>
          <w:szCs w:val="32"/>
        </w:rPr>
        <w:t>2021</w:t>
      </w:r>
      <w:r>
        <w:rPr>
          <w:rFonts w:hint="eastAsia" w:ascii="宋体" w:hAnsi="宋体" w:cs="宋体"/>
          <w:szCs w:val="32"/>
        </w:rPr>
        <w:t>〕</w:t>
      </w:r>
      <w:r>
        <w:rPr>
          <w:rFonts w:ascii="仿宋_GB2312"/>
          <w:szCs w:val="32"/>
        </w:rPr>
        <w:t>229</w:t>
      </w:r>
      <w:r>
        <w:rPr>
          <w:rFonts w:hint="eastAsia" w:ascii="仿宋_GB2312"/>
          <w:szCs w:val="32"/>
        </w:rPr>
        <w:t>号）提出</w:t>
      </w:r>
      <w:r>
        <w:rPr>
          <w:rFonts w:hint="eastAsia" w:ascii="仿宋_GB2312" w:hAnsi="宋体" w:cs="宋体"/>
          <w:kern w:val="0"/>
          <w:szCs w:val="32"/>
        </w:rPr>
        <w:t>推进中医医保支付方式改革。一般中医医疗服务项目可继续按项目付费。探索实施中医病种按病种分值付费，遴选中医病种，合理确定分值，实施动态调整。优先将国家发布的中医优势病种纳入按病种付费范围。中医医疗机构可暂不实行按疾病诊断相关分组</w:t>
      </w:r>
      <w:r>
        <w:rPr>
          <w:rFonts w:ascii="仿宋_GB2312" w:hAnsi="宋体" w:cs="宋体"/>
          <w:kern w:val="0"/>
          <w:szCs w:val="32"/>
        </w:rPr>
        <w:t>(DRG)付费，对已经实行DRG和按病种分值付费的地区，适当提高中医医疗机构、中医病种的系数和分值，充分体现中医药服务特点和优势。对康复医疗、</w:t>
      </w:r>
      <w:r>
        <w:rPr>
          <w:rFonts w:hint="eastAsia" w:ascii="仿宋_GB2312" w:hAnsi="宋体" w:cs="宋体"/>
          <w:kern w:val="0"/>
          <w:szCs w:val="32"/>
        </w:rPr>
        <w:t>安宁疗护等需长期住院治疗的中医优势病种，可按床日付费。探索对治疗周期长、风险可控、需持续治疗的中医病种，开展日间中医医疗服务，实施按病种付费，合理确定付费标准，国家统一制定日间病房的病种目录。</w:t>
      </w:r>
      <w:r>
        <w:rPr>
          <w:rFonts w:hint="eastAsia" w:ascii="仿宋_GB2312"/>
          <w:szCs w:val="32"/>
        </w:rPr>
        <w:t>规范医保协议管理，明确结算时限，细化结算规则，确保基金及时足额拨付。</w:t>
      </w:r>
    </w:p>
    <w:p>
      <w:pPr>
        <w:widowControl/>
        <w:adjustRightInd w:val="0"/>
        <w:spacing w:line="600" w:lineRule="exact"/>
        <w:ind w:firstLine="640" w:firstLineChars="200"/>
        <w:rPr>
          <w:szCs w:val="32"/>
        </w:rPr>
      </w:pPr>
      <w:r>
        <w:rPr>
          <w:rFonts w:hint="eastAsia"/>
          <w:szCs w:val="32"/>
        </w:rPr>
        <w:t>该指标和延伸指标分别反映医院门急诊收入、</w:t>
      </w:r>
      <w:r>
        <w:rPr>
          <w:szCs w:val="32"/>
        </w:rPr>
        <w:t>住院收入</w:t>
      </w:r>
      <w:r>
        <w:rPr>
          <w:rFonts w:hint="eastAsia"/>
          <w:szCs w:val="32"/>
        </w:rPr>
        <w:t>中医保患者费用占比情况以及医保基金对医院的回款情况，体现医保相关制度对医院经济运行的影响程度。</w:t>
      </w:r>
    </w:p>
    <w:p>
      <w:pPr>
        <w:spacing w:line="600" w:lineRule="exact"/>
        <w:rPr>
          <w:b/>
          <w:sz w:val="21"/>
          <w:szCs w:val="22"/>
        </w:rPr>
      </w:pPr>
      <w:r>
        <w:rPr>
          <w:rFonts w:hint="eastAsia"/>
          <w:b/>
          <w:szCs w:val="32"/>
        </w:rPr>
        <w:t>【指标导向】</w:t>
      </w:r>
      <w:r>
        <w:rPr>
          <w:rFonts w:hint="eastAsia"/>
          <w:szCs w:val="32"/>
        </w:rPr>
        <w:t>监测比较。</w:t>
      </w:r>
    </w:p>
    <w:p>
      <w:pPr>
        <w:spacing w:line="600" w:lineRule="exact"/>
        <w:rPr>
          <w:szCs w:val="32"/>
        </w:rPr>
      </w:pPr>
      <w:r>
        <w:rPr>
          <w:rFonts w:hint="eastAsia"/>
          <w:b/>
          <w:szCs w:val="32"/>
        </w:rPr>
        <w:t>【指标来源】</w:t>
      </w:r>
      <w:r>
        <w:rPr>
          <w:rFonts w:hint="eastAsia" w:ascii="仿宋_GB2312"/>
          <w:szCs w:val="32"/>
        </w:rPr>
        <w:t>医院填报、</w:t>
      </w:r>
      <w:r>
        <w:rPr>
          <w:rFonts w:hint="eastAsia"/>
          <w:szCs w:val="32"/>
        </w:rPr>
        <w:t>财务年报表。</w:t>
      </w:r>
    </w:p>
    <w:p>
      <w:pPr>
        <w:spacing w:line="600" w:lineRule="exact"/>
        <w:rPr>
          <w:b/>
          <w:szCs w:val="32"/>
        </w:rPr>
      </w:pPr>
      <w:r>
        <w:rPr>
          <w:rFonts w:hint="eastAsia"/>
          <w:b/>
          <w:szCs w:val="32"/>
        </w:rPr>
        <w:t>【指标解释】</w:t>
      </w:r>
      <w:r>
        <w:rPr>
          <w:rFonts w:hint="eastAsia"/>
          <w:szCs w:val="32"/>
        </w:rPr>
        <w:t>国家卫生健康委、省级卫生健康委。</w:t>
      </w:r>
    </w:p>
    <w:p>
      <w:pPr>
        <w:spacing w:line="360" w:lineRule="auto"/>
        <w:rPr>
          <w:b/>
          <w:sz w:val="21"/>
          <w:szCs w:val="22"/>
        </w:rPr>
      </w:pPr>
    </w:p>
    <w:p>
      <w:pPr>
        <w:widowControl/>
        <w:spacing w:line="600" w:lineRule="exact"/>
        <w:rPr>
          <w:rFonts w:eastAsia="仿宋"/>
          <w:b/>
          <w:kern w:val="0"/>
          <w:szCs w:val="32"/>
        </w:rPr>
      </w:pPr>
      <w:r>
        <w:rPr>
          <w:rFonts w:eastAsia="仿宋"/>
          <w:b/>
          <w:kern w:val="0"/>
          <w:szCs w:val="32"/>
        </w:rPr>
        <w:br w:type="page"/>
      </w:r>
    </w:p>
    <w:p>
      <w:pPr>
        <w:spacing w:line="600" w:lineRule="atLeast"/>
        <w:jc w:val="left"/>
        <w:rPr>
          <w:rFonts w:ascii="仿宋_GB2312"/>
          <w:b/>
          <w:shd w:val="clear" w:color="auto" w:fill="FFFFFF"/>
        </w:rPr>
      </w:pPr>
      <w:r>
        <w:rPr>
          <w:rFonts w:ascii="仿宋_GB2312"/>
          <w:b/>
          <w:szCs w:val="32"/>
          <w:shd w:val="clear" w:color="auto" w:fill="FFFFFF"/>
        </w:rPr>
        <w:t>22</w:t>
      </w:r>
      <w:r>
        <w:rPr>
          <w:rFonts w:hint="eastAsia" w:ascii="仿宋_GB2312"/>
          <w:b/>
          <w:szCs w:val="32"/>
          <w:shd w:val="clear" w:color="auto" w:fill="FFFFFF"/>
        </w:rPr>
        <w:t>.</w:t>
      </w:r>
      <w:r>
        <w:rPr>
          <w:rFonts w:hint="eastAsia" w:ascii="仿宋_GB2312"/>
          <w:b/>
          <w:shd w:val="clear" w:color="auto" w:fill="FFFFFF"/>
        </w:rPr>
        <w:t>中药饮片收入占药品收入比例▲</w:t>
      </w:r>
    </w:p>
    <w:p>
      <w:pPr>
        <w:spacing w:line="600" w:lineRule="atLeast"/>
        <w:ind w:right="-499" w:rightChars="-156"/>
        <w:rPr>
          <w:rFonts w:ascii="仿宋_GB2312"/>
          <w:shd w:val="clear" w:color="auto" w:fill="FFFFFF"/>
        </w:rPr>
      </w:pPr>
      <w:r>
        <w:rPr>
          <w:rFonts w:hint="eastAsia" w:ascii="仿宋_GB2312"/>
          <w:b/>
          <w:shd w:val="clear" w:color="auto" w:fill="FFFFFF"/>
        </w:rPr>
        <w:t>【指标属性】</w:t>
      </w:r>
      <w:r>
        <w:rPr>
          <w:rFonts w:hint="eastAsia" w:ascii="仿宋_GB2312"/>
          <w:shd w:val="clear" w:color="auto" w:fill="FFFFFF"/>
        </w:rPr>
        <w:t>定量指标</w:t>
      </w:r>
      <w:r>
        <w:rPr>
          <w:rFonts w:hint="eastAsia" w:ascii="仿宋_GB2312"/>
          <w:szCs w:val="32"/>
          <w:shd w:val="clear" w:color="auto" w:fill="FFFFFF"/>
        </w:rPr>
        <w:t>、国家监测指标。</w:t>
      </w:r>
    </w:p>
    <w:p>
      <w:pPr>
        <w:spacing w:line="600" w:lineRule="atLeast"/>
        <w:jc w:val="left"/>
        <w:rPr>
          <w:rFonts w:ascii="仿宋_GB2312"/>
          <w:shd w:val="clear" w:color="auto" w:fill="FFFFFF"/>
        </w:rPr>
      </w:pPr>
      <w:r>
        <w:rPr>
          <w:rFonts w:hint="eastAsia" w:ascii="仿宋_GB2312"/>
          <w:b/>
          <w:shd w:val="clear" w:color="auto" w:fill="FFFFFF"/>
        </w:rPr>
        <w:t>【计量单位】</w:t>
      </w:r>
      <w:r>
        <w:rPr>
          <w:rFonts w:hint="eastAsia" w:ascii="仿宋_GB2312"/>
          <w:shd w:val="clear" w:color="auto" w:fill="FFFFFF"/>
        </w:rPr>
        <w:t>百分比（</w:t>
      </w:r>
      <w:r>
        <w:rPr>
          <w:rFonts w:hint="eastAsia" w:ascii="仿宋_GB2312"/>
          <w:szCs w:val="32"/>
          <w:shd w:val="clear" w:color="auto" w:fill="FFFFFF"/>
        </w:rPr>
        <w:t>%</w:t>
      </w:r>
      <w:r>
        <w:rPr>
          <w:rFonts w:hint="eastAsia" w:ascii="仿宋_GB2312"/>
          <w:shd w:val="clear" w:color="auto" w:fill="FFFFFF"/>
        </w:rPr>
        <w:t>）</w:t>
      </w:r>
    </w:p>
    <w:p>
      <w:pPr>
        <w:spacing w:line="600" w:lineRule="atLeast"/>
        <w:jc w:val="left"/>
        <w:rPr>
          <w:rFonts w:ascii="仿宋_GB2312"/>
          <w:b/>
          <w:shd w:val="clear" w:color="auto" w:fill="FFFFFF"/>
        </w:rPr>
      </w:pPr>
      <w:r>
        <w:rPr>
          <w:rFonts w:hint="eastAsia" w:ascii="仿宋_GB2312"/>
          <w:b/>
          <w:shd w:val="clear" w:color="auto" w:fill="FFFFFF"/>
        </w:rPr>
        <w:t>【指标定义】</w:t>
      </w:r>
    </w:p>
    <w:p>
      <w:pPr>
        <w:spacing w:line="600" w:lineRule="atLeast"/>
        <w:ind w:firstLine="640" w:firstLineChars="200"/>
        <w:jc w:val="left"/>
        <w:rPr>
          <w:rFonts w:ascii="仿宋_GB2312"/>
          <w:shd w:val="clear" w:color="auto" w:fill="FFFFFF"/>
        </w:rPr>
      </w:pPr>
      <w:r>
        <w:rPr>
          <w:rFonts w:hint="eastAsia" w:ascii="仿宋_GB2312"/>
          <w:shd w:val="clear" w:color="auto" w:fill="FFFFFF"/>
        </w:rPr>
        <w:t>考核年度中药饮片收入占药品收入的比例。</w:t>
      </w:r>
    </w:p>
    <w:p>
      <w:pPr>
        <w:spacing w:line="600" w:lineRule="atLeast"/>
        <w:jc w:val="left"/>
        <w:rPr>
          <w:rFonts w:ascii="仿宋_GB2312"/>
          <w:b/>
          <w:shd w:val="clear" w:color="auto" w:fill="FFFFFF"/>
        </w:rPr>
      </w:pPr>
      <w:r>
        <w:rPr>
          <w:rFonts w:hint="eastAsia" w:ascii="仿宋_GB2312"/>
          <w:b/>
          <w:shd w:val="clear" w:color="auto" w:fill="FFFFFF"/>
        </w:rPr>
        <w:t>【计算方法】</w:t>
      </w:r>
    </w:p>
    <w:p>
      <w:pPr>
        <w:spacing w:line="600" w:lineRule="atLeast"/>
        <w:jc w:val="left"/>
        <w:rPr>
          <w:rFonts w:ascii="仿宋_GB2312" w:eastAsiaTheme="minorEastAsia"/>
          <w:b/>
          <w:shd w:val="clear" w:color="auto" w:fill="FFFFFF"/>
        </w:rPr>
      </w:pPr>
      <m:oMathPara>
        <m:oMath>
          <m:r>
            <m:rPr>
              <m:sty m:val="b"/>
            </m:rPr>
            <w:rPr>
              <w:rFonts w:hint="eastAsia" w:ascii="Cambria Math" w:hAnsi="Cambria Math"/>
              <w:sz w:val="24"/>
              <w:shd w:val="clear" w:color="auto" w:fill="FFFFFF"/>
            </w:rPr>
            <m:t>中药饮片收入占药品收入比例</m:t>
          </m:r>
          <m:r>
            <m:rPr>
              <m:sty m:val="p"/>
            </m:rPr>
            <w:rPr>
              <w:rFonts w:hint="eastAsia" w:ascii="Cambria Math" w:hAnsi="Cambria Math"/>
              <w:sz w:val="24"/>
              <w:shd w:val="clear" w:color="auto" w:fill="FFFFFF"/>
            </w:rPr>
            <m:t>=</m:t>
          </m:r>
          <m:f>
            <m:fPr>
              <m:ctrlPr>
                <w:rPr>
                  <w:rFonts w:ascii="Cambria Math" w:hAnsi="Cambria Math"/>
                  <w:sz w:val="24"/>
                  <w:shd w:val="clear" w:color="auto" w:fill="FFFFFF"/>
                </w:rPr>
              </m:ctrlPr>
            </m:fPr>
            <m:num>
              <m:r>
                <m:rPr>
                  <m:sty m:val="p"/>
                </m:rPr>
                <w:rPr>
                  <w:rFonts w:hint="eastAsia" w:ascii="Cambria Math" w:hAnsi="Cambria Math"/>
                  <w:sz w:val="24"/>
                  <w:shd w:val="clear" w:color="auto" w:fill="FFFFFF"/>
                </w:rPr>
                <m:t>中药饮片收入</m:t>
              </m:r>
              <m:ctrlPr>
                <w:rPr>
                  <w:rFonts w:ascii="Cambria Math" w:hAnsi="Cambria Math"/>
                  <w:sz w:val="24"/>
                  <w:shd w:val="clear" w:color="auto" w:fill="FFFFFF"/>
                </w:rPr>
              </m:ctrlPr>
            </m:num>
            <m:den>
              <m:r>
                <m:rPr>
                  <m:sty m:val="p"/>
                </m:rPr>
                <w:rPr>
                  <w:rFonts w:hint="eastAsia" w:ascii="Cambria Math" w:hAnsi="Cambria Math"/>
                  <w:sz w:val="24"/>
                  <w:shd w:val="clear" w:color="auto" w:fill="FFFFFF"/>
                </w:rPr>
                <m:t>药品收入</m:t>
              </m:r>
              <m:ctrlPr>
                <w:rPr>
                  <w:rFonts w:ascii="Cambria Math" w:hAnsi="Cambria Math"/>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jc w:val="left"/>
        <w:rPr>
          <w:rFonts w:ascii="仿宋_GB2312"/>
          <w:b/>
          <w:shd w:val="clear" w:color="auto" w:fill="FFFFFF"/>
        </w:rPr>
      </w:pPr>
      <w:r>
        <w:rPr>
          <w:rFonts w:hint="eastAsia" w:ascii="仿宋_GB2312"/>
          <w:b/>
          <w:shd w:val="clear" w:color="auto" w:fill="FFFFFF"/>
        </w:rPr>
        <w:t>【指标说明】</w:t>
      </w:r>
    </w:p>
    <w:p>
      <w:pPr>
        <w:adjustRightInd w:val="0"/>
        <w:spacing w:line="600" w:lineRule="atLeast"/>
        <w:ind w:firstLine="640" w:firstLineChars="200"/>
        <w:rPr>
          <w:rFonts w:ascii="仿宋_GB2312"/>
          <w:shd w:val="clear" w:color="auto" w:fill="FFFFFF"/>
        </w:rPr>
      </w:pPr>
      <w:r>
        <w:rPr>
          <w:rFonts w:hint="eastAsia" w:ascii="仿宋_GB2312"/>
          <w:shd w:val="clear" w:color="auto" w:fill="FFFFFF"/>
        </w:rPr>
        <w:t>（1）分子：本指标中药饮片收入包括考核年度内门急诊、住院散装中药饮片收入、小包装中药饮片收入、中药配方颗粒剂收入。</w:t>
      </w:r>
    </w:p>
    <w:p>
      <w:pPr>
        <w:adjustRightInd w:val="0"/>
        <w:spacing w:line="600" w:lineRule="atLeast"/>
        <w:ind w:firstLine="640" w:firstLineChars="200"/>
        <w:rPr>
          <w:rFonts w:ascii="仿宋_GB2312"/>
          <w:shd w:val="clear" w:color="auto" w:fill="FFFFFF"/>
        </w:rPr>
      </w:pPr>
      <w:r>
        <w:rPr>
          <w:rFonts w:hint="eastAsia" w:ascii="仿宋_GB2312"/>
          <w:shd w:val="clear" w:color="auto" w:fill="FFFFFF"/>
        </w:rPr>
        <w:t>（2）分母</w:t>
      </w:r>
      <w:r>
        <w:rPr>
          <w:rFonts w:ascii="仿宋_GB2312"/>
          <w:shd w:val="clear" w:color="auto" w:fill="FFFFFF"/>
        </w:rPr>
        <w:t>：</w:t>
      </w:r>
      <w:r>
        <w:rPr>
          <w:rFonts w:hint="eastAsia" w:ascii="仿宋_GB2312"/>
          <w:shd w:val="clear" w:color="auto" w:fill="FFFFFF"/>
        </w:rPr>
        <w:t>药品收入</w:t>
      </w:r>
      <w:r>
        <w:rPr>
          <w:rFonts w:hint="eastAsia" w:ascii="仿宋_GB2312"/>
          <w:szCs w:val="32"/>
          <w:shd w:val="clear" w:color="auto" w:fill="FFFFFF"/>
        </w:rPr>
        <w:t>是</w:t>
      </w:r>
      <w:r>
        <w:rPr>
          <w:rFonts w:hint="eastAsia" w:ascii="仿宋_GB2312"/>
          <w:shd w:val="clear" w:color="auto" w:fill="FFFFFF"/>
        </w:rPr>
        <w:t>指同期门急诊和住院药品总收入，包括中药收入和西药收入。</w:t>
      </w:r>
    </w:p>
    <w:p>
      <w:pPr>
        <w:adjustRightInd w:val="0"/>
        <w:spacing w:line="600" w:lineRule="atLeast"/>
        <w:ind w:firstLine="640" w:firstLineChars="200"/>
        <w:jc w:val="left"/>
        <w:rPr>
          <w:rFonts w:ascii="仿宋_GB2312"/>
          <w:shd w:val="clear" w:color="auto" w:fill="FFFFFF"/>
        </w:rPr>
      </w:pPr>
      <w:r>
        <w:rPr>
          <w:rFonts w:hint="eastAsia" w:ascii="仿宋_GB2312"/>
          <w:shd w:val="clear" w:color="auto" w:fill="FFFFFF"/>
        </w:rPr>
        <w:t>（3）民族医医院本指标考核民族药医疗机构制剂、民族药饮片（含原料药、卡嚓药）收入占比。</w:t>
      </w:r>
    </w:p>
    <w:p>
      <w:pPr>
        <w:adjustRightInd w:val="0"/>
        <w:spacing w:line="600" w:lineRule="atLeast"/>
        <w:jc w:val="left"/>
        <w:rPr>
          <w:rFonts w:ascii="仿宋_GB2312"/>
          <w:b/>
          <w:shd w:val="clear" w:color="auto" w:fill="FFFFFF"/>
        </w:rPr>
      </w:pPr>
      <w:r>
        <w:rPr>
          <w:rFonts w:hint="eastAsia" w:ascii="仿宋_GB2312"/>
          <w:b/>
          <w:shd w:val="clear" w:color="auto" w:fill="FFFFFF"/>
        </w:rPr>
        <w:t>【指标意义】</w:t>
      </w:r>
    </w:p>
    <w:p>
      <w:pPr>
        <w:adjustRightInd w:val="0"/>
        <w:spacing w:line="600" w:lineRule="atLeast"/>
        <w:ind w:firstLine="640" w:firstLineChars="200"/>
        <w:rPr>
          <w:rFonts w:ascii="仿宋_GB2312"/>
          <w:shd w:val="clear" w:color="auto" w:fill="FFFFFF"/>
        </w:rPr>
      </w:pPr>
      <w:r>
        <w:rPr>
          <w:rFonts w:hint="eastAsia" w:ascii="仿宋_GB2312"/>
          <w:shd w:val="clear" w:color="auto" w:fill="FFFFFF"/>
        </w:rPr>
        <w:t>散装中药饮片收入、小包装中药饮片收入、中药配方颗粒剂收入占药品收入比例反映医院药品收入结构，体现中医特色和优势。</w:t>
      </w:r>
    </w:p>
    <w:p>
      <w:pPr>
        <w:spacing w:line="600" w:lineRule="atLeast"/>
        <w:jc w:val="left"/>
        <w:rPr>
          <w:rFonts w:ascii="仿宋_GB2312"/>
          <w:shd w:val="clear" w:color="auto" w:fill="FFFFFF"/>
        </w:rPr>
      </w:pPr>
      <w:r>
        <w:rPr>
          <w:rFonts w:hint="eastAsia" w:ascii="仿宋_GB2312"/>
          <w:b/>
          <w:shd w:val="clear" w:color="auto" w:fill="FFFFFF"/>
        </w:rPr>
        <w:t>【指标导向】</w:t>
      </w:r>
      <w:r>
        <w:rPr>
          <w:rFonts w:hint="eastAsia" w:ascii="仿宋_GB2312"/>
          <w:shd w:val="clear" w:color="auto" w:fill="FFFFFF"/>
        </w:rPr>
        <w:t>逐步提高。</w:t>
      </w:r>
    </w:p>
    <w:p>
      <w:pPr>
        <w:spacing w:line="600" w:lineRule="atLeast"/>
        <w:jc w:val="left"/>
        <w:rPr>
          <w:rFonts w:ascii="仿宋_GB2312"/>
          <w:b/>
          <w:shd w:val="clear" w:color="auto" w:fill="FFFFFF"/>
        </w:rPr>
      </w:pPr>
      <w:r>
        <w:rPr>
          <w:rFonts w:hint="eastAsia" w:ascii="仿宋_GB2312"/>
          <w:b/>
          <w:shd w:val="clear" w:color="auto" w:fill="FFFFFF"/>
        </w:rPr>
        <w:t>【数据来源】</w:t>
      </w:r>
      <w:r>
        <w:rPr>
          <w:rFonts w:hint="eastAsia" w:ascii="仿宋_GB2312"/>
          <w:shd w:val="clear" w:color="auto" w:fill="FFFFFF"/>
        </w:rPr>
        <w:t>财务年报表。</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】国家卫生健康委、省级卫生健康委。</w:t>
      </w:r>
    </w:p>
    <w:p>
      <w:pPr>
        <w:widowControl/>
        <w:jc w:val="left"/>
        <w:rPr>
          <w:rFonts w:ascii="仿宋_GB2312"/>
          <w:b/>
          <w:szCs w:val="32"/>
          <w:shd w:val="clear" w:color="auto" w:fill="FFFFFF"/>
        </w:rPr>
      </w:pPr>
      <w:bookmarkStart w:id="26" w:name="_Hlk42358246"/>
      <w:r>
        <w:rPr>
          <w:rFonts w:ascii="仿宋_GB2312"/>
          <w:b/>
          <w:szCs w:val="32"/>
          <w:shd w:val="clear" w:color="auto" w:fill="FFFFFF"/>
        </w:rPr>
        <w:br w:type="page"/>
      </w:r>
      <w:r>
        <w:rPr>
          <w:rFonts w:ascii="仿宋_GB2312"/>
          <w:b/>
          <w:szCs w:val="32"/>
          <w:shd w:val="clear" w:color="auto" w:fill="FFFFFF"/>
        </w:rPr>
        <w:t>23</w:t>
      </w:r>
      <w:r>
        <w:rPr>
          <w:rFonts w:hint="eastAsia" w:ascii="仿宋_GB2312"/>
          <w:b/>
          <w:szCs w:val="32"/>
          <w:shd w:val="clear" w:color="auto" w:fill="FFFFFF"/>
        </w:rPr>
        <w:t>.中医医疗服务项目收入占医疗收入比例</w:t>
      </w:r>
      <w:r>
        <w:rPr>
          <w:rFonts w:hint="eastAsia" w:ascii="仿宋_GB2312"/>
          <w:b/>
          <w:shd w:val="clear" w:color="auto" w:fill="FFFFFF"/>
        </w:rPr>
        <w:t>▲</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考核年度中医医疗服务项目收入占医疗收入的比例。</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499" w:rightChars="-156"/>
        <w:rPr>
          <w:rFonts w:ascii="仿宋_GB2312" w:eastAsiaTheme="minorEastAsia"/>
          <w:szCs w:val="32"/>
          <w:shd w:val="clear" w:color="auto" w:fill="FFFFFF"/>
        </w:rPr>
      </w:pPr>
      <m:oMathPara>
        <m:oMath>
          <m:r>
            <m:rPr>
              <m:sty m:val="b"/>
            </m:rPr>
            <w:rPr>
              <w:rFonts w:hint="eastAsia" w:ascii="Cambria Math" w:hAnsi="Cambria Math"/>
              <w:sz w:val="24"/>
              <w:shd w:val="clear" w:color="auto" w:fill="FFFFFF"/>
            </w:rPr>
            <m:t>中医医疗服务项目收入占医疗收入比例</m:t>
          </m:r>
          <m:r>
            <m:rPr>
              <m:sty m:val="b"/>
            </m:rPr>
            <w:rPr>
              <w:rFonts w:ascii="Cambria Math" w:hAnsi="黑体"/>
              <w:sz w:val="24"/>
              <w:shd w:val="clear" w:color="auto" w:fill="FFFFFF"/>
            </w:rPr>
            <m:t>=</m:t>
          </m:r>
          <m:f>
            <m:fPr>
              <m:ctrlPr>
                <w:rPr>
                  <w:rFonts w:ascii="Cambria Math" w:hAnsi="黑体"/>
                  <w:b/>
                  <w:sz w:val="24"/>
                  <w:shd w:val="clear" w:color="auto" w:fill="FFFFFF"/>
                </w:rPr>
              </m:ctrlPr>
            </m:fPr>
            <m:num>
              <m:r>
                <m:rPr>
                  <m:sty m:val="p"/>
                </m:rPr>
                <w:rPr>
                  <w:rFonts w:hint="eastAsia" w:ascii="Cambria Math" w:hAnsi="Cambria Math"/>
                  <w:sz w:val="24"/>
                  <w:shd w:val="clear" w:color="auto" w:fill="FFFFFF"/>
                </w:rPr>
                <m:t>中医医疗服务项目收入</m:t>
              </m:r>
              <m:ctrlPr>
                <w:rPr>
                  <w:rFonts w:ascii="Cambria Math" w:hAnsi="黑体"/>
                  <w:b/>
                  <w:sz w:val="24"/>
                  <w:shd w:val="clear" w:color="auto" w:fill="FFFFFF"/>
                </w:rPr>
              </m:ctrlPr>
            </m:num>
            <m:den>
              <m:r>
                <m:rPr>
                  <m:sty m:val="p"/>
                </m:rPr>
                <w:rPr>
                  <w:rFonts w:hint="eastAsia" w:ascii="Cambria Math" w:hAnsi="Cambria Math"/>
                  <w:sz w:val="24"/>
                  <w:shd w:val="clear" w:color="auto" w:fill="FFFFFF"/>
                </w:rPr>
                <m:t>医疗收入</m:t>
              </m:r>
              <m:ctrlPr>
                <w:rPr>
                  <w:rFonts w:ascii="Cambria Math" w:hAnsi="黑体"/>
                  <w:b/>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p>
    <w:p>
      <w:pPr>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（1）分子：中医医疗服务项目</w:t>
      </w:r>
      <w:r>
        <w:rPr>
          <w:rStyle w:val="34"/>
          <w:rFonts w:ascii="仿宋_GB2312"/>
          <w:szCs w:val="32"/>
          <w:shd w:val="clear" w:color="auto" w:fill="FFFFFF"/>
        </w:rPr>
        <w:footnoteReference w:id="37"/>
      </w:r>
      <w:r>
        <w:rPr>
          <w:rFonts w:hint="eastAsia" w:ascii="仿宋_GB2312"/>
          <w:szCs w:val="32"/>
          <w:shd w:val="clear" w:color="auto" w:fill="FFFFFF"/>
        </w:rPr>
        <w:t>收入是指在医疗服务活动中，按照国家或各省的医疗机构医疗服务项目收费标准所取得的中医及少数民族医的医疗服务项目收入，包括门急诊收入和住院收入。不含中药收入。</w:t>
      </w:r>
    </w:p>
    <w:p>
      <w:pPr>
        <w:adjustRightInd w:val="0"/>
        <w:spacing w:line="600" w:lineRule="atLeast"/>
        <w:ind w:firstLine="640" w:firstLineChars="200"/>
        <w:rPr>
          <w:rFonts w:ascii="仿宋_GB2312"/>
          <w:b/>
          <w:bCs/>
          <w:szCs w:val="32"/>
        </w:rPr>
      </w:pPr>
      <w:r>
        <w:rPr>
          <w:rFonts w:hint="eastAsia" w:ascii="仿宋_GB2312"/>
          <w:szCs w:val="32"/>
          <w:shd w:val="clear" w:color="auto" w:fill="FFFFFF"/>
        </w:rPr>
        <w:t>（</w:t>
      </w:r>
      <w:r>
        <w:rPr>
          <w:rFonts w:ascii="仿宋_GB2312"/>
          <w:szCs w:val="32"/>
          <w:shd w:val="clear" w:color="auto" w:fill="FFFFFF"/>
        </w:rPr>
        <w:t>2</w:t>
      </w:r>
      <w:r>
        <w:rPr>
          <w:rFonts w:hint="eastAsia" w:ascii="仿宋_GB2312"/>
          <w:szCs w:val="32"/>
          <w:shd w:val="clear" w:color="auto" w:fill="FFFFFF"/>
        </w:rPr>
        <w:t>）分母：</w:t>
      </w:r>
      <w:r>
        <w:rPr>
          <w:rFonts w:hint="eastAsia" w:ascii="仿宋_GB2312"/>
          <w:bCs/>
          <w:iCs/>
          <w:szCs w:val="32"/>
          <w:shd w:val="clear" w:color="auto" w:fill="FFFFFF"/>
        </w:rPr>
        <w:t>医疗</w:t>
      </w:r>
      <w:r>
        <w:rPr>
          <w:rFonts w:hint="eastAsia" w:ascii="仿宋_GB2312"/>
          <w:szCs w:val="32"/>
          <w:shd w:val="clear" w:color="auto" w:fill="FFFFFF"/>
        </w:rPr>
        <w:t>收入是指医院开展医疗服务活动取得的收入，</w:t>
      </w:r>
      <w:r>
        <w:rPr>
          <w:rFonts w:hint="eastAsia" w:ascii="仿宋_GB2312"/>
          <w:szCs w:val="32"/>
        </w:rPr>
        <w:t>包括门急诊收入、住院收入和结算</w:t>
      </w:r>
      <w:r>
        <w:rPr>
          <w:rFonts w:hint="eastAsia" w:ascii="仿宋_GB2312"/>
          <w:szCs w:val="32"/>
          <w:shd w:val="clear" w:color="auto" w:fill="FFFFFF"/>
        </w:rPr>
        <w:t>差额。</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widowControl/>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《中华人民共和国中医药法》（中华人民共和国主席令第59号）明确规定中医医疗机构主要提供中医药服务；在疾病预防与控制中积极运用中医药理论和技术方法。《</w:t>
      </w:r>
      <w:r>
        <w:rPr>
          <w:rFonts w:hint="eastAsia" w:ascii="仿宋_GB2312"/>
          <w:kern w:val="0"/>
          <w:szCs w:val="32"/>
          <w:shd w:val="clear" w:color="auto" w:fill="FFFFFF"/>
        </w:rPr>
        <w:t>中共中央 国务院关于促进中医药传承创新发展的意见》（中发办〔2019〕</w:t>
      </w:r>
      <w:r>
        <w:rPr>
          <w:rFonts w:ascii="仿宋_GB2312"/>
          <w:kern w:val="0"/>
          <w:szCs w:val="32"/>
          <w:shd w:val="clear" w:color="auto" w:fill="FFFFFF"/>
        </w:rPr>
        <w:t>43</w:t>
      </w:r>
      <w:r>
        <w:rPr>
          <w:rFonts w:hint="eastAsia" w:ascii="仿宋_GB2312"/>
          <w:kern w:val="0"/>
          <w:szCs w:val="32"/>
          <w:shd w:val="clear" w:color="auto" w:fill="FFFFFF"/>
        </w:rPr>
        <w:t>号）提出“加快中医药循证医学中心建设，用3年左右时间，筛选50个中医治疗优势病种和100项适宜技术、100个疗效独特的中药品种，及时向社会发布”“制定中医药典籍、技术和方药名录” “加强中医医院康复科建设，在其他医院推广中医康复技术”。</w:t>
      </w:r>
      <w:bookmarkStart w:id="27" w:name="_Hlk119401104"/>
      <w:r>
        <w:rPr>
          <w:rFonts w:hint="eastAsia" w:ascii="仿宋_GB2312"/>
          <w:szCs w:val="32"/>
          <w:shd w:val="clear" w:color="auto" w:fill="FFFFFF"/>
        </w:rPr>
        <w:t>国务院办公厅《关于印发“十四五”中医药发展规划的通知》（国办发〔2022〕</w:t>
      </w:r>
      <w:r>
        <w:rPr>
          <w:rFonts w:ascii="仿宋_GB2312"/>
          <w:szCs w:val="32"/>
          <w:shd w:val="clear" w:color="auto" w:fill="FFFFFF"/>
        </w:rPr>
        <w:t>5</w:t>
      </w:r>
      <w:r>
        <w:rPr>
          <w:rFonts w:hint="eastAsia" w:ascii="仿宋_GB2312"/>
          <w:szCs w:val="32"/>
          <w:shd w:val="clear" w:color="auto" w:fill="FFFFFF"/>
        </w:rPr>
        <w:t>号）指出，挖掘整理并推广应用安全有效的中医医疗技术。</w:t>
      </w:r>
      <w:bookmarkEnd w:id="27"/>
      <w:r>
        <w:rPr>
          <w:rFonts w:hint="eastAsia" w:ascii="仿宋_GB2312"/>
          <w:szCs w:val="32"/>
          <w:shd w:val="clear" w:color="auto" w:fill="FFFFFF"/>
        </w:rPr>
        <w:t>中医医疗服务项目收入占医疗收入比例反映医院收入结构，体现医师在门急诊和住院诊疗中运用中医非药物疗法辨证施治的情况。</w:t>
      </w:r>
    </w:p>
    <w:p>
      <w:pPr>
        <w:spacing w:line="600" w:lineRule="atLeast"/>
        <w:ind w:right="-499" w:rightChars="-156"/>
        <w:rPr>
          <w:rFonts w:ascii="仿宋_GB2312"/>
          <w:bCs/>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指标导向</w:t>
      </w:r>
      <w:r>
        <w:rPr>
          <w:rFonts w:hint="eastAsia" w:ascii="仿宋_GB2312"/>
          <w:bCs/>
          <w:szCs w:val="32"/>
          <w:shd w:val="clear" w:color="auto" w:fill="FFFFFF"/>
        </w:rPr>
        <w:t>】逐步提高。</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数据来源</w:t>
      </w:r>
      <w:r>
        <w:rPr>
          <w:rFonts w:hint="eastAsia" w:ascii="仿宋_GB2312"/>
          <w:szCs w:val="32"/>
          <w:shd w:val="clear" w:color="auto" w:fill="FFFFFF"/>
        </w:rPr>
        <w:t>】医院填报、财务年报表。</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】国家卫生健康委、省级中医药主管部门。</w:t>
      </w:r>
    </w:p>
    <w:p>
      <w:pPr>
        <w:spacing w:line="600" w:lineRule="exact"/>
        <w:ind w:right="-499" w:rightChars="-156"/>
        <w:rPr>
          <w:rFonts w:eastAsia="仿宋"/>
          <w:b/>
          <w:szCs w:val="32"/>
          <w:shd w:val="clear" w:color="auto" w:fill="FFFFFF"/>
        </w:rPr>
      </w:pPr>
    </w:p>
    <w:p>
      <w:pPr>
        <w:widowControl/>
        <w:spacing w:line="600" w:lineRule="exact"/>
        <w:ind w:right="-499" w:rightChars="-156"/>
        <w:jc w:val="left"/>
        <w:rPr>
          <w:rFonts w:eastAsia="仿宋"/>
          <w:b/>
          <w:szCs w:val="32"/>
          <w:shd w:val="clear" w:color="auto" w:fill="FFFFFF"/>
        </w:rPr>
      </w:pPr>
    </w:p>
    <w:p>
      <w:pPr>
        <w:widowControl/>
        <w:jc w:val="left"/>
        <w:rPr>
          <w:b/>
          <w:szCs w:val="32"/>
        </w:rPr>
      </w:pPr>
      <w:r>
        <w:rPr>
          <w:b/>
          <w:szCs w:val="32"/>
        </w:rPr>
        <w:br w:type="page"/>
      </w:r>
    </w:p>
    <w:p>
      <w:pPr>
        <w:widowControl/>
        <w:spacing w:line="600" w:lineRule="exact"/>
        <w:rPr>
          <w:b/>
          <w:szCs w:val="32"/>
        </w:rPr>
      </w:pPr>
      <w:r>
        <w:rPr>
          <w:b/>
          <w:szCs w:val="32"/>
        </w:rPr>
        <w:t>24</w:t>
      </w:r>
      <w:r>
        <w:rPr>
          <w:rFonts w:hint="eastAsia"/>
          <w:b/>
          <w:szCs w:val="32"/>
        </w:rPr>
        <w:t>. 医疗服务收入（不含药品、耗材、检查检验收入）占医疗收入比例▲</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widowControl/>
        <w:shd w:val="clear" w:color="auto" w:fill="FFFFFF"/>
        <w:adjustRightInd w:val="0"/>
        <w:spacing w:line="600" w:lineRule="exact"/>
        <w:ind w:firstLine="640" w:firstLineChars="200"/>
        <w:rPr>
          <w:szCs w:val="32"/>
        </w:rPr>
      </w:pPr>
      <w:r>
        <w:rPr>
          <w:rFonts w:hint="eastAsia"/>
          <w:szCs w:val="32"/>
        </w:rPr>
        <w:t>考核年度医疗服务收入（不包含药品、耗材、检查化验收入）占同期医疗收入的比例。</w:t>
      </w:r>
    </w:p>
    <w:p>
      <w:pPr>
        <w:spacing w:line="600" w:lineRule="exact"/>
        <w:rPr>
          <w:b/>
          <w:szCs w:val="32"/>
        </w:rPr>
      </w:pPr>
      <w:r>
        <w:rPr>
          <w:rFonts w:hint="eastAsia"/>
          <w:b/>
          <w:szCs w:val="32"/>
        </w:rPr>
        <w:t>【计算方法】</w:t>
      </w:r>
    </w:p>
    <w:p>
      <w:pPr>
        <w:rPr>
          <w:rFonts w:ascii="仿宋_GB2312"/>
          <w:b/>
          <w:sz w:val="28"/>
          <w:szCs w:val="28"/>
        </w:rPr>
      </w:pPr>
      <m:oMathPara>
        <m:oMath>
          <m:r>
            <m:rPr>
              <m:sty m:val="b"/>
            </m:rPr>
            <w:rPr>
              <w:rFonts w:hint="eastAsia" w:ascii="Cambria Math" w:hAnsi="Cambria Math"/>
              <w:sz w:val="24"/>
              <w:szCs w:val="28"/>
            </w:rPr>
            <m:t>医疗服务收入占比=</m:t>
          </m:r>
          <m:f>
            <m:fPr>
              <m:ctrlPr>
                <w:rPr>
                  <w:rFonts w:hint="eastAsia" w:ascii="Cambria Math" w:hAnsi="Cambria Math"/>
                  <w:b/>
                  <w:sz w:val="24"/>
                  <w:szCs w:val="28"/>
                </w:rPr>
              </m:ctrlPr>
            </m:fPr>
            <m:num>
              <m:r>
                <m:rPr>
                  <m:sty m:val="p"/>
                </m:rPr>
                <w:rPr>
                  <w:rFonts w:hint="eastAsia" w:ascii="Cambria Math" w:hAnsi="Cambria Math"/>
                  <w:sz w:val="24"/>
                  <w:szCs w:val="28"/>
                </w:rPr>
                <m:t>医疗服务收入</m:t>
              </m:r>
              <m:ctrlPr>
                <w:rPr>
                  <w:rFonts w:hint="eastAsia" w:ascii="Cambria Math" w:hAnsi="Cambria Math"/>
                  <w:b/>
                  <w:sz w:val="24"/>
                  <w:szCs w:val="28"/>
                </w:rPr>
              </m:ctrlPr>
            </m:num>
            <m:den>
              <m:r>
                <m:rPr>
                  <m:sty m:val="p"/>
                </m:rPr>
                <w:rPr>
                  <w:rFonts w:hint="eastAsia" w:ascii="Cambria Math" w:hAnsi="Cambria Math"/>
                  <w:sz w:val="24"/>
                  <w:szCs w:val="28"/>
                </w:rPr>
                <m:t>同期医疗收入</m:t>
              </m:r>
              <m:ctrlPr>
                <w:rPr>
                  <w:rFonts w:hint="eastAsia" w:ascii="Cambria Math" w:hAnsi="Cambria Math"/>
                  <w:b/>
                  <w:sz w:val="24"/>
                  <w:szCs w:val="28"/>
                </w:rPr>
              </m:ctrlPr>
            </m:den>
          </m:f>
          <m:r>
            <m:rPr>
              <m:sty m:val="b"/>
            </m:rPr>
            <w:rPr>
              <w:rFonts w:hint="eastAsia" w:ascii="Cambria Math" w:hAnsi="Cambria Math"/>
              <w:sz w:val="24"/>
              <w:szCs w:val="28"/>
            </w:rPr>
            <m:t>×</m:t>
          </m:r>
          <m:r>
            <m:rPr>
              <m:sty m:val="p"/>
            </m:rPr>
            <w:rPr>
              <w:rFonts w:hint="eastAsia" w:ascii="Cambria Math" w:hAnsi="Cambria Math"/>
              <w:sz w:val="24"/>
              <w:szCs w:val="28"/>
            </w:rPr>
            <m:t>100%</m:t>
          </m:r>
          <m:r>
            <m:rPr>
              <m:sty m:val="p"/>
            </m:rPr>
            <w:rPr>
              <w:rFonts w:ascii="Cambria Math" w:hAnsi="Cambria Math"/>
              <w:sz w:val="24"/>
              <w:szCs w:val="28"/>
            </w:rPr>
            <m:t xml:space="preserve">                                 </m:t>
          </m:r>
        </m:oMath>
      </m:oMathPara>
    </w:p>
    <w:p>
      <w:pPr>
        <w:spacing w:line="600" w:lineRule="exact"/>
        <w:rPr>
          <w:b/>
          <w:szCs w:val="32"/>
        </w:rPr>
      </w:pPr>
      <w:r>
        <w:rPr>
          <w:rFonts w:hint="eastAsia"/>
          <w:b/>
          <w:szCs w:val="32"/>
        </w:rPr>
        <w:t>【指标说明】</w:t>
      </w:r>
    </w:p>
    <w:p>
      <w:pPr>
        <w:widowControl/>
        <w:shd w:val="clear" w:color="auto" w:fill="FFFFFF"/>
        <w:adjustRightInd w:val="0"/>
        <w:spacing w:line="600" w:lineRule="exact"/>
        <w:ind w:firstLine="640" w:firstLineChars="200"/>
        <w:rPr>
          <w:szCs w:val="32"/>
        </w:rPr>
      </w:pPr>
      <w:r>
        <w:rPr>
          <w:rFonts w:hint="eastAsia"/>
          <w:szCs w:val="32"/>
        </w:rPr>
        <w:t>（1）分子：医疗服务收入包括挂号收入、床位收入、诊察收入、治疗收入、手术收入、护理收入等。不包括药品、耗材（即卫生材料）、检查化验收入。</w:t>
      </w:r>
    </w:p>
    <w:p>
      <w:pPr>
        <w:widowControl/>
        <w:shd w:val="clear" w:color="auto" w:fill="FFFFFF"/>
        <w:adjustRightInd w:val="0"/>
        <w:spacing w:line="600" w:lineRule="exact"/>
        <w:ind w:firstLine="640" w:firstLineChars="200"/>
        <w:rPr>
          <w:szCs w:val="32"/>
        </w:rPr>
      </w:pPr>
      <w:r>
        <w:rPr>
          <w:rFonts w:hint="eastAsia"/>
          <w:szCs w:val="32"/>
        </w:rPr>
        <w:t>（2）分母：医疗收入指医院开展医疗服务活动取得的收入，包括门急诊收入、住院收入和结算差额。</w:t>
      </w:r>
    </w:p>
    <w:p>
      <w:pPr>
        <w:spacing w:line="600" w:lineRule="exact"/>
        <w:rPr>
          <w:b/>
          <w:szCs w:val="32"/>
        </w:rPr>
      </w:pPr>
      <w:r>
        <w:rPr>
          <w:rFonts w:hint="eastAsia"/>
          <w:b/>
          <w:szCs w:val="32"/>
        </w:rPr>
        <w:t>【指标意义】</w:t>
      </w:r>
    </w:p>
    <w:p>
      <w:pPr>
        <w:widowControl/>
        <w:shd w:val="clear" w:color="auto" w:fill="FFFFFF"/>
        <w:spacing w:line="600" w:lineRule="exact"/>
        <w:ind w:firstLine="640" w:firstLineChars="200"/>
        <w:rPr>
          <w:szCs w:val="32"/>
        </w:rPr>
      </w:pPr>
      <w:r>
        <w:rPr>
          <w:rFonts w:hint="eastAsia"/>
          <w:szCs w:val="32"/>
        </w:rPr>
        <w:t>该指标用于反映医院收入结构。《国务院办公厅关于全面</w:t>
      </w:r>
      <w:r>
        <w:rPr>
          <w:szCs w:val="32"/>
        </w:rPr>
        <w:t>推开县级公立医院综合改革的实施意见</w:t>
      </w:r>
      <w:r>
        <w:rPr>
          <w:rFonts w:hint="eastAsia"/>
          <w:szCs w:val="32"/>
        </w:rPr>
        <w:t>》</w:t>
      </w:r>
      <w:r>
        <w:rPr>
          <w:szCs w:val="32"/>
        </w:rPr>
        <w:t>（国办发〔2015〕33号）</w:t>
      </w:r>
      <w:r>
        <w:rPr>
          <w:rFonts w:hint="eastAsia"/>
          <w:szCs w:val="32"/>
        </w:rPr>
        <w:t>、</w:t>
      </w:r>
      <w:r>
        <w:rPr>
          <w:szCs w:val="32"/>
        </w:rPr>
        <w:t>《国务院办公厅关于城市公立医院综合改革试点的指导意见》（国办发〔2015〕38号）</w:t>
      </w:r>
      <w:r>
        <w:rPr>
          <w:rFonts w:hint="eastAsia"/>
          <w:szCs w:val="32"/>
        </w:rPr>
        <w:t>明确</w:t>
      </w:r>
      <w:r>
        <w:rPr>
          <w:szCs w:val="32"/>
        </w:rPr>
        <w:t>要求，</w:t>
      </w:r>
      <w:r>
        <w:rPr>
          <w:rFonts w:hint="eastAsia"/>
          <w:szCs w:val="32"/>
        </w:rPr>
        <w:t>规范临床检查、诊断、治疗、使用药物和植（介）入类医疗器械行为。通过推进药品和耗材招标采购、流通、使用等方面改革降低费用，降低大型医用设备检查治疗、检验价格，合理调整提升体现医务人员技术劳务价值的医疗服务价格。从侧面反映医院所在地医疗服务价格合理性，尤其是取消药品加成和卫生材料加成后调整医疗服务价格的情况。</w:t>
      </w:r>
    </w:p>
    <w:p>
      <w:pPr>
        <w:widowControl/>
        <w:shd w:val="clear" w:color="auto" w:fill="FFFFFF"/>
        <w:spacing w:line="600" w:lineRule="exact"/>
        <w:ind w:firstLine="640" w:firstLineChars="200"/>
        <w:rPr>
          <w:b/>
          <w:bCs/>
          <w:color w:val="C00000"/>
          <w:szCs w:val="32"/>
        </w:rPr>
      </w:pPr>
      <w:r>
        <w:rPr>
          <w:rFonts w:hint="eastAsia" w:ascii="仿宋_GB2312" w:hAnsi="Times New Roman" w:eastAsia="仿宋_GB2312" w:cs="Times New Roman"/>
          <w:kern w:val="0"/>
          <w:szCs w:val="32"/>
        </w:rPr>
        <w:t>《国务院办公厅印发关于加快中医药特色发展若干政策措施的通知》（国办发〔</w:t>
      </w:r>
      <w:r>
        <w:rPr>
          <w:rFonts w:ascii="仿宋_GB2312" w:hAnsi="Times New Roman" w:eastAsia="仿宋_GB2312" w:cs="Times New Roman"/>
          <w:kern w:val="0"/>
          <w:szCs w:val="32"/>
        </w:rPr>
        <w:t>2021〕3号）、</w:t>
      </w:r>
      <w:r>
        <w:rPr>
          <w:rFonts w:hint="eastAsia" w:ascii="仿宋_GB2312" w:hAnsi="Times New Roman" w:eastAsia="仿宋_GB2312" w:cs="Times New Roman"/>
          <w:kern w:val="0"/>
          <w:szCs w:val="32"/>
        </w:rPr>
        <w:t>国家医疗保障局、国家中医药管理局《关于医保支持中医药传承创新发展的指导意见》</w:t>
      </w:r>
      <w:r>
        <w:rPr>
          <w:rFonts w:hint="eastAsia" w:ascii="仿宋_GB2312"/>
          <w:kern w:val="0"/>
          <w:szCs w:val="32"/>
        </w:rPr>
        <w:t>（医保函</w:t>
      </w:r>
      <w:r>
        <w:rPr>
          <w:rFonts w:hint="eastAsia" w:ascii="宋体" w:hAnsi="宋体" w:cs="宋体"/>
          <w:kern w:val="0"/>
          <w:szCs w:val="32"/>
        </w:rPr>
        <w:t>〔</w:t>
      </w:r>
      <w:r>
        <w:rPr>
          <w:rFonts w:ascii="仿宋_GB2312"/>
          <w:kern w:val="0"/>
          <w:szCs w:val="32"/>
        </w:rPr>
        <w:t>2021</w:t>
      </w:r>
      <w:r>
        <w:rPr>
          <w:rFonts w:hint="eastAsia" w:ascii="宋体" w:hAnsi="宋体" w:cs="宋体"/>
          <w:kern w:val="0"/>
          <w:szCs w:val="32"/>
        </w:rPr>
        <w:t>〕</w:t>
      </w:r>
      <w:r>
        <w:rPr>
          <w:rFonts w:ascii="仿宋_GB2312"/>
          <w:kern w:val="0"/>
          <w:szCs w:val="32"/>
        </w:rPr>
        <w:t>229</w:t>
      </w:r>
      <w:r>
        <w:rPr>
          <w:rFonts w:hint="eastAsia" w:ascii="仿宋_GB2312"/>
          <w:kern w:val="0"/>
          <w:szCs w:val="32"/>
        </w:rPr>
        <w:t>号）提出完善中医药服务价格政策，建立目标导向的中医服务价格项目管理机制，优化现有中医价格项目，完善新增中医服务价格项目管理政策，丰富中医价格项目。对来源于古代经典、至今仍广泛应用、疗效确切的中医传统技术以及创新性、经济性优势突出的中医新技术，简化新增价格项目审核程序，开辟绿色通道。建立健全灵敏有度的价格动态调整机制，及时开展调价评估，在医疗服务价格动态调整中重点考虑中医医疗服务项目，优先将功能疗效明显、患者广泛接受、特色优势突出、体现劳务价值、应用历史悠久，成本和价格明显偏离的中医医疗服务项目纳入调价范围。《国务院办公厅关于推动公立医院高质量发展的意见》（国办发〔2021〕18号）</w:t>
      </w:r>
      <w:r>
        <w:rPr>
          <w:rFonts w:hint="eastAsia"/>
          <w:szCs w:val="32"/>
        </w:rPr>
        <w:t>要求，稳妥有序试点探索医疗服务价格优化。建立健全适应经济社会发展、更好发挥政府作用、医疗机构充分参与、体现技术劳务价值的医疗服务价格形成机制。统筹兼顾医疗发展需要和各方承受能力，调控医疗服务价格总体水平。建立灵敏有序的价格动态调整机制，定期开展调价评估，达到启动条件的要稳妥有序调整医疗服务价格，</w:t>
      </w:r>
      <w:r>
        <w:rPr>
          <w:rFonts w:hint="eastAsia" w:ascii="仿宋_GB2312"/>
          <w:kern w:val="0"/>
          <w:szCs w:val="32"/>
        </w:rPr>
        <w:t>理顺比价关系，支持公立医院优化收支结构，提高医疗服务收入（不含药品、耗材、检查、化验收入）占医疗收入的比例。加快审核新增医疗服务价格项目。《国务院深化医药卫生体制改革领导小组关于深入推广福建省三明市经验深化医药卫生体制改革的意见》（国医改发</w:t>
      </w:r>
      <w:r>
        <w:rPr>
          <w:rFonts w:hint="eastAsia" w:ascii="宋体" w:hAnsi="宋体" w:cs="宋体"/>
          <w:kern w:val="0"/>
          <w:szCs w:val="32"/>
        </w:rPr>
        <w:t>〔</w:t>
      </w:r>
      <w:r>
        <w:rPr>
          <w:rFonts w:ascii="仿宋_GB2312"/>
          <w:kern w:val="0"/>
          <w:szCs w:val="32"/>
        </w:rPr>
        <w:t>2021</w:t>
      </w:r>
      <w:r>
        <w:rPr>
          <w:rFonts w:hint="eastAsia" w:ascii="宋体" w:hAnsi="宋体" w:cs="宋体"/>
          <w:kern w:val="0"/>
          <w:szCs w:val="32"/>
        </w:rPr>
        <w:t>〕</w:t>
      </w:r>
      <w:r>
        <w:rPr>
          <w:rFonts w:ascii="仿宋_GB2312"/>
          <w:kern w:val="0"/>
          <w:szCs w:val="32"/>
        </w:rPr>
        <w:t>2</w:t>
      </w:r>
      <w:r>
        <w:rPr>
          <w:rFonts w:hint="eastAsia" w:ascii="仿宋_GB2312"/>
          <w:kern w:val="0"/>
          <w:szCs w:val="32"/>
        </w:rPr>
        <w:t>号）要求，建立健全与经济社会发展相协调、与各方承受能力相适应的公立医院医药费用合理增长机制、以大型公立医院为重点，加强医疗服务、药品、检查检验等费用增长监测，将医药费用控制情况纳入对公立医院院长的考核评价指标、推动各级公立医院均衡有序发展，将医疗服务收入占比纳入二级公立医院绩效考核指标，能够引导医疗机构强化内部管理，规范诊疗行为，控制药品和耗材不合理使用，逐步优化收入结构。</w:t>
      </w:r>
    </w:p>
    <w:p>
      <w:pPr>
        <w:widowControl/>
        <w:spacing w:line="600" w:lineRule="exact"/>
        <w:rPr>
          <w:b/>
          <w:szCs w:val="32"/>
        </w:rPr>
      </w:pPr>
      <w:r>
        <w:rPr>
          <w:rFonts w:hint="eastAsia"/>
          <w:b/>
          <w:szCs w:val="32"/>
        </w:rPr>
        <w:t>【指标导向】</w:t>
      </w:r>
      <w:r>
        <w:rPr>
          <w:rFonts w:hint="eastAsia"/>
          <w:szCs w:val="32"/>
        </w:rPr>
        <w:t>逐步提高。</w:t>
      </w:r>
    </w:p>
    <w:p>
      <w:pPr>
        <w:spacing w:line="600" w:lineRule="exact"/>
        <w:rPr>
          <w:szCs w:val="32"/>
        </w:rPr>
      </w:pPr>
      <w:r>
        <w:rPr>
          <w:rFonts w:hint="eastAsia"/>
          <w:b/>
          <w:szCs w:val="32"/>
        </w:rPr>
        <w:t>【指标来源】</w:t>
      </w:r>
      <w:r>
        <w:rPr>
          <w:rFonts w:hint="eastAsia"/>
          <w:szCs w:val="32"/>
        </w:rPr>
        <w:t>财务年报表。</w:t>
      </w:r>
    </w:p>
    <w:p>
      <w:pPr>
        <w:widowControl/>
        <w:spacing w:line="600" w:lineRule="exact"/>
        <w:rPr>
          <w:szCs w:val="32"/>
        </w:rPr>
      </w:pPr>
      <w:r>
        <w:rPr>
          <w:rFonts w:hint="eastAsia"/>
          <w:b/>
          <w:szCs w:val="32"/>
        </w:rPr>
        <w:t>【指标解释】</w:t>
      </w:r>
      <w:r>
        <w:rPr>
          <w:rFonts w:hint="eastAsia"/>
          <w:szCs w:val="32"/>
        </w:rPr>
        <w:t>国家卫生健康委、省级卫生健康委。</w:t>
      </w:r>
    </w:p>
    <w:p>
      <w:pPr>
        <w:widowControl/>
        <w:jc w:val="left"/>
        <w:rPr>
          <w:szCs w:val="32"/>
        </w:rPr>
      </w:pPr>
      <w:r>
        <w:rPr>
          <w:szCs w:val="32"/>
        </w:rPr>
        <w:br w:type="page"/>
      </w:r>
    </w:p>
    <w:bookmarkEnd w:id="26"/>
    <w:p>
      <w:pPr>
        <w:keepNext/>
        <w:keepLines/>
        <w:shd w:val="clear" w:color="auto" w:fill="FFFFFF"/>
        <w:spacing w:line="600" w:lineRule="exact"/>
        <w:outlineLvl w:val="1"/>
        <w:rPr>
          <w:rFonts w:eastAsia="楷体_GB2312"/>
          <w:b/>
          <w:bCs/>
          <w:szCs w:val="32"/>
        </w:rPr>
      </w:pPr>
      <w:bookmarkStart w:id="28" w:name="_Toc42857915"/>
      <w:r>
        <w:rPr>
          <w:rFonts w:hint="eastAsia" w:eastAsia="楷体_GB2312"/>
          <w:b/>
          <w:bCs/>
          <w:szCs w:val="32"/>
        </w:rPr>
        <w:t>（六）费用控制（指标</w:t>
      </w:r>
      <w:r>
        <w:rPr>
          <w:rFonts w:eastAsia="楷体_GB2312"/>
          <w:b/>
          <w:bCs/>
          <w:szCs w:val="32"/>
        </w:rPr>
        <w:t>25</w:t>
      </w:r>
      <w:r>
        <w:rPr>
          <w:rFonts w:hint="eastAsia" w:eastAsia="楷体_GB2312"/>
          <w:b/>
          <w:bCs/>
          <w:szCs w:val="32"/>
        </w:rPr>
        <w:t>—</w:t>
      </w:r>
      <w:r>
        <w:rPr>
          <w:rFonts w:eastAsia="楷体_GB2312"/>
          <w:b/>
          <w:bCs/>
          <w:szCs w:val="32"/>
        </w:rPr>
        <w:t>27</w:t>
      </w:r>
      <w:r>
        <w:rPr>
          <w:rFonts w:hint="eastAsia" w:eastAsia="楷体_GB2312"/>
          <w:b/>
          <w:bCs/>
          <w:szCs w:val="32"/>
        </w:rPr>
        <w:t>）</w:t>
      </w:r>
      <w:bookmarkEnd w:id="28"/>
      <w:r>
        <w:rPr>
          <w:rStyle w:val="34"/>
          <w:rFonts w:eastAsia="楷体_GB2312"/>
          <w:b/>
          <w:bCs/>
          <w:szCs w:val="32"/>
        </w:rPr>
        <w:footnoteReference w:id="38"/>
      </w:r>
    </w:p>
    <w:p>
      <w:pPr>
        <w:widowControl/>
        <w:spacing w:line="600" w:lineRule="exact"/>
        <w:rPr>
          <w:b/>
          <w:szCs w:val="32"/>
        </w:rPr>
      </w:pPr>
      <w:r>
        <w:rPr>
          <w:rFonts w:hint="eastAsia"/>
          <w:b/>
          <w:szCs w:val="32"/>
        </w:rPr>
        <w:t>2</w:t>
      </w:r>
      <w:r>
        <w:rPr>
          <w:b/>
          <w:szCs w:val="32"/>
        </w:rPr>
        <w:t>5</w:t>
      </w:r>
      <w:r>
        <w:rPr>
          <w:rFonts w:hint="eastAsia"/>
          <w:b/>
          <w:szCs w:val="32"/>
        </w:rPr>
        <w:t>. 医疗收入增幅</w:t>
      </w:r>
      <w:r>
        <w:rPr>
          <w:rFonts w:hint="eastAsia" w:ascii="宋体" w:hAnsi="宋体" w:eastAsia="宋体"/>
          <w:color w:val="000000"/>
          <w:kern w:val="0"/>
          <w:sz w:val="22"/>
          <w:szCs w:val="22"/>
        </w:rPr>
        <w:t>▲</w:t>
      </w:r>
    </w:p>
    <w:p>
      <w:pPr>
        <w:spacing w:line="600" w:lineRule="exact"/>
        <w:rPr>
          <w:szCs w:val="32"/>
        </w:rPr>
      </w:pPr>
      <w:r>
        <w:rPr>
          <w:rFonts w:hint="eastAsia"/>
          <w:b/>
          <w:szCs w:val="32"/>
        </w:rPr>
        <w:t>【指标属性】</w:t>
      </w:r>
      <w:r>
        <w:rPr>
          <w:rFonts w:hint="eastAsia"/>
          <w:szCs w:val="32"/>
        </w:rPr>
        <w:t>定量指标、</w:t>
      </w:r>
      <w:r>
        <w:rPr>
          <w:szCs w:val="32"/>
        </w:rPr>
        <w:t>国家监测指标</w:t>
      </w:r>
      <w:r>
        <w:rPr>
          <w:rFonts w:hint="eastAsia"/>
          <w:szCs w:val="32"/>
        </w:rPr>
        <w:t>。</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spacing w:line="600" w:lineRule="exact"/>
        <w:ind w:firstLine="640" w:firstLineChars="200"/>
        <w:rPr>
          <w:szCs w:val="32"/>
        </w:rPr>
      </w:pPr>
      <w:r>
        <w:rPr>
          <w:rFonts w:hint="eastAsia"/>
          <w:szCs w:val="32"/>
        </w:rPr>
        <w:t>医疗收入增幅由门诊和住院两部分构成：</w:t>
      </w:r>
    </w:p>
    <w:p>
      <w:pPr>
        <w:adjustRightInd w:val="0"/>
        <w:spacing w:line="600" w:lineRule="exact"/>
        <w:ind w:firstLine="640" w:firstLineChars="200"/>
        <w:rPr>
          <w:szCs w:val="32"/>
        </w:rPr>
      </w:pPr>
      <w:r>
        <w:rPr>
          <w:rFonts w:hint="eastAsia"/>
          <w:szCs w:val="32"/>
        </w:rPr>
        <w:t>（</w:t>
      </w:r>
      <w:r>
        <w:rPr>
          <w:rFonts w:ascii="仿宋_GB2312"/>
          <w:szCs w:val="32"/>
        </w:rPr>
        <w:t>1</w:t>
      </w:r>
      <w:r>
        <w:rPr>
          <w:rFonts w:hint="eastAsia"/>
          <w:szCs w:val="32"/>
        </w:rPr>
        <w:t>）门诊收入增幅：考核年度门诊收入与上一年度同期门诊收入之差占上一年度门诊收入的比例。</w:t>
      </w:r>
    </w:p>
    <w:p>
      <w:pPr>
        <w:adjustRightInd w:val="0"/>
        <w:spacing w:line="600" w:lineRule="exact"/>
        <w:ind w:firstLine="640" w:firstLineChars="200"/>
        <w:rPr>
          <w:szCs w:val="32"/>
        </w:rPr>
      </w:pPr>
      <w:r>
        <w:rPr>
          <w:rFonts w:hint="eastAsia"/>
          <w:szCs w:val="32"/>
        </w:rPr>
        <w:t>（</w:t>
      </w:r>
      <w:r>
        <w:rPr>
          <w:rFonts w:ascii="仿宋_GB2312"/>
          <w:szCs w:val="32"/>
        </w:rPr>
        <w:t>2</w:t>
      </w:r>
      <w:r>
        <w:rPr>
          <w:rFonts w:hint="eastAsia"/>
          <w:szCs w:val="32"/>
        </w:rPr>
        <w:t>）住院收入增幅：考核年度住院收入与上一年度同期住院收入之差占上一年度住院收入的比例。</w:t>
      </w:r>
    </w:p>
    <w:p>
      <w:pPr>
        <w:spacing w:line="600" w:lineRule="exact"/>
        <w:rPr>
          <w:b/>
          <w:szCs w:val="32"/>
        </w:rPr>
      </w:pPr>
      <w:r>
        <w:rPr>
          <w:rFonts w:hint="eastAsia"/>
          <w:b/>
          <w:szCs w:val="32"/>
        </w:rPr>
        <w:t>【计算方法】</w:t>
      </w:r>
    </w:p>
    <w:p>
      <w:pPr>
        <w:spacing w:before="87" w:beforeLines="20" w:after="217" w:afterLines="50" w:line="360" w:lineRule="auto"/>
        <w:rPr>
          <w:rFonts w:ascii="仿宋_GB2312"/>
          <w:sz w:val="28"/>
          <w:szCs w:val="28"/>
        </w:rPr>
      </w:pPr>
      <m:oMathPara>
        <m:oMath>
          <m:r>
            <m:rPr>
              <m:sty m:val="b"/>
            </m:rPr>
            <w:rPr>
              <w:rFonts w:hint="eastAsia" w:ascii="Cambria Math" w:hAnsi="Cambria Math"/>
              <w:sz w:val="24"/>
              <w:szCs w:val="28"/>
            </w:rPr>
            <m:t>门诊收入增幅</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（本年度门诊收入－上一年度门诊收入）</m:t>
              </m:r>
              <m:ctrlPr>
                <w:rPr>
                  <w:rFonts w:hint="eastAsia" w:ascii="Cambria Math" w:hAnsi="Cambria Math"/>
                  <w:sz w:val="24"/>
                  <w:szCs w:val="28"/>
                </w:rPr>
              </m:ctrlPr>
            </m:num>
            <m:den>
              <m:r>
                <m:rPr>
                  <m:sty m:val="p"/>
                </m:rPr>
                <w:rPr>
                  <w:rFonts w:hint="eastAsia" w:ascii="Cambria Math" w:hAnsi="Cambria Math"/>
                  <w:sz w:val="24"/>
                  <w:szCs w:val="28"/>
                </w:rPr>
                <m:t>上一年度门诊收入</m:t>
              </m:r>
              <m:ctrlPr>
                <w:rPr>
                  <w:rFonts w:hint="eastAsia" w:ascii="Cambria Math" w:hAnsi="Cambria Math"/>
                  <w:sz w:val="24"/>
                  <w:szCs w:val="28"/>
                </w:rPr>
              </m:ctrlPr>
            </m:den>
          </m:f>
          <m:r>
            <m:rPr>
              <m:sty m:val="p"/>
            </m:rPr>
            <w:rPr>
              <w:rFonts w:hint="eastAsia" w:ascii="Cambria Math" w:hAnsi="Cambria Math"/>
              <w:sz w:val="24"/>
              <w:szCs w:val="28"/>
            </w:rPr>
            <m:t>×100%</m:t>
          </m:r>
          <m:r>
            <m:rPr>
              <m:sty m:val="p"/>
            </m:rPr>
            <w:rPr>
              <w:rFonts w:ascii="Cambria Math" w:hAnsi="Cambria Math"/>
              <w:sz w:val="24"/>
              <w:szCs w:val="28"/>
            </w:rPr>
            <m:t xml:space="preserve">              </m:t>
          </m:r>
        </m:oMath>
      </m:oMathPara>
    </w:p>
    <w:p>
      <w:pPr>
        <w:spacing w:after="217" w:afterLines="50" w:line="360" w:lineRule="auto"/>
        <w:rPr>
          <w:rFonts w:ascii="仿宋_GB2312" w:hAnsi="黑体"/>
          <w:sz w:val="28"/>
          <w:szCs w:val="28"/>
        </w:rPr>
      </w:pPr>
      <m:oMathPara>
        <m:oMath>
          <m:r>
            <m:rPr>
              <m:sty m:val="b"/>
            </m:rPr>
            <w:rPr>
              <w:rFonts w:hint="eastAsia" w:ascii="Cambria Math" w:hAnsi="Cambria Math"/>
              <w:sz w:val="24"/>
              <w:szCs w:val="28"/>
            </w:rPr>
            <m:t>住院收入增幅</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（本年度住院收入－上一年度住院收入）</m:t>
              </m:r>
              <m:ctrlPr>
                <w:rPr>
                  <w:rFonts w:hint="eastAsia" w:ascii="Cambria Math" w:hAnsi="Cambria Math"/>
                  <w:sz w:val="24"/>
                  <w:szCs w:val="28"/>
                </w:rPr>
              </m:ctrlPr>
            </m:num>
            <m:den>
              <m:r>
                <m:rPr>
                  <m:sty m:val="p"/>
                </m:rPr>
                <w:rPr>
                  <w:rFonts w:hint="eastAsia" w:ascii="Cambria Math" w:hAnsi="Cambria Math"/>
                  <w:sz w:val="24"/>
                  <w:szCs w:val="28"/>
                </w:rPr>
                <m:t>上一年度住院收入</m:t>
              </m:r>
              <m:ctrlPr>
                <w:rPr>
                  <w:rFonts w:hint="eastAsia" w:ascii="Cambria Math" w:hAnsi="Cambria Math"/>
                  <w:sz w:val="24"/>
                  <w:szCs w:val="28"/>
                </w:rPr>
              </m:ctrlPr>
            </m:den>
          </m:f>
          <m:r>
            <m:rPr>
              <m:sty m:val="p"/>
            </m:rPr>
            <w:rPr>
              <w:rFonts w:hint="eastAsia" w:ascii="Cambria Math" w:hAnsi="Cambria Math"/>
              <w:sz w:val="24"/>
              <w:szCs w:val="28"/>
            </w:rPr>
            <m:t>×100%</m:t>
          </m:r>
          <m:r>
            <m:rPr>
              <m:sty m:val="p"/>
            </m:rPr>
            <w:rPr>
              <w:rFonts w:ascii="Cambria Math" w:hAnsi="Cambria Math"/>
              <w:sz w:val="24"/>
              <w:szCs w:val="28"/>
            </w:rPr>
            <m:t xml:space="preserve">              </m:t>
          </m:r>
        </m:oMath>
      </m:oMathPara>
    </w:p>
    <w:p>
      <w:pPr>
        <w:spacing w:line="360" w:lineRule="auto"/>
        <w:rPr>
          <w:rFonts w:ascii="仿宋_GB2312"/>
          <w:sz w:val="28"/>
          <w:szCs w:val="28"/>
        </w:rPr>
      </w:pPr>
      <w:r>
        <w:rPr>
          <w:rFonts w:hint="eastAsia" w:ascii="仿宋_GB2312"/>
          <w:b/>
          <w:bCs/>
          <w:sz w:val="28"/>
          <w:szCs w:val="28"/>
        </w:rPr>
        <w:t>延伸指标：</w:t>
      </w:r>
    </w:p>
    <w:p>
      <w:pPr>
        <w:spacing w:after="87" w:afterLines="20" w:line="360" w:lineRule="auto"/>
        <w:ind w:right="-377" w:rightChars="-118"/>
        <w:rPr>
          <w:rFonts w:ascii="仿宋_GB2312" w:hAnsi="黑体"/>
          <w:sz w:val="24"/>
          <w:szCs w:val="28"/>
        </w:rPr>
      </w:pPr>
      <m:oMathPara>
        <m:oMathParaPr>
          <m:jc m:val="center"/>
        </m:oMathParaPr>
        <m:oMath>
          <m:r>
            <m:rPr>
              <m:sty m:val="b"/>
            </m:rPr>
            <w:rPr>
              <w:rFonts w:ascii="Cambria Math" w:hAnsi="Cambria Math"/>
              <w:sz w:val="24"/>
              <w:szCs w:val="28"/>
            </w:rPr>
            <m:t xml:space="preserve">   </m:t>
          </m:r>
          <m:r>
            <m:rPr>
              <m:sty m:val="b"/>
            </m:rPr>
            <w:rPr>
              <w:rFonts w:hint="eastAsia" w:ascii="Cambria Math" w:hAnsi="Cambria Math"/>
              <w:sz w:val="24"/>
              <w:szCs w:val="28"/>
            </w:rPr>
            <m:t>剔除有关项后的医疗收入增幅</m:t>
          </m:r>
          <m:r>
            <m:rPr>
              <m:sty m:val="p"/>
            </m:rPr>
            <w:rPr>
              <w:rFonts w:hint="eastAsia" w:ascii="Cambria Math" w:hAnsi="Cambria Math"/>
              <w:sz w:val="24"/>
              <w:szCs w:val="28"/>
            </w:rPr>
            <m:t>=</m:t>
          </m:r>
          <m:f>
            <m:fPr>
              <m:ctrlPr>
                <w:rPr>
                  <w:rFonts w:hint="eastAsia" w:ascii="Cambria Math" w:hAnsi="Cambria Math"/>
                  <w:sz w:val="24"/>
                  <w:szCs w:val="28"/>
                </w:rPr>
              </m:ctrlPr>
            </m:fPr>
            <m:num>
              <m:eqArr>
                <m:eqArrPr>
                  <m:ctrlPr>
                    <w:rPr>
                      <w:rFonts w:hint="eastAsia" w:ascii="Cambria Math" w:hAnsi="Cambria Math"/>
                      <w:sz w:val="24"/>
                      <w:szCs w:val="28"/>
                    </w:rPr>
                  </m:ctrlPr>
                </m:eqArrPr>
                <m:e>
                  <m:r>
                    <m:rPr>
                      <m:sty m:val="p"/>
                    </m:rPr>
                    <w:rPr>
                      <w:rFonts w:hint="eastAsia" w:ascii="Cambria Math" w:hAnsi="Cambria Math"/>
                      <w:sz w:val="24"/>
                      <w:szCs w:val="28"/>
                    </w:rPr>
                    <m:t>（本年度剔除有关项后的医疗收入</m:t>
                  </m:r>
                  <m:ctrlPr>
                    <w:rPr>
                      <w:rFonts w:hint="eastAsia" w:ascii="Cambria Math" w:hAnsi="Cambria Math"/>
                      <w:sz w:val="24"/>
                      <w:szCs w:val="28"/>
                    </w:rPr>
                  </m:ctrlPr>
                </m:e>
                <m:e>
                  <m:r>
                    <m:rPr>
                      <m:sty m:val="p"/>
                    </m:rPr>
                    <w:rPr>
                      <w:rFonts w:hint="eastAsia" w:ascii="Cambria Math" w:hAnsi="Cambria Math"/>
                      <w:sz w:val="24"/>
                      <w:szCs w:val="28"/>
                    </w:rPr>
                    <m:t>－上一年度剔除有关项后的医疗收入）</m:t>
                  </m:r>
                  <m:ctrlPr>
                    <w:rPr>
                      <w:rFonts w:hint="eastAsia" w:ascii="Cambria Math" w:hAnsi="Cambria Math"/>
                      <w:sz w:val="24"/>
                      <w:szCs w:val="28"/>
                    </w:rPr>
                  </m:ctrlPr>
                </m:e>
              </m:eqArr>
              <m:ctrlPr>
                <w:rPr>
                  <w:rFonts w:hint="eastAsia" w:ascii="Cambria Math" w:hAnsi="Cambria Math"/>
                  <w:sz w:val="24"/>
                  <w:szCs w:val="28"/>
                </w:rPr>
              </m:ctrlPr>
            </m:num>
            <m:den>
              <m:r>
                <m:rPr>
                  <m:sty m:val="p"/>
                </m:rPr>
                <w:rPr>
                  <w:rFonts w:hint="eastAsia" w:ascii="Cambria Math" w:hAnsi="Cambria Math"/>
                  <w:sz w:val="24"/>
                  <w:szCs w:val="28"/>
                </w:rPr>
                <m:t>上一年度剔除有关项后的医疗收入</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szCs w:val="32"/>
        </w:rPr>
        <w:t>（</w:t>
      </w:r>
      <w:r>
        <w:rPr>
          <w:rFonts w:ascii="仿宋_GB2312"/>
          <w:szCs w:val="32"/>
        </w:rPr>
        <w:t>1</w:t>
      </w:r>
      <w:r>
        <w:rPr>
          <w:rFonts w:hint="eastAsia"/>
          <w:szCs w:val="32"/>
        </w:rPr>
        <w:t>）医疗收入指医院开展医疗服务活动取得的收入，包括门急诊收入、住院收入和结算差额。</w:t>
      </w:r>
    </w:p>
    <w:p>
      <w:pPr>
        <w:spacing w:line="600" w:lineRule="exact"/>
        <w:ind w:firstLine="640" w:firstLineChars="200"/>
        <w:rPr>
          <w:szCs w:val="32"/>
        </w:rPr>
      </w:pPr>
      <w:r>
        <w:rPr>
          <w:rFonts w:hint="eastAsia"/>
          <w:szCs w:val="32"/>
        </w:rPr>
        <w:t>（</w:t>
      </w:r>
      <w:r>
        <w:rPr>
          <w:rFonts w:ascii="仿宋_GB2312"/>
          <w:szCs w:val="32"/>
        </w:rPr>
        <w:t>2</w:t>
      </w:r>
      <w:r>
        <w:rPr>
          <w:rFonts w:hint="eastAsia"/>
          <w:szCs w:val="32"/>
        </w:rPr>
        <w:t>）延伸指标：剔除有关项后的医疗收入增幅。用于反映剔除散装中药饮片、小包装中药饮片、中药配方颗粒剂、医疗机构中药制剂、罕见病专用药收入、长期处方</w:t>
      </w:r>
      <w:r>
        <w:rPr>
          <w:rStyle w:val="34"/>
          <w:rFonts w:ascii="仿宋_GB2312"/>
          <w:szCs w:val="32"/>
        </w:rPr>
        <w:footnoteReference w:id="39"/>
      </w:r>
      <w:r>
        <w:rPr>
          <w:rFonts w:hint="eastAsia"/>
          <w:szCs w:val="32"/>
        </w:rPr>
        <w:t>产生的药品收入，以及纳入国家医保目录中谈判类药物</w:t>
      </w:r>
      <w:r>
        <w:rPr>
          <w:rStyle w:val="34"/>
          <w:rFonts w:ascii="仿宋_GB2312"/>
          <w:szCs w:val="32"/>
        </w:rPr>
        <w:footnoteReference w:id="40"/>
      </w:r>
      <w:r>
        <w:rPr>
          <w:rFonts w:hint="eastAsia"/>
          <w:szCs w:val="32"/>
        </w:rPr>
        <w:t>收入后的医疗收入增幅情况。具体剔除方式详见填报模板。</w:t>
      </w:r>
    </w:p>
    <w:p>
      <w:pPr>
        <w:spacing w:line="600" w:lineRule="exact"/>
        <w:rPr>
          <w:b/>
          <w:szCs w:val="32"/>
        </w:rPr>
      </w:pPr>
      <w:r>
        <w:rPr>
          <w:rFonts w:hint="eastAsia"/>
          <w:b/>
          <w:szCs w:val="32"/>
        </w:rPr>
        <w:t>【指标意义】</w:t>
      </w:r>
    </w:p>
    <w:p>
      <w:pPr>
        <w:adjustRightInd w:val="0"/>
        <w:spacing w:line="600" w:lineRule="exact"/>
        <w:ind w:firstLine="640" w:firstLineChars="200"/>
        <w:rPr>
          <w:b/>
          <w:szCs w:val="32"/>
        </w:rPr>
      </w:pPr>
      <w:r>
        <w:t>医疗收入增幅用于反映医院医疗费用年度总体增长情况。《国务院关于印发“十三五”深化医药卫生体制改革规划的通知》（国发</w:t>
      </w:r>
      <w:r>
        <w:rPr>
          <w:rFonts w:hint="eastAsia" w:ascii="仿宋_GB2312"/>
        </w:rPr>
        <w:t>〔</w:t>
      </w:r>
      <w:r>
        <w:rPr>
          <w:rFonts w:ascii="仿宋_GB2312"/>
        </w:rPr>
        <w:t>2016</w:t>
      </w:r>
      <w:r>
        <w:rPr>
          <w:rFonts w:hint="eastAsia" w:ascii="仿宋_GB2312"/>
        </w:rPr>
        <w:t>〕</w:t>
      </w:r>
      <w:r>
        <w:rPr>
          <w:rFonts w:ascii="仿宋_GB2312"/>
        </w:rPr>
        <w:t>78</w:t>
      </w:r>
      <w:r>
        <w:rPr>
          <w:rFonts w:hint="eastAsia" w:ascii="仿宋_GB2312"/>
        </w:rPr>
        <w:t>号）及《关于全面推开公立医院综合改革工作的通知》（国卫体改发〔</w:t>
      </w:r>
      <w:r>
        <w:rPr>
          <w:rFonts w:ascii="仿宋_GB2312"/>
        </w:rPr>
        <w:t>2017</w:t>
      </w:r>
      <w:r>
        <w:rPr>
          <w:rFonts w:hint="eastAsia" w:ascii="仿宋_GB2312"/>
        </w:rPr>
        <w:t>〕</w:t>
      </w:r>
      <w:r>
        <w:rPr>
          <w:rFonts w:ascii="仿宋_GB2312"/>
        </w:rPr>
        <w:t>22</w:t>
      </w:r>
      <w:r>
        <w:rPr>
          <w:rFonts w:hint="eastAsia" w:ascii="仿宋_GB2312"/>
        </w:rPr>
        <w:t>号）要求，到</w:t>
      </w:r>
      <w:r>
        <w:rPr>
          <w:rFonts w:ascii="仿宋_GB2312"/>
        </w:rPr>
        <w:t>2017</w:t>
      </w:r>
      <w:r>
        <w:rPr>
          <w:rFonts w:hint="eastAsia" w:ascii="仿宋_GB2312"/>
        </w:rPr>
        <w:t>年全国公立医院医疗费用增长幅度力争降到</w:t>
      </w:r>
      <w:r>
        <w:rPr>
          <w:rFonts w:ascii="仿宋_GB2312"/>
        </w:rPr>
        <w:t>10%</w:t>
      </w:r>
      <w:r>
        <w:rPr>
          <w:rFonts w:hint="eastAsia" w:ascii="仿宋_GB2312"/>
        </w:rPr>
        <w:t>以下，到</w:t>
      </w:r>
      <w:r>
        <w:rPr>
          <w:rFonts w:ascii="仿宋_GB2312"/>
        </w:rPr>
        <w:t>2020</w:t>
      </w:r>
      <w:r>
        <w:rPr>
          <w:rFonts w:hint="eastAsia" w:ascii="仿宋_GB2312"/>
        </w:rPr>
        <w:t>年，</w:t>
      </w:r>
      <w:r>
        <w:t>增长幅度稳定在合理水平</w:t>
      </w:r>
      <w:r>
        <w:rPr>
          <w:rFonts w:hint="eastAsia"/>
        </w:rPr>
        <w:t>。</w:t>
      </w:r>
      <w:r>
        <w:rPr>
          <w:rFonts w:hint="eastAsia" w:ascii="仿宋_GB2312" w:hAnsi="仿宋" w:cs="仿宋"/>
          <w:szCs w:val="21"/>
        </w:rPr>
        <w:t>《关于印发进一步规范医疗行为促进合理医疗检查的指导意见的通知》（国卫医发〔</w:t>
      </w:r>
      <w:r>
        <w:rPr>
          <w:rFonts w:ascii="仿宋_GB2312" w:hAnsi="仿宋" w:cs="仿宋"/>
          <w:szCs w:val="21"/>
        </w:rPr>
        <w:t>2020</w:t>
      </w:r>
      <w:r>
        <w:rPr>
          <w:rFonts w:hint="eastAsia" w:ascii="仿宋_GB2312" w:hAnsi="仿宋" w:cs="仿宋"/>
          <w:szCs w:val="21"/>
        </w:rPr>
        <w:t>〕</w:t>
      </w:r>
      <w:r>
        <w:rPr>
          <w:rFonts w:ascii="仿宋_GB2312" w:hAnsi="仿宋" w:cs="仿宋"/>
          <w:szCs w:val="21"/>
        </w:rPr>
        <w:t>29</w:t>
      </w:r>
      <w:r>
        <w:rPr>
          <w:rFonts w:hint="eastAsia" w:ascii="仿宋_GB2312" w:hAnsi="仿宋" w:cs="仿宋"/>
          <w:szCs w:val="21"/>
        </w:rPr>
        <w:t>号）要求加快建立多元复合式医保支付方式，引导医疗机构主动控制成本，合理检查、合理用药、合理治疗，控制医疗费用不合理增长。</w:t>
      </w:r>
      <w:r>
        <w:rPr>
          <w:rFonts w:hint="eastAsia" w:ascii="仿宋_GB2312"/>
          <w:szCs w:val="32"/>
        </w:rPr>
        <w:t>《关于印发长期处方管理规范（试行）的通知》（国卫办医发〔2021〕17号）规定长期处方产生的药品费用不纳入门诊次均费用、门诊药品次均费用考核。</w:t>
      </w:r>
    </w:p>
    <w:p>
      <w:pPr>
        <w:spacing w:line="600" w:lineRule="exact"/>
        <w:rPr>
          <w:b/>
          <w:sz w:val="21"/>
          <w:szCs w:val="22"/>
        </w:rPr>
      </w:pPr>
      <w:r>
        <w:rPr>
          <w:rFonts w:hint="eastAsia"/>
          <w:b/>
          <w:szCs w:val="32"/>
        </w:rPr>
        <w:t>【指标导向】</w:t>
      </w:r>
      <w:r>
        <w:rPr>
          <w:rFonts w:hint="eastAsia"/>
          <w:szCs w:val="32"/>
        </w:rPr>
        <w:t>监测比较。</w:t>
      </w:r>
    </w:p>
    <w:p>
      <w:pPr>
        <w:spacing w:line="600" w:lineRule="exact"/>
        <w:rPr>
          <w:szCs w:val="32"/>
        </w:rPr>
      </w:pPr>
      <w:r>
        <w:rPr>
          <w:rFonts w:hint="eastAsia"/>
          <w:b/>
          <w:szCs w:val="32"/>
        </w:rPr>
        <w:t>【指标来源】</w:t>
      </w:r>
      <w:r>
        <w:rPr>
          <w:rFonts w:hint="eastAsia"/>
          <w:szCs w:val="32"/>
        </w:rPr>
        <w:t>医院填报、财务年报表。</w:t>
      </w:r>
    </w:p>
    <w:p>
      <w:pPr>
        <w:spacing w:line="600" w:lineRule="exact"/>
        <w:rPr>
          <w:szCs w:val="32"/>
        </w:rPr>
      </w:pPr>
      <w:r>
        <w:rPr>
          <w:rFonts w:hint="eastAsia"/>
          <w:b/>
          <w:szCs w:val="32"/>
        </w:rPr>
        <w:t>【指标解释】</w:t>
      </w:r>
      <w:r>
        <w:rPr>
          <w:rFonts w:hint="eastAsia"/>
          <w:szCs w:val="32"/>
        </w:rPr>
        <w:t>国家卫生健康委、省级卫生健康委。</w:t>
      </w:r>
    </w:p>
    <w:p>
      <w:pPr>
        <w:widowControl/>
        <w:spacing w:line="600" w:lineRule="exact"/>
        <w:rPr>
          <w:b/>
          <w:szCs w:val="32"/>
        </w:rPr>
      </w:pPr>
      <w:r>
        <w:rPr>
          <w:rFonts w:hint="eastAsia"/>
          <w:b/>
          <w:kern w:val="0"/>
          <w:szCs w:val="32"/>
        </w:rPr>
        <w:br w:type="page"/>
      </w:r>
      <w:r>
        <w:rPr>
          <w:b/>
          <w:szCs w:val="32"/>
        </w:rPr>
        <w:t>26</w:t>
      </w:r>
      <w:r>
        <w:rPr>
          <w:rFonts w:hint="eastAsia"/>
          <w:b/>
          <w:szCs w:val="32"/>
        </w:rPr>
        <w:t>. 次均费用增幅▲</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szCs w:val="32"/>
        </w:rPr>
      </w:pPr>
      <w:r>
        <w:rPr>
          <w:rFonts w:hint="eastAsia"/>
          <w:szCs w:val="32"/>
        </w:rPr>
        <w:t>次均费用（即次均医药费用）增幅由门诊和住院两部分构成：</w:t>
      </w:r>
    </w:p>
    <w:p>
      <w:pPr>
        <w:adjustRightInd w:val="0"/>
        <w:spacing w:line="600" w:lineRule="exact"/>
        <w:ind w:firstLine="640" w:firstLineChars="200"/>
        <w:rPr>
          <w:szCs w:val="32"/>
        </w:rPr>
      </w:pPr>
      <w:r>
        <w:rPr>
          <w:rFonts w:hint="eastAsia"/>
          <w:szCs w:val="32"/>
        </w:rPr>
        <w:t>（</w:t>
      </w:r>
      <w:r>
        <w:rPr>
          <w:rFonts w:ascii="仿宋_GB2312"/>
          <w:szCs w:val="32"/>
        </w:rPr>
        <w:t>1</w:t>
      </w:r>
      <w:r>
        <w:rPr>
          <w:rFonts w:hint="eastAsia"/>
          <w:szCs w:val="32"/>
        </w:rPr>
        <w:t>）门诊次</w:t>
      </w:r>
      <w:r>
        <w:rPr>
          <w:szCs w:val="32"/>
        </w:rPr>
        <w:t>均费用</w:t>
      </w:r>
      <w:r>
        <w:rPr>
          <w:rFonts w:hint="eastAsia"/>
          <w:szCs w:val="32"/>
        </w:rPr>
        <w:t>增幅：考核年度门诊患者次</w:t>
      </w:r>
      <w:r>
        <w:rPr>
          <w:szCs w:val="32"/>
        </w:rPr>
        <w:t>均</w:t>
      </w:r>
      <w:r>
        <w:rPr>
          <w:rFonts w:hint="eastAsia"/>
          <w:szCs w:val="32"/>
        </w:rPr>
        <w:t>医</w:t>
      </w:r>
      <w:r>
        <w:rPr>
          <w:szCs w:val="32"/>
        </w:rPr>
        <w:t>药费用</w:t>
      </w:r>
      <w:r>
        <w:rPr>
          <w:rFonts w:hint="eastAsia"/>
          <w:szCs w:val="32"/>
        </w:rPr>
        <w:t>与上</w:t>
      </w:r>
      <w:r>
        <w:rPr>
          <w:szCs w:val="32"/>
        </w:rPr>
        <w:t>一年同期</w:t>
      </w:r>
      <w:r>
        <w:rPr>
          <w:rFonts w:hint="eastAsia"/>
          <w:szCs w:val="32"/>
        </w:rPr>
        <w:t>次</w:t>
      </w:r>
      <w:r>
        <w:rPr>
          <w:szCs w:val="32"/>
        </w:rPr>
        <w:t>均医药费用之差</w:t>
      </w:r>
      <w:r>
        <w:rPr>
          <w:rFonts w:hint="eastAsia"/>
          <w:szCs w:val="32"/>
        </w:rPr>
        <w:t>占上一年度门诊患者次</w:t>
      </w:r>
      <w:r>
        <w:rPr>
          <w:szCs w:val="32"/>
        </w:rPr>
        <w:t>均</w:t>
      </w:r>
      <w:r>
        <w:rPr>
          <w:rFonts w:hint="eastAsia"/>
          <w:szCs w:val="32"/>
        </w:rPr>
        <w:t>医</w:t>
      </w:r>
      <w:r>
        <w:rPr>
          <w:szCs w:val="32"/>
        </w:rPr>
        <w:t>药费用</w:t>
      </w:r>
      <w:r>
        <w:rPr>
          <w:rFonts w:hint="eastAsia"/>
          <w:szCs w:val="32"/>
        </w:rPr>
        <w:t>的比例。</w:t>
      </w:r>
    </w:p>
    <w:p>
      <w:pPr>
        <w:adjustRightInd w:val="0"/>
        <w:spacing w:line="600" w:lineRule="exact"/>
        <w:ind w:firstLine="640" w:firstLineChars="200"/>
        <w:rPr>
          <w:szCs w:val="32"/>
        </w:rPr>
      </w:pPr>
      <w:r>
        <w:rPr>
          <w:rFonts w:hint="eastAsia"/>
          <w:szCs w:val="32"/>
        </w:rPr>
        <w:t>（</w:t>
      </w:r>
      <w:r>
        <w:rPr>
          <w:rFonts w:ascii="仿宋_GB2312"/>
          <w:szCs w:val="32"/>
        </w:rPr>
        <w:t>2</w:t>
      </w:r>
      <w:r>
        <w:rPr>
          <w:rFonts w:hint="eastAsia"/>
          <w:szCs w:val="32"/>
        </w:rPr>
        <w:t>）住院次</w:t>
      </w:r>
      <w:r>
        <w:rPr>
          <w:szCs w:val="32"/>
        </w:rPr>
        <w:t>均费用</w:t>
      </w:r>
      <w:r>
        <w:rPr>
          <w:rFonts w:hint="eastAsia"/>
          <w:szCs w:val="32"/>
        </w:rPr>
        <w:t>增幅：考核年度出院患者次</w:t>
      </w:r>
      <w:r>
        <w:rPr>
          <w:szCs w:val="32"/>
        </w:rPr>
        <w:t>均</w:t>
      </w:r>
      <w:r>
        <w:rPr>
          <w:rFonts w:hint="eastAsia"/>
          <w:szCs w:val="32"/>
        </w:rPr>
        <w:t>医</w:t>
      </w:r>
      <w:r>
        <w:rPr>
          <w:szCs w:val="32"/>
        </w:rPr>
        <w:t>药费用</w:t>
      </w:r>
      <w:r>
        <w:rPr>
          <w:rFonts w:hint="eastAsia"/>
          <w:szCs w:val="32"/>
        </w:rPr>
        <w:t>与上</w:t>
      </w:r>
      <w:r>
        <w:rPr>
          <w:szCs w:val="32"/>
        </w:rPr>
        <w:t>一年同期</w:t>
      </w:r>
      <w:r>
        <w:rPr>
          <w:rFonts w:hint="eastAsia"/>
          <w:szCs w:val="32"/>
        </w:rPr>
        <w:t>次</w:t>
      </w:r>
      <w:r>
        <w:rPr>
          <w:szCs w:val="32"/>
        </w:rPr>
        <w:t>均医药费用之差</w:t>
      </w:r>
      <w:r>
        <w:rPr>
          <w:rFonts w:hint="eastAsia"/>
          <w:szCs w:val="32"/>
        </w:rPr>
        <w:t>占上一年度出院患者次</w:t>
      </w:r>
      <w:r>
        <w:rPr>
          <w:szCs w:val="32"/>
        </w:rPr>
        <w:t>均</w:t>
      </w:r>
      <w:r>
        <w:rPr>
          <w:rFonts w:hint="eastAsia"/>
          <w:szCs w:val="32"/>
        </w:rPr>
        <w:t>医</w:t>
      </w:r>
      <w:r>
        <w:rPr>
          <w:szCs w:val="32"/>
        </w:rPr>
        <w:t>药费用</w:t>
      </w:r>
      <w:r>
        <w:rPr>
          <w:rFonts w:hint="eastAsia"/>
          <w:szCs w:val="32"/>
        </w:rPr>
        <w:t>的比例。</w:t>
      </w:r>
    </w:p>
    <w:p>
      <w:pPr>
        <w:spacing w:line="600" w:lineRule="exact"/>
        <w:rPr>
          <w:b/>
          <w:szCs w:val="32"/>
        </w:rPr>
      </w:pPr>
      <w:r>
        <w:rPr>
          <w:rFonts w:hint="eastAsia"/>
          <w:b/>
          <w:szCs w:val="32"/>
        </w:rPr>
        <w:t>【计算方法】</w:t>
      </w:r>
    </w:p>
    <w:p>
      <w:pPr>
        <w:adjustRightInd w:val="0"/>
        <w:snapToGrid w:val="0"/>
        <w:spacing w:before="87" w:beforeLines="20" w:line="360" w:lineRule="auto"/>
        <w:ind w:right="-480" w:rightChars="-150"/>
        <w:rPr>
          <w:rFonts w:ascii="仿宋_GB2312" w:hAnsi="黑体"/>
          <w:sz w:val="24"/>
          <w:szCs w:val="28"/>
        </w:rPr>
      </w:pPr>
      <m:oMathPara>
        <m:oMathParaPr>
          <m:jc m:val="left"/>
        </m:oMathParaPr>
        <m:oMath>
          <m:r>
            <m:rPr>
              <m:sty m:val="p"/>
            </m:rPr>
            <w:rPr>
              <w:rFonts w:hint="eastAsia" w:ascii="Cambria Math" w:hAnsi="Cambria Math"/>
              <w:sz w:val="24"/>
              <w:szCs w:val="28"/>
            </w:rPr>
            <m:t>（1）</m:t>
          </m:r>
          <m:r>
            <m:rPr>
              <m:sty m:val="b"/>
            </m:rPr>
            <w:rPr>
              <w:rFonts w:hint="eastAsia" w:ascii="Cambria Math" w:hAnsi="Cambria Math"/>
              <w:sz w:val="24"/>
              <w:szCs w:val="28"/>
            </w:rPr>
            <m:t>门诊次均医药费用增幅</m:t>
          </m:r>
          <m:r>
            <m:rPr>
              <m:sty m:val="p"/>
            </m:rPr>
            <w:rPr>
              <w:rFonts w:hint="eastAsia" w:ascii="Cambria Math" w:hAnsi="Cambria Math"/>
              <w:sz w:val="24"/>
              <w:szCs w:val="28"/>
            </w:rPr>
            <m:t>=</m:t>
          </m:r>
          <m:f>
            <m:fPr>
              <m:ctrlPr>
                <w:rPr>
                  <w:rFonts w:hint="eastAsia" w:ascii="Cambria Math" w:hAnsi="Cambria Math"/>
                  <w:sz w:val="24"/>
                  <w:szCs w:val="28"/>
                </w:rPr>
              </m:ctrlPr>
            </m:fPr>
            <m:num>
              <m:eqArr>
                <m:eqArrPr>
                  <m:ctrlPr>
                    <w:rPr>
                      <w:rFonts w:hint="eastAsia" w:ascii="Cambria Math" w:hAnsi="Cambria Math"/>
                      <w:sz w:val="24"/>
                      <w:szCs w:val="28"/>
                    </w:rPr>
                  </m:ctrlPr>
                </m:eqArrPr>
                <m:e>
                  <m:r>
                    <m:rPr>
                      <m:sty m:val="p"/>
                    </m:rPr>
                    <w:rPr>
                      <w:rFonts w:hint="eastAsia" w:ascii="Cambria Math" w:hAnsi="Cambria Math"/>
                      <w:sz w:val="24"/>
                      <w:szCs w:val="28"/>
                    </w:rPr>
                    <m:t>（本年度门诊患者次均医药费用</m:t>
                  </m:r>
                  <m:ctrlPr>
                    <w:rPr>
                      <w:rFonts w:hint="eastAsia" w:ascii="Cambria Math" w:hAnsi="Cambria Math"/>
                      <w:sz w:val="24"/>
                      <w:szCs w:val="28"/>
                    </w:rPr>
                  </m:ctrlPr>
                </m:e>
                <m:e>
                  <m:r>
                    <m:rPr>
                      <m:sty m:val="b"/>
                    </m:rPr>
                    <w:rPr>
                      <w:rFonts w:hint="eastAsia" w:ascii="Cambria Math" w:hAnsi="Cambria Math"/>
                      <w:sz w:val="24"/>
                      <w:szCs w:val="28"/>
                    </w:rPr>
                    <m:t>－</m:t>
                  </m:r>
                  <m:r>
                    <m:rPr>
                      <m:sty m:val="p"/>
                    </m:rPr>
                    <w:rPr>
                      <w:rFonts w:hint="eastAsia" w:ascii="Cambria Math" w:hAnsi="Cambria Math"/>
                      <w:sz w:val="24"/>
                      <w:szCs w:val="28"/>
                    </w:rPr>
                    <m:t>上一年度门诊患者次均医药费用）</m:t>
                  </m:r>
                  <m:ctrlPr>
                    <w:rPr>
                      <w:rFonts w:hint="eastAsia" w:ascii="Cambria Math" w:hAnsi="Cambria Math"/>
                      <w:sz w:val="24"/>
                      <w:szCs w:val="28"/>
                    </w:rPr>
                  </m:ctrlPr>
                </m:e>
              </m:eqArr>
              <m:ctrlPr>
                <w:rPr>
                  <w:rFonts w:hint="eastAsia" w:ascii="Cambria Math" w:hAnsi="Cambria Math"/>
                  <w:sz w:val="24"/>
                  <w:szCs w:val="28"/>
                </w:rPr>
              </m:ctrlPr>
            </m:num>
            <m:den>
              <m:r>
                <m:rPr>
                  <m:sty m:val="p"/>
                </m:rPr>
                <w:rPr>
                  <w:rFonts w:hint="eastAsia" w:ascii="Cambria Math" w:hAnsi="Cambria Math"/>
                  <w:sz w:val="24"/>
                  <w:szCs w:val="28"/>
                </w:rPr>
                <m:t>上一年度门诊患者次均医药费用</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after="217" w:afterLines="50" w:line="360" w:lineRule="auto"/>
        <w:ind w:right="1123"/>
        <w:rPr>
          <w:rFonts w:ascii="仿宋_GB2312"/>
          <w:sz w:val="24"/>
          <w:szCs w:val="28"/>
        </w:rPr>
      </w:pPr>
      <m:oMathPara>
        <m:oMathParaPr>
          <m:jc m:val="left"/>
        </m:oMathParaPr>
        <m:oMath>
          <m:r>
            <m:rPr>
              <m:sty m:val="p"/>
            </m:rPr>
            <w:rPr>
              <w:rFonts w:hint="eastAsia" w:ascii="Cambria Math" w:hAnsi="Cambria Math"/>
              <w:sz w:val="24"/>
              <w:szCs w:val="28"/>
            </w:rPr>
            <m:t>（2）</m:t>
          </m:r>
          <m:r>
            <m:rPr>
              <m:sty m:val="b"/>
            </m:rPr>
            <w:rPr>
              <w:rFonts w:hint="eastAsia" w:ascii="Cambria Math" w:hAnsi="Cambria Math"/>
              <w:sz w:val="24"/>
              <w:szCs w:val="28"/>
            </w:rPr>
            <m:t>门诊患者次均医药费用</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门诊收入</m:t>
              </m:r>
              <m:ctrlPr>
                <w:rPr>
                  <w:rFonts w:hint="eastAsia" w:ascii="Cambria Math" w:hAnsi="Cambria Math"/>
                  <w:sz w:val="24"/>
                  <w:szCs w:val="28"/>
                </w:rPr>
              </m:ctrlPr>
            </m:num>
            <m:den>
              <m:r>
                <m:rPr>
                  <m:sty m:val="p"/>
                </m:rPr>
                <w:rPr>
                  <w:rFonts w:hint="eastAsia" w:ascii="Cambria Math" w:hAnsi="Cambria Math"/>
                  <w:sz w:val="24"/>
                  <w:szCs w:val="28"/>
                </w:rPr>
                <m:t>门诊人次数</m:t>
              </m:r>
              <m:ctrlPr>
                <w:rPr>
                  <w:rFonts w:hint="eastAsia" w:ascii="Cambria Math" w:hAnsi="Cambria Math"/>
                  <w:sz w:val="24"/>
                  <w:szCs w:val="28"/>
                </w:rPr>
              </m:ctrlPr>
            </m:den>
          </m:f>
        </m:oMath>
      </m:oMathPara>
    </w:p>
    <w:p>
      <w:pPr>
        <w:spacing w:line="600" w:lineRule="exact"/>
        <w:rPr>
          <w:rFonts w:ascii="仿宋" w:hAnsi="仿宋" w:eastAsia="仿宋"/>
          <w:b/>
          <w:szCs w:val="32"/>
        </w:rPr>
      </w:pPr>
      <w:r>
        <w:rPr>
          <w:rFonts w:hint="eastAsia" w:ascii="仿宋" w:hAnsi="仿宋" w:eastAsia="仿宋"/>
          <w:b/>
          <w:szCs w:val="32"/>
        </w:rPr>
        <w:t>延伸指标：</w:t>
      </w:r>
    </w:p>
    <w:p>
      <w:pPr>
        <w:spacing w:line="360" w:lineRule="auto"/>
        <w:ind w:right="-1219" w:rightChars="-381"/>
        <w:rPr>
          <w:b/>
          <w:szCs w:val="32"/>
        </w:rPr>
      </w:pPr>
      <m:oMathPara>
        <m:oMathParaPr>
          <m:jc m:val="left"/>
        </m:oMathParaPr>
        <m:oMath>
          <m:r>
            <m:rPr>
              <m:sty m:val="b"/>
            </m:rPr>
            <w:rPr>
              <w:rFonts w:hint="eastAsia" w:ascii="Cambria Math" w:hAnsi="Cambria Math"/>
              <w:sz w:val="24"/>
            </w:rPr>
            <m:t>剔除有关项后的门诊次均医药费用增幅</m:t>
          </m:r>
          <m:r>
            <m:rPr>
              <m:sty m:val="p"/>
            </m:rPr>
            <w:rPr>
              <w:rFonts w:ascii="Cambria Math" w:hAnsi="Cambria Math"/>
              <w:sz w:val="24"/>
            </w:rPr>
            <m:t>=</m:t>
          </m:r>
          <m:f>
            <m:fPr>
              <m:ctrlPr>
                <w:rPr>
                  <w:rFonts w:hint="eastAsia" w:ascii="Cambria Math" w:hAnsi="Cambria Math"/>
                  <w:sz w:val="24"/>
                </w:rPr>
              </m:ctrlPr>
            </m:fPr>
            <m:num>
              <m:eqArr>
                <m:eqArrPr>
                  <m:ctrlPr>
                    <w:rPr>
                      <w:rFonts w:hint="eastAsia" w:ascii="Cambria Math" w:hAnsi="Cambria Math"/>
                      <w:sz w:val="24"/>
                    </w:rPr>
                  </m:ctrlPr>
                </m:eqArrPr>
                <m:e>
                  <m:r>
                    <m:rPr>
                      <m:sty m:val="p"/>
                    </m:rPr>
                    <w:rPr>
                      <w:rFonts w:hint="eastAsia" w:ascii="Cambria Math" w:hAnsi="Cambria Math"/>
                      <w:sz w:val="24"/>
                    </w:rPr>
                    <m:t>（本年度剔除有关项后的门诊次均医药费用</m:t>
                  </m:r>
                  <m:ctrlPr>
                    <w:rPr>
                      <w:rFonts w:hint="eastAsia" w:ascii="Cambria Math" w:hAnsi="Cambria Math"/>
                      <w:sz w:val="24"/>
                    </w:rPr>
                  </m:ctrlPr>
                </m:e>
                <m:e>
                  <m:r>
                    <m:rPr>
                      <m:sty m:val="p"/>
                    </m:rPr>
                    <w:rPr>
                      <w:rFonts w:hint="eastAsia" w:ascii="Cambria Math" w:hAnsi="Cambria Math"/>
                      <w:sz w:val="24"/>
                    </w:rPr>
                    <m:t>－上一年度剔除有关项后的门诊次均医药费用）</m:t>
                  </m:r>
                  <m:ctrlPr>
                    <w:rPr>
                      <w:rFonts w:hint="eastAsia" w:ascii="Cambria Math" w:hAnsi="Cambria Math"/>
                      <w:sz w:val="24"/>
                    </w:rPr>
                  </m:ctrlPr>
                </m:e>
              </m:eqArr>
              <m:ctrlPr>
                <w:rPr>
                  <w:rFonts w:hint="eastAsia" w:ascii="Cambria Math" w:hAnsi="Cambria Math"/>
                  <w:sz w:val="24"/>
                </w:rPr>
              </m:ctrlPr>
            </m:num>
            <m:den>
              <m:r>
                <m:rPr>
                  <m:sty m:val="p"/>
                </m:rPr>
                <w:rPr>
                  <w:rFonts w:hint="eastAsia" w:ascii="Cambria Math" w:hAnsi="Cambria Math"/>
                  <w:sz w:val="24"/>
                </w:rPr>
                <m:t>上一年度剔除有关项后的门诊次均医药费用</m:t>
              </m:r>
              <m:ctrlPr>
                <w:rPr>
                  <w:rFonts w:hint="eastAsia" w:ascii="Cambria Math" w:hAnsi="Cambria Math"/>
                  <w:sz w:val="24"/>
                </w:rPr>
              </m:ctrlPr>
            </m:den>
          </m:f>
          <m:r>
            <m:rPr>
              <m:sty m:val="p"/>
            </m:rPr>
            <w:rPr>
              <w:rFonts w:ascii="Cambria Math" w:hAnsi="Cambria Math"/>
              <w:sz w:val="24"/>
            </w:rPr>
            <m:t>×100%</m:t>
          </m:r>
        </m:oMath>
      </m:oMathPara>
    </w:p>
    <w:p>
      <w:pPr>
        <w:spacing w:before="217" w:beforeLines="50" w:after="217" w:afterLines="50" w:line="360" w:lineRule="auto"/>
        <w:ind w:right="1123"/>
        <w:rPr>
          <w:rFonts w:ascii="仿宋_GB2312"/>
          <w:sz w:val="24"/>
          <w:szCs w:val="28"/>
        </w:rPr>
      </w:pPr>
    </w:p>
    <w:p>
      <w:pPr>
        <w:widowControl/>
        <w:spacing w:after="217" w:afterLines="50" w:line="360" w:lineRule="auto"/>
        <w:ind w:right="-339" w:rightChars="-106"/>
        <w:rPr>
          <w:rFonts w:ascii="仿宋_GB2312" w:hAnsi="黑体"/>
          <w:sz w:val="24"/>
          <w:szCs w:val="28"/>
        </w:rPr>
      </w:pPr>
      <m:oMathPara>
        <m:oMathParaPr>
          <m:jc m:val="left"/>
        </m:oMathParaPr>
        <m:oMath>
          <m:r>
            <m:rPr>
              <m:sty m:val="p"/>
            </m:rPr>
            <w:rPr>
              <w:rFonts w:hint="eastAsia" w:ascii="Cambria Math" w:hAnsi="Cambria Math"/>
              <w:sz w:val="24"/>
              <w:szCs w:val="28"/>
            </w:rPr>
            <m:t>（3）</m:t>
          </m:r>
          <m:r>
            <m:rPr>
              <m:sty m:val="b"/>
            </m:rPr>
            <w:rPr>
              <w:rFonts w:hint="eastAsia" w:ascii="Cambria Math" w:hAnsi="Cambria Math"/>
              <w:sz w:val="24"/>
              <w:szCs w:val="28"/>
            </w:rPr>
            <m:t>住院次均医药费用增幅=</m:t>
          </m:r>
          <m:f>
            <m:fPr>
              <m:ctrlPr>
                <w:rPr>
                  <w:rFonts w:hint="eastAsia" w:ascii="Cambria Math" w:hAnsi="Cambria Math"/>
                  <w:sz w:val="24"/>
                  <w:szCs w:val="28"/>
                </w:rPr>
              </m:ctrlPr>
            </m:fPr>
            <m:num>
              <m:eqArr>
                <m:eqArrPr>
                  <m:ctrlPr>
                    <w:rPr>
                      <w:rFonts w:hint="eastAsia" w:ascii="Cambria Math" w:hAnsi="Cambria Math"/>
                      <w:sz w:val="24"/>
                      <w:szCs w:val="28"/>
                    </w:rPr>
                  </m:ctrlPr>
                </m:eqArrPr>
                <m:e>
                  <m:r>
                    <m:rPr>
                      <m:sty m:val="p"/>
                    </m:rPr>
                    <w:rPr>
                      <w:rFonts w:hint="eastAsia" w:ascii="Cambria Math" w:hAnsi="Cambria Math"/>
                      <w:sz w:val="24"/>
                      <w:szCs w:val="28"/>
                    </w:rPr>
                    <m:t>（本年度出院患者次均医药费用</m:t>
                  </m:r>
                  <m:ctrlPr>
                    <w:rPr>
                      <w:rFonts w:hint="eastAsia" w:ascii="Cambria Math" w:hAnsi="Cambria Math"/>
                      <w:sz w:val="24"/>
                      <w:szCs w:val="28"/>
                    </w:rPr>
                  </m:ctrlPr>
                </m:e>
                <m:e>
                  <m:r>
                    <m:rPr>
                      <m:sty m:val="b"/>
                    </m:rPr>
                    <w:rPr>
                      <w:rFonts w:hint="eastAsia" w:ascii="Cambria Math" w:hAnsi="Cambria Math"/>
                      <w:sz w:val="24"/>
                      <w:szCs w:val="28"/>
                    </w:rPr>
                    <m:t>－</m:t>
                  </m:r>
                  <m:r>
                    <m:rPr>
                      <m:sty m:val="p"/>
                    </m:rPr>
                    <w:rPr>
                      <w:rFonts w:hint="eastAsia" w:ascii="Cambria Math" w:hAnsi="Cambria Math"/>
                      <w:sz w:val="24"/>
                      <w:szCs w:val="28"/>
                    </w:rPr>
                    <m:t>上一年度出院患者次均医药费用）</m:t>
                  </m:r>
                  <m:ctrlPr>
                    <w:rPr>
                      <w:rFonts w:hint="eastAsia" w:ascii="Cambria Math" w:hAnsi="Cambria Math"/>
                      <w:sz w:val="24"/>
                      <w:szCs w:val="28"/>
                    </w:rPr>
                  </m:ctrlPr>
                </m:e>
              </m:eqArr>
              <m:ctrlPr>
                <w:rPr>
                  <w:rFonts w:hint="eastAsia" w:ascii="Cambria Math" w:hAnsi="Cambria Math"/>
                  <w:b/>
                  <w:sz w:val="24"/>
                  <w:szCs w:val="28"/>
                </w:rPr>
              </m:ctrlPr>
            </m:num>
            <m:den>
              <m:r>
                <m:rPr>
                  <m:sty m:val="p"/>
                </m:rPr>
                <w:rPr>
                  <w:rFonts w:hint="eastAsia" w:ascii="Cambria Math" w:hAnsi="Cambria Math"/>
                  <w:sz w:val="24"/>
                  <w:szCs w:val="28"/>
                </w:rPr>
                <m:t>上一年度出院患者次均医药费用</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widowControl/>
        <w:spacing w:after="87" w:afterLines="20" w:line="360" w:lineRule="auto"/>
        <w:rPr>
          <w:rFonts w:ascii="仿宋_GB2312"/>
          <w:sz w:val="24"/>
        </w:rPr>
      </w:pPr>
      <m:oMathPara>
        <m:oMathParaPr>
          <m:jc m:val="left"/>
        </m:oMathParaPr>
        <m:oMath>
          <m:r>
            <m:rPr>
              <m:sty m:val="p"/>
            </m:rPr>
            <w:rPr>
              <w:rFonts w:hint="eastAsia" w:ascii="Cambria Math" w:hAnsi="Cambria Math"/>
              <w:sz w:val="24"/>
            </w:rPr>
            <m:t>（4）</m:t>
          </m:r>
          <m:r>
            <m:rPr>
              <m:sty m:val="b"/>
            </m:rPr>
            <w:rPr>
              <w:rFonts w:hint="eastAsia" w:ascii="Cambria Math" w:hAnsi="Cambria Math"/>
              <w:sz w:val="24"/>
            </w:rPr>
            <m:t>出院患者次均医药费用</m:t>
          </m:r>
          <m:r>
            <m:rPr>
              <m:sty m:val="p"/>
            </m:rPr>
            <w:rPr>
              <w:rFonts w:hint="eastAsia" w:ascii="Cambria Math" w:hAnsi="Cambria Math"/>
              <w:sz w:val="24"/>
            </w:rPr>
            <m:t>=</m:t>
          </m:r>
          <m:f>
            <m:fPr>
              <m:ctrlPr>
                <w:rPr>
                  <w:rFonts w:hint="eastAsia" w:ascii="Cambria Math" w:hAnsi="Cambria Math"/>
                  <w:sz w:val="24"/>
                </w:rPr>
              </m:ctrlPr>
            </m:fPr>
            <m:num>
              <m:r>
                <m:rPr>
                  <m:sty m:val="p"/>
                </m:rPr>
                <w:rPr>
                  <w:rFonts w:hint="eastAsia" w:ascii="Cambria Math" w:hAnsi="Cambria Math"/>
                  <w:sz w:val="24"/>
                </w:rPr>
                <m:t>出院患者住院费用</m:t>
              </m:r>
              <m:ctrlPr>
                <w:rPr>
                  <w:rFonts w:hint="eastAsia" w:ascii="Cambria Math" w:hAnsi="Cambria Math"/>
                  <w:sz w:val="24"/>
                </w:rPr>
              </m:ctrlPr>
            </m:num>
            <m:den>
              <m:r>
                <m:rPr>
                  <m:sty m:val="p"/>
                </m:rPr>
                <w:rPr>
                  <w:rFonts w:hint="eastAsia" w:ascii="Cambria Math" w:hAnsi="Cambria Math"/>
                  <w:sz w:val="24"/>
                </w:rPr>
                <m:t>出院人次数</m:t>
              </m:r>
              <m:ctrlPr>
                <w:rPr>
                  <w:rFonts w:hint="eastAsia" w:ascii="Cambria Math" w:hAnsi="Cambria Math"/>
                  <w:sz w:val="24"/>
                </w:rPr>
              </m:ctrlPr>
            </m:den>
          </m:f>
        </m:oMath>
      </m:oMathPara>
    </w:p>
    <w:p>
      <w:pPr>
        <w:spacing w:line="600" w:lineRule="exact"/>
        <w:rPr>
          <w:rFonts w:ascii="仿宋" w:hAnsi="仿宋" w:eastAsia="仿宋"/>
          <w:b/>
          <w:szCs w:val="32"/>
        </w:rPr>
      </w:pPr>
      <w:r>
        <w:rPr>
          <w:rFonts w:hint="eastAsia" w:ascii="仿宋" w:hAnsi="仿宋" w:eastAsia="仿宋"/>
          <w:b/>
          <w:szCs w:val="32"/>
        </w:rPr>
        <w:t>延伸指标：</w:t>
      </w:r>
    </w:p>
    <w:p>
      <w:pPr>
        <w:widowControl/>
        <w:spacing w:after="217" w:afterLines="50" w:line="360" w:lineRule="auto"/>
        <w:ind w:right="-339" w:rightChars="-106"/>
        <w:rPr>
          <w:rFonts w:ascii="仿宋_GB2312" w:hAnsi="黑体"/>
          <w:sz w:val="24"/>
          <w:szCs w:val="28"/>
        </w:rPr>
      </w:pPr>
      <m:oMathPara>
        <m:oMathParaPr>
          <m:jc m:val="left"/>
        </m:oMathParaPr>
        <m:oMath>
          <m:r>
            <m:rPr>
              <m:sty m:val="b"/>
            </m:rPr>
            <w:rPr>
              <w:rFonts w:hint="eastAsia" w:ascii="Cambria Math" w:hAnsi="Cambria Math"/>
              <w:sz w:val="24"/>
              <w:szCs w:val="28"/>
            </w:rPr>
            <m:t>剔除有关后的住院次均费用增幅=</m:t>
          </m:r>
          <m:f>
            <m:fPr>
              <m:ctrlPr>
                <w:rPr>
                  <w:rFonts w:hint="eastAsia" w:ascii="Cambria Math" w:hAnsi="Cambria Math"/>
                  <w:sz w:val="24"/>
                  <w:szCs w:val="28"/>
                </w:rPr>
              </m:ctrlPr>
            </m:fPr>
            <m:num>
              <m:eqArr>
                <m:eqArrPr>
                  <m:ctrlPr>
                    <w:rPr>
                      <w:rFonts w:hint="eastAsia" w:ascii="Cambria Math" w:hAnsi="Cambria Math"/>
                      <w:sz w:val="24"/>
                      <w:szCs w:val="28"/>
                    </w:rPr>
                  </m:ctrlPr>
                </m:eqArrPr>
                <m:e>
                  <m:r>
                    <m:rPr>
                      <m:sty m:val="p"/>
                    </m:rPr>
                    <w:rPr>
                      <w:rFonts w:hint="eastAsia" w:ascii="Cambria Math" w:hAnsi="Cambria Math"/>
                      <w:sz w:val="24"/>
                      <w:szCs w:val="28"/>
                    </w:rPr>
                    <m:t>（本年度剔除有关项后的住院次均医药费用</m:t>
                  </m:r>
                  <m:ctrlPr>
                    <w:rPr>
                      <w:rFonts w:hint="eastAsia" w:ascii="Cambria Math" w:hAnsi="Cambria Math"/>
                      <w:sz w:val="24"/>
                      <w:szCs w:val="28"/>
                    </w:rPr>
                  </m:ctrlPr>
                </m:e>
                <m:e>
                  <m:r>
                    <m:rPr>
                      <m:sty m:val="b"/>
                    </m:rPr>
                    <w:rPr>
                      <w:rFonts w:hint="eastAsia" w:ascii="Cambria Math" w:hAnsi="Cambria Math"/>
                      <w:sz w:val="24"/>
                      <w:szCs w:val="28"/>
                    </w:rPr>
                    <m:t>－</m:t>
                  </m:r>
                  <m:r>
                    <m:rPr>
                      <m:sty m:val="p"/>
                    </m:rPr>
                    <w:rPr>
                      <w:rFonts w:hint="eastAsia" w:ascii="Cambria Math" w:hAnsi="Cambria Math"/>
                      <w:sz w:val="24"/>
                      <w:szCs w:val="28"/>
                    </w:rPr>
                    <m:t>上一年度剔除有关项后的住院次均医药费用）</m:t>
                  </m:r>
                  <m:ctrlPr>
                    <w:rPr>
                      <w:rFonts w:hint="eastAsia" w:ascii="Cambria Math" w:hAnsi="Cambria Math"/>
                      <w:sz w:val="24"/>
                      <w:szCs w:val="28"/>
                    </w:rPr>
                  </m:ctrlPr>
                </m:e>
              </m:eqArr>
              <m:ctrlPr>
                <w:rPr>
                  <w:rFonts w:hint="eastAsia" w:ascii="Cambria Math" w:hAnsi="Cambria Math"/>
                  <w:b/>
                  <w:sz w:val="24"/>
                  <w:szCs w:val="28"/>
                </w:rPr>
              </m:ctrlPr>
            </m:num>
            <m:den>
              <m:r>
                <m:rPr>
                  <m:sty m:val="p"/>
                </m:rPr>
                <w:rPr>
                  <w:rFonts w:hint="eastAsia" w:ascii="Cambria Math" w:hAnsi="Cambria Math"/>
                  <w:sz w:val="24"/>
                  <w:szCs w:val="28"/>
                </w:rPr>
                <m:t>上一年度剔除有关项后的住院次均医药费用</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szCs w:val="32"/>
        </w:rPr>
        <w:t>（</w:t>
      </w:r>
      <w:r>
        <w:rPr>
          <w:rFonts w:ascii="仿宋_GB2312"/>
          <w:szCs w:val="32"/>
        </w:rPr>
        <w:t>1</w:t>
      </w:r>
      <w:r>
        <w:rPr>
          <w:rFonts w:hint="eastAsia"/>
          <w:szCs w:val="32"/>
        </w:rPr>
        <w:t>）分子</w:t>
      </w:r>
    </w:p>
    <w:p>
      <w:pPr>
        <w:adjustRightInd w:val="0"/>
        <w:spacing w:line="600" w:lineRule="exact"/>
        <w:ind w:firstLine="640" w:firstLineChars="200"/>
        <w:rPr>
          <w:szCs w:val="32"/>
        </w:rPr>
      </w:pPr>
      <w:r>
        <w:rPr>
          <w:rFonts w:hint="eastAsia"/>
          <w:szCs w:val="32"/>
        </w:rPr>
        <w:t>分子</w:t>
      </w:r>
      <w:r>
        <w:rPr>
          <w:rFonts w:ascii="仿宋_GB2312"/>
          <w:szCs w:val="32"/>
        </w:rPr>
        <w:t>1</w:t>
      </w:r>
      <w:r>
        <w:rPr>
          <w:rFonts w:hint="eastAsia"/>
          <w:szCs w:val="32"/>
        </w:rPr>
        <w:t>：门诊患者次均医药费用指门诊患者平均每次就诊的医药费用，简称门诊次均费用。</w:t>
      </w:r>
    </w:p>
    <w:p>
      <w:pPr>
        <w:adjustRightInd w:val="0"/>
        <w:spacing w:line="600" w:lineRule="exact"/>
        <w:ind w:firstLine="640" w:firstLineChars="200"/>
        <w:rPr>
          <w:szCs w:val="32"/>
        </w:rPr>
      </w:pPr>
      <w:r>
        <w:rPr>
          <w:rFonts w:hint="eastAsia"/>
          <w:szCs w:val="32"/>
        </w:rPr>
        <w:t>分子</w:t>
      </w:r>
      <w:r>
        <w:rPr>
          <w:rFonts w:ascii="仿宋_GB2312"/>
          <w:szCs w:val="32"/>
        </w:rPr>
        <w:t>2</w:t>
      </w:r>
      <w:r>
        <w:rPr>
          <w:rFonts w:hint="eastAsia" w:ascii="仿宋_GB2312"/>
          <w:szCs w:val="32"/>
        </w:rPr>
        <w:t>：</w:t>
      </w:r>
      <w:r>
        <w:rPr>
          <w:rFonts w:hint="eastAsia"/>
          <w:szCs w:val="32"/>
        </w:rPr>
        <w:t>门诊收入指医院开展门急诊医疗服务活动取得的收入，包括门诊、急诊、健康体检收入等。</w:t>
      </w:r>
    </w:p>
    <w:p>
      <w:pPr>
        <w:adjustRightInd w:val="0"/>
        <w:spacing w:line="600" w:lineRule="exact"/>
        <w:ind w:firstLine="640" w:firstLineChars="200"/>
        <w:rPr>
          <w:szCs w:val="32"/>
        </w:rPr>
      </w:pPr>
      <w:r>
        <w:rPr>
          <w:rFonts w:hint="eastAsia"/>
          <w:szCs w:val="32"/>
        </w:rPr>
        <w:t>分子</w:t>
      </w:r>
      <w:r>
        <w:rPr>
          <w:rFonts w:ascii="仿宋_GB2312"/>
          <w:szCs w:val="32"/>
        </w:rPr>
        <w:t>3</w:t>
      </w:r>
      <w:r>
        <w:rPr>
          <w:rFonts w:hint="eastAsia"/>
          <w:szCs w:val="32"/>
        </w:rPr>
        <w:t>：出院患者次均医药费用指出院患者平均每次住院的医药费用，简称住院次均费用。</w:t>
      </w:r>
    </w:p>
    <w:p>
      <w:pPr>
        <w:spacing w:line="600" w:lineRule="exact"/>
        <w:ind w:firstLine="640" w:firstLineChars="200"/>
        <w:rPr>
          <w:szCs w:val="32"/>
        </w:rPr>
      </w:pPr>
      <w:r>
        <w:rPr>
          <w:rFonts w:hint="eastAsia"/>
          <w:szCs w:val="32"/>
        </w:rPr>
        <w:t>（</w:t>
      </w:r>
      <w:r>
        <w:rPr>
          <w:rFonts w:ascii="仿宋_GB2312"/>
          <w:szCs w:val="32"/>
        </w:rPr>
        <w:t>2</w:t>
      </w:r>
      <w:r>
        <w:rPr>
          <w:rFonts w:hint="eastAsia"/>
          <w:szCs w:val="32"/>
        </w:rPr>
        <w:t>）分母</w:t>
      </w:r>
    </w:p>
    <w:p>
      <w:pPr>
        <w:adjustRightInd w:val="0"/>
        <w:spacing w:line="600" w:lineRule="exact"/>
        <w:ind w:firstLine="640" w:firstLineChars="200"/>
        <w:rPr>
          <w:szCs w:val="32"/>
        </w:rPr>
      </w:pPr>
      <w:r>
        <w:rPr>
          <w:rFonts w:hint="eastAsia"/>
          <w:szCs w:val="32"/>
        </w:rPr>
        <w:t>分母</w:t>
      </w:r>
      <w:r>
        <w:rPr>
          <w:rFonts w:ascii="仿宋_GB2312"/>
          <w:szCs w:val="32"/>
        </w:rPr>
        <w:t>1</w:t>
      </w:r>
      <w:r>
        <w:rPr>
          <w:rFonts w:hint="eastAsia"/>
          <w:szCs w:val="32"/>
        </w:rPr>
        <w:t>：门诊人次数为门急诊总诊疗人次数，包括门诊、急诊、健康体检人次数等。</w:t>
      </w:r>
    </w:p>
    <w:p>
      <w:pPr>
        <w:adjustRightInd w:val="0"/>
        <w:spacing w:line="600" w:lineRule="exact"/>
        <w:ind w:firstLine="640" w:firstLineChars="200"/>
        <w:rPr>
          <w:szCs w:val="32"/>
        </w:rPr>
      </w:pPr>
      <w:r>
        <w:rPr>
          <w:rFonts w:hint="eastAsia"/>
          <w:szCs w:val="32"/>
        </w:rPr>
        <w:t>分母</w:t>
      </w:r>
      <w:r>
        <w:rPr>
          <w:rFonts w:ascii="仿宋_GB2312"/>
          <w:szCs w:val="32"/>
        </w:rPr>
        <w:t>2</w:t>
      </w:r>
      <w:r>
        <w:rPr>
          <w:rFonts w:hint="eastAsia"/>
          <w:szCs w:val="32"/>
        </w:rPr>
        <w:t>：出院人次数</w:t>
      </w:r>
      <w:r>
        <w:rPr>
          <w:rFonts w:hint="eastAsia"/>
          <w:bCs/>
          <w:szCs w:val="32"/>
        </w:rPr>
        <w:t>指出院人数。</w:t>
      </w:r>
    </w:p>
    <w:p>
      <w:pPr>
        <w:adjustRightInd w:val="0"/>
        <w:spacing w:line="600" w:lineRule="exact"/>
        <w:ind w:firstLine="640" w:firstLineChars="200"/>
        <w:rPr>
          <w:rFonts w:ascii="仿宋" w:hAnsi="仿宋" w:eastAsia="仿宋"/>
          <w:szCs w:val="32"/>
        </w:rPr>
      </w:pPr>
      <w:r>
        <w:rPr>
          <w:rFonts w:hint="eastAsia" w:ascii="仿宋" w:hAnsi="仿宋" w:eastAsia="仿宋"/>
          <w:szCs w:val="32"/>
        </w:rPr>
        <w:t>（</w:t>
      </w:r>
      <w:r>
        <w:rPr>
          <w:rFonts w:ascii="仿宋_GB2312"/>
          <w:szCs w:val="32"/>
        </w:rPr>
        <w:t>3</w:t>
      </w:r>
      <w:r>
        <w:rPr>
          <w:rFonts w:hint="eastAsia" w:ascii="仿宋" w:hAnsi="仿宋" w:eastAsia="仿宋"/>
          <w:szCs w:val="32"/>
        </w:rPr>
        <w:t>）</w:t>
      </w:r>
      <w:r>
        <w:rPr>
          <w:rFonts w:hint="eastAsia" w:ascii="仿宋" w:hAnsi="仿宋" w:eastAsia="仿宋" w:cs="仿宋"/>
          <w:szCs w:val="21"/>
        </w:rPr>
        <w:t>延伸指标：</w:t>
      </w:r>
      <w:r>
        <w:rPr>
          <w:rFonts w:hint="eastAsia" w:ascii="仿宋" w:hAnsi="仿宋" w:eastAsia="仿宋" w:cs="仿宋"/>
          <w:szCs w:val="32"/>
          <w:lang w:bidi="ar"/>
        </w:rPr>
        <w:t>剔除有关项后的门诊、住院次均费用增幅。用于反映剔除散装中药饮片、小包装中药饮片、中药配方颗粒剂、医疗机构中药制剂、罕见病专用药收入，长期处方产生的药品收入，以及纳入国家医保目录中谈判类药物收入后的门诊、住院次均费用增幅情况。具体剔除方式详见填报模板。</w:t>
      </w:r>
    </w:p>
    <w:p>
      <w:pPr>
        <w:spacing w:line="600" w:lineRule="exact"/>
        <w:rPr>
          <w:b/>
          <w:szCs w:val="32"/>
        </w:rPr>
      </w:pPr>
      <w:r>
        <w:rPr>
          <w:rFonts w:hint="eastAsia"/>
          <w:b/>
          <w:szCs w:val="32"/>
        </w:rPr>
        <w:t>【指标意义】</w:t>
      </w:r>
    </w:p>
    <w:p>
      <w:pPr>
        <w:adjustRightInd w:val="0"/>
        <w:spacing w:line="600" w:lineRule="exact"/>
        <w:ind w:firstLine="640" w:firstLineChars="200"/>
        <w:rPr>
          <w:szCs w:val="32"/>
        </w:rPr>
      </w:pPr>
      <w:r>
        <w:rPr>
          <w:rFonts w:hint="eastAsia"/>
          <w:szCs w:val="32"/>
        </w:rPr>
        <w:t>患者次均医药费用增幅是衡量患者费用负担水平及其增长情况的重要指标，包含门诊次均费用增幅和住院次均费用增幅。</w:t>
      </w:r>
    </w:p>
    <w:p>
      <w:pPr>
        <w:adjustRightInd w:val="0"/>
        <w:spacing w:line="600" w:lineRule="exact"/>
        <w:rPr>
          <w:szCs w:val="32"/>
        </w:rPr>
      </w:pPr>
      <w:r>
        <w:rPr>
          <w:rFonts w:hint="eastAsia"/>
          <w:szCs w:val="32"/>
        </w:rPr>
        <w:t>参见指标2</w:t>
      </w:r>
      <w:r>
        <w:rPr>
          <w:szCs w:val="32"/>
        </w:rPr>
        <w:t>5</w:t>
      </w:r>
      <w:r>
        <w:rPr>
          <w:rFonts w:hint="eastAsia"/>
          <w:szCs w:val="32"/>
        </w:rPr>
        <w:t>。</w:t>
      </w:r>
    </w:p>
    <w:p>
      <w:pPr>
        <w:spacing w:line="600" w:lineRule="exact"/>
        <w:rPr>
          <w:b/>
          <w:sz w:val="21"/>
          <w:szCs w:val="22"/>
        </w:rPr>
      </w:pPr>
      <w:r>
        <w:rPr>
          <w:rFonts w:hint="eastAsia"/>
          <w:b/>
          <w:szCs w:val="32"/>
        </w:rPr>
        <w:t>【指标导向】</w:t>
      </w:r>
      <w:r>
        <w:rPr>
          <w:rFonts w:hint="eastAsia"/>
          <w:szCs w:val="32"/>
        </w:rPr>
        <w:t>逐步降低。</w:t>
      </w:r>
    </w:p>
    <w:p>
      <w:pPr>
        <w:spacing w:line="600" w:lineRule="exact"/>
        <w:rPr>
          <w:szCs w:val="32"/>
        </w:rPr>
      </w:pPr>
      <w:r>
        <w:rPr>
          <w:rFonts w:hint="eastAsia"/>
          <w:b/>
          <w:szCs w:val="32"/>
        </w:rPr>
        <w:t>【指标来源】</w:t>
      </w:r>
      <w:r>
        <w:rPr>
          <w:rFonts w:hint="eastAsia"/>
          <w:bCs/>
          <w:szCs w:val="32"/>
        </w:rPr>
        <w:t>医院填报、</w:t>
      </w:r>
      <w:r>
        <w:rPr>
          <w:rFonts w:hint="eastAsia"/>
          <w:szCs w:val="32"/>
        </w:rPr>
        <w:t>财务年报表。</w:t>
      </w:r>
    </w:p>
    <w:p>
      <w:pPr>
        <w:spacing w:line="600" w:lineRule="exact"/>
        <w:rPr>
          <w:b/>
          <w:szCs w:val="32"/>
        </w:rPr>
      </w:pPr>
      <w:r>
        <w:rPr>
          <w:rFonts w:hint="eastAsia"/>
          <w:b/>
          <w:szCs w:val="32"/>
        </w:rPr>
        <w:t>【指标解释】</w:t>
      </w:r>
      <w:r>
        <w:rPr>
          <w:rFonts w:hint="eastAsia"/>
          <w:szCs w:val="32"/>
        </w:rPr>
        <w:t>国家卫生健康委、省级卫生健康委。</w:t>
      </w:r>
      <w:r>
        <w:rPr>
          <w:rFonts w:eastAsia="仿宋"/>
          <w:b/>
          <w:kern w:val="0"/>
          <w:szCs w:val="32"/>
        </w:rPr>
        <w:br w:type="page"/>
      </w:r>
      <w:r>
        <w:rPr>
          <w:b/>
          <w:szCs w:val="32"/>
        </w:rPr>
        <w:t>27</w:t>
      </w:r>
      <w:r>
        <w:rPr>
          <w:rFonts w:hint="eastAsia"/>
          <w:b/>
          <w:szCs w:val="32"/>
        </w:rPr>
        <w:t>. 次均药品费用增幅▲</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szCs w:val="32"/>
        </w:rPr>
        <w:t>百分比</w:t>
      </w:r>
      <w:r>
        <w:rPr>
          <w:rFonts w:hint="eastAsia" w:ascii="仿宋_GB2312"/>
          <w:szCs w:val="32"/>
        </w:rPr>
        <w:t>（</w:t>
      </w:r>
      <w:r>
        <w:rPr>
          <w:rFonts w:ascii="仿宋_GB2312"/>
          <w:szCs w:val="32"/>
        </w:rPr>
        <w:t>%</w:t>
      </w:r>
      <w:r>
        <w:rPr>
          <w:rFonts w:hint="eastAsia" w:ascii="仿宋_GB2312"/>
          <w:szCs w:val="32"/>
        </w:rPr>
        <w:t>）</w:t>
      </w:r>
    </w:p>
    <w:p>
      <w:pPr>
        <w:spacing w:line="600" w:lineRule="exact"/>
        <w:rPr>
          <w:b/>
          <w:szCs w:val="32"/>
        </w:rPr>
      </w:pPr>
      <w:r>
        <w:rPr>
          <w:rFonts w:hint="eastAsia"/>
          <w:b/>
          <w:szCs w:val="32"/>
        </w:rPr>
        <w:t>【指标定义】</w:t>
      </w:r>
    </w:p>
    <w:p>
      <w:pPr>
        <w:spacing w:line="600" w:lineRule="exact"/>
        <w:ind w:firstLine="640" w:firstLineChars="200"/>
        <w:rPr>
          <w:szCs w:val="32"/>
        </w:rPr>
      </w:pPr>
      <w:r>
        <w:rPr>
          <w:rFonts w:hint="eastAsia"/>
          <w:szCs w:val="32"/>
        </w:rPr>
        <w:t>次均药品费用增幅由门诊和住院两部分构成：</w:t>
      </w:r>
    </w:p>
    <w:p>
      <w:pPr>
        <w:spacing w:line="600" w:lineRule="exact"/>
        <w:ind w:firstLine="640" w:firstLineChars="200"/>
        <w:rPr>
          <w:szCs w:val="32"/>
        </w:rPr>
      </w:pPr>
      <w:r>
        <w:rPr>
          <w:rFonts w:hint="eastAsia" w:ascii="仿宋_GB2312"/>
          <w:szCs w:val="32"/>
        </w:rPr>
        <w:t>（</w:t>
      </w:r>
      <w:r>
        <w:rPr>
          <w:rFonts w:ascii="仿宋_GB2312"/>
          <w:szCs w:val="32"/>
        </w:rPr>
        <w:t>1</w:t>
      </w:r>
      <w:r>
        <w:rPr>
          <w:rFonts w:hint="eastAsia" w:ascii="仿宋_GB2312"/>
          <w:szCs w:val="32"/>
        </w:rPr>
        <w:t>）</w:t>
      </w:r>
      <w:r>
        <w:rPr>
          <w:rFonts w:hint="eastAsia"/>
          <w:szCs w:val="32"/>
        </w:rPr>
        <w:t>门诊次</w:t>
      </w:r>
      <w:r>
        <w:rPr>
          <w:szCs w:val="32"/>
        </w:rPr>
        <w:t>均</w:t>
      </w:r>
      <w:r>
        <w:rPr>
          <w:rFonts w:hint="eastAsia"/>
          <w:szCs w:val="32"/>
        </w:rPr>
        <w:t>药品</w:t>
      </w:r>
      <w:r>
        <w:rPr>
          <w:szCs w:val="32"/>
        </w:rPr>
        <w:t>费用</w:t>
      </w:r>
      <w:r>
        <w:rPr>
          <w:rFonts w:hint="eastAsia"/>
          <w:szCs w:val="32"/>
        </w:rPr>
        <w:t>增幅：考核年度门诊患者次均药品费用与上一年同期次均药品费用之差占上一年度门诊患者次</w:t>
      </w:r>
      <w:r>
        <w:rPr>
          <w:szCs w:val="32"/>
        </w:rPr>
        <w:t>均</w:t>
      </w:r>
      <w:r>
        <w:rPr>
          <w:rFonts w:hint="eastAsia"/>
          <w:szCs w:val="32"/>
        </w:rPr>
        <w:t>药品</w:t>
      </w:r>
      <w:r>
        <w:rPr>
          <w:szCs w:val="32"/>
        </w:rPr>
        <w:t>费用</w:t>
      </w:r>
      <w:r>
        <w:rPr>
          <w:rFonts w:hint="eastAsia"/>
          <w:szCs w:val="32"/>
        </w:rPr>
        <w:t>的比例。</w:t>
      </w:r>
    </w:p>
    <w:p>
      <w:pPr>
        <w:spacing w:line="600" w:lineRule="exact"/>
        <w:ind w:firstLine="640" w:firstLineChars="200"/>
        <w:rPr>
          <w:szCs w:val="32"/>
        </w:rPr>
      </w:pPr>
      <w:r>
        <w:rPr>
          <w:rFonts w:hint="eastAsia" w:ascii="仿宋_GB2312"/>
          <w:szCs w:val="32"/>
        </w:rPr>
        <w:t>（</w:t>
      </w:r>
      <w:r>
        <w:rPr>
          <w:rFonts w:ascii="仿宋_GB2312"/>
          <w:szCs w:val="32"/>
        </w:rPr>
        <w:t>2</w:t>
      </w:r>
      <w:r>
        <w:rPr>
          <w:rFonts w:hint="eastAsia" w:ascii="仿宋_GB2312"/>
          <w:szCs w:val="32"/>
        </w:rPr>
        <w:t>）</w:t>
      </w:r>
      <w:r>
        <w:rPr>
          <w:rFonts w:hint="eastAsia"/>
          <w:szCs w:val="32"/>
        </w:rPr>
        <w:t>住院次</w:t>
      </w:r>
      <w:r>
        <w:rPr>
          <w:szCs w:val="32"/>
        </w:rPr>
        <w:t>均</w:t>
      </w:r>
      <w:r>
        <w:rPr>
          <w:rFonts w:hint="eastAsia"/>
          <w:szCs w:val="32"/>
        </w:rPr>
        <w:t>药品</w:t>
      </w:r>
      <w:r>
        <w:rPr>
          <w:szCs w:val="32"/>
        </w:rPr>
        <w:t>费用</w:t>
      </w:r>
      <w:r>
        <w:rPr>
          <w:rFonts w:hint="eastAsia"/>
          <w:szCs w:val="32"/>
        </w:rPr>
        <w:t>增幅：考核年度出院患者次</w:t>
      </w:r>
      <w:r>
        <w:rPr>
          <w:szCs w:val="32"/>
        </w:rPr>
        <w:t>均</w:t>
      </w:r>
      <w:r>
        <w:rPr>
          <w:rFonts w:hint="eastAsia"/>
          <w:szCs w:val="32"/>
        </w:rPr>
        <w:t>药品</w:t>
      </w:r>
      <w:r>
        <w:rPr>
          <w:szCs w:val="32"/>
        </w:rPr>
        <w:t>费用</w:t>
      </w:r>
      <w:r>
        <w:rPr>
          <w:rFonts w:hint="eastAsia"/>
          <w:szCs w:val="32"/>
        </w:rPr>
        <w:t>与上一年同期次均药品费用之差占上一年度出院患者次</w:t>
      </w:r>
      <w:r>
        <w:rPr>
          <w:szCs w:val="32"/>
        </w:rPr>
        <w:t>均</w:t>
      </w:r>
      <w:r>
        <w:rPr>
          <w:rFonts w:hint="eastAsia"/>
          <w:szCs w:val="32"/>
        </w:rPr>
        <w:t>药品</w:t>
      </w:r>
      <w:r>
        <w:rPr>
          <w:szCs w:val="32"/>
        </w:rPr>
        <w:t>费用</w:t>
      </w:r>
      <w:r>
        <w:rPr>
          <w:rFonts w:hint="eastAsia"/>
          <w:szCs w:val="32"/>
        </w:rPr>
        <w:t>的比例。</w:t>
      </w:r>
    </w:p>
    <w:p>
      <w:pPr>
        <w:spacing w:line="600" w:lineRule="exact"/>
        <w:rPr>
          <w:b/>
          <w:szCs w:val="32"/>
        </w:rPr>
      </w:pPr>
      <w:r>
        <w:rPr>
          <w:rFonts w:hint="eastAsia"/>
          <w:b/>
          <w:szCs w:val="32"/>
        </w:rPr>
        <w:t>【计算方法】</w:t>
      </w:r>
    </w:p>
    <w:p>
      <w:pPr>
        <w:spacing w:before="87" w:beforeLines="20" w:line="360" w:lineRule="auto"/>
        <w:ind w:right="-1331" w:rightChars="-416"/>
        <w:rPr>
          <w:rFonts w:ascii="仿宋_GB2312" w:hAnsi="黑体"/>
          <w:sz w:val="24"/>
        </w:rPr>
      </w:pPr>
      <m:oMathPara>
        <m:oMathParaPr>
          <m:jc m:val="left"/>
        </m:oMathParaPr>
        <m:oMath>
          <m:r>
            <m:rPr>
              <m:sty m:val="p"/>
            </m:rPr>
            <w:rPr>
              <w:rFonts w:hint="eastAsia" w:ascii="Cambria Math" w:hAnsi="Cambria Math"/>
              <w:sz w:val="24"/>
            </w:rPr>
            <m:t>(</m:t>
          </m:r>
          <m:r>
            <m:rPr>
              <m:sty m:val="p"/>
            </m:rPr>
            <w:rPr>
              <w:rFonts w:ascii="Cambria Math" w:hAnsi="Cambria Math"/>
              <w:sz w:val="24"/>
            </w:rPr>
            <m:t>1</m:t>
          </m:r>
          <m:r>
            <m:rPr>
              <m:sty m:val="p"/>
            </m:rPr>
            <w:rPr>
              <w:rFonts w:hint="eastAsia" w:ascii="Cambria Math" w:hAnsi="Cambria Math"/>
              <w:sz w:val="24"/>
            </w:rPr>
            <m:t>)</m:t>
          </m:r>
          <m:r>
            <m:rPr>
              <m:sty m:val="b"/>
            </m:rPr>
            <w:rPr>
              <w:rFonts w:hint="eastAsia" w:ascii="Cambria Math" w:hAnsi="Cambria Math"/>
              <w:sz w:val="24"/>
            </w:rPr>
            <m:t>门诊次均药品费用增幅=</m:t>
          </m:r>
          <m:f>
            <m:fPr>
              <m:ctrlPr>
                <w:rPr>
                  <w:rFonts w:hint="eastAsia" w:ascii="Cambria Math" w:hAnsi="Cambria Math"/>
                  <w:sz w:val="24"/>
                </w:rPr>
              </m:ctrlPr>
            </m:fPr>
            <m:num>
              <m:eqArr>
                <m:eqArrPr>
                  <m:ctrlPr>
                    <w:rPr>
                      <w:rFonts w:hint="eastAsia" w:ascii="Cambria Math" w:hAnsi="Cambria Math"/>
                      <w:sz w:val="24"/>
                    </w:rPr>
                  </m:ctrlPr>
                </m:eqArrPr>
                <m:e>
                  <m:r>
                    <m:rPr>
                      <m:sty m:val="p"/>
                    </m:rPr>
                    <w:rPr>
                      <w:rFonts w:hint="eastAsia" w:ascii="Cambria Math" w:hAnsi="Cambria Math"/>
                      <w:sz w:val="24"/>
                    </w:rPr>
                    <m:t>（本年度门诊患者次均药品费用</m:t>
                  </m:r>
                  <m:ctrlPr>
                    <w:rPr>
                      <w:rFonts w:hint="eastAsia" w:ascii="Cambria Math" w:hAnsi="Cambria Math"/>
                      <w:sz w:val="24"/>
                    </w:rPr>
                  </m:ctrlPr>
                </m:e>
                <m:e>
                  <m:r>
                    <m:rPr>
                      <m:sty m:val="p"/>
                    </m:rPr>
                    <w:rPr>
                      <w:rFonts w:hint="eastAsia" w:ascii="Cambria Math" w:hAnsi="Cambria Math"/>
                      <w:sz w:val="24"/>
                    </w:rPr>
                    <m:t>－上一年度门诊患者次均药品费用）</m:t>
                  </m:r>
                  <m:ctrlPr>
                    <w:rPr>
                      <w:rFonts w:hint="eastAsia" w:ascii="Cambria Math" w:hAnsi="Cambria Math"/>
                      <w:sz w:val="24"/>
                    </w:rPr>
                  </m:ctrlPr>
                </m:e>
              </m:eqArr>
              <m:ctrlPr>
                <w:rPr>
                  <w:rFonts w:hint="eastAsia" w:ascii="Cambria Math" w:hAnsi="Cambria Math"/>
                  <w:sz w:val="24"/>
                </w:rPr>
              </m:ctrlPr>
            </m:num>
            <m:den>
              <m:r>
                <m:rPr>
                  <m:sty m:val="p"/>
                </m:rPr>
                <w:rPr>
                  <w:rFonts w:hint="eastAsia" w:ascii="Cambria Math" w:hAnsi="Cambria Math"/>
                  <w:sz w:val="24"/>
                </w:rPr>
                <m:t>上一年度门诊患者次均药品费用</m:t>
              </m:r>
              <m:ctrlPr>
                <w:rPr>
                  <w:rFonts w:hint="eastAsia" w:ascii="Cambria Math" w:hAnsi="Cambria Math"/>
                  <w:sz w:val="24"/>
                </w:rPr>
              </m:ctrlPr>
            </m:den>
          </m:f>
          <m:r>
            <m:rPr>
              <m:sty m:val="p"/>
            </m:rPr>
            <w:rPr>
              <w:rFonts w:hint="eastAsia" w:ascii="Cambria Math" w:hAnsi="Cambria Math"/>
              <w:sz w:val="24"/>
            </w:rPr>
            <m:t>×100%</m:t>
          </m:r>
        </m:oMath>
      </m:oMathPara>
    </w:p>
    <w:p>
      <w:pPr>
        <w:spacing w:before="217" w:beforeLines="50" w:after="217" w:afterLines="50" w:line="360" w:lineRule="auto"/>
        <w:rPr>
          <w:rFonts w:ascii="仿宋_GB2312" w:hAnsi="黑体"/>
          <w:sz w:val="24"/>
        </w:rPr>
      </w:pPr>
      <m:oMathPara>
        <m:oMathParaPr>
          <m:jc m:val="left"/>
        </m:oMathParaPr>
        <m:oMath>
          <m:r>
            <m:rPr>
              <m:sty m:val="p"/>
            </m:rPr>
            <w:rPr>
              <w:rFonts w:hint="eastAsia" w:ascii="Cambria Math" w:hAnsi="Cambria Math"/>
              <w:sz w:val="24"/>
            </w:rPr>
            <m:t>(2)</m:t>
          </m:r>
          <m:r>
            <m:rPr>
              <m:sty m:val="b"/>
            </m:rPr>
            <w:rPr>
              <w:rFonts w:hint="eastAsia" w:ascii="Cambria Math" w:hAnsi="Cambria Math"/>
              <w:sz w:val="24"/>
            </w:rPr>
            <m:t>门诊患者次均药品费用</m:t>
          </m:r>
          <m:r>
            <m:rPr>
              <m:sty m:val="p"/>
            </m:rPr>
            <w:rPr>
              <w:rFonts w:hint="eastAsia" w:ascii="Cambria Math" w:hAnsi="Cambria Math"/>
              <w:sz w:val="24"/>
            </w:rPr>
            <m:t>=</m:t>
          </m:r>
          <m:f>
            <m:fPr>
              <m:ctrlPr>
                <w:rPr>
                  <w:rFonts w:hint="eastAsia" w:ascii="Cambria Math" w:hAnsi="Cambria Math"/>
                  <w:sz w:val="24"/>
                </w:rPr>
              </m:ctrlPr>
            </m:fPr>
            <m:num>
              <m:r>
                <m:rPr>
                  <m:sty m:val="p"/>
                </m:rPr>
                <w:rPr>
                  <w:rFonts w:hint="eastAsia" w:ascii="Cambria Math" w:hAnsi="Cambria Math"/>
                  <w:sz w:val="24"/>
                </w:rPr>
                <m:t>门诊药品收入</m:t>
              </m:r>
              <m:ctrlPr>
                <w:rPr>
                  <w:rFonts w:hint="eastAsia" w:ascii="Cambria Math" w:hAnsi="Cambria Math"/>
                  <w:sz w:val="24"/>
                </w:rPr>
              </m:ctrlPr>
            </m:num>
            <m:den>
              <m:r>
                <m:rPr>
                  <m:sty m:val="p"/>
                </m:rPr>
                <w:rPr>
                  <w:rFonts w:hint="eastAsia" w:ascii="Cambria Math" w:hAnsi="Cambria Math"/>
                  <w:sz w:val="24"/>
                </w:rPr>
                <m:t>门诊人次数</m:t>
              </m:r>
              <m:ctrlPr>
                <w:rPr>
                  <w:rFonts w:hint="eastAsia" w:ascii="Cambria Math" w:hAnsi="Cambria Math"/>
                  <w:sz w:val="24"/>
                </w:rPr>
              </m:ctrlPr>
            </m:den>
          </m:f>
        </m:oMath>
      </m:oMathPara>
    </w:p>
    <w:p>
      <w:pPr>
        <w:spacing w:line="600" w:lineRule="exact"/>
        <w:rPr>
          <w:b/>
          <w:szCs w:val="32"/>
        </w:rPr>
      </w:pPr>
      <w:r>
        <w:rPr>
          <w:rFonts w:hint="eastAsia"/>
          <w:b/>
          <w:szCs w:val="32"/>
        </w:rPr>
        <w:t>延伸指标：</w:t>
      </w:r>
    </w:p>
    <w:p>
      <w:pPr>
        <w:spacing w:before="87" w:beforeLines="20" w:line="360" w:lineRule="auto"/>
        <w:ind w:right="-1331" w:rightChars="-416"/>
        <w:rPr>
          <w:rFonts w:ascii="仿宋_GB2312" w:hAnsi="黑体"/>
          <w:sz w:val="24"/>
        </w:rPr>
      </w:pPr>
      <m:oMathPara>
        <m:oMathParaPr>
          <m:jc m:val="left"/>
        </m:oMathParaPr>
        <m:oMath>
          <m:r>
            <m:rPr>
              <m:sty m:val="b"/>
            </m:rPr>
            <w:rPr>
              <w:rFonts w:hint="eastAsia" w:ascii="Cambria Math" w:hAnsi="Cambria Math"/>
              <w:sz w:val="24"/>
            </w:rPr>
            <m:t>剔除有关项后的门诊次均药品费用增幅=</m:t>
          </m:r>
          <m:f>
            <m:fPr>
              <m:ctrlPr>
                <w:rPr>
                  <w:rFonts w:hint="eastAsia" w:ascii="Cambria Math" w:hAnsi="Cambria Math"/>
                  <w:sz w:val="24"/>
                </w:rPr>
              </m:ctrlPr>
            </m:fPr>
            <m:num>
              <m:eqArr>
                <m:eqArrPr>
                  <m:ctrlPr>
                    <w:rPr>
                      <w:rFonts w:hint="eastAsia" w:ascii="Cambria Math" w:hAnsi="Cambria Math"/>
                      <w:sz w:val="24"/>
                    </w:rPr>
                  </m:ctrlPr>
                </m:eqArrPr>
                <m:e>
                  <m:r>
                    <m:rPr>
                      <m:sty m:val="p"/>
                    </m:rPr>
                    <w:rPr>
                      <w:rFonts w:hint="eastAsia" w:ascii="Cambria Math" w:hAnsi="Cambria Math"/>
                      <w:sz w:val="24"/>
                    </w:rPr>
                    <m:t>（本年度剔除有关项后的门诊患者次均药品费用</m:t>
                  </m:r>
                  <m:ctrlPr>
                    <w:rPr>
                      <w:rFonts w:hint="eastAsia" w:ascii="Cambria Math" w:hAnsi="Cambria Math"/>
                      <w:sz w:val="24"/>
                    </w:rPr>
                  </m:ctrlPr>
                </m:e>
                <m:e>
                  <m:r>
                    <m:rPr>
                      <m:sty m:val="p"/>
                    </m:rPr>
                    <w:rPr>
                      <w:rFonts w:hint="eastAsia" w:ascii="Cambria Math" w:hAnsi="Cambria Math"/>
                      <w:sz w:val="24"/>
                    </w:rPr>
                    <m:t>－上一年度剔除有关项后的门诊患者次均药品费用）</m:t>
                  </m:r>
                  <m:ctrlPr>
                    <w:rPr>
                      <w:rFonts w:hint="eastAsia" w:ascii="Cambria Math" w:hAnsi="Cambria Math"/>
                      <w:sz w:val="24"/>
                    </w:rPr>
                  </m:ctrlPr>
                </m:e>
              </m:eqArr>
              <m:ctrlPr>
                <w:rPr>
                  <w:rFonts w:hint="eastAsia" w:ascii="Cambria Math" w:hAnsi="Cambria Math"/>
                  <w:sz w:val="24"/>
                </w:rPr>
              </m:ctrlPr>
            </m:num>
            <m:den>
              <m:r>
                <m:rPr>
                  <m:sty m:val="p"/>
                </m:rPr>
                <w:rPr>
                  <w:rFonts w:hint="eastAsia" w:ascii="Cambria Math" w:hAnsi="Cambria Math"/>
                  <w:sz w:val="24"/>
                </w:rPr>
                <m:t>上一年度剔除有关项后的门诊患者次均药品费用</m:t>
              </m:r>
              <m:ctrlPr>
                <w:rPr>
                  <w:rFonts w:hint="eastAsia" w:ascii="Cambria Math" w:hAnsi="Cambria Math"/>
                  <w:sz w:val="24"/>
                </w:rPr>
              </m:ctrlPr>
            </m:den>
          </m:f>
          <m:r>
            <m:rPr>
              <m:sty m:val="p"/>
            </m:rPr>
            <w:rPr>
              <w:rFonts w:hint="eastAsia" w:ascii="Cambria Math" w:hAnsi="Cambria Math"/>
              <w:sz w:val="24"/>
            </w:rPr>
            <m:t>×100%</m:t>
          </m:r>
        </m:oMath>
      </m:oMathPara>
    </w:p>
    <w:p>
      <w:pPr>
        <w:spacing w:after="217" w:afterLines="50" w:line="360" w:lineRule="auto"/>
        <w:ind w:right="-1616" w:rightChars="-505"/>
        <w:rPr>
          <w:rFonts w:ascii="仿宋_GB2312" w:hAnsi="黑体"/>
          <w:sz w:val="24"/>
        </w:rPr>
      </w:pPr>
      <m:oMathPara>
        <m:oMathParaPr>
          <m:jc m:val="left"/>
        </m:oMathParaPr>
        <m:oMath>
          <m:r>
            <m:rPr>
              <m:sty m:val="p"/>
            </m:rPr>
            <w:rPr>
              <w:rFonts w:hint="eastAsia" w:ascii="Cambria Math" w:hAnsi="Cambria Math"/>
              <w:sz w:val="24"/>
            </w:rPr>
            <m:t>(3)</m:t>
          </m:r>
          <m:r>
            <m:rPr>
              <m:sty m:val="b"/>
            </m:rPr>
            <w:rPr>
              <w:rFonts w:hint="eastAsia" w:ascii="Cambria Math" w:hAnsi="Cambria Math"/>
              <w:sz w:val="24"/>
            </w:rPr>
            <m:t>住院次均药品费用增幅</m:t>
          </m:r>
          <m:r>
            <m:rPr>
              <m:sty m:val="p"/>
            </m:rPr>
            <w:rPr>
              <w:rFonts w:hint="eastAsia" w:ascii="Cambria Math" w:hAnsi="Cambria Math"/>
              <w:sz w:val="24"/>
            </w:rPr>
            <m:t>=</m:t>
          </m:r>
          <m:f>
            <m:fPr>
              <m:ctrlPr>
                <w:rPr>
                  <w:rFonts w:hint="eastAsia" w:ascii="Cambria Math" w:hAnsi="Cambria Math"/>
                  <w:sz w:val="24"/>
                </w:rPr>
              </m:ctrlPr>
            </m:fPr>
            <m:num>
              <m:eqArr>
                <m:eqArrPr>
                  <m:ctrlPr>
                    <w:rPr>
                      <w:rFonts w:hint="eastAsia" w:ascii="Cambria Math" w:hAnsi="Cambria Math"/>
                      <w:sz w:val="24"/>
                    </w:rPr>
                  </m:ctrlPr>
                </m:eqArrPr>
                <m:e>
                  <m:r>
                    <m:rPr>
                      <m:sty m:val="p"/>
                    </m:rPr>
                    <w:rPr>
                      <w:rFonts w:hint="eastAsia" w:ascii="Cambria Math" w:hAnsi="Cambria Math"/>
                      <w:sz w:val="24"/>
                    </w:rPr>
                    <m:t>（本年度出院患者次均药品费用</m:t>
                  </m:r>
                  <m:ctrlPr>
                    <w:rPr>
                      <w:rFonts w:hint="eastAsia" w:ascii="Cambria Math" w:hAnsi="Cambria Math"/>
                      <w:sz w:val="24"/>
                    </w:rPr>
                  </m:ctrlPr>
                </m:e>
                <m:e>
                  <m:r>
                    <m:rPr>
                      <m:sty m:val="b"/>
                    </m:rPr>
                    <w:rPr>
                      <w:rFonts w:hint="eastAsia" w:ascii="Cambria Math" w:hAnsi="Cambria Math"/>
                      <w:sz w:val="24"/>
                    </w:rPr>
                    <m:t>－</m:t>
                  </m:r>
                  <m:r>
                    <m:rPr>
                      <m:sty m:val="p"/>
                    </m:rPr>
                    <w:rPr>
                      <w:rFonts w:hint="eastAsia" w:ascii="Cambria Math" w:hAnsi="Cambria Math"/>
                      <w:sz w:val="24"/>
                    </w:rPr>
                    <m:t>上一年度出院患者次均药品费用）</m:t>
                  </m:r>
                  <m:ctrlPr>
                    <w:rPr>
                      <w:rFonts w:hint="eastAsia" w:ascii="Cambria Math" w:hAnsi="Cambria Math"/>
                      <w:sz w:val="24"/>
                    </w:rPr>
                  </m:ctrlPr>
                </m:e>
              </m:eqArr>
              <m:ctrlPr>
                <w:rPr>
                  <w:rFonts w:hint="eastAsia" w:ascii="Cambria Math" w:hAnsi="Cambria Math"/>
                  <w:sz w:val="24"/>
                </w:rPr>
              </m:ctrlPr>
            </m:num>
            <m:den>
              <m:r>
                <m:rPr>
                  <m:sty m:val="p"/>
                </m:rPr>
                <w:rPr>
                  <w:rFonts w:hint="eastAsia" w:ascii="Cambria Math" w:hAnsi="Cambria Math"/>
                  <w:sz w:val="24"/>
                </w:rPr>
                <m:t>上一年度出院患者次均药品费用</m:t>
              </m:r>
              <m:ctrlPr>
                <w:rPr>
                  <w:rFonts w:hint="eastAsia" w:ascii="Cambria Math" w:hAnsi="Cambria Math"/>
                  <w:sz w:val="24"/>
                </w:rPr>
              </m:ctrlPr>
            </m:den>
          </m:f>
          <m:r>
            <m:rPr>
              <m:sty m:val="p"/>
            </m:rPr>
            <w:rPr>
              <w:rFonts w:hint="eastAsia" w:ascii="Cambria Math" w:hAnsi="Cambria Math"/>
              <w:sz w:val="24"/>
            </w:rPr>
            <m:t>×100%</m:t>
          </m:r>
        </m:oMath>
      </m:oMathPara>
    </w:p>
    <w:p>
      <w:pPr>
        <w:spacing w:after="217" w:afterLines="50" w:line="360" w:lineRule="auto"/>
        <w:rPr>
          <w:rFonts w:ascii="黑体" w:hAnsi="黑体" w:eastAsia="黑体"/>
          <w:b/>
          <w:sz w:val="24"/>
        </w:rPr>
      </w:pPr>
      <m:oMathPara>
        <m:oMathParaPr>
          <m:jc m:val="left"/>
        </m:oMathParaPr>
        <m:oMath>
          <m:r>
            <m:rPr>
              <m:sty m:val="p"/>
            </m:rPr>
            <w:rPr>
              <w:rFonts w:hint="eastAsia" w:ascii="Cambria Math" w:hAnsi="Cambria Math"/>
              <w:sz w:val="24"/>
            </w:rPr>
            <m:t>(4)</m:t>
          </m:r>
          <m:r>
            <m:rPr>
              <m:sty m:val="b"/>
            </m:rPr>
            <w:rPr>
              <w:rFonts w:hint="eastAsia" w:ascii="Cambria Math" w:hAnsi="Cambria Math"/>
              <w:sz w:val="24"/>
            </w:rPr>
            <m:t>出院患者次均药品费用</m:t>
          </m:r>
          <m:r>
            <m:rPr>
              <m:sty m:val="p"/>
            </m:rPr>
            <w:rPr>
              <w:rFonts w:hint="eastAsia" w:ascii="Cambria Math" w:hAnsi="Cambria Math"/>
              <w:sz w:val="24"/>
            </w:rPr>
            <m:t xml:space="preserve">= </m:t>
          </m:r>
          <m:f>
            <m:fPr>
              <m:ctrlPr>
                <w:rPr>
                  <w:rFonts w:hint="eastAsia" w:ascii="Cambria Math" w:hAnsi="Cambria Math"/>
                  <w:sz w:val="24"/>
                </w:rPr>
              </m:ctrlPr>
            </m:fPr>
            <m:num>
              <m:r>
                <m:rPr>
                  <m:sty m:val="p"/>
                </m:rPr>
                <w:rPr>
                  <w:rFonts w:hint="eastAsia" w:ascii="Cambria Math" w:hAnsi="Cambria Math"/>
                  <w:sz w:val="24"/>
                </w:rPr>
                <m:t>出院患者药品费用</m:t>
              </m:r>
              <m:ctrlPr>
                <w:rPr>
                  <w:rFonts w:hint="eastAsia" w:ascii="Cambria Math" w:hAnsi="Cambria Math"/>
                  <w:sz w:val="24"/>
                </w:rPr>
              </m:ctrlPr>
            </m:num>
            <m:den>
              <m:r>
                <m:rPr>
                  <m:sty m:val="p"/>
                </m:rPr>
                <w:rPr>
                  <w:rFonts w:hint="eastAsia" w:ascii="Cambria Math" w:hAnsi="Cambria Math"/>
                  <w:sz w:val="24"/>
                </w:rPr>
                <m:t>出院人次数</m:t>
              </m:r>
              <m:ctrlPr>
                <w:rPr>
                  <w:rFonts w:hint="eastAsia" w:ascii="Cambria Math" w:hAnsi="Cambria Math"/>
                  <w:sz w:val="24"/>
                </w:rPr>
              </m:ctrlPr>
            </m:den>
          </m:f>
        </m:oMath>
      </m:oMathPara>
    </w:p>
    <w:p>
      <w:pPr>
        <w:spacing w:line="600" w:lineRule="exact"/>
        <w:rPr>
          <w:b/>
          <w:szCs w:val="32"/>
        </w:rPr>
      </w:pPr>
      <w:r>
        <w:rPr>
          <w:rFonts w:hint="eastAsia"/>
          <w:b/>
          <w:szCs w:val="32"/>
        </w:rPr>
        <w:t>延伸指标：</w:t>
      </w:r>
    </w:p>
    <w:p>
      <w:pPr>
        <w:spacing w:before="87" w:beforeLines="20" w:line="360" w:lineRule="auto"/>
        <w:ind w:right="-1331" w:rightChars="-416"/>
        <w:rPr>
          <w:rFonts w:ascii="仿宋_GB2312" w:hAnsi="黑体"/>
          <w:sz w:val="24"/>
        </w:rPr>
      </w:pPr>
      <m:oMathPara>
        <m:oMathParaPr>
          <m:jc m:val="left"/>
        </m:oMathParaPr>
        <m:oMath>
          <m:r>
            <m:rPr>
              <m:sty m:val="b"/>
            </m:rPr>
            <w:rPr>
              <w:rFonts w:hint="eastAsia" w:ascii="Cambria Math" w:hAnsi="Cambria Math"/>
              <w:sz w:val="24"/>
            </w:rPr>
            <m:t>剔除有关项后的住院次均药品费用增幅=</m:t>
          </m:r>
          <m:f>
            <m:fPr>
              <m:ctrlPr>
                <w:rPr>
                  <w:rFonts w:hint="eastAsia" w:ascii="Cambria Math" w:hAnsi="Cambria Math"/>
                  <w:sz w:val="24"/>
                </w:rPr>
              </m:ctrlPr>
            </m:fPr>
            <m:num>
              <m:eqArr>
                <m:eqArrPr>
                  <m:ctrlPr>
                    <w:rPr>
                      <w:rFonts w:hint="eastAsia" w:ascii="Cambria Math" w:hAnsi="Cambria Math"/>
                      <w:sz w:val="24"/>
                    </w:rPr>
                  </m:ctrlPr>
                </m:eqArrPr>
                <m:e>
                  <m:r>
                    <m:rPr>
                      <m:sty m:val="p"/>
                    </m:rPr>
                    <w:rPr>
                      <w:rFonts w:hint="eastAsia" w:ascii="Cambria Math" w:hAnsi="Cambria Math"/>
                      <w:sz w:val="24"/>
                    </w:rPr>
                    <m:t>（本年度剔除有关项后的住院次均药品费用</m:t>
                  </m:r>
                  <m:ctrlPr>
                    <w:rPr>
                      <w:rFonts w:hint="eastAsia" w:ascii="Cambria Math" w:hAnsi="Cambria Math"/>
                      <w:sz w:val="24"/>
                    </w:rPr>
                  </m:ctrlPr>
                </m:e>
                <m:e>
                  <m:r>
                    <m:rPr>
                      <m:sty m:val="p"/>
                    </m:rPr>
                    <w:rPr>
                      <w:rFonts w:hint="eastAsia" w:ascii="Cambria Math" w:hAnsi="Cambria Math"/>
                      <w:sz w:val="24"/>
                    </w:rPr>
                    <m:t>－上一年度剔除有关项后的住院次均药品费用）</m:t>
                  </m:r>
                  <m:ctrlPr>
                    <w:rPr>
                      <w:rFonts w:hint="eastAsia" w:ascii="Cambria Math" w:hAnsi="Cambria Math"/>
                      <w:sz w:val="24"/>
                    </w:rPr>
                  </m:ctrlPr>
                </m:e>
              </m:eqArr>
              <m:ctrlPr>
                <w:rPr>
                  <w:rFonts w:hint="eastAsia" w:ascii="Cambria Math" w:hAnsi="Cambria Math"/>
                  <w:sz w:val="24"/>
                </w:rPr>
              </m:ctrlPr>
            </m:num>
            <m:den>
              <m:r>
                <m:rPr>
                  <m:sty m:val="p"/>
                </m:rPr>
                <w:rPr>
                  <w:rFonts w:hint="eastAsia" w:ascii="Cambria Math" w:hAnsi="Cambria Math"/>
                  <w:sz w:val="24"/>
                </w:rPr>
                <m:t>上一年度剔除有关项后的住院次均药品费用</m:t>
              </m:r>
              <m:ctrlPr>
                <w:rPr>
                  <w:rFonts w:hint="eastAsia" w:ascii="Cambria Math" w:hAnsi="Cambria Math"/>
                  <w:sz w:val="24"/>
                </w:rPr>
              </m:ctrlPr>
            </m:den>
          </m:f>
          <m:r>
            <m:rPr>
              <m:sty m:val="p"/>
            </m:rPr>
            <w:rPr>
              <w:rFonts w:hint="eastAsia" w:ascii="Cambria Math" w:hAnsi="Cambria Math"/>
              <w:sz w:val="24"/>
            </w:rPr>
            <m:t>×100%</m:t>
          </m:r>
        </m:oMath>
      </m:oMathPara>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ascii="仿宋_GB2312"/>
          <w:szCs w:val="32"/>
        </w:rPr>
        <w:t>（</w:t>
      </w:r>
      <w:r>
        <w:rPr>
          <w:rFonts w:ascii="仿宋_GB2312"/>
          <w:szCs w:val="32"/>
        </w:rPr>
        <w:t>1</w:t>
      </w:r>
      <w:r>
        <w:rPr>
          <w:rFonts w:hint="eastAsia" w:ascii="仿宋_GB2312"/>
          <w:szCs w:val="32"/>
        </w:rPr>
        <w:t>）</w:t>
      </w:r>
      <w:r>
        <w:rPr>
          <w:rFonts w:hint="eastAsia"/>
          <w:szCs w:val="32"/>
        </w:rPr>
        <w:t>分子</w:t>
      </w:r>
    </w:p>
    <w:p>
      <w:pPr>
        <w:spacing w:line="600" w:lineRule="exact"/>
        <w:ind w:firstLine="640" w:firstLineChars="200"/>
        <w:rPr>
          <w:szCs w:val="32"/>
        </w:rPr>
      </w:pPr>
      <w:r>
        <w:rPr>
          <w:rFonts w:hint="eastAsia"/>
          <w:szCs w:val="32"/>
        </w:rPr>
        <w:t>分子</w:t>
      </w:r>
      <w:r>
        <w:rPr>
          <w:rFonts w:ascii="仿宋_GB2312"/>
          <w:szCs w:val="32"/>
        </w:rPr>
        <w:t>1</w:t>
      </w:r>
      <w:r>
        <w:rPr>
          <w:rFonts w:hint="eastAsia"/>
          <w:szCs w:val="32"/>
        </w:rPr>
        <w:t>：门诊患者次均药品费用指考核年度门诊患者平均每次就诊药费，简称门诊次均药费。为了促进中医医院发挥中医药特色优势，该指标剔除散装中药饮片、小包装中药饮片、中药配方颗粒剂和医疗机构中药制剂费用。</w:t>
      </w:r>
    </w:p>
    <w:p>
      <w:pPr>
        <w:spacing w:line="600" w:lineRule="exact"/>
        <w:ind w:firstLine="640" w:firstLineChars="200"/>
        <w:rPr>
          <w:szCs w:val="32"/>
        </w:rPr>
      </w:pPr>
      <w:r>
        <w:rPr>
          <w:rFonts w:hint="eastAsia"/>
          <w:szCs w:val="32"/>
        </w:rPr>
        <w:t>分子</w:t>
      </w:r>
      <w:r>
        <w:rPr>
          <w:rFonts w:ascii="仿宋_GB2312"/>
          <w:szCs w:val="32"/>
        </w:rPr>
        <w:t>2</w:t>
      </w:r>
      <w:r>
        <w:rPr>
          <w:rFonts w:hint="eastAsia"/>
          <w:szCs w:val="32"/>
        </w:rPr>
        <w:t>：出院患者次均药品费用指考核年度出院患者平均每次住院的药品费用，简称住院次均药品费用。为了促进中医医院发挥中医药特色优势，该指标剔除散装中药饮片、小包装中药饮片、中药配方颗粒剂和医疗机构中药制剂费用。</w:t>
      </w:r>
    </w:p>
    <w:p>
      <w:pPr>
        <w:spacing w:line="600" w:lineRule="exact"/>
        <w:ind w:firstLine="640" w:firstLineChars="200"/>
        <w:rPr>
          <w:szCs w:val="32"/>
        </w:rPr>
      </w:pPr>
      <w:r>
        <w:rPr>
          <w:rFonts w:hint="eastAsia"/>
          <w:szCs w:val="32"/>
        </w:rPr>
        <w:t>（</w:t>
      </w:r>
      <w:r>
        <w:rPr>
          <w:rFonts w:ascii="仿宋_GB2312"/>
          <w:szCs w:val="32"/>
        </w:rPr>
        <w:t>2</w:t>
      </w:r>
      <w:r>
        <w:rPr>
          <w:rFonts w:hint="eastAsia"/>
          <w:szCs w:val="32"/>
        </w:rPr>
        <w:t>）分母</w:t>
      </w:r>
    </w:p>
    <w:p>
      <w:pPr>
        <w:spacing w:line="600" w:lineRule="exact"/>
        <w:ind w:firstLine="640" w:firstLineChars="200"/>
        <w:rPr>
          <w:szCs w:val="32"/>
        </w:rPr>
      </w:pPr>
      <w:r>
        <w:rPr>
          <w:rFonts w:hint="eastAsia"/>
          <w:szCs w:val="32"/>
        </w:rPr>
        <w:t>分母</w:t>
      </w:r>
      <w:r>
        <w:rPr>
          <w:rFonts w:ascii="仿宋_GB2312"/>
          <w:szCs w:val="32"/>
        </w:rPr>
        <w:t>1</w:t>
      </w:r>
      <w:r>
        <w:rPr>
          <w:rFonts w:hint="eastAsia"/>
          <w:szCs w:val="32"/>
        </w:rPr>
        <w:t>：门诊人次数为门急诊总诊疗人次数，包括门诊、急诊、健康体检人次数等。</w:t>
      </w:r>
    </w:p>
    <w:p>
      <w:pPr>
        <w:spacing w:line="600" w:lineRule="exact"/>
        <w:ind w:firstLine="640" w:firstLineChars="200"/>
        <w:rPr>
          <w:bCs/>
          <w:szCs w:val="32"/>
        </w:rPr>
      </w:pPr>
      <w:r>
        <w:rPr>
          <w:rFonts w:hint="eastAsia"/>
          <w:szCs w:val="32"/>
        </w:rPr>
        <w:t>分母</w:t>
      </w:r>
      <w:r>
        <w:rPr>
          <w:rFonts w:ascii="仿宋_GB2312"/>
          <w:szCs w:val="32"/>
        </w:rPr>
        <w:t>2</w:t>
      </w:r>
      <w:r>
        <w:rPr>
          <w:rFonts w:hint="eastAsia"/>
          <w:szCs w:val="32"/>
        </w:rPr>
        <w:t>：出院人次数</w:t>
      </w:r>
      <w:r>
        <w:rPr>
          <w:rFonts w:hint="eastAsia"/>
          <w:bCs/>
          <w:szCs w:val="32"/>
        </w:rPr>
        <w:t>指出院人数。</w:t>
      </w:r>
    </w:p>
    <w:p>
      <w:pPr>
        <w:pStyle w:val="2"/>
        <w:spacing w:line="360" w:lineRule="auto"/>
        <w:ind w:firstLine="640"/>
        <w:rPr>
          <w:b/>
          <w:szCs w:val="32"/>
        </w:rPr>
      </w:pPr>
      <w:r>
        <w:rPr>
          <w:rFonts w:hint="eastAsia"/>
          <w:bCs/>
          <w:szCs w:val="32"/>
        </w:rPr>
        <w:t>（</w:t>
      </w:r>
      <w:r>
        <w:rPr>
          <w:rFonts w:ascii="仿宋_GB2312"/>
          <w:szCs w:val="32"/>
        </w:rPr>
        <w:t>3</w:t>
      </w:r>
      <w:r>
        <w:rPr>
          <w:rFonts w:hint="eastAsia" w:ascii="仿宋_GB2312"/>
          <w:szCs w:val="32"/>
        </w:rPr>
        <w:t>）</w:t>
      </w:r>
      <w:r>
        <w:rPr>
          <w:rFonts w:hint="eastAsia" w:ascii="仿宋" w:hAnsi="仿宋" w:eastAsia="仿宋" w:cs="仿宋"/>
          <w:szCs w:val="21"/>
        </w:rPr>
        <w:t>延伸指标：剔除有关项后的门诊、住院次均药品费用增幅。</w:t>
      </w:r>
      <w:r>
        <w:rPr>
          <w:rFonts w:hint="eastAsia" w:ascii="仿宋" w:hAnsi="仿宋" w:eastAsia="仿宋" w:cs="仿宋"/>
          <w:szCs w:val="32"/>
          <w:lang w:bidi="ar"/>
        </w:rPr>
        <w:t>用于反映剔除散装中药饮片、小包装中药饮片、中药配方颗粒剂、医疗机构中药制剂、罕见病专用药收入，长期处方产生的药品收入，以及纳入国家医保目录中谈判类药物收入后的门诊、住院次均药品费用增幅情况。</w:t>
      </w:r>
      <w:r>
        <w:rPr>
          <w:rFonts w:hint="eastAsia" w:ascii="仿宋" w:hAnsi="仿宋" w:eastAsia="仿宋"/>
          <w:szCs w:val="32"/>
          <w:shd w:val="clear" w:color="auto" w:fill="FFFFFF"/>
        </w:rPr>
        <w:t>具体剔除方式详见填报模板。</w:t>
      </w:r>
    </w:p>
    <w:p>
      <w:pPr>
        <w:spacing w:line="600" w:lineRule="exact"/>
        <w:rPr>
          <w:szCs w:val="32"/>
        </w:rPr>
      </w:pPr>
      <w:r>
        <w:rPr>
          <w:rFonts w:hint="eastAsia"/>
          <w:b/>
          <w:szCs w:val="32"/>
        </w:rPr>
        <w:t>【指标意义】</w:t>
      </w:r>
    </w:p>
    <w:p>
      <w:pPr>
        <w:adjustRightInd w:val="0"/>
        <w:spacing w:line="600" w:lineRule="exact"/>
        <w:ind w:firstLine="640" w:firstLineChars="200"/>
        <w:rPr>
          <w:szCs w:val="32"/>
        </w:rPr>
      </w:pPr>
      <w:r>
        <w:rPr>
          <w:rFonts w:hint="eastAsia"/>
          <w:szCs w:val="32"/>
        </w:rPr>
        <w:t>患者次均药品费用增幅是衡量患者药品费用负担水平及其增长情况的重要指标，包含门诊次均药品费用增幅和住院次均药品费用增幅。参见指标2</w:t>
      </w:r>
      <w:r>
        <w:rPr>
          <w:szCs w:val="32"/>
        </w:rPr>
        <w:t>5</w:t>
      </w:r>
      <w:r>
        <w:rPr>
          <w:rFonts w:hint="eastAsia"/>
          <w:szCs w:val="32"/>
        </w:rPr>
        <w:t>。</w:t>
      </w:r>
    </w:p>
    <w:p>
      <w:pPr>
        <w:spacing w:line="600" w:lineRule="exact"/>
        <w:rPr>
          <w:b/>
          <w:sz w:val="21"/>
          <w:szCs w:val="22"/>
        </w:rPr>
      </w:pPr>
      <w:r>
        <w:rPr>
          <w:rFonts w:hint="eastAsia"/>
          <w:b/>
          <w:szCs w:val="32"/>
        </w:rPr>
        <w:t>【指标导向】</w:t>
      </w:r>
      <w:r>
        <w:rPr>
          <w:rFonts w:hint="eastAsia"/>
          <w:szCs w:val="32"/>
        </w:rPr>
        <w:t>逐步降低。</w:t>
      </w:r>
    </w:p>
    <w:p>
      <w:pPr>
        <w:spacing w:line="600" w:lineRule="exact"/>
        <w:rPr>
          <w:szCs w:val="32"/>
        </w:rPr>
      </w:pPr>
      <w:r>
        <w:rPr>
          <w:rFonts w:hint="eastAsia"/>
          <w:b/>
          <w:szCs w:val="32"/>
        </w:rPr>
        <w:t>【指标来源】</w:t>
      </w:r>
      <w:r>
        <w:rPr>
          <w:rFonts w:hint="eastAsia"/>
          <w:szCs w:val="32"/>
        </w:rPr>
        <w:t>医院填报、财务年报表。</w:t>
      </w:r>
    </w:p>
    <w:p>
      <w:pPr>
        <w:spacing w:line="600" w:lineRule="exact"/>
        <w:rPr>
          <w:rFonts w:eastAsia="宋体"/>
          <w:sz w:val="21"/>
          <w:szCs w:val="22"/>
        </w:rPr>
      </w:pPr>
      <w:r>
        <w:rPr>
          <w:rFonts w:hint="eastAsia"/>
          <w:b/>
          <w:szCs w:val="32"/>
        </w:rPr>
        <w:t>【指标解释】</w:t>
      </w:r>
      <w:r>
        <w:rPr>
          <w:rFonts w:hint="eastAsia"/>
          <w:szCs w:val="32"/>
        </w:rPr>
        <w:t>国家卫生健康委、省级卫生健康委。</w:t>
      </w:r>
    </w:p>
    <w:p>
      <w:pPr>
        <w:keepNext/>
        <w:keepLines/>
        <w:spacing w:line="600" w:lineRule="exact"/>
        <w:ind w:firstLine="640" w:firstLineChars="200"/>
        <w:outlineLvl w:val="0"/>
        <w:rPr>
          <w:rFonts w:eastAsia="黑体"/>
          <w:b/>
          <w:bCs/>
          <w:kern w:val="44"/>
          <w:szCs w:val="32"/>
        </w:rPr>
      </w:pPr>
      <w:r>
        <w:rPr>
          <w:b/>
          <w:kern w:val="0"/>
          <w:szCs w:val="32"/>
        </w:rPr>
        <w:br w:type="page"/>
      </w:r>
      <w:bookmarkStart w:id="29" w:name="_Toc42857916"/>
      <w:r>
        <w:rPr>
          <w:rFonts w:hint="eastAsia" w:eastAsia="黑体"/>
          <w:b/>
          <w:bCs/>
          <w:kern w:val="44"/>
          <w:szCs w:val="32"/>
        </w:rPr>
        <w:t>四、持续发展相关指标</w:t>
      </w:r>
      <w:bookmarkEnd w:id="29"/>
    </w:p>
    <w:p>
      <w:pPr>
        <w:widowControl/>
        <w:spacing w:line="600" w:lineRule="exact"/>
        <w:ind w:firstLine="640" w:firstLineChars="200"/>
        <w:rPr>
          <w:szCs w:val="32"/>
        </w:rPr>
      </w:pPr>
      <w:r>
        <w:rPr>
          <w:rFonts w:hint="eastAsia"/>
          <w:szCs w:val="32"/>
        </w:rPr>
        <w:t>持续</w:t>
      </w:r>
      <w:r>
        <w:rPr>
          <w:szCs w:val="32"/>
        </w:rPr>
        <w:t>发展</w:t>
      </w:r>
      <w:r>
        <w:rPr>
          <w:rFonts w:hint="eastAsia"/>
          <w:szCs w:val="32"/>
        </w:rPr>
        <w:t>指标部分，共有二级指标</w:t>
      </w:r>
      <w:r>
        <w:rPr>
          <w:szCs w:val="32"/>
        </w:rPr>
        <w:t>2</w:t>
      </w:r>
      <w:r>
        <w:rPr>
          <w:rFonts w:hint="eastAsia"/>
          <w:szCs w:val="32"/>
        </w:rPr>
        <w:t>个，三级指标</w:t>
      </w:r>
      <w:r>
        <w:rPr>
          <w:szCs w:val="32"/>
        </w:rPr>
        <w:t>5</w:t>
      </w:r>
      <w:r>
        <w:rPr>
          <w:rFonts w:hint="eastAsia"/>
          <w:szCs w:val="32"/>
        </w:rPr>
        <w:t>个，其中国家监测指标</w:t>
      </w:r>
      <w:r>
        <w:rPr>
          <w:szCs w:val="32"/>
        </w:rPr>
        <w:t>2</w:t>
      </w:r>
      <w:r>
        <w:rPr>
          <w:rFonts w:hint="eastAsia"/>
          <w:szCs w:val="32"/>
        </w:rPr>
        <w:t>个，均</w:t>
      </w:r>
      <w:r>
        <w:rPr>
          <w:szCs w:val="32"/>
        </w:rPr>
        <w:t>为</w:t>
      </w:r>
      <w:r>
        <w:rPr>
          <w:rFonts w:hint="eastAsia"/>
          <w:szCs w:val="32"/>
        </w:rPr>
        <w:t>定量指标。</w:t>
      </w:r>
    </w:p>
    <w:p>
      <w:pPr>
        <w:keepNext/>
        <w:keepLines/>
        <w:shd w:val="clear" w:color="auto" w:fill="FFFFFF"/>
        <w:spacing w:line="600" w:lineRule="exact"/>
        <w:ind w:left="425" w:hanging="425"/>
        <w:outlineLvl w:val="1"/>
        <w:rPr>
          <w:rFonts w:eastAsia="楷体_GB2312"/>
          <w:b/>
          <w:bCs/>
          <w:szCs w:val="32"/>
        </w:rPr>
      </w:pPr>
      <w:bookmarkStart w:id="30" w:name="_Toc42857917"/>
      <w:r>
        <w:rPr>
          <w:rFonts w:hint="eastAsia" w:eastAsia="楷体_GB2312"/>
          <w:b/>
          <w:bCs/>
          <w:szCs w:val="32"/>
        </w:rPr>
        <w:t>（七）人员结构（指标</w:t>
      </w:r>
      <w:r>
        <w:rPr>
          <w:rFonts w:eastAsia="楷体_GB2312"/>
          <w:b/>
          <w:bCs/>
          <w:szCs w:val="32"/>
        </w:rPr>
        <w:t>28</w:t>
      </w:r>
      <w:r>
        <w:rPr>
          <w:rFonts w:hint="eastAsia" w:eastAsia="楷体_GB2312"/>
          <w:b/>
          <w:bCs/>
          <w:szCs w:val="32"/>
        </w:rPr>
        <w:t>—</w:t>
      </w:r>
      <w:r>
        <w:rPr>
          <w:rFonts w:eastAsia="楷体_GB2312"/>
          <w:b/>
          <w:bCs/>
          <w:szCs w:val="32"/>
        </w:rPr>
        <w:t>30</w:t>
      </w:r>
      <w:r>
        <w:rPr>
          <w:rFonts w:hint="eastAsia" w:eastAsia="楷体_GB2312"/>
          <w:b/>
          <w:bCs/>
          <w:szCs w:val="32"/>
        </w:rPr>
        <w:t>）</w:t>
      </w:r>
      <w:bookmarkEnd w:id="30"/>
    </w:p>
    <w:p>
      <w:pPr>
        <w:widowControl/>
        <w:spacing w:line="600" w:lineRule="atLeast"/>
        <w:rPr>
          <w:rFonts w:ascii="仿宋_GB2312"/>
          <w:szCs w:val="32"/>
          <w:shd w:val="clear" w:color="auto" w:fill="FFFFFF"/>
        </w:rPr>
      </w:pPr>
      <w:r>
        <w:rPr>
          <w:rFonts w:ascii="仿宋_GB2312"/>
          <w:b/>
          <w:szCs w:val="32"/>
          <w:shd w:val="clear" w:color="auto" w:fill="FFFFFF"/>
        </w:rPr>
        <w:t>28</w:t>
      </w:r>
      <w:r>
        <w:rPr>
          <w:rFonts w:hint="eastAsia" w:ascii="仿宋_GB2312"/>
          <w:b/>
          <w:szCs w:val="32"/>
          <w:shd w:val="clear" w:color="auto" w:fill="FFFFFF"/>
        </w:rPr>
        <w:t>.中医类别执业医师（含执业助理医师）占执业医师总数比例</w:t>
      </w:r>
      <w:r>
        <w:rPr>
          <w:rFonts w:hint="eastAsia" w:ascii="仿宋_GB2312"/>
          <w:szCs w:val="32"/>
          <w:shd w:val="clear" w:color="auto" w:fill="FFFFFF"/>
        </w:rPr>
        <w:t>▲</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指标属性</w:t>
      </w:r>
      <w:r>
        <w:rPr>
          <w:rFonts w:hint="eastAsia" w:ascii="仿宋_GB2312"/>
          <w:szCs w:val="32"/>
          <w:shd w:val="clear" w:color="auto" w:fill="FFFFFF"/>
        </w:rPr>
        <w:t>】定量指标、国家监测指标。</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计量单位</w:t>
      </w:r>
      <w:r>
        <w:rPr>
          <w:rFonts w:hint="eastAsia" w:ascii="仿宋_GB2312"/>
          <w:szCs w:val="32"/>
          <w:shd w:val="clear" w:color="auto" w:fill="FFFFFF"/>
        </w:rPr>
        <w:t>】百分比（%）</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指标定义</w:t>
      </w:r>
      <w:r>
        <w:rPr>
          <w:rFonts w:hint="eastAsia" w:ascii="仿宋_GB2312"/>
          <w:szCs w:val="32"/>
          <w:shd w:val="clear" w:color="auto" w:fill="FFFFFF"/>
        </w:rPr>
        <w:t>】</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考核年度医院中医类别执业医师（含执业助理医师）数量占全院同期医院执业（助理）医师总数的比例。</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计算方法</w:t>
      </w:r>
      <w:r>
        <w:rPr>
          <w:rFonts w:hint="eastAsia" w:ascii="仿宋_GB2312"/>
          <w:szCs w:val="32"/>
          <w:shd w:val="clear" w:color="auto" w:fill="FFFFFF"/>
        </w:rPr>
        <w:t>】</w:t>
      </w:r>
    </w:p>
    <w:p>
      <w:pPr>
        <w:spacing w:line="600" w:lineRule="atLeast"/>
        <w:ind w:right="-499" w:rightChars="-156"/>
        <w:rPr>
          <w:rFonts w:ascii="仿宋_GB2312" w:eastAsiaTheme="minorEastAsia"/>
          <w:szCs w:val="32"/>
          <w:shd w:val="clear" w:color="auto" w:fill="FFFFFF"/>
        </w:rPr>
      </w:pPr>
      <m:oMathPara>
        <m:oMathParaPr>
          <m:jc m:val="left"/>
        </m:oMathParaPr>
        <m:oMath>
          <m:r>
            <m:rPr>
              <m:sty m:val="b"/>
            </m:rPr>
            <w:rPr>
              <w:rFonts w:hint="eastAsia" w:ascii="Cambria Math" w:hAnsi="Cambria Math"/>
              <w:sz w:val="24"/>
              <w:shd w:val="clear" w:color="auto" w:fill="FFFFFF"/>
            </w:rPr>
            <m:t>中医类别执业医师</m:t>
          </m:r>
          <m:d>
            <m:dPr>
              <m:begChr m:val="（"/>
              <m:endChr m:val="）"/>
              <m:ctrlPr>
                <w:rPr>
                  <w:rFonts w:ascii="Cambria Math" w:hAnsi="Cambria Math"/>
                  <w:b/>
                  <w:sz w:val="24"/>
                  <w:shd w:val="clear" w:color="auto" w:fill="FFFFFF"/>
                </w:rPr>
              </m:ctrlPr>
            </m:dPr>
            <m:e>
              <m:r>
                <m:rPr>
                  <m:sty m:val="b"/>
                </m:rPr>
                <w:rPr>
                  <w:rFonts w:hint="eastAsia" w:ascii="Cambria Math" w:hAnsi="Cambria Math"/>
                  <w:sz w:val="24"/>
                  <w:shd w:val="clear" w:color="auto" w:fill="FFFFFF"/>
                </w:rPr>
                <m:t>含执业助理医师</m:t>
              </m:r>
              <m:ctrlPr>
                <w:rPr>
                  <w:rFonts w:ascii="Cambria Math" w:hAnsi="Cambria Math"/>
                  <w:b/>
                  <w:sz w:val="24"/>
                  <w:shd w:val="clear" w:color="auto" w:fill="FFFFFF"/>
                </w:rPr>
              </m:ctrlPr>
            </m:e>
          </m:d>
          <m:r>
            <m:rPr>
              <m:sty m:val="b"/>
            </m:rPr>
            <w:rPr>
              <w:rFonts w:hint="eastAsia" w:ascii="Cambria Math" w:hAnsi="Cambria Math"/>
              <w:sz w:val="24"/>
              <w:shd w:val="clear" w:color="auto" w:fill="FFFFFF"/>
            </w:rPr>
            <m:t>占执业医师总数比例</m:t>
          </m:r>
          <m:r>
            <m:rPr>
              <m:sty m:val="b"/>
            </m:rPr>
            <w:rPr>
              <w:rFonts w:ascii="Cambria Math" w:hAnsi="Cambria Math"/>
              <w:sz w:val="24"/>
              <w:shd w:val="clear" w:color="auto" w:fill="FFFFFF"/>
            </w:rPr>
            <m:t xml:space="preserve">  </m:t>
          </m:r>
          <m:r>
            <m:rPr>
              <m:sty m:val="p"/>
            </m:rPr>
            <w:rPr>
              <w:rFonts w:hint="eastAsia" w:ascii="Cambria Math" w:hAnsi="Cambria Math"/>
              <w:sz w:val="24"/>
              <w:shd w:val="clear" w:color="auto" w:fill="FFFFFF"/>
            </w:rPr>
            <m:t>=</m:t>
          </m:r>
          <m:f>
            <m:fPr>
              <m:ctrlPr>
                <w:rPr>
                  <w:rFonts w:ascii="Cambria Math" w:hAnsi="Cambria Math"/>
                  <w:sz w:val="24"/>
                  <w:shd w:val="clear" w:color="auto" w:fill="FFFFFF"/>
                </w:rPr>
              </m:ctrlPr>
            </m:fPr>
            <m:num>
              <m:r>
                <m:rPr>
                  <m:sty m:val="p"/>
                </m:rPr>
                <w:rPr>
                  <w:rFonts w:hint="eastAsia" w:ascii="Cambria Math" w:hAnsi="Cambria Math"/>
                  <w:sz w:val="24"/>
                  <w:shd w:val="clear" w:color="auto" w:fill="FFFFFF"/>
                </w:rPr>
                <m:t>中医类别执业</m:t>
              </m:r>
              <m:d>
                <m:dPr>
                  <m:begChr m:val="（"/>
                  <m:endChr m:val="）"/>
                  <m:ctrlPr>
                    <w:rPr>
                      <w:rFonts w:ascii="Cambria Math" w:hAnsi="Cambria Math"/>
                      <w:sz w:val="24"/>
                      <w:shd w:val="clear" w:color="auto" w:fill="FFFFFF"/>
                    </w:rPr>
                  </m:ctrlPr>
                </m:dPr>
                <m:e>
                  <m:r>
                    <m:rPr>
                      <m:sty m:val="p"/>
                    </m:rPr>
                    <w:rPr>
                      <w:rFonts w:hint="eastAsia" w:ascii="Cambria Math" w:hAnsi="Cambria Math"/>
                      <w:sz w:val="24"/>
                      <w:shd w:val="clear" w:color="auto" w:fill="FFFFFF"/>
                    </w:rPr>
                    <m:t>助理</m:t>
                  </m:r>
                  <m:ctrlPr>
                    <w:rPr>
                      <w:rFonts w:ascii="Cambria Math" w:hAnsi="Cambria Math"/>
                      <w:sz w:val="24"/>
                      <w:shd w:val="clear" w:color="auto" w:fill="FFFFFF"/>
                    </w:rPr>
                  </m:ctrlPr>
                </m:e>
              </m:d>
              <m:r>
                <m:rPr>
                  <m:sty m:val="p"/>
                </m:rPr>
                <w:rPr>
                  <w:rFonts w:hint="eastAsia" w:ascii="Cambria Math" w:hAnsi="Cambria Math"/>
                  <w:sz w:val="24"/>
                  <w:shd w:val="clear" w:color="auto" w:fill="FFFFFF"/>
                </w:rPr>
                <m:t>医师人数</m:t>
              </m:r>
              <m:ctrlPr>
                <w:rPr>
                  <w:rFonts w:ascii="Cambria Math" w:hAnsi="Cambria Math"/>
                  <w:sz w:val="24"/>
                  <w:shd w:val="clear" w:color="auto" w:fill="FFFFFF"/>
                </w:rPr>
              </m:ctrlPr>
            </m:num>
            <m:den>
              <m:r>
                <m:rPr>
                  <m:sty m:val="p"/>
                </m:rPr>
                <w:rPr>
                  <w:rFonts w:hint="eastAsia" w:ascii="Cambria Math" w:hAnsi="Cambria Math"/>
                  <w:sz w:val="24"/>
                  <w:shd w:val="clear" w:color="auto" w:fill="FFFFFF"/>
                </w:rPr>
                <m:t>医院执业</m:t>
              </m:r>
              <m:d>
                <m:dPr>
                  <m:begChr m:val="（"/>
                  <m:endChr m:val="）"/>
                  <m:ctrlPr>
                    <w:rPr>
                      <w:rFonts w:ascii="Cambria Math" w:hAnsi="Cambria Math"/>
                      <w:sz w:val="24"/>
                      <w:shd w:val="clear" w:color="auto" w:fill="FFFFFF"/>
                    </w:rPr>
                  </m:ctrlPr>
                </m:dPr>
                <m:e>
                  <m:r>
                    <m:rPr>
                      <m:sty m:val="p"/>
                    </m:rPr>
                    <w:rPr>
                      <w:rFonts w:hint="eastAsia" w:ascii="Cambria Math" w:hAnsi="Cambria Math"/>
                      <w:sz w:val="24"/>
                      <w:shd w:val="clear" w:color="auto" w:fill="FFFFFF"/>
                    </w:rPr>
                    <m:t>助理</m:t>
                  </m:r>
                  <m:ctrlPr>
                    <w:rPr>
                      <w:rFonts w:ascii="Cambria Math" w:hAnsi="Cambria Math"/>
                      <w:sz w:val="24"/>
                      <w:shd w:val="clear" w:color="auto" w:fill="FFFFFF"/>
                    </w:rPr>
                  </m:ctrlPr>
                </m:e>
              </m:d>
              <m:r>
                <m:rPr>
                  <m:sty m:val="p"/>
                </m:rPr>
                <w:rPr>
                  <w:rFonts w:hint="eastAsia" w:ascii="Cambria Math" w:hAnsi="Cambria Math"/>
                  <w:sz w:val="24"/>
                  <w:shd w:val="clear" w:color="auto" w:fill="FFFFFF"/>
                </w:rPr>
                <m:t>医师总人数</m:t>
              </m:r>
              <m:ctrlPr>
                <w:rPr>
                  <w:rFonts w:ascii="Cambria Math" w:hAnsi="Cambria Math"/>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tabs>
          <w:tab w:val="center" w:pos="4298"/>
        </w:tabs>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指标说明</w:t>
      </w:r>
      <w:r>
        <w:rPr>
          <w:rFonts w:hint="eastAsia" w:ascii="仿宋_GB2312"/>
          <w:szCs w:val="32"/>
          <w:shd w:val="clear" w:color="auto" w:fill="FFFFFF"/>
        </w:rPr>
        <w:t>】</w:t>
      </w:r>
      <w:r>
        <w:rPr>
          <w:rFonts w:hint="eastAsia" w:ascii="仿宋_GB2312"/>
          <w:szCs w:val="32"/>
          <w:shd w:val="clear" w:color="auto" w:fill="FFFFFF"/>
        </w:rPr>
        <w:tab/>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w:t>
      </w:r>
      <w:r>
        <w:rPr>
          <w:rFonts w:ascii="仿宋_GB2312"/>
          <w:szCs w:val="32"/>
        </w:rPr>
        <w:t>1</w:t>
      </w:r>
      <w:r>
        <w:rPr>
          <w:rFonts w:hint="eastAsia" w:ascii="仿宋_GB2312"/>
          <w:szCs w:val="32"/>
          <w:shd w:val="clear" w:color="auto" w:fill="FFFFFF"/>
        </w:rPr>
        <w:t>）分子：考核年度医院注册的中医类别执业（助理）医师</w:t>
      </w:r>
      <w:r>
        <w:rPr>
          <w:rFonts w:hint="eastAsia" w:ascii="仿宋_GB2312"/>
          <w:szCs w:val="32"/>
          <w:shd w:val="clear" w:color="auto" w:fill="FFFFFF"/>
          <w:vertAlign w:val="superscript"/>
        </w:rPr>
        <w:footnoteReference w:id="41"/>
      </w:r>
      <w:r>
        <w:rPr>
          <w:rFonts w:hint="eastAsia" w:ascii="仿宋_GB2312"/>
          <w:szCs w:val="32"/>
          <w:shd w:val="clear" w:color="auto" w:fill="FFFFFF"/>
        </w:rPr>
        <w:t>的数量，即国家医疗机构、医师、护士电子化注册系统</w:t>
      </w:r>
      <w:r>
        <w:rPr>
          <w:rFonts w:hint="eastAsia" w:ascii="仿宋_GB2312"/>
          <w:szCs w:val="32"/>
          <w:shd w:val="clear" w:color="auto" w:fill="FFFFFF"/>
          <w:vertAlign w:val="superscript"/>
        </w:rPr>
        <w:footnoteReference w:id="42"/>
      </w:r>
      <w:r>
        <w:rPr>
          <w:rFonts w:hint="eastAsia" w:ascii="仿宋_GB2312"/>
          <w:szCs w:val="32"/>
          <w:shd w:val="clear" w:color="auto" w:fill="FFFFFF"/>
        </w:rPr>
        <w:t xml:space="preserve"> (简称电子化注册系统)显示已激活状态并在册的中医专业、中西医结合专业、民族医专业、中医（专长）医师的数量。不含“西学中”人员。</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w:t>
      </w:r>
      <w:r>
        <w:rPr>
          <w:rFonts w:ascii="仿宋_GB2312"/>
          <w:szCs w:val="32"/>
        </w:rPr>
        <w:t>2</w:t>
      </w:r>
      <w:r>
        <w:rPr>
          <w:rFonts w:hint="eastAsia" w:ascii="仿宋_GB2312"/>
          <w:szCs w:val="32"/>
          <w:shd w:val="clear" w:color="auto" w:fill="FFFFFF"/>
        </w:rPr>
        <w:t>）医院执业（助理）医师总数指考核年度医院注册医师（助理医师）总数，即电子化注册系统显示已激活状态并在册的医师总数。</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（3）注册医师（助理医师）在多家机构注册</w:t>
      </w:r>
      <w:r>
        <w:rPr>
          <w:rStyle w:val="34"/>
          <w:rFonts w:ascii="仿宋_GB2312"/>
          <w:szCs w:val="32"/>
          <w:shd w:val="clear" w:color="auto" w:fill="FFFFFF"/>
        </w:rPr>
        <w:footnoteReference w:id="43"/>
      </w:r>
      <w:r>
        <w:rPr>
          <w:rFonts w:hint="eastAsia" w:ascii="仿宋_GB2312"/>
          <w:szCs w:val="32"/>
          <w:shd w:val="clear" w:color="auto" w:fill="FFFFFF"/>
        </w:rPr>
        <w:t>，以主要执业机构进行统计。</w:t>
      </w:r>
    </w:p>
    <w:p>
      <w:pPr>
        <w:spacing w:line="600" w:lineRule="atLeast"/>
        <w:ind w:firstLine="640" w:firstLineChars="200"/>
        <w:rPr>
          <w:rFonts w:ascii="仿宋_GB2312"/>
          <w:szCs w:val="32"/>
          <w:shd w:val="clear" w:color="auto" w:fill="FFFFFF"/>
        </w:rPr>
      </w:pPr>
      <w:r>
        <w:rPr>
          <w:rFonts w:hint="eastAsia" w:ascii="仿宋_GB2312"/>
          <w:szCs w:val="32"/>
          <w:shd w:val="clear" w:color="auto" w:fill="FFFFFF"/>
        </w:rPr>
        <w:t>（</w:t>
      </w:r>
      <w:r>
        <w:rPr>
          <w:rFonts w:ascii="仿宋_GB2312"/>
          <w:szCs w:val="32"/>
          <w:shd w:val="clear" w:color="auto" w:fill="FFFFFF"/>
        </w:rPr>
        <w:t>4</w:t>
      </w:r>
      <w:r>
        <w:rPr>
          <w:rFonts w:hint="eastAsia" w:ascii="仿宋_GB2312"/>
          <w:szCs w:val="32"/>
          <w:shd w:val="clear" w:color="auto" w:fill="FFFFFF"/>
        </w:rPr>
        <w:t>）参加规范化培训的医师如果未确定执业范围和未变更主要执业地点的进修人员，均不列入统计范围。</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指标意义</w:t>
      </w:r>
      <w:r>
        <w:rPr>
          <w:rFonts w:hint="eastAsia" w:ascii="仿宋_GB2312"/>
          <w:szCs w:val="32"/>
          <w:shd w:val="clear" w:color="auto" w:fill="FFFFFF"/>
        </w:rPr>
        <w:t>】</w:t>
      </w:r>
    </w:p>
    <w:p>
      <w:pPr>
        <w:widowControl/>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中华人民共和国中医药法》（中华人民共和国主席令第59号）明确规定“中医医疗机构配备医务人员应当以中医药专业技术人员为主，主要提供中医药服务”。国家中医药管理局《关于中医医院发挥中医药特色优势加强人员配备的通知》（国中医药函〔2009〕148号）明确规定了“中医类别执业医师（含执业助理医师）占执业医师比例不低于60%”；“原则上每个临床科室执业医师中至少有60%中医类别执业医师（口腔科、手术科室除外）。”国务院办公厅《关于印发“十四五”中医药发展规划的通知》（国办发〔</w:t>
      </w:r>
      <w:r>
        <w:rPr>
          <w:rFonts w:ascii="仿宋_GB2312"/>
          <w:szCs w:val="32"/>
          <w:shd w:val="clear" w:color="auto" w:fill="FFFFFF"/>
        </w:rPr>
        <w:t>2022</w:t>
      </w:r>
      <w:r>
        <w:rPr>
          <w:rFonts w:hint="eastAsia" w:ascii="仿宋_GB2312"/>
          <w:szCs w:val="32"/>
          <w:shd w:val="clear" w:color="auto" w:fill="FFFFFF"/>
        </w:rPr>
        <w:t>〕</w:t>
      </w:r>
      <w:r>
        <w:rPr>
          <w:rFonts w:ascii="仿宋_GB2312"/>
          <w:szCs w:val="32"/>
          <w:shd w:val="clear" w:color="auto" w:fill="FFFFFF"/>
        </w:rPr>
        <w:t>5</w:t>
      </w:r>
      <w:r>
        <w:rPr>
          <w:rFonts w:hint="eastAsia" w:ascii="仿宋_GB2312"/>
          <w:szCs w:val="32"/>
          <w:shd w:val="clear" w:color="auto" w:fill="FFFFFF"/>
        </w:rPr>
        <w:t>号）指出，到</w:t>
      </w:r>
      <w:r>
        <w:rPr>
          <w:rFonts w:ascii="仿宋_GB2312"/>
          <w:szCs w:val="32"/>
          <w:shd w:val="clear" w:color="auto" w:fill="FFFFFF"/>
        </w:rPr>
        <w:t>2025</w:t>
      </w:r>
      <w:r>
        <w:rPr>
          <w:rFonts w:hint="eastAsia" w:ascii="仿宋_GB2312"/>
          <w:szCs w:val="32"/>
          <w:shd w:val="clear" w:color="auto" w:fill="FFFFFF"/>
        </w:rPr>
        <w:t>年二级以上公立中医医院中医类别执业</w:t>
      </w:r>
      <w:r>
        <w:rPr>
          <w:rFonts w:ascii="仿宋_GB2312"/>
          <w:szCs w:val="32"/>
          <w:shd w:val="clear" w:color="auto" w:fill="FFFFFF"/>
        </w:rPr>
        <w:t>(</w:t>
      </w:r>
      <w:r>
        <w:rPr>
          <w:rFonts w:hint="eastAsia" w:ascii="仿宋_GB2312"/>
          <w:szCs w:val="32"/>
          <w:shd w:val="clear" w:color="auto" w:fill="FFFFFF"/>
        </w:rPr>
        <w:t>助理</w:t>
      </w:r>
      <w:r>
        <w:rPr>
          <w:rFonts w:ascii="仿宋_GB2312"/>
          <w:szCs w:val="32"/>
          <w:shd w:val="clear" w:color="auto" w:fill="FFFFFF"/>
        </w:rPr>
        <w:t>)</w:t>
      </w:r>
      <w:r>
        <w:rPr>
          <w:rFonts w:hint="eastAsia" w:ascii="仿宋_GB2312"/>
          <w:szCs w:val="32"/>
          <w:shd w:val="clear" w:color="auto" w:fill="FFFFFF"/>
        </w:rPr>
        <w:t>医师比例达</w:t>
      </w:r>
      <w:r>
        <w:rPr>
          <w:rFonts w:ascii="仿宋_GB2312"/>
          <w:szCs w:val="32"/>
          <w:shd w:val="clear" w:color="auto" w:fill="FFFFFF"/>
        </w:rPr>
        <w:t>60%</w:t>
      </w:r>
      <w:r>
        <w:rPr>
          <w:rFonts w:hint="eastAsia" w:ascii="仿宋_GB2312"/>
          <w:szCs w:val="32"/>
          <w:shd w:val="clear" w:color="auto" w:fill="FFFFFF"/>
        </w:rPr>
        <w:t>。国家中医药局 教育部 人力资源社会保障部 国家卫生健康委《关于加强新时代中医药人才工作的意见》（国中医药人教发〔2022〕4号）提出，到2025年，实现二级以上公立中医医院中医医师配置不低于本机构医师总数的60%。</w:t>
      </w:r>
    </w:p>
    <w:p>
      <w:pPr>
        <w:widowControl/>
        <w:adjustRightInd w:val="0"/>
        <w:spacing w:line="600" w:lineRule="atLeast"/>
        <w:ind w:firstLine="640" w:firstLineChars="200"/>
        <w:rPr>
          <w:rFonts w:ascii="仿宋_GB2312"/>
          <w:szCs w:val="32"/>
          <w:shd w:val="clear" w:color="auto" w:fill="FFFFFF"/>
        </w:rPr>
      </w:pPr>
      <w:r>
        <w:rPr>
          <w:rFonts w:hint="eastAsia" w:ascii="仿宋_GB2312"/>
          <w:szCs w:val="32"/>
          <w:shd w:val="clear" w:color="auto" w:fill="FFFFFF"/>
        </w:rPr>
        <w:t>配备充足的中医药人员是为中医医院充分发挥中医药优势和作用奠定人才队伍基础，是振兴中医药事业发展、发挥中医药特色优势的重要举措，是提高中医医院中医药服务能力和水平，更好地为群众提供安全、有效、方便的中医药服务的重要保证。因此，国家中医药管理局始终把中医医院人员配备情况作为中医医院评价和检查工作的重要指标，也是中医医院评审、中医重点专科、中医优势专科评价的核心指标。中医类别执业医师占比反映医院中医类别执业（助理）医师配备情况。国家中医药管理局《关于印发“十四五”中医药人才发展规划的通知》（国中医药人教〔2022〕</w:t>
      </w:r>
      <w:r>
        <w:rPr>
          <w:rFonts w:ascii="仿宋_GB2312"/>
          <w:szCs w:val="32"/>
          <w:shd w:val="clear" w:color="auto" w:fill="FFFFFF"/>
        </w:rPr>
        <w:t>7</w:t>
      </w:r>
      <w:r>
        <w:rPr>
          <w:rFonts w:hint="eastAsia" w:ascii="仿宋_GB2312"/>
          <w:szCs w:val="32"/>
          <w:shd w:val="clear" w:color="auto" w:fill="FFFFFF"/>
        </w:rPr>
        <w:t>号）强调，加强中医医师队伍建设。提高中医医师配置水平，强化中医医师岗位设置，二级以上公立中医医院中医类别执业（助理）医师不低于本机构医师总数的6</w:t>
      </w:r>
      <w:r>
        <w:rPr>
          <w:rFonts w:ascii="仿宋_GB2312"/>
          <w:szCs w:val="32"/>
          <w:shd w:val="clear" w:color="auto" w:fill="FFFFFF"/>
        </w:rPr>
        <w:t>0</w:t>
      </w:r>
      <w:r>
        <w:rPr>
          <w:rFonts w:hint="eastAsia" w:ascii="仿宋_GB2312"/>
          <w:szCs w:val="32"/>
          <w:shd w:val="clear" w:color="auto" w:fill="FFFFFF"/>
        </w:rPr>
        <w:t>%。各级中医药主管部门要将中医类别执业医师占比纳入中医医院评审、公立中医医院绩效考核等工作，适当加大考核权重，发挥指挥棒作用。</w:t>
      </w:r>
    </w:p>
    <w:p>
      <w:pPr>
        <w:spacing w:line="600" w:lineRule="atLeast"/>
        <w:ind w:right="-499" w:rightChars="-156"/>
        <w:rPr>
          <w:rFonts w:ascii="仿宋_GB2312"/>
          <w:szCs w:val="32"/>
          <w:shd w:val="clear" w:color="auto" w:fill="FFFFFF"/>
        </w:rPr>
      </w:pPr>
      <w:r>
        <w:rPr>
          <w:rFonts w:hint="eastAsia" w:ascii="仿宋_GB2312"/>
          <w:bCs/>
          <w:szCs w:val="32"/>
          <w:shd w:val="clear" w:color="auto" w:fill="FFFFFF"/>
        </w:rPr>
        <w:t>【</w:t>
      </w:r>
      <w:r>
        <w:rPr>
          <w:rFonts w:hint="eastAsia" w:ascii="仿宋_GB2312"/>
          <w:b/>
          <w:szCs w:val="32"/>
          <w:shd w:val="clear" w:color="auto" w:fill="FFFFFF"/>
        </w:rPr>
        <w:t>指标导向</w:t>
      </w:r>
      <w:r>
        <w:rPr>
          <w:rFonts w:hint="eastAsia" w:ascii="仿宋_GB2312"/>
          <w:bCs/>
          <w:szCs w:val="32"/>
          <w:shd w:val="clear" w:color="auto" w:fill="FFFFFF"/>
        </w:rPr>
        <w:t>】</w:t>
      </w:r>
      <w:r>
        <w:rPr>
          <w:rFonts w:hint="eastAsia" w:ascii="仿宋_GB2312"/>
          <w:szCs w:val="32"/>
          <w:shd w:val="clear" w:color="auto" w:fill="FFFFFF"/>
        </w:rPr>
        <w:t>逐步提高。</w:t>
      </w:r>
    </w:p>
    <w:p>
      <w:pPr>
        <w:spacing w:line="600" w:lineRule="atLeast"/>
        <w:ind w:right="-499" w:rightChars="-156"/>
        <w:rPr>
          <w:rFonts w:ascii="仿宋_GB2312"/>
          <w:szCs w:val="32"/>
          <w:shd w:val="clear" w:color="auto" w:fill="FFFFFF"/>
        </w:rPr>
      </w:pPr>
      <w:r>
        <w:rPr>
          <w:rFonts w:hint="eastAsia" w:ascii="仿宋_GB2312"/>
          <w:szCs w:val="32"/>
          <w:shd w:val="clear" w:color="auto" w:fill="FFFFFF"/>
        </w:rPr>
        <w:t>【</w:t>
      </w:r>
      <w:r>
        <w:rPr>
          <w:rFonts w:hint="eastAsia" w:ascii="仿宋_GB2312"/>
          <w:b/>
          <w:szCs w:val="32"/>
          <w:shd w:val="clear" w:color="auto" w:fill="FFFFFF"/>
        </w:rPr>
        <w:t>数据来源</w:t>
      </w:r>
      <w:r>
        <w:rPr>
          <w:rFonts w:hint="eastAsia" w:ascii="仿宋_GB2312"/>
          <w:szCs w:val="32"/>
          <w:shd w:val="clear" w:color="auto" w:fill="FFFFFF"/>
        </w:rPr>
        <w:t>】国家医疗机构、医师、护士电子化注册系统。</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】国家卫生健康委、省级中医药主管部门。</w:t>
      </w:r>
    </w:p>
    <w:p>
      <w:pPr>
        <w:widowControl/>
        <w:spacing w:line="600" w:lineRule="exact"/>
        <w:rPr>
          <w:b/>
          <w:szCs w:val="32"/>
        </w:rPr>
      </w:pPr>
      <w:r>
        <w:rPr>
          <w:b/>
          <w:szCs w:val="32"/>
          <w:shd w:val="clear" w:color="auto" w:fill="FFFFFF"/>
        </w:rPr>
        <w:br w:type="page"/>
      </w:r>
    </w:p>
    <w:p>
      <w:pPr>
        <w:widowControl/>
        <w:spacing w:line="600" w:lineRule="exact"/>
        <w:rPr>
          <w:b/>
          <w:szCs w:val="32"/>
        </w:rPr>
      </w:pPr>
      <w:r>
        <w:rPr>
          <w:b/>
          <w:szCs w:val="32"/>
        </w:rPr>
        <w:t>29</w:t>
      </w:r>
      <w:r>
        <w:rPr>
          <w:rFonts w:hint="eastAsia"/>
          <w:b/>
          <w:szCs w:val="32"/>
        </w:rPr>
        <w:t>.医护比▲</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rFonts w:hint="eastAsia"/>
          <w:szCs w:val="32"/>
        </w:rPr>
        <w:t>比值（</w:t>
      </w:r>
      <w:r>
        <w:rPr>
          <w:rFonts w:ascii="仿宋_GB2312"/>
          <w:szCs w:val="32"/>
        </w:rPr>
        <w:t>1:X</w:t>
      </w:r>
      <w:r>
        <w:rPr>
          <w:rFonts w:hint="eastAsia"/>
          <w:szCs w:val="32"/>
        </w:rPr>
        <w:t>）</w:t>
      </w:r>
    </w:p>
    <w:p>
      <w:pPr>
        <w:spacing w:line="600" w:lineRule="exact"/>
        <w:rPr>
          <w:b/>
          <w:szCs w:val="32"/>
        </w:rPr>
      </w:pPr>
      <w:r>
        <w:rPr>
          <w:rFonts w:hint="eastAsia"/>
          <w:b/>
          <w:szCs w:val="32"/>
        </w:rPr>
        <w:t>【指标定义】</w:t>
      </w:r>
    </w:p>
    <w:p>
      <w:pPr>
        <w:spacing w:line="600" w:lineRule="exact"/>
        <w:ind w:firstLine="640" w:firstLineChars="200"/>
        <w:rPr>
          <w:szCs w:val="32"/>
        </w:rPr>
      </w:pPr>
      <w:r>
        <w:rPr>
          <w:rFonts w:hint="eastAsia"/>
          <w:szCs w:val="32"/>
        </w:rPr>
        <w:t>考核年度医院注册执业（助理）医师总数与全院同期注册护士总数之比。</w:t>
      </w:r>
    </w:p>
    <w:p>
      <w:pPr>
        <w:spacing w:line="600" w:lineRule="exact"/>
        <w:rPr>
          <w:b/>
          <w:szCs w:val="32"/>
        </w:rPr>
      </w:pPr>
      <w:r>
        <w:rPr>
          <w:rFonts w:hint="eastAsia"/>
          <w:b/>
          <w:szCs w:val="32"/>
        </w:rPr>
        <w:t>【计算方法】</w:t>
      </w:r>
    </w:p>
    <w:p>
      <w:pPr>
        <w:spacing w:before="87" w:beforeLines="20" w:after="87" w:afterLines="20" w:line="360" w:lineRule="auto"/>
        <w:jc w:val="left"/>
        <w:rPr>
          <w:rFonts w:ascii="仿宋_GB2312" w:hAnsi="黑体"/>
          <w:sz w:val="24"/>
          <w:szCs w:val="28"/>
        </w:rPr>
      </w:pPr>
      <m:oMathPara>
        <m:oMathParaPr>
          <m:jc m:val="center"/>
        </m:oMathParaPr>
        <m:oMath>
          <m:r>
            <m:rPr>
              <m:sty m:val="b"/>
            </m:rPr>
            <w:rPr>
              <w:rFonts w:hint="eastAsia" w:ascii="Cambria Math" w:hAnsi="Cambria Math"/>
              <w:sz w:val="24"/>
              <w:szCs w:val="28"/>
            </w:rPr>
            <m:t>医护比</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医院注册执业（助理）医师总数</m:t>
              </m:r>
              <m:ctrlPr>
                <w:rPr>
                  <w:rFonts w:hint="eastAsia" w:ascii="Cambria Math" w:hAnsi="Cambria Math"/>
                  <w:sz w:val="24"/>
                  <w:szCs w:val="28"/>
                </w:rPr>
              </m:ctrlPr>
            </m:num>
            <m:den>
              <m:r>
                <m:rPr>
                  <m:sty m:val="p"/>
                </m:rPr>
                <w:rPr>
                  <w:rFonts w:hint="eastAsia" w:ascii="Cambria Math" w:hAnsi="Cambria Math"/>
                  <w:sz w:val="24"/>
                  <w:szCs w:val="28"/>
                </w:rPr>
                <m:t>全院同期注册护士总数</m:t>
              </m:r>
              <m:ctrlPr>
                <w:rPr>
                  <w:rFonts w:hint="eastAsia" w:ascii="Cambria Math" w:hAnsi="Cambria Math"/>
                  <w:sz w:val="24"/>
                  <w:szCs w:val="28"/>
                </w:rPr>
              </m:ctrlPr>
            </m:den>
          </m:f>
        </m:oMath>
      </m:oMathPara>
    </w:p>
    <w:p>
      <w:pPr>
        <w:tabs>
          <w:tab w:val="left" w:pos="2730"/>
        </w:tabs>
        <w:spacing w:line="600" w:lineRule="exact"/>
        <w:rPr>
          <w:b/>
          <w:szCs w:val="32"/>
        </w:rPr>
      </w:pPr>
      <w:r>
        <w:rPr>
          <w:rFonts w:hint="eastAsia"/>
          <w:b/>
          <w:szCs w:val="32"/>
        </w:rPr>
        <w:t>【指标说明】</w:t>
      </w:r>
    </w:p>
    <w:p>
      <w:pPr>
        <w:spacing w:line="600" w:lineRule="exact"/>
        <w:ind w:firstLine="640" w:firstLineChars="200"/>
      </w:pPr>
      <w:r>
        <w:t>（</w:t>
      </w:r>
      <w:r>
        <w:rPr>
          <w:rFonts w:ascii="仿宋_GB2312"/>
        </w:rPr>
        <w:t>1</w:t>
      </w:r>
      <w:r>
        <w:rPr>
          <w:rFonts w:hint="eastAsia" w:ascii="仿宋_GB2312"/>
        </w:rPr>
        <w:t>）</w:t>
      </w:r>
      <w:r>
        <w:t>分子：考核年度医院注册医师（助理医师）总数，即国家医疗机构、医师、护士电子化注册系统</w:t>
      </w:r>
      <w:r>
        <w:rPr>
          <w:rStyle w:val="34"/>
          <w:rFonts w:ascii="仿宋_GB2312"/>
          <w:szCs w:val="32"/>
        </w:rPr>
        <w:footnoteReference w:id="44"/>
      </w:r>
      <w:r>
        <w:rPr>
          <w:rFonts w:ascii="仿宋_GB2312"/>
        </w:rPr>
        <w:t>(</w:t>
      </w:r>
      <w:r>
        <w:rPr>
          <w:rFonts w:hint="eastAsia" w:ascii="仿宋_GB2312"/>
        </w:rPr>
        <w:t>简称电子化注册系统</w:t>
      </w:r>
      <w:r>
        <w:rPr>
          <w:rFonts w:ascii="仿宋_GB2312"/>
        </w:rPr>
        <w:t>)</w:t>
      </w:r>
      <w:r>
        <w:t>显示已激活状态</w:t>
      </w:r>
      <w:r>
        <w:rPr>
          <w:rFonts w:hint="eastAsia"/>
        </w:rPr>
        <w:t>并在册</w:t>
      </w:r>
      <w:r>
        <w:t>的医师总数。</w:t>
      </w:r>
    </w:p>
    <w:p>
      <w:pPr>
        <w:spacing w:line="600" w:lineRule="exact"/>
        <w:ind w:firstLine="640" w:firstLineChars="200"/>
      </w:pPr>
      <w:r>
        <w:rPr>
          <w:rFonts w:hint="eastAsia" w:ascii="仿宋_GB2312"/>
        </w:rPr>
        <w:t>（</w:t>
      </w:r>
      <w:r>
        <w:rPr>
          <w:rFonts w:ascii="仿宋_GB2312"/>
        </w:rPr>
        <w:t>2</w:t>
      </w:r>
      <w:r>
        <w:rPr>
          <w:rFonts w:hint="eastAsia" w:ascii="仿宋_GB2312"/>
        </w:rPr>
        <w:t>）</w:t>
      </w:r>
      <w:r>
        <w:t>分母：医院同期注册护士总数，即国家医疗机构、医师、护士电子化注册系统显示已激活状态</w:t>
      </w:r>
      <w:r>
        <w:rPr>
          <w:rFonts w:hint="eastAsia"/>
        </w:rPr>
        <w:t>并在册</w:t>
      </w:r>
      <w:r>
        <w:t>的护士总数。</w:t>
      </w:r>
    </w:p>
    <w:p>
      <w:pPr>
        <w:spacing w:line="600" w:lineRule="exact"/>
        <w:ind w:firstLine="640" w:firstLineChars="200"/>
      </w:pPr>
      <w:r>
        <w:rPr>
          <w:rFonts w:hint="eastAsia" w:ascii="仿宋_GB2312"/>
        </w:rPr>
        <w:t>（</w:t>
      </w:r>
      <w:r>
        <w:rPr>
          <w:rFonts w:ascii="仿宋_GB2312"/>
        </w:rPr>
        <w:t>3</w:t>
      </w:r>
      <w:r>
        <w:rPr>
          <w:rFonts w:hint="eastAsia" w:ascii="仿宋_GB2312"/>
        </w:rPr>
        <w:t>）</w:t>
      </w:r>
      <w:r>
        <w:t>注册医师（助理医师）</w:t>
      </w:r>
      <w:r>
        <w:rPr>
          <w:rFonts w:hint="eastAsia"/>
        </w:rPr>
        <w:t>和注册护士人数均</w:t>
      </w:r>
      <w:r>
        <w:t>以主要执业机构</w:t>
      </w:r>
      <w:r>
        <w:rPr>
          <w:rStyle w:val="34"/>
          <w:rFonts w:ascii="仿宋_GB2312"/>
          <w:szCs w:val="32"/>
        </w:rPr>
        <w:footnoteReference w:id="45"/>
      </w:r>
      <w:r>
        <w:t>进行统计</w:t>
      </w:r>
      <w:r>
        <w:rPr>
          <w:rFonts w:hint="eastAsia"/>
        </w:rPr>
        <w:t>。</w:t>
      </w:r>
    </w:p>
    <w:p>
      <w:pPr>
        <w:spacing w:line="600" w:lineRule="exact"/>
        <w:ind w:firstLine="640" w:firstLineChars="200"/>
      </w:pPr>
      <w:r>
        <w:rPr>
          <w:rFonts w:hint="eastAsia" w:ascii="仿宋_GB2312"/>
        </w:rPr>
        <w:t>（</w:t>
      </w:r>
      <w:r>
        <w:rPr>
          <w:rFonts w:ascii="仿宋_GB2312"/>
        </w:rPr>
        <w:t>4</w:t>
      </w:r>
      <w:r>
        <w:rPr>
          <w:rFonts w:hint="eastAsia" w:ascii="仿宋_GB2312"/>
        </w:rPr>
        <w:t>）</w:t>
      </w:r>
      <w:r>
        <w:t>注册医师及注册护士不区分注册人员的岗位（是否临床岗位）和性质（是否在职员工），只要在注册系统中显示已激活状态</w:t>
      </w:r>
      <w:r>
        <w:rPr>
          <w:rFonts w:hint="eastAsia"/>
        </w:rPr>
        <w:t>并在册的医师、护士</w:t>
      </w:r>
      <w:r>
        <w:t>，均在统计范围内。</w:t>
      </w:r>
    </w:p>
    <w:p>
      <w:pPr>
        <w:spacing w:line="600" w:lineRule="exact"/>
        <w:rPr>
          <w:b/>
          <w:szCs w:val="32"/>
        </w:rPr>
      </w:pPr>
      <w:r>
        <w:rPr>
          <w:rFonts w:hint="eastAsia"/>
          <w:b/>
          <w:szCs w:val="32"/>
        </w:rPr>
        <w:t>【指标意义】</w:t>
      </w:r>
    </w:p>
    <w:p>
      <w:pPr>
        <w:spacing w:line="600" w:lineRule="exact"/>
        <w:ind w:firstLine="640" w:firstLineChars="200"/>
        <w:rPr>
          <w:rFonts w:ascii="仿宋" w:hAnsi="仿宋" w:eastAsia="仿宋"/>
          <w:szCs w:val="32"/>
        </w:rPr>
      </w:pPr>
      <w:r>
        <w:rPr>
          <w:rFonts w:hint="eastAsia" w:ascii="仿宋" w:hAnsi="仿宋" w:eastAsia="仿宋" w:cs="仿宋"/>
          <w:szCs w:val="32"/>
        </w:rPr>
        <w:t>《中共中央</w:t>
      </w:r>
      <w:r>
        <w:rPr>
          <w:rFonts w:ascii="仿宋" w:hAnsi="仿宋" w:eastAsia="仿宋" w:cs="仿宋"/>
          <w:szCs w:val="32"/>
        </w:rPr>
        <w:t xml:space="preserve"> </w:t>
      </w:r>
      <w:r>
        <w:rPr>
          <w:rFonts w:hint="eastAsia" w:ascii="仿宋" w:hAnsi="仿宋" w:eastAsia="仿宋" w:cs="仿宋"/>
          <w:szCs w:val="32"/>
        </w:rPr>
        <w:t>国务院印发</w:t>
      </w:r>
      <w:r>
        <w:rPr>
          <w:rFonts w:ascii="仿宋" w:hAnsi="仿宋" w:eastAsia="仿宋" w:cs="仿宋"/>
          <w:szCs w:val="32"/>
        </w:rPr>
        <w:t>&lt;</w:t>
      </w:r>
      <w:r>
        <w:rPr>
          <w:rFonts w:hint="eastAsia" w:ascii="仿宋" w:hAnsi="仿宋" w:eastAsia="仿宋" w:cs="仿宋"/>
          <w:szCs w:val="32"/>
        </w:rPr>
        <w:t>“健康中国</w:t>
      </w:r>
      <w:r>
        <w:rPr>
          <w:rFonts w:ascii="仿宋" w:hAnsi="仿宋" w:eastAsia="仿宋" w:cs="仿宋"/>
          <w:szCs w:val="32"/>
        </w:rPr>
        <w:t>2030</w:t>
      </w:r>
      <w:r>
        <w:rPr>
          <w:rFonts w:hint="eastAsia" w:ascii="仿宋" w:hAnsi="仿宋" w:eastAsia="仿宋" w:cs="仿宋"/>
          <w:szCs w:val="32"/>
        </w:rPr>
        <w:t>”规划纲要》</w:t>
      </w:r>
      <w:r>
        <w:rPr>
          <w:rFonts w:hint="eastAsia" w:ascii="仿宋" w:hAnsi="仿宋" w:eastAsia="仿宋" w:cs="仿宋"/>
          <w:szCs w:val="21"/>
        </w:rPr>
        <w:t>要求，</w:t>
      </w:r>
      <w:r>
        <w:rPr>
          <w:rFonts w:ascii="仿宋" w:hAnsi="仿宋" w:eastAsia="仿宋" w:cs="仿宋"/>
          <w:szCs w:val="21"/>
        </w:rPr>
        <w:t>2030</w:t>
      </w:r>
      <w:r>
        <w:rPr>
          <w:rFonts w:hint="eastAsia" w:ascii="仿宋" w:hAnsi="仿宋" w:eastAsia="仿宋" w:cs="仿宋"/>
          <w:szCs w:val="21"/>
        </w:rPr>
        <w:t>年目标每千常住人口执业（助理）医师数（人）</w:t>
      </w:r>
      <w:r>
        <w:rPr>
          <w:rFonts w:ascii="仿宋" w:hAnsi="仿宋" w:eastAsia="仿宋" w:cs="仿宋"/>
          <w:szCs w:val="21"/>
        </w:rPr>
        <w:t>3.0</w:t>
      </w:r>
      <w:r>
        <w:rPr>
          <w:rFonts w:hint="eastAsia" w:ascii="仿宋" w:hAnsi="仿宋" w:eastAsia="仿宋" w:cs="仿宋"/>
          <w:szCs w:val="21"/>
        </w:rPr>
        <w:t>，每千常住人口注册护士数达到</w:t>
      </w:r>
      <w:r>
        <w:rPr>
          <w:rFonts w:ascii="仿宋" w:hAnsi="仿宋" w:eastAsia="仿宋" w:cs="仿宋"/>
          <w:szCs w:val="21"/>
        </w:rPr>
        <w:t>4.7</w:t>
      </w:r>
      <w:r>
        <w:rPr>
          <w:rFonts w:hint="eastAsia" w:ascii="仿宋" w:hAnsi="仿宋" w:eastAsia="仿宋" w:cs="仿宋"/>
          <w:szCs w:val="21"/>
        </w:rPr>
        <w:t>人。《国务院办公厅关于推动公立医院高质量发展的意见》（国办发〔</w:t>
      </w:r>
      <w:r>
        <w:rPr>
          <w:rFonts w:ascii="仿宋" w:hAnsi="仿宋" w:eastAsia="仿宋" w:cs="仿宋"/>
          <w:szCs w:val="21"/>
        </w:rPr>
        <w:t>2021</w:t>
      </w:r>
      <w:r>
        <w:rPr>
          <w:rFonts w:hint="eastAsia" w:ascii="仿宋" w:hAnsi="仿宋" w:eastAsia="仿宋" w:cs="仿宋"/>
          <w:szCs w:val="21"/>
        </w:rPr>
        <w:t>〕</w:t>
      </w:r>
      <w:r>
        <w:rPr>
          <w:rFonts w:ascii="仿宋" w:hAnsi="仿宋" w:eastAsia="仿宋" w:cs="仿宋"/>
          <w:szCs w:val="21"/>
        </w:rPr>
        <w:t>18</w:t>
      </w:r>
      <w:r>
        <w:rPr>
          <w:rFonts w:hint="eastAsia" w:ascii="仿宋" w:hAnsi="仿宋" w:eastAsia="仿宋" w:cs="仿宋"/>
          <w:szCs w:val="21"/>
        </w:rPr>
        <w:t>号）要求增加护士配备，逐步使公立医院医护比总体达到</w:t>
      </w:r>
      <w:r>
        <w:rPr>
          <w:rFonts w:ascii="仿宋" w:hAnsi="仿宋" w:eastAsia="仿宋" w:cs="仿宋"/>
          <w:szCs w:val="21"/>
        </w:rPr>
        <w:t>1</w:t>
      </w:r>
      <w:r>
        <w:rPr>
          <w:rFonts w:hint="eastAsia" w:ascii="仿宋" w:hAnsi="仿宋" w:eastAsia="仿宋" w:cs="仿宋"/>
          <w:szCs w:val="21"/>
        </w:rPr>
        <w:t>：</w:t>
      </w:r>
      <w:r>
        <w:rPr>
          <w:rFonts w:ascii="仿宋" w:hAnsi="仿宋" w:eastAsia="仿宋" w:cs="仿宋"/>
          <w:szCs w:val="21"/>
        </w:rPr>
        <w:t>2</w:t>
      </w:r>
      <w:r>
        <w:rPr>
          <w:rFonts w:hint="eastAsia" w:ascii="仿宋" w:hAnsi="仿宋" w:eastAsia="仿宋" w:cs="仿宋"/>
          <w:szCs w:val="21"/>
        </w:rPr>
        <w:t>左右。</w:t>
      </w:r>
      <w:r>
        <w:rPr>
          <w:rFonts w:hint="eastAsia"/>
          <w:szCs w:val="32"/>
        </w:rPr>
        <w:t>《中华人民共和国国民经济和社会发展第十四个五年规划和</w:t>
      </w:r>
      <w:r>
        <w:rPr>
          <w:rFonts w:ascii="仿宋_GB2312"/>
        </w:rPr>
        <w:t>2035</w:t>
      </w:r>
      <w:r>
        <w:rPr>
          <w:rFonts w:hint="eastAsia"/>
          <w:szCs w:val="32"/>
        </w:rPr>
        <w:t>年远景目标纲要》要求，到</w:t>
      </w:r>
      <w:r>
        <w:rPr>
          <w:rFonts w:ascii="仿宋_GB2312"/>
        </w:rPr>
        <w:t>2025</w:t>
      </w:r>
      <w:r>
        <w:rPr>
          <w:rFonts w:hint="eastAsia"/>
          <w:szCs w:val="32"/>
        </w:rPr>
        <w:t>年，每千人口拥有注册护士数</w:t>
      </w:r>
      <w:r>
        <w:rPr>
          <w:rFonts w:ascii="仿宋_GB2312"/>
        </w:rPr>
        <w:t>3.8</w:t>
      </w:r>
      <w:r>
        <w:rPr>
          <w:rFonts w:hint="eastAsia"/>
          <w:szCs w:val="32"/>
        </w:rPr>
        <w:t>人。</w:t>
      </w:r>
    </w:p>
    <w:p>
      <w:pPr>
        <w:spacing w:line="600" w:lineRule="exact"/>
        <w:rPr>
          <w:b/>
          <w:szCs w:val="32"/>
        </w:rPr>
      </w:pPr>
      <w:r>
        <w:rPr>
          <w:rFonts w:hint="eastAsia"/>
          <w:b/>
          <w:szCs w:val="32"/>
        </w:rPr>
        <w:t>【指标导向】</w:t>
      </w:r>
      <w:r>
        <w:rPr>
          <w:rFonts w:hint="eastAsia"/>
          <w:szCs w:val="32"/>
        </w:rPr>
        <w:t>监测比较。</w:t>
      </w:r>
    </w:p>
    <w:p>
      <w:pPr>
        <w:spacing w:line="600" w:lineRule="exact"/>
        <w:ind w:right="-192" w:rightChars="-60"/>
        <w:rPr>
          <w:szCs w:val="32"/>
        </w:rPr>
      </w:pPr>
      <w:r>
        <w:rPr>
          <w:rFonts w:hint="eastAsia"/>
          <w:b/>
          <w:szCs w:val="32"/>
        </w:rPr>
        <w:t>【指标来源】</w:t>
      </w:r>
      <w:r>
        <w:rPr>
          <w:rFonts w:hint="eastAsia"/>
          <w:szCs w:val="32"/>
        </w:rPr>
        <w:t>国家医疗机构、医师、护士电子化注册系统。</w:t>
      </w:r>
    </w:p>
    <w:p>
      <w:pPr>
        <w:spacing w:line="600" w:lineRule="exact"/>
        <w:rPr>
          <w:szCs w:val="32"/>
        </w:rPr>
      </w:pPr>
      <w:r>
        <w:rPr>
          <w:rFonts w:hint="eastAsia"/>
          <w:b/>
          <w:szCs w:val="32"/>
        </w:rPr>
        <w:t>【指标解释】</w:t>
      </w:r>
      <w:r>
        <w:rPr>
          <w:rFonts w:hint="eastAsia"/>
          <w:szCs w:val="32"/>
        </w:rPr>
        <w:t>国家卫生健康委、省级中医药主管部门。</w:t>
      </w:r>
    </w:p>
    <w:p>
      <w:pPr>
        <w:spacing w:line="600" w:lineRule="exact"/>
        <w:ind w:firstLine="1"/>
        <w:rPr>
          <w:b/>
          <w:szCs w:val="32"/>
        </w:rPr>
      </w:pPr>
      <w:r>
        <w:rPr>
          <w:szCs w:val="32"/>
        </w:rPr>
        <w:br w:type="page"/>
      </w:r>
      <w:r>
        <w:rPr>
          <w:b/>
          <w:szCs w:val="32"/>
        </w:rPr>
        <w:t>30</w:t>
      </w:r>
      <w:r>
        <w:rPr>
          <w:rFonts w:hint="eastAsia"/>
          <w:b/>
          <w:szCs w:val="32"/>
        </w:rPr>
        <w:t>. 麻醉、儿科、重症、病理医师占比</w:t>
      </w:r>
    </w:p>
    <w:p>
      <w:pPr>
        <w:spacing w:line="600" w:lineRule="exact"/>
        <w:rPr>
          <w:b/>
          <w:szCs w:val="32"/>
        </w:rPr>
      </w:pPr>
      <w:r>
        <w:rPr>
          <w:rFonts w:hint="eastAsia"/>
          <w:b/>
          <w:szCs w:val="32"/>
        </w:rPr>
        <w:t>【指标属性】</w:t>
      </w:r>
      <w:r>
        <w:rPr>
          <w:rFonts w:hint="eastAsia"/>
          <w:szCs w:val="32"/>
        </w:rPr>
        <w:t>定量指标。</w:t>
      </w:r>
    </w:p>
    <w:p>
      <w:pPr>
        <w:spacing w:line="600" w:lineRule="exact"/>
        <w:rPr>
          <w:b/>
          <w:szCs w:val="32"/>
        </w:rPr>
      </w:pPr>
      <w:r>
        <w:rPr>
          <w:rFonts w:hint="eastAsia"/>
          <w:b/>
          <w:szCs w:val="32"/>
        </w:rPr>
        <w:t>【计量单位】</w:t>
      </w:r>
      <w:r>
        <w:rPr>
          <w:szCs w:val="32"/>
        </w:rPr>
        <w:t>百分比</w:t>
      </w:r>
      <w:r>
        <w:rPr>
          <w:rFonts w:hint="eastAsia" w:ascii="仿宋_GB2312"/>
        </w:rPr>
        <w:t>（</w:t>
      </w:r>
      <w:r>
        <w:rPr>
          <w:rFonts w:ascii="仿宋_GB2312"/>
        </w:rPr>
        <w:t>%</w:t>
      </w:r>
      <w:r>
        <w:rPr>
          <w:rFonts w:hint="eastAsia" w:ascii="仿宋_GB2312"/>
        </w:rPr>
        <w:t>）</w:t>
      </w:r>
    </w:p>
    <w:p>
      <w:pPr>
        <w:spacing w:line="600" w:lineRule="exact"/>
        <w:ind w:left="2"/>
        <w:rPr>
          <w:szCs w:val="32"/>
        </w:rPr>
      </w:pPr>
      <w:r>
        <w:rPr>
          <w:rFonts w:hint="eastAsia"/>
          <w:b/>
          <w:szCs w:val="32"/>
        </w:rPr>
        <w:t>【指标定义】</w:t>
      </w:r>
    </w:p>
    <w:p>
      <w:pPr>
        <w:spacing w:line="600" w:lineRule="exact"/>
        <w:ind w:left="3" w:leftChars="1" w:firstLine="640" w:firstLineChars="200"/>
        <w:rPr>
          <w:b/>
          <w:szCs w:val="32"/>
        </w:rPr>
      </w:pPr>
      <w:r>
        <w:rPr>
          <w:rFonts w:hint="eastAsia"/>
          <w:szCs w:val="32"/>
        </w:rPr>
        <w:t>考核年度医院麻醉、儿科、重症、病理、</w:t>
      </w:r>
      <w:r>
        <w:rPr>
          <w:rFonts w:hint="eastAsia" w:ascii="仿宋_GB2312"/>
          <w:szCs w:val="32"/>
          <w:shd w:val="clear" w:color="auto" w:fill="FFFFFF"/>
        </w:rPr>
        <w:t>感染性疾病科</w:t>
      </w:r>
      <w:r>
        <w:rPr>
          <w:rFonts w:hint="eastAsia"/>
          <w:szCs w:val="32"/>
        </w:rPr>
        <w:t>医师数量分别占全院同期医师总数的比例。</w:t>
      </w:r>
    </w:p>
    <w:p>
      <w:pPr>
        <w:spacing w:line="600" w:lineRule="exact"/>
        <w:rPr>
          <w:b/>
          <w:szCs w:val="32"/>
        </w:rPr>
      </w:pPr>
      <w:r>
        <w:rPr>
          <w:rFonts w:hint="eastAsia"/>
          <w:b/>
          <w:szCs w:val="32"/>
        </w:rPr>
        <w:t>【计算方法】</w:t>
      </w:r>
    </w:p>
    <w:p>
      <w:pPr>
        <w:spacing w:before="87" w:beforeLines="20" w:line="360" w:lineRule="auto"/>
        <w:jc w:val="left"/>
        <w:rPr>
          <w:rFonts w:ascii="仿宋_GB2312" w:hAnsi="黑体"/>
          <w:sz w:val="24"/>
          <w:szCs w:val="28"/>
        </w:rPr>
      </w:pPr>
      <m:oMathPara>
        <m:oMathParaPr>
          <m:jc m:val="center"/>
        </m:oMathParaPr>
        <m:oMath>
          <m:r>
            <m:rPr>
              <m:sty m:val="b"/>
            </m:rPr>
            <w:rPr>
              <w:rFonts w:hint="eastAsia" w:ascii="Cambria Math" w:hAnsi="Cambria Math"/>
              <w:sz w:val="24"/>
              <w:szCs w:val="28"/>
            </w:rPr>
            <m:t>麻醉医师占比</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医院注册的麻醉在岗医师数</m:t>
              </m:r>
              <m:ctrlPr>
                <w:rPr>
                  <w:rFonts w:hint="eastAsia" w:ascii="Cambria Math" w:hAnsi="Cambria Math"/>
                  <w:sz w:val="24"/>
                  <w:szCs w:val="28"/>
                </w:rPr>
              </m:ctrlPr>
            </m:num>
            <m:den>
              <m:r>
                <m:rPr>
                  <m:sty m:val="p"/>
                </m:rPr>
                <w:rPr>
                  <w:rFonts w:hint="eastAsia" w:ascii="Cambria Math" w:hAnsi="Cambria Math"/>
                  <w:sz w:val="24"/>
                  <w:szCs w:val="28"/>
                </w:rPr>
                <m:t>全院同期医师总数</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line="360" w:lineRule="auto"/>
        <w:jc w:val="left"/>
        <w:rPr>
          <w:rFonts w:ascii="仿宋_GB2312" w:hAnsi="黑体"/>
          <w:sz w:val="24"/>
          <w:szCs w:val="28"/>
        </w:rPr>
      </w:pPr>
      <m:oMathPara>
        <m:oMathParaPr>
          <m:jc m:val="center"/>
        </m:oMathParaPr>
        <m:oMath>
          <m:r>
            <m:rPr>
              <m:sty m:val="b"/>
            </m:rPr>
            <w:rPr>
              <w:rFonts w:hint="eastAsia" w:ascii="Cambria Math" w:hAnsi="Cambria Math"/>
              <w:sz w:val="24"/>
              <w:szCs w:val="28"/>
            </w:rPr>
            <m:t>儿科医师占比</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医院注册的儿科在岗医师数</m:t>
              </m:r>
              <m:ctrlPr>
                <w:rPr>
                  <w:rFonts w:hint="eastAsia" w:ascii="Cambria Math" w:hAnsi="Cambria Math"/>
                  <w:sz w:val="24"/>
                  <w:szCs w:val="28"/>
                </w:rPr>
              </m:ctrlPr>
            </m:num>
            <m:den>
              <m:r>
                <m:rPr>
                  <m:sty m:val="p"/>
                </m:rPr>
                <w:rPr>
                  <w:rFonts w:hint="eastAsia" w:ascii="Cambria Math" w:hAnsi="Cambria Math"/>
                  <w:sz w:val="24"/>
                  <w:szCs w:val="28"/>
                </w:rPr>
                <m:t>全院同期医师总数</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line="360" w:lineRule="auto"/>
        <w:jc w:val="left"/>
        <w:rPr>
          <w:rFonts w:ascii="仿宋_GB2312" w:hAnsi="黑体"/>
          <w:sz w:val="24"/>
          <w:szCs w:val="28"/>
        </w:rPr>
      </w:pPr>
      <m:oMathPara>
        <m:oMathParaPr>
          <m:jc m:val="center"/>
        </m:oMathParaPr>
        <m:oMath>
          <m:r>
            <m:rPr>
              <m:sty m:val="b"/>
            </m:rPr>
            <w:rPr>
              <w:rFonts w:hint="eastAsia" w:ascii="Cambria Math" w:hAnsi="Cambria Math"/>
              <w:sz w:val="24"/>
              <w:szCs w:val="28"/>
            </w:rPr>
            <m:t>重症医师占比</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医院注册的重症在岗医师数</m:t>
              </m:r>
              <m:ctrlPr>
                <w:rPr>
                  <w:rFonts w:hint="eastAsia" w:ascii="Cambria Math" w:hAnsi="Cambria Math"/>
                  <w:sz w:val="24"/>
                  <w:szCs w:val="28"/>
                </w:rPr>
              </m:ctrlPr>
            </m:num>
            <m:den>
              <m:r>
                <m:rPr>
                  <m:sty m:val="p"/>
                </m:rPr>
                <w:rPr>
                  <w:rFonts w:hint="eastAsia" w:ascii="Cambria Math" w:hAnsi="Cambria Math"/>
                  <w:sz w:val="24"/>
                  <w:szCs w:val="28"/>
                </w:rPr>
                <m:t>全院同期医师总数</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line="360" w:lineRule="auto"/>
        <w:jc w:val="left"/>
        <w:rPr>
          <w:rFonts w:ascii="仿宋_GB2312" w:hAnsi="黑体"/>
          <w:sz w:val="24"/>
          <w:szCs w:val="28"/>
        </w:rPr>
      </w:pPr>
      <m:oMathPara>
        <m:oMathParaPr>
          <m:jc m:val="center"/>
        </m:oMathParaPr>
        <m:oMath>
          <m:r>
            <m:rPr>
              <m:sty m:val="b"/>
            </m:rPr>
            <w:rPr>
              <w:rFonts w:hint="eastAsia" w:ascii="Cambria Math" w:hAnsi="Cambria Math"/>
              <w:sz w:val="24"/>
              <w:szCs w:val="28"/>
            </w:rPr>
            <m:t>病理医师占比</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医院注册的病理在岗医师数</m:t>
              </m:r>
              <m:ctrlPr>
                <w:rPr>
                  <w:rFonts w:hint="eastAsia" w:ascii="Cambria Math" w:hAnsi="Cambria Math"/>
                  <w:sz w:val="24"/>
                  <w:szCs w:val="28"/>
                </w:rPr>
              </m:ctrlPr>
            </m:num>
            <m:den>
              <m:r>
                <m:rPr>
                  <m:sty m:val="p"/>
                </m:rPr>
                <w:rPr>
                  <w:rFonts w:hint="eastAsia" w:ascii="Cambria Math" w:hAnsi="Cambria Math"/>
                  <w:sz w:val="24"/>
                  <w:szCs w:val="28"/>
                </w:rPr>
                <m:t>全院同期医师总数</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after="87" w:afterLines="20" w:line="360" w:lineRule="auto"/>
        <w:jc w:val="left"/>
        <w:rPr>
          <w:b/>
          <w:szCs w:val="32"/>
        </w:rPr>
      </w:pPr>
      <w:r>
        <w:rPr>
          <w:rFonts w:hint="eastAsia"/>
          <w:b/>
          <w:szCs w:val="32"/>
        </w:rPr>
        <w:t>延伸指标：</w:t>
      </w:r>
    </w:p>
    <w:p>
      <w:pPr>
        <w:spacing w:before="217" w:beforeLines="50" w:line="360" w:lineRule="auto"/>
        <w:jc w:val="left"/>
        <w:rPr>
          <w:rFonts w:ascii="仿宋_GB2312" w:hAnsi="黑体"/>
          <w:sz w:val="24"/>
          <w:szCs w:val="28"/>
        </w:rPr>
      </w:pPr>
      <m:oMathPara>
        <m:oMathParaPr>
          <m:jc m:val="center"/>
        </m:oMathParaPr>
        <m:oMath>
          <m:r>
            <m:rPr>
              <m:sty m:val="b"/>
            </m:rPr>
            <w:rPr>
              <w:rFonts w:hint="eastAsia" w:ascii="Cambria Math" w:hAnsi="Cambria Math"/>
              <w:sz w:val="24"/>
              <w:szCs w:val="28"/>
            </w:rPr>
            <m:t>感染性疾病科医师占比</m:t>
          </m:r>
          <m:r>
            <m:rPr>
              <m:sty m:val="p"/>
            </m:rPr>
            <w:rPr>
              <w:rFonts w:hint="eastAsia" w:ascii="Cambria Math" w:hAnsi="Cambria Math"/>
              <w:sz w:val="24"/>
              <w:szCs w:val="28"/>
            </w:rPr>
            <m:t>=</m:t>
          </m:r>
          <m:f>
            <m:fPr>
              <m:ctrlPr>
                <w:rPr>
                  <w:rFonts w:hint="eastAsia" w:ascii="Cambria Math" w:hAnsi="Cambria Math"/>
                  <w:sz w:val="24"/>
                  <w:szCs w:val="28"/>
                </w:rPr>
              </m:ctrlPr>
            </m:fPr>
            <m:num>
              <m:r>
                <m:rPr>
                  <m:sty m:val="p"/>
                </m:rPr>
                <w:rPr>
                  <w:rFonts w:hint="eastAsia" w:ascii="Cambria Math" w:hAnsi="Cambria Math"/>
                  <w:sz w:val="24"/>
                  <w:szCs w:val="28"/>
                </w:rPr>
                <m:t>医院注册的感染性疾病科在岗医师数</m:t>
              </m:r>
              <m:ctrlPr>
                <w:rPr>
                  <w:rFonts w:hint="eastAsia" w:ascii="Cambria Math" w:hAnsi="Cambria Math"/>
                  <w:sz w:val="24"/>
                  <w:szCs w:val="28"/>
                </w:rPr>
              </m:ctrlPr>
            </m:num>
            <m:den>
              <m:r>
                <m:rPr>
                  <m:sty m:val="p"/>
                </m:rPr>
                <w:rPr>
                  <w:rFonts w:hint="eastAsia" w:ascii="Cambria Math" w:hAnsi="Cambria Math"/>
                  <w:sz w:val="24"/>
                  <w:szCs w:val="28"/>
                </w:rPr>
                <m:t>全院同期医师总数</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after="87" w:afterLines="20" w:line="360" w:lineRule="auto"/>
        <w:jc w:val="left"/>
        <w:rPr>
          <w:b/>
          <w:szCs w:val="32"/>
        </w:rPr>
      </w:pPr>
      <w:r>
        <w:rPr>
          <w:rFonts w:hint="eastAsia"/>
          <w:b/>
          <w:szCs w:val="32"/>
        </w:rPr>
        <w:t>【指标说明】</w:t>
      </w:r>
    </w:p>
    <w:p>
      <w:pPr>
        <w:adjustRightInd w:val="0"/>
        <w:spacing w:line="600" w:lineRule="exact"/>
        <w:ind w:firstLine="640" w:firstLineChars="200"/>
      </w:pPr>
      <w:r>
        <w:rPr>
          <w:rFonts w:hint="eastAsia" w:ascii="仿宋_GB2312"/>
        </w:rPr>
        <w:t>（</w:t>
      </w:r>
      <w:r>
        <w:rPr>
          <w:rFonts w:ascii="仿宋_GB2312"/>
        </w:rPr>
        <w:t>1</w:t>
      </w:r>
      <w:r>
        <w:rPr>
          <w:rFonts w:hint="eastAsia" w:ascii="仿宋_GB2312"/>
        </w:rPr>
        <w:t>）</w:t>
      </w:r>
      <w:r>
        <w:t>分子：考核年度医院注册</w:t>
      </w:r>
      <w:r>
        <w:rPr>
          <w:rStyle w:val="34"/>
          <w:rFonts w:hint="eastAsia" w:ascii="仿宋_GB2312"/>
        </w:rPr>
        <w:footnoteReference w:id="46"/>
      </w:r>
      <w:r>
        <w:t>的麻醉</w:t>
      </w:r>
      <w:r>
        <w:rPr>
          <w:rFonts w:hint="eastAsia"/>
        </w:rPr>
        <w:t>、</w:t>
      </w:r>
      <w:r>
        <w:t>儿科、重症</w:t>
      </w:r>
      <w:r>
        <w:rPr>
          <w:rFonts w:hint="eastAsia"/>
        </w:rPr>
        <w:t>、</w:t>
      </w:r>
      <w:r>
        <w:t>病理</w:t>
      </w:r>
      <w:r>
        <w:rPr>
          <w:rFonts w:hint="eastAsia"/>
        </w:rPr>
        <w:t>和感染性疾病</w:t>
      </w:r>
      <w:r>
        <w:t>专业医师（助理医师）的数量，即国家医疗机构、医师、护士电子化注册系统</w:t>
      </w:r>
      <w:r>
        <w:rPr>
          <w:rFonts w:hint="eastAsia"/>
        </w:rPr>
        <w:t>(简称电子化注册系统)</w:t>
      </w:r>
      <w:r>
        <w:t>显示已激活状态</w:t>
      </w:r>
      <w:r>
        <w:rPr>
          <w:rFonts w:hint="eastAsia"/>
        </w:rPr>
        <w:t>并</w:t>
      </w:r>
      <w:r>
        <w:rPr>
          <w:rFonts w:hint="eastAsia" w:ascii="仿宋_GB2312"/>
        </w:rPr>
        <w:t>在册</w:t>
      </w:r>
      <w:r>
        <w:t>的麻醉</w:t>
      </w:r>
      <w:r>
        <w:rPr>
          <w:rFonts w:hint="eastAsia"/>
        </w:rPr>
        <w:t>、</w:t>
      </w:r>
      <w:r>
        <w:t>儿科、重症</w:t>
      </w:r>
      <w:r>
        <w:rPr>
          <w:rFonts w:hint="eastAsia"/>
        </w:rPr>
        <w:t>、</w:t>
      </w:r>
      <w:r>
        <w:t>病理</w:t>
      </w:r>
      <w:r>
        <w:rPr>
          <w:rFonts w:hint="eastAsia"/>
        </w:rPr>
        <w:t>和感染性疾病科</w:t>
      </w:r>
      <w:r>
        <w:t>专业医师的数量。</w:t>
      </w:r>
    </w:p>
    <w:p>
      <w:pPr>
        <w:spacing w:line="600" w:lineRule="exact"/>
        <w:ind w:firstLine="640" w:firstLineChars="200"/>
      </w:pPr>
      <w:r>
        <w:rPr>
          <w:rFonts w:hint="eastAsia" w:ascii="仿宋_GB2312"/>
        </w:rPr>
        <w:t>（</w:t>
      </w:r>
      <w:r>
        <w:rPr>
          <w:rFonts w:ascii="仿宋_GB2312"/>
        </w:rPr>
        <w:t>2</w:t>
      </w:r>
      <w:r>
        <w:rPr>
          <w:rFonts w:hint="eastAsia" w:ascii="仿宋_GB2312"/>
        </w:rPr>
        <w:t>）</w:t>
      </w:r>
      <w:r>
        <w:t>分母：全院同期医师总数指考核年度医院注册医师（助理医师）总数，即电子化注册系统显示已激活状态</w:t>
      </w:r>
      <w:r>
        <w:rPr>
          <w:rFonts w:hint="eastAsia"/>
        </w:rPr>
        <w:t>并在册</w:t>
      </w:r>
      <w:r>
        <w:t>的医师总数。</w:t>
      </w:r>
    </w:p>
    <w:p>
      <w:pPr>
        <w:adjustRightInd w:val="0"/>
        <w:spacing w:line="600" w:lineRule="exact"/>
        <w:ind w:firstLine="640" w:firstLineChars="200"/>
      </w:pPr>
      <w:r>
        <w:rPr>
          <w:rFonts w:hint="eastAsia" w:ascii="仿宋_GB2312"/>
        </w:rPr>
        <w:t>（</w:t>
      </w:r>
      <w:r>
        <w:rPr>
          <w:rFonts w:ascii="仿宋_GB2312"/>
        </w:rPr>
        <w:t>3</w:t>
      </w:r>
      <w:r>
        <w:rPr>
          <w:rFonts w:hint="eastAsia" w:ascii="仿宋_GB2312"/>
        </w:rPr>
        <w:t>）</w:t>
      </w:r>
      <w:r>
        <w:t>麻醉</w:t>
      </w:r>
      <w:r>
        <w:rPr>
          <w:rFonts w:hint="eastAsia"/>
        </w:rPr>
        <w:t>、</w:t>
      </w:r>
      <w:r>
        <w:t>儿科、重症</w:t>
      </w:r>
      <w:r>
        <w:rPr>
          <w:rFonts w:hint="eastAsia"/>
        </w:rPr>
        <w:t>、</w:t>
      </w:r>
      <w:r>
        <w:t>病理</w:t>
      </w:r>
      <w:r>
        <w:rPr>
          <w:rFonts w:hint="eastAsia"/>
          <w:szCs w:val="32"/>
        </w:rPr>
        <w:t>和感染性疾病科</w:t>
      </w:r>
      <w:r>
        <w:t>专业医师数量可通过电子化注册系统查询、统计。上述专业医师均需要在系统中完成注册激活且在医院执业；其中麻醉</w:t>
      </w:r>
      <w:r>
        <w:rPr>
          <w:rFonts w:hint="eastAsia"/>
        </w:rPr>
        <w:t>、</w:t>
      </w:r>
      <w:r>
        <w:t>病理和</w:t>
      </w:r>
      <w:r>
        <w:rPr>
          <w:rFonts w:hint="eastAsia"/>
        </w:rPr>
        <w:t>感染性疾病科</w:t>
      </w:r>
      <w:r>
        <w:t>专业医师还需维护在岗医师所在科室信息。</w:t>
      </w:r>
    </w:p>
    <w:p>
      <w:pPr>
        <w:adjustRightInd w:val="0"/>
        <w:spacing w:line="600" w:lineRule="exact"/>
        <w:ind w:firstLine="640" w:firstLineChars="200"/>
      </w:pPr>
      <w:r>
        <w:rPr>
          <w:rFonts w:hint="eastAsia" w:ascii="仿宋_GB2312"/>
        </w:rPr>
        <w:t>（</w:t>
      </w:r>
      <w:r>
        <w:rPr>
          <w:rFonts w:ascii="仿宋_GB2312"/>
        </w:rPr>
        <w:t>4</w:t>
      </w:r>
      <w:r>
        <w:rPr>
          <w:rFonts w:hint="eastAsia" w:ascii="仿宋_GB2312"/>
        </w:rPr>
        <w:t>）</w:t>
      </w:r>
      <w:r>
        <w:rPr>
          <w:rFonts w:hint="eastAsia" w:ascii="仿宋_GB2312"/>
          <w:szCs w:val="32"/>
          <w:shd w:val="clear" w:color="auto" w:fill="FFFFFF"/>
        </w:rPr>
        <w:t>中医类别执业医师从事儿科、重症和感染性疾病科岗位工作的医师还需要维护在岗医师所在科室信息，同时医院须在医师机构端确认医师修改信息后，注册系统方可显示。</w:t>
      </w:r>
    </w:p>
    <w:p>
      <w:pPr>
        <w:adjustRightInd w:val="0"/>
        <w:spacing w:line="600" w:lineRule="exact"/>
        <w:ind w:firstLine="640" w:firstLineChars="200"/>
      </w:pPr>
      <w:r>
        <w:rPr>
          <w:rFonts w:hint="eastAsia" w:ascii="仿宋_GB2312"/>
        </w:rPr>
        <w:t>（</w:t>
      </w:r>
      <w:r>
        <w:rPr>
          <w:rFonts w:ascii="仿宋_GB2312"/>
        </w:rPr>
        <w:t>5</w:t>
      </w:r>
      <w:r>
        <w:rPr>
          <w:rFonts w:hint="eastAsia" w:ascii="仿宋_GB2312"/>
        </w:rPr>
        <w:t>）</w:t>
      </w:r>
      <w:r>
        <w:t>注册医师（助理医师）以主要执业机构</w:t>
      </w:r>
      <w:r>
        <w:rPr>
          <w:rStyle w:val="34"/>
          <w:rFonts w:ascii="仿宋_GB2312"/>
        </w:rPr>
        <w:footnoteReference w:id="47"/>
      </w:r>
      <w:r>
        <w:t>进行统计。</w:t>
      </w:r>
    </w:p>
    <w:p>
      <w:pPr>
        <w:adjustRightInd w:val="0"/>
        <w:spacing w:line="600" w:lineRule="exact"/>
        <w:ind w:firstLine="640" w:firstLineChars="200"/>
      </w:pPr>
      <w:r>
        <w:rPr>
          <w:rFonts w:hint="eastAsia" w:ascii="仿宋_GB2312"/>
        </w:rPr>
        <w:t>（</w:t>
      </w:r>
      <w:r>
        <w:rPr>
          <w:rFonts w:ascii="仿宋_GB2312"/>
        </w:rPr>
        <w:t>6</w:t>
      </w:r>
      <w:r>
        <w:rPr>
          <w:rFonts w:hint="eastAsia" w:ascii="仿宋_GB2312"/>
        </w:rPr>
        <w:t>）</w:t>
      </w:r>
      <w:r>
        <w:rPr>
          <w:rFonts w:hint="eastAsia" w:ascii="仿宋_GB2312"/>
          <w:szCs w:val="32"/>
          <w:shd w:val="clear" w:color="auto" w:fill="FFFFFF"/>
        </w:rPr>
        <w:t>参加规范化培训的医师和未变更主要执业机构的进修人员，均不列入统计范围。</w:t>
      </w:r>
    </w:p>
    <w:p>
      <w:pPr>
        <w:spacing w:line="600" w:lineRule="exact"/>
        <w:rPr>
          <w:b/>
          <w:szCs w:val="32"/>
        </w:rPr>
      </w:pPr>
      <w:r>
        <w:rPr>
          <w:rFonts w:hint="eastAsia"/>
          <w:b/>
          <w:szCs w:val="32"/>
        </w:rPr>
        <w:t>【指标意义】</w:t>
      </w:r>
    </w:p>
    <w:p>
      <w:pPr>
        <w:adjustRightInd w:val="0"/>
        <w:spacing w:line="600" w:lineRule="exact"/>
        <w:ind w:firstLine="640" w:firstLineChars="200"/>
        <w:rPr>
          <w:szCs w:val="32"/>
        </w:rPr>
      </w:pPr>
      <w:r>
        <w:rPr>
          <w:rFonts w:hint="eastAsia"/>
          <w:szCs w:val="32"/>
        </w:rPr>
        <w:t>了解全国二级公立中医医院五个专业医师人才现况。落实 “十三五”全国卫生计生人才发展规划中七项主要任务之一就是加强急需紧缺专业人才队伍建设，包括儿科、病理、麻醉、重症医学等各类急需紧缺专业人才队伍建设。《“十四五”卫生健康人才发展规划》（国卫人发〔2022〕27号）指出要重点加强重症、肿瘤、心脑血管、呼吸、消化、感染、儿科、麻醉、影像、病理、检验等临床专（学）科人才培养和建设，带动诊疗能力和水平提升。</w:t>
      </w:r>
    </w:p>
    <w:p>
      <w:pPr>
        <w:spacing w:line="600" w:lineRule="exact"/>
        <w:rPr>
          <w:b/>
          <w:szCs w:val="32"/>
        </w:rPr>
      </w:pPr>
      <w:r>
        <w:rPr>
          <w:rFonts w:hint="eastAsia"/>
          <w:b/>
          <w:szCs w:val="32"/>
        </w:rPr>
        <w:t>【指标导向】</w:t>
      </w:r>
      <w:r>
        <w:rPr>
          <w:rFonts w:hint="eastAsia"/>
          <w:szCs w:val="32"/>
        </w:rPr>
        <w:t>逐步提高。</w:t>
      </w:r>
    </w:p>
    <w:p>
      <w:pPr>
        <w:spacing w:line="600" w:lineRule="exact"/>
        <w:ind w:right="-332" w:rightChars="-104"/>
        <w:rPr>
          <w:szCs w:val="32"/>
        </w:rPr>
      </w:pPr>
      <w:r>
        <w:rPr>
          <w:rFonts w:hint="eastAsia"/>
          <w:b/>
          <w:szCs w:val="32"/>
        </w:rPr>
        <w:t>【指标来源】</w:t>
      </w:r>
      <w:r>
        <w:rPr>
          <w:rFonts w:hint="eastAsia"/>
          <w:szCs w:val="32"/>
        </w:rPr>
        <w:t>国家医疗机构、医师、护士电子化注册系统。</w:t>
      </w:r>
    </w:p>
    <w:p>
      <w:pPr>
        <w:spacing w:line="600" w:lineRule="exact"/>
        <w:rPr>
          <w:szCs w:val="32"/>
        </w:rPr>
      </w:pPr>
      <w:r>
        <w:rPr>
          <w:rFonts w:hint="eastAsia"/>
          <w:b/>
          <w:szCs w:val="32"/>
        </w:rPr>
        <w:t>【指标解释】</w:t>
      </w:r>
      <w:r>
        <w:rPr>
          <w:rFonts w:hint="eastAsia"/>
          <w:szCs w:val="32"/>
        </w:rPr>
        <w:t>国家卫生健康委、省级中医药主管部门。</w:t>
      </w:r>
    </w:p>
    <w:p>
      <w:pPr>
        <w:widowControl/>
        <w:jc w:val="left"/>
        <w:outlineLvl w:val="1"/>
        <w:rPr>
          <w:rStyle w:val="45"/>
        </w:rPr>
      </w:pPr>
      <w:r>
        <w:rPr>
          <w:szCs w:val="32"/>
        </w:rPr>
        <w:br w:type="page"/>
      </w:r>
      <w:r>
        <w:rPr>
          <w:rFonts w:hint="eastAsia" w:eastAsia="楷体_GB2312"/>
          <w:b/>
          <w:bCs/>
          <w:szCs w:val="32"/>
        </w:rPr>
        <w:t>（八）学科</w:t>
      </w:r>
      <w:r>
        <w:rPr>
          <w:rFonts w:eastAsia="楷体_GB2312"/>
          <w:b/>
          <w:bCs/>
          <w:szCs w:val="32"/>
        </w:rPr>
        <w:t>建设</w:t>
      </w:r>
      <w:r>
        <w:rPr>
          <w:rFonts w:hint="eastAsia" w:eastAsia="楷体_GB2312"/>
          <w:b/>
          <w:bCs/>
          <w:szCs w:val="32"/>
        </w:rPr>
        <w:t>（指标</w:t>
      </w:r>
      <w:r>
        <w:rPr>
          <w:rFonts w:eastAsia="楷体_GB2312"/>
          <w:b/>
          <w:bCs/>
          <w:szCs w:val="32"/>
        </w:rPr>
        <w:t>31</w:t>
      </w:r>
      <w:r>
        <w:rPr>
          <w:rFonts w:hint="eastAsia" w:eastAsia="楷体_GB2312"/>
          <w:b/>
          <w:bCs/>
          <w:szCs w:val="32"/>
        </w:rPr>
        <w:t>—</w:t>
      </w:r>
      <w:r>
        <w:rPr>
          <w:rFonts w:eastAsia="楷体_GB2312"/>
          <w:b/>
          <w:bCs/>
          <w:szCs w:val="32"/>
        </w:rPr>
        <w:t>32</w:t>
      </w:r>
      <w:r>
        <w:rPr>
          <w:rFonts w:hint="eastAsia" w:eastAsia="楷体_GB2312"/>
          <w:b/>
          <w:bCs/>
          <w:szCs w:val="32"/>
        </w:rPr>
        <w:t>）</w:t>
      </w:r>
    </w:p>
    <w:p>
      <w:pPr>
        <w:spacing w:line="600" w:lineRule="exact"/>
        <w:ind w:firstLine="1"/>
        <w:rPr>
          <w:b/>
          <w:szCs w:val="32"/>
        </w:rPr>
      </w:pPr>
      <w:r>
        <w:rPr>
          <w:b/>
          <w:szCs w:val="32"/>
        </w:rPr>
        <w:t>31</w:t>
      </w:r>
      <w:r>
        <w:rPr>
          <w:rFonts w:hint="eastAsia"/>
          <w:b/>
          <w:szCs w:val="32"/>
        </w:rPr>
        <w:t>. 人才培养经费</w:t>
      </w:r>
      <w:r>
        <w:rPr>
          <w:b/>
          <w:szCs w:val="32"/>
        </w:rPr>
        <w:t>投入占比</w:t>
      </w:r>
    </w:p>
    <w:p>
      <w:pPr>
        <w:spacing w:line="600" w:lineRule="exact"/>
        <w:rPr>
          <w:szCs w:val="32"/>
        </w:rPr>
      </w:pPr>
      <w:r>
        <w:rPr>
          <w:rFonts w:hint="eastAsia"/>
          <w:b/>
          <w:szCs w:val="32"/>
        </w:rPr>
        <w:t>【指标属性】</w:t>
      </w:r>
      <w:r>
        <w:rPr>
          <w:rFonts w:hint="eastAsia"/>
          <w:szCs w:val="32"/>
        </w:rPr>
        <w:t>定量指标。</w:t>
      </w:r>
    </w:p>
    <w:p>
      <w:pPr>
        <w:spacing w:line="600" w:lineRule="exact"/>
        <w:rPr>
          <w:b/>
          <w:szCs w:val="32"/>
        </w:rPr>
      </w:pPr>
      <w:r>
        <w:rPr>
          <w:rFonts w:hint="eastAsia"/>
          <w:b/>
          <w:szCs w:val="32"/>
        </w:rPr>
        <w:t>【计量单位】</w:t>
      </w:r>
      <w:r>
        <w:rPr>
          <w:bCs/>
          <w:szCs w:val="32"/>
        </w:rPr>
        <w:t>百分比（</w:t>
      </w:r>
      <w:r>
        <w:rPr>
          <w:rFonts w:ascii="仿宋_GB2312"/>
          <w:bCs/>
          <w:szCs w:val="32"/>
        </w:rPr>
        <w:t>%</w:t>
      </w:r>
      <w:r>
        <w:rPr>
          <w:bCs/>
          <w:szCs w:val="32"/>
        </w:rPr>
        <w:t>）</w:t>
      </w:r>
    </w:p>
    <w:p>
      <w:pPr>
        <w:spacing w:line="600" w:lineRule="exact"/>
        <w:rPr>
          <w:b/>
          <w:szCs w:val="32"/>
        </w:rPr>
      </w:pPr>
      <w:r>
        <w:rPr>
          <w:rFonts w:hint="eastAsia"/>
          <w:b/>
          <w:szCs w:val="32"/>
        </w:rPr>
        <w:t>【指标定义】</w:t>
      </w:r>
    </w:p>
    <w:p>
      <w:pPr>
        <w:adjustRightInd w:val="0"/>
        <w:spacing w:line="600" w:lineRule="exact"/>
        <w:ind w:firstLine="640" w:firstLineChars="200"/>
        <w:rPr>
          <w:szCs w:val="32"/>
        </w:rPr>
      </w:pPr>
      <w:r>
        <w:rPr>
          <w:rFonts w:hint="eastAsia"/>
          <w:bCs/>
          <w:szCs w:val="32"/>
        </w:rPr>
        <w:t>考核</w:t>
      </w:r>
      <w:r>
        <w:rPr>
          <w:bCs/>
          <w:szCs w:val="32"/>
        </w:rPr>
        <w:t>年度医院</w:t>
      </w:r>
      <w:r>
        <w:rPr>
          <w:rFonts w:hint="eastAsia"/>
          <w:szCs w:val="32"/>
        </w:rPr>
        <w:t>在医学人才培养方面的经费投入占</w:t>
      </w:r>
      <w:r>
        <w:rPr>
          <w:szCs w:val="32"/>
        </w:rPr>
        <w:t>医院</w:t>
      </w:r>
      <w:r>
        <w:rPr>
          <w:rFonts w:hint="eastAsia"/>
          <w:szCs w:val="32"/>
        </w:rPr>
        <w:t>当</w:t>
      </w:r>
      <w:r>
        <w:rPr>
          <w:szCs w:val="32"/>
        </w:rPr>
        <w:t>年总</w:t>
      </w:r>
      <w:r>
        <w:rPr>
          <w:rFonts w:hint="eastAsia"/>
          <w:szCs w:val="32"/>
        </w:rPr>
        <w:t>经</w:t>
      </w:r>
      <w:r>
        <w:rPr>
          <w:szCs w:val="32"/>
        </w:rPr>
        <w:t>费的比</w:t>
      </w:r>
      <w:r>
        <w:rPr>
          <w:rFonts w:hint="eastAsia"/>
          <w:szCs w:val="32"/>
        </w:rPr>
        <w:t>例。</w:t>
      </w:r>
    </w:p>
    <w:p>
      <w:pPr>
        <w:spacing w:line="600" w:lineRule="exact"/>
        <w:rPr>
          <w:b/>
          <w:szCs w:val="32"/>
        </w:rPr>
      </w:pPr>
      <w:r>
        <w:rPr>
          <w:rFonts w:hint="eastAsia"/>
          <w:b/>
          <w:szCs w:val="32"/>
        </w:rPr>
        <w:t>【计算方法】</w:t>
      </w:r>
    </w:p>
    <w:p>
      <w:pPr>
        <w:spacing w:before="87" w:beforeLines="20" w:after="217" w:afterLines="50" w:line="360" w:lineRule="auto"/>
        <w:jc w:val="left"/>
        <w:rPr>
          <w:rFonts w:ascii="仿宋_GB2312" w:hAnsi="黑体"/>
          <w:sz w:val="24"/>
          <w:szCs w:val="28"/>
        </w:rPr>
      </w:pPr>
      <m:oMathPara>
        <m:oMathParaPr>
          <m:jc m:val="left"/>
        </m:oMathParaPr>
        <m:oMath>
          <m:r>
            <m:rPr>
              <m:sty m:val="b"/>
            </m:rPr>
            <w:rPr>
              <w:rFonts w:ascii="Cambria Math" w:hAnsi="Cambria Math"/>
              <w:sz w:val="24"/>
              <w:szCs w:val="28"/>
            </w:rPr>
            <m:t xml:space="preserve">    </m:t>
          </m:r>
          <m:r>
            <m:rPr>
              <m:sty m:val="b"/>
            </m:rPr>
            <w:rPr>
              <w:rFonts w:hint="eastAsia" w:ascii="Cambria Math" w:hAnsi="Cambria Math"/>
              <w:sz w:val="24"/>
              <w:szCs w:val="28"/>
            </w:rPr>
            <m:t>人才培养经费投入占比=</m:t>
          </m:r>
          <m:f>
            <m:fPr>
              <m:ctrlPr>
                <w:rPr>
                  <w:rFonts w:hint="eastAsia" w:ascii="Cambria Math" w:hAnsi="Cambria Math"/>
                  <w:sz w:val="24"/>
                  <w:szCs w:val="28"/>
                </w:rPr>
              </m:ctrlPr>
            </m:fPr>
            <m:num>
              <m:r>
                <m:rPr>
                  <m:sty m:val="p"/>
                </m:rPr>
                <w:rPr>
                  <w:rFonts w:hint="eastAsia" w:ascii="Cambria Math" w:hAnsi="Cambria Math"/>
                  <w:sz w:val="24"/>
                  <w:szCs w:val="28"/>
                </w:rPr>
                <m:t>人才培养经费投入</m:t>
              </m:r>
              <m:ctrlPr>
                <w:rPr>
                  <w:rFonts w:hint="eastAsia" w:ascii="Cambria Math" w:hAnsi="Cambria Math"/>
                  <w:sz w:val="24"/>
                  <w:szCs w:val="28"/>
                </w:rPr>
              </m:ctrlPr>
            </m:num>
            <m:den>
              <m:r>
                <m:rPr>
                  <m:sty m:val="p"/>
                </m:rPr>
                <w:rPr>
                  <w:rFonts w:hint="eastAsia" w:ascii="Cambria Math" w:hAnsi="Cambria Math"/>
                  <w:sz w:val="24"/>
                  <w:szCs w:val="28"/>
                </w:rPr>
                <m:t>医院当年总经费</m:t>
              </m:r>
              <m:ctrlPr>
                <w:rPr>
                  <w:rFonts w:hint="eastAsia" w:ascii="Cambria Math" w:hAnsi="Cambria Math"/>
                  <w:sz w:val="24"/>
                  <w:szCs w:val="28"/>
                </w:rPr>
              </m:ctrlPr>
            </m:den>
          </m:f>
          <m:r>
            <m:rPr>
              <m:sty m:val="p"/>
            </m:rPr>
            <w:rPr>
              <w:rFonts w:hint="eastAsia" w:ascii="Cambria Math" w:hAnsi="Cambria Math"/>
              <w:sz w:val="24"/>
              <w:szCs w:val="28"/>
            </w:rPr>
            <m:t>×100%</m:t>
          </m:r>
        </m:oMath>
      </m:oMathPara>
    </w:p>
    <w:p>
      <w:pPr>
        <w:spacing w:before="217" w:beforeLines="50"/>
        <w:ind w:right="-518" w:rightChars="-162" w:firstLine="240" w:firstLineChars="100"/>
        <w:rPr>
          <w:rFonts w:ascii="仿宋_GB2312" w:hAnsi="黑体"/>
          <w:sz w:val="24"/>
          <w:szCs w:val="28"/>
        </w:rPr>
      </w:pPr>
      <w:r>
        <w:rPr>
          <w:rFonts w:hint="eastAsia" w:ascii="仿宋_GB2312" w:hAnsi="黑体"/>
          <w:b/>
          <w:bCs/>
          <w:sz w:val="24"/>
          <w:szCs w:val="28"/>
        </w:rPr>
        <w:t>人才培养经费投入</w:t>
      </w:r>
      <w:r>
        <w:rPr>
          <w:rFonts w:hint="eastAsia" w:ascii="仿宋_GB2312" w:hAnsi="黑体"/>
          <w:sz w:val="24"/>
          <w:szCs w:val="28"/>
        </w:rPr>
        <w:t>=院校医学教学经费投入+毕业后医学教育经费投入</w:t>
      </w:r>
    </w:p>
    <w:p>
      <w:pPr>
        <w:spacing w:before="87" w:beforeLines="20" w:after="87" w:afterLines="20"/>
        <w:ind w:right="-518" w:rightChars="-162" w:firstLine="2160" w:firstLineChars="900"/>
        <w:jc w:val="left"/>
        <w:rPr>
          <w:rFonts w:ascii="仿宋_GB2312" w:hAnsi="黑体"/>
          <w:sz w:val="24"/>
          <w:szCs w:val="28"/>
        </w:rPr>
      </w:pPr>
      <w:r>
        <w:rPr>
          <w:rFonts w:hint="eastAsia" w:ascii="仿宋_GB2312" w:hAnsi="黑体"/>
          <w:sz w:val="24"/>
          <w:szCs w:val="28"/>
        </w:rPr>
        <w:t>+继续医学教育经费投入</w:t>
      </w:r>
    </w:p>
    <w:p>
      <w:pPr>
        <w:spacing w:line="600" w:lineRule="exact"/>
        <w:rPr>
          <w:b/>
          <w:szCs w:val="32"/>
        </w:rPr>
      </w:pPr>
      <w:r>
        <w:rPr>
          <w:rFonts w:hint="eastAsia"/>
          <w:b/>
          <w:szCs w:val="32"/>
        </w:rPr>
        <w:t>【指标说明】</w:t>
      </w:r>
    </w:p>
    <w:p>
      <w:pPr>
        <w:spacing w:line="600" w:lineRule="exact"/>
        <w:ind w:firstLine="640" w:firstLineChars="200"/>
        <w:rPr>
          <w:szCs w:val="32"/>
        </w:rPr>
      </w:pPr>
      <w:r>
        <w:rPr>
          <w:rFonts w:hint="eastAsia" w:ascii="仿宋_GB2312"/>
        </w:rPr>
        <w:t>（</w:t>
      </w:r>
      <w:r>
        <w:rPr>
          <w:rFonts w:ascii="仿宋_GB2312"/>
        </w:rPr>
        <w:t>1</w:t>
      </w:r>
      <w:r>
        <w:rPr>
          <w:rFonts w:hint="eastAsia" w:ascii="仿宋_GB2312"/>
        </w:rPr>
        <w:t>）</w:t>
      </w:r>
      <w:r>
        <w:rPr>
          <w:rFonts w:hint="eastAsia"/>
          <w:szCs w:val="32"/>
        </w:rPr>
        <w:t>分子：医院在医学人才培养方面的经费投入包括：</w:t>
      </w:r>
      <w:r>
        <w:rPr>
          <w:rFonts w:hint="eastAsia" w:ascii="宋体" w:hAnsi="宋体" w:eastAsia="宋体" w:cs="宋体"/>
          <w:szCs w:val="32"/>
        </w:rPr>
        <w:t>①</w:t>
      </w:r>
      <w:r>
        <w:rPr>
          <w:rFonts w:hint="eastAsia"/>
          <w:szCs w:val="32"/>
        </w:rPr>
        <w:t>人员经费，指医院使用自有资金为培训学员开设的各类培训、考核所产生的课时费、评审费、劳务费等，为优秀师资及培训学员提供的教学相关奖励经费，以及为非本单位培训学员</w:t>
      </w:r>
      <w:r>
        <w:rPr>
          <w:rFonts w:hint="eastAsia"/>
          <w:color w:val="000000" w:themeColor="text1"/>
          <w:szCs w:val="32"/>
          <w:lang w:bidi="ar"/>
          <w14:textFill>
            <w14:solidFill>
              <w14:schemeClr w14:val="tx1"/>
            </w14:solidFill>
          </w14:textFill>
        </w:rPr>
        <w:t>（包括医学生、外单位委派和面向社会招收的住院医师、助理全科医生、外单位委派来院进修人员等，不含本单位来源的住院医师职工和本单位委派至其他单位进修的职工）</w:t>
      </w:r>
      <w:r>
        <w:rPr>
          <w:rFonts w:hint="eastAsia"/>
          <w:szCs w:val="32"/>
        </w:rPr>
        <w:t>提供的工资奖金或生活补助；</w:t>
      </w:r>
      <w:r>
        <w:rPr>
          <w:rFonts w:hint="eastAsia" w:ascii="宋体" w:hAnsi="宋体" w:eastAsia="宋体" w:cs="宋体"/>
          <w:szCs w:val="32"/>
        </w:rPr>
        <w:t>②</w:t>
      </w:r>
      <w:r>
        <w:rPr>
          <w:rFonts w:hint="eastAsia"/>
          <w:szCs w:val="32"/>
        </w:rPr>
        <w:t>差旅费及培训费，指医院使用自有资金用于支持各类师资参加培训班、教学会议所产生的差旅费及培训费，不包含教师参加的学术会议；</w:t>
      </w:r>
      <w:r>
        <w:rPr>
          <w:rFonts w:hint="eastAsia" w:ascii="宋体" w:hAnsi="宋体" w:eastAsia="宋体" w:cs="宋体"/>
          <w:szCs w:val="32"/>
        </w:rPr>
        <w:t>③</w:t>
      </w:r>
      <w:r>
        <w:rPr>
          <w:rFonts w:hint="eastAsia"/>
          <w:szCs w:val="32"/>
        </w:rPr>
        <w:t>会议费，指医院使用自有资金用于举办各类教学相关会议所产生的会议费，不包含学术会议</w:t>
      </w:r>
      <w:r>
        <w:rPr>
          <w:szCs w:val="32"/>
        </w:rPr>
        <w:t>；</w:t>
      </w:r>
      <w:r>
        <w:rPr>
          <w:rFonts w:hint="eastAsia" w:ascii="宋体" w:hAnsi="宋体" w:eastAsia="宋体" w:cs="宋体"/>
          <w:szCs w:val="32"/>
        </w:rPr>
        <w:t>④</w:t>
      </w:r>
      <w:r>
        <w:rPr>
          <w:rFonts w:hint="eastAsia"/>
          <w:szCs w:val="32"/>
        </w:rPr>
        <w:t>设备费及材料费，指医院使用自有资金为教学培训而购置的各类设备及材料，不包含为临床诊疗工作开展而购置的设备及材料</w:t>
      </w:r>
      <w:r>
        <w:rPr>
          <w:szCs w:val="32"/>
        </w:rPr>
        <w:t>；</w:t>
      </w:r>
      <w:r>
        <w:rPr>
          <w:rFonts w:hint="eastAsia" w:ascii="宋体" w:hAnsi="宋体" w:eastAsia="宋体" w:cs="宋体"/>
          <w:szCs w:val="32"/>
        </w:rPr>
        <w:t>⑤</w:t>
      </w:r>
      <w:r>
        <w:rPr>
          <w:rFonts w:hint="eastAsia"/>
          <w:szCs w:val="32"/>
        </w:rPr>
        <w:t>教学条件建设费，指医院使用自有资金为改善医院教学空间如临床技能中心、教室、培训对象宿舍等投入的建设经费</w:t>
      </w:r>
      <w:r>
        <w:rPr>
          <w:szCs w:val="32"/>
        </w:rPr>
        <w:t>；</w:t>
      </w:r>
      <w:r>
        <w:rPr>
          <w:rFonts w:hint="eastAsia" w:ascii="宋体" w:hAnsi="宋体" w:eastAsia="宋体" w:cs="宋体"/>
          <w:szCs w:val="32"/>
        </w:rPr>
        <w:t>⑥</w:t>
      </w:r>
      <w:r>
        <w:rPr>
          <w:rFonts w:hint="eastAsia"/>
          <w:szCs w:val="32"/>
        </w:rPr>
        <w:t>其他支出，指为教学培训而投入的印刷费、其他商品及服务支出、办公费、交通费、邮电费等。以上经费均为实际结算数（非预算数）。</w:t>
      </w:r>
    </w:p>
    <w:p>
      <w:pPr>
        <w:spacing w:line="600" w:lineRule="exact"/>
        <w:ind w:firstLine="640" w:firstLineChars="200"/>
        <w:rPr>
          <w:szCs w:val="32"/>
        </w:rPr>
      </w:pPr>
      <w:r>
        <w:rPr>
          <w:rFonts w:hint="eastAsia" w:ascii="仿宋_GB2312"/>
        </w:rPr>
        <w:t>（</w:t>
      </w:r>
      <w:r>
        <w:rPr>
          <w:rFonts w:ascii="仿宋_GB2312"/>
        </w:rPr>
        <w:t>2</w:t>
      </w:r>
      <w:r>
        <w:rPr>
          <w:rFonts w:hint="eastAsia" w:ascii="仿宋_GB2312"/>
        </w:rPr>
        <w:t>）</w:t>
      </w:r>
      <w:r>
        <w:rPr>
          <w:rFonts w:hint="eastAsia"/>
          <w:szCs w:val="32"/>
        </w:rPr>
        <w:t>分母：医院当年总经费即费用合计，包括</w:t>
      </w:r>
      <w:r>
        <w:rPr>
          <w:szCs w:val="32"/>
        </w:rPr>
        <w:t>业务活动费用、单位管理费用、</w:t>
      </w:r>
      <w:r>
        <w:rPr>
          <w:rFonts w:hint="eastAsia"/>
          <w:szCs w:val="32"/>
        </w:rPr>
        <w:t>经营</w:t>
      </w:r>
      <w:r>
        <w:rPr>
          <w:szCs w:val="32"/>
        </w:rPr>
        <w:t>费用、</w:t>
      </w:r>
      <w:r>
        <w:rPr>
          <w:rFonts w:hint="eastAsia"/>
          <w:szCs w:val="32"/>
        </w:rPr>
        <w:t>资产</w:t>
      </w:r>
      <w:r>
        <w:rPr>
          <w:szCs w:val="32"/>
        </w:rPr>
        <w:t>处置费用、</w:t>
      </w:r>
      <w:r>
        <w:rPr>
          <w:rFonts w:hint="eastAsia"/>
          <w:szCs w:val="32"/>
        </w:rPr>
        <w:t>上缴上</w:t>
      </w:r>
      <w:r>
        <w:rPr>
          <w:szCs w:val="32"/>
        </w:rPr>
        <w:t>级费用、</w:t>
      </w:r>
      <w:r>
        <w:rPr>
          <w:rFonts w:hint="eastAsia"/>
          <w:szCs w:val="32"/>
        </w:rPr>
        <w:t>对</w:t>
      </w:r>
      <w:r>
        <w:rPr>
          <w:szCs w:val="32"/>
        </w:rPr>
        <w:t>附属</w:t>
      </w:r>
      <w:r>
        <w:rPr>
          <w:rFonts w:hint="eastAsia"/>
          <w:szCs w:val="32"/>
        </w:rPr>
        <w:t>单位</w:t>
      </w:r>
      <w:r>
        <w:rPr>
          <w:szCs w:val="32"/>
        </w:rPr>
        <w:t>补助费用、所得税费用</w:t>
      </w:r>
      <w:r>
        <w:rPr>
          <w:rFonts w:hint="eastAsia"/>
          <w:szCs w:val="32"/>
        </w:rPr>
        <w:t>及</w:t>
      </w:r>
      <w:r>
        <w:rPr>
          <w:szCs w:val="32"/>
        </w:rPr>
        <w:t>其他费用</w:t>
      </w:r>
      <w:r>
        <w:rPr>
          <w:rFonts w:hint="eastAsia"/>
          <w:szCs w:val="32"/>
        </w:rPr>
        <w:t>。</w:t>
      </w:r>
    </w:p>
    <w:p>
      <w:pPr>
        <w:spacing w:line="600" w:lineRule="exact"/>
        <w:ind w:firstLine="640" w:firstLineChars="200"/>
        <w:rPr>
          <w:szCs w:val="32"/>
        </w:rPr>
      </w:pPr>
      <w:r>
        <w:rPr>
          <w:rFonts w:hint="eastAsia" w:ascii="仿宋_GB2312"/>
        </w:rPr>
        <w:t>（</w:t>
      </w:r>
      <w:r>
        <w:rPr>
          <w:rFonts w:ascii="仿宋_GB2312"/>
        </w:rPr>
        <w:t>3</w:t>
      </w:r>
      <w:r>
        <w:rPr>
          <w:rFonts w:hint="eastAsia" w:ascii="仿宋_GB2312"/>
        </w:rPr>
        <w:t>）</w:t>
      </w:r>
      <w:r>
        <w:rPr>
          <w:rFonts w:hint="eastAsia"/>
          <w:szCs w:val="32"/>
        </w:rPr>
        <w:t>经费只填报总数，无须单列。费用明细可在备注中说明。</w:t>
      </w:r>
    </w:p>
    <w:p>
      <w:pPr>
        <w:spacing w:line="600" w:lineRule="exact"/>
        <w:ind w:firstLine="640" w:firstLineChars="200"/>
        <w:rPr>
          <w:szCs w:val="32"/>
        </w:rPr>
      </w:pPr>
      <w:r>
        <w:rPr>
          <w:rFonts w:hint="eastAsia" w:ascii="仿宋_GB2312"/>
        </w:rPr>
        <w:t>（</w:t>
      </w:r>
      <w:r>
        <w:rPr>
          <w:rFonts w:ascii="仿宋_GB2312"/>
        </w:rPr>
        <w:t>4</w:t>
      </w:r>
      <w:r>
        <w:rPr>
          <w:rFonts w:hint="eastAsia" w:ascii="仿宋_GB2312"/>
        </w:rPr>
        <w:t>）</w:t>
      </w:r>
      <w:r>
        <w:rPr>
          <w:rFonts w:hint="eastAsia"/>
          <w:szCs w:val="32"/>
        </w:rPr>
        <w:t>经费统计按自然年度计算，即从</w:t>
      </w:r>
      <w:r>
        <w:rPr>
          <w:rFonts w:ascii="仿宋_GB2312"/>
          <w:szCs w:val="32"/>
        </w:rPr>
        <w:t>1</w:t>
      </w:r>
      <w:r>
        <w:rPr>
          <w:rFonts w:hint="eastAsia" w:ascii="仿宋_GB2312"/>
          <w:szCs w:val="32"/>
        </w:rPr>
        <w:t>月</w:t>
      </w:r>
      <w:r>
        <w:rPr>
          <w:rFonts w:ascii="仿宋_GB2312"/>
          <w:szCs w:val="32"/>
        </w:rPr>
        <w:t>1</w:t>
      </w:r>
      <w:r>
        <w:rPr>
          <w:rFonts w:hint="eastAsia" w:ascii="仿宋_GB2312"/>
          <w:szCs w:val="32"/>
        </w:rPr>
        <w:t>日起至</w:t>
      </w:r>
      <w:r>
        <w:rPr>
          <w:rFonts w:ascii="仿宋_GB2312"/>
          <w:szCs w:val="32"/>
        </w:rPr>
        <w:t>12</w:t>
      </w:r>
      <w:r>
        <w:rPr>
          <w:rFonts w:hint="eastAsia" w:ascii="仿宋_GB2312"/>
          <w:szCs w:val="32"/>
        </w:rPr>
        <w:t>月</w:t>
      </w:r>
      <w:r>
        <w:rPr>
          <w:rFonts w:ascii="仿宋_GB2312"/>
          <w:szCs w:val="32"/>
        </w:rPr>
        <w:t>31</w:t>
      </w:r>
      <w:r>
        <w:rPr>
          <w:rFonts w:hint="eastAsia"/>
          <w:szCs w:val="32"/>
        </w:rPr>
        <w:t>日止。</w:t>
      </w:r>
    </w:p>
    <w:p>
      <w:pPr>
        <w:spacing w:line="600" w:lineRule="exact"/>
        <w:rPr>
          <w:b/>
          <w:szCs w:val="32"/>
        </w:rPr>
      </w:pPr>
      <w:r>
        <w:rPr>
          <w:rFonts w:hint="eastAsia"/>
          <w:b/>
          <w:szCs w:val="32"/>
        </w:rPr>
        <w:t>【指标意义】</w:t>
      </w:r>
    </w:p>
    <w:p>
      <w:pPr>
        <w:spacing w:line="600" w:lineRule="exact"/>
        <w:ind w:firstLine="640" w:firstLineChars="200"/>
        <w:rPr>
          <w:b/>
          <w:szCs w:val="32"/>
        </w:rPr>
      </w:pPr>
      <w:r>
        <w:rPr>
          <w:rFonts w:hint="eastAsia"/>
          <w:szCs w:val="32"/>
        </w:rPr>
        <w:t>《国务院办公厅关于深化医教协同进一步推进医学教育改革与发展的意见》（国办发</w:t>
      </w:r>
      <w:r>
        <w:rPr>
          <w:rFonts w:hint="eastAsia" w:ascii="仿宋_GB2312"/>
          <w:szCs w:val="32"/>
        </w:rPr>
        <w:t>〔</w:t>
      </w:r>
      <w:r>
        <w:rPr>
          <w:rFonts w:ascii="仿宋_GB2312"/>
          <w:szCs w:val="32"/>
        </w:rPr>
        <w:t>2017</w:t>
      </w:r>
      <w:r>
        <w:rPr>
          <w:rFonts w:hint="eastAsia" w:ascii="仿宋_GB2312"/>
          <w:szCs w:val="32"/>
        </w:rPr>
        <w:t>〕</w:t>
      </w:r>
      <w:r>
        <w:rPr>
          <w:rFonts w:ascii="仿宋_GB2312"/>
          <w:szCs w:val="32"/>
        </w:rPr>
        <w:t>63</w:t>
      </w:r>
      <w:r>
        <w:rPr>
          <w:rFonts w:hint="eastAsia"/>
          <w:szCs w:val="32"/>
        </w:rPr>
        <w:t>号）明确提出，贯彻党的教育方针和卫生与健康工作方针，始终坚持把医学教育和人才培养摆在卫生与健康事业优先发展的战略地位，建立健全适合行业特点的医学人才培养制度，完善医学人才使用激励政策，为建设健康中国提供坚实的人才保障。建立完善毕业后医学教育制度，健全临床带教激励机制，加强师资队伍建设。推进毕业后医学教育和继续医学教育第三方评估。将人才培养工作纳入公立医院绩效考核以及院长年度和任期目标责任考核的重要内容。</w:t>
      </w:r>
    </w:p>
    <w:p>
      <w:pPr>
        <w:spacing w:line="600" w:lineRule="exact"/>
        <w:rPr>
          <w:b/>
          <w:szCs w:val="32"/>
        </w:rPr>
      </w:pPr>
      <w:r>
        <w:rPr>
          <w:rFonts w:hint="eastAsia"/>
          <w:b/>
          <w:szCs w:val="32"/>
        </w:rPr>
        <w:t>【指标导向】</w:t>
      </w:r>
      <w:r>
        <w:rPr>
          <w:rFonts w:hint="eastAsia"/>
          <w:szCs w:val="32"/>
        </w:rPr>
        <w:t>逐步提高。</w:t>
      </w:r>
    </w:p>
    <w:p>
      <w:pPr>
        <w:spacing w:line="600" w:lineRule="exact"/>
        <w:rPr>
          <w:szCs w:val="32"/>
        </w:rPr>
      </w:pPr>
      <w:r>
        <w:rPr>
          <w:rFonts w:hint="eastAsia"/>
          <w:b/>
          <w:szCs w:val="32"/>
        </w:rPr>
        <w:t>【指标来源】</w:t>
      </w:r>
      <w:r>
        <w:rPr>
          <w:rFonts w:hint="eastAsia"/>
          <w:szCs w:val="32"/>
        </w:rPr>
        <w:t>医院填报。</w:t>
      </w:r>
    </w:p>
    <w:p>
      <w:pPr>
        <w:widowControl/>
        <w:spacing w:line="600" w:lineRule="exact"/>
        <w:jc w:val="left"/>
        <w:rPr>
          <w:b/>
          <w:kern w:val="0"/>
          <w:szCs w:val="32"/>
        </w:rPr>
      </w:pPr>
      <w:r>
        <w:rPr>
          <w:rFonts w:hint="eastAsia"/>
          <w:b/>
          <w:szCs w:val="32"/>
        </w:rPr>
        <w:t>【指标解释】</w:t>
      </w:r>
      <w:r>
        <w:rPr>
          <w:rFonts w:hint="eastAsia"/>
          <w:szCs w:val="32"/>
        </w:rPr>
        <w:t>省级中医药主管部门。</w:t>
      </w:r>
      <w:r>
        <w:rPr>
          <w:b/>
          <w:kern w:val="0"/>
          <w:szCs w:val="32"/>
        </w:rPr>
        <w:br w:type="page"/>
      </w:r>
    </w:p>
    <w:p>
      <w:pPr>
        <w:spacing w:line="600" w:lineRule="atLeast"/>
        <w:ind w:right="-499" w:rightChars="-156"/>
        <w:rPr>
          <w:rFonts w:ascii="仿宋_GB2312"/>
          <w:b/>
          <w:szCs w:val="32"/>
          <w:shd w:val="clear" w:color="auto" w:fill="FFFFFF"/>
        </w:rPr>
      </w:pPr>
      <w:r>
        <w:rPr>
          <w:rFonts w:ascii="仿宋_GB2312"/>
          <w:b/>
          <w:szCs w:val="32"/>
          <w:shd w:val="clear" w:color="auto" w:fill="FFFFFF"/>
        </w:rPr>
        <w:t>32</w:t>
      </w:r>
      <w:r>
        <w:rPr>
          <w:rFonts w:hint="eastAsia" w:ascii="仿宋_GB2312"/>
          <w:b/>
          <w:szCs w:val="32"/>
          <w:shd w:val="clear" w:color="auto" w:fill="FFFFFF"/>
        </w:rPr>
        <w:t>.每百名卫生技术人员重点学科、重点专科经费投入</w:t>
      </w:r>
    </w:p>
    <w:p>
      <w:pPr>
        <w:spacing w:line="600" w:lineRule="atLeast"/>
        <w:ind w:right="-499" w:rightChars="-156"/>
        <w:rPr>
          <w:rFonts w:ascii="仿宋_GB2312"/>
          <w:b/>
          <w:szCs w:val="32"/>
          <w:shd w:val="clear" w:color="auto" w:fill="FFFFFF"/>
        </w:rPr>
      </w:pPr>
      <w:r>
        <w:rPr>
          <w:rFonts w:hint="eastAsia" w:ascii="仿宋_GB2312"/>
          <w:b/>
          <w:szCs w:val="32"/>
          <w:shd w:val="clear" w:color="auto" w:fill="FFFFFF"/>
        </w:rPr>
        <w:t>【指标属性】</w:t>
      </w:r>
      <w:r>
        <w:rPr>
          <w:rFonts w:hint="eastAsia" w:ascii="仿宋_GB2312"/>
          <w:szCs w:val="32"/>
          <w:shd w:val="clear" w:color="auto" w:fill="FFFFFF"/>
        </w:rPr>
        <w:t>定量指标。</w:t>
      </w:r>
    </w:p>
    <w:p>
      <w:pPr>
        <w:spacing w:line="600" w:lineRule="atLeast"/>
        <w:ind w:right="-499" w:rightChars="-156"/>
        <w:rPr>
          <w:rFonts w:ascii="仿宋_GB2312"/>
          <w:b/>
          <w:szCs w:val="32"/>
          <w:shd w:val="clear" w:color="auto" w:fill="FFFFFF"/>
        </w:rPr>
      </w:pPr>
      <w:r>
        <w:rPr>
          <w:rFonts w:hint="eastAsia" w:ascii="仿宋_GB2312"/>
          <w:b/>
          <w:szCs w:val="32"/>
          <w:shd w:val="clear" w:color="auto" w:fill="FFFFFF"/>
        </w:rPr>
        <w:t>【计量单位】</w:t>
      </w:r>
      <w:r>
        <w:rPr>
          <w:rFonts w:hint="eastAsia" w:ascii="仿宋_GB2312"/>
          <w:szCs w:val="32"/>
          <w:shd w:val="clear" w:color="auto" w:fill="FFFFFF"/>
        </w:rPr>
        <w:t>元</w:t>
      </w:r>
    </w:p>
    <w:p>
      <w:pPr>
        <w:spacing w:line="600" w:lineRule="atLeast"/>
        <w:ind w:right="-499" w:rightChars="-156"/>
        <w:rPr>
          <w:rFonts w:ascii="仿宋_GB2312"/>
          <w:b/>
          <w:szCs w:val="32"/>
          <w:shd w:val="clear" w:color="auto" w:fill="FFFFFF"/>
        </w:rPr>
      </w:pPr>
      <w:r>
        <w:rPr>
          <w:rFonts w:hint="eastAsia" w:ascii="仿宋_GB2312"/>
          <w:b/>
          <w:szCs w:val="32"/>
          <w:shd w:val="clear" w:color="auto" w:fill="FFFFFF"/>
        </w:rPr>
        <w:t>【指标定义】</w:t>
      </w:r>
    </w:p>
    <w:p>
      <w:pPr>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考核年度每百名卫生技术人员重点学科</w:t>
      </w:r>
      <w:r>
        <w:rPr>
          <w:rFonts w:hint="eastAsia" w:ascii="仿宋_GB2312"/>
          <w:szCs w:val="32"/>
          <w:shd w:val="clear" w:color="auto" w:fill="FFFFFF"/>
          <w:vertAlign w:val="superscript"/>
        </w:rPr>
        <w:footnoteReference w:id="48"/>
      </w:r>
      <w:r>
        <w:rPr>
          <w:rFonts w:hint="eastAsia" w:ascii="仿宋_GB2312"/>
          <w:szCs w:val="32"/>
          <w:shd w:val="clear" w:color="auto" w:fill="FFFFFF"/>
        </w:rPr>
        <w:t>、重点专科</w:t>
      </w:r>
      <w:r>
        <w:rPr>
          <w:rFonts w:hint="eastAsia" w:ascii="仿宋_GB2312"/>
          <w:szCs w:val="32"/>
          <w:shd w:val="clear" w:color="auto" w:fill="FFFFFF"/>
          <w:vertAlign w:val="superscript"/>
        </w:rPr>
        <w:footnoteReference w:id="49"/>
      </w:r>
      <w:r>
        <w:rPr>
          <w:rFonts w:hint="eastAsia" w:ascii="仿宋_GB2312"/>
          <w:szCs w:val="32"/>
          <w:shd w:val="clear" w:color="auto" w:fill="FFFFFF"/>
        </w:rPr>
        <w:t>投入经费。</w:t>
      </w:r>
    </w:p>
    <w:p>
      <w:pPr>
        <w:spacing w:line="600" w:lineRule="atLeast"/>
        <w:ind w:right="-499" w:rightChars="-156"/>
        <w:rPr>
          <w:rFonts w:ascii="仿宋_GB2312"/>
          <w:b/>
          <w:szCs w:val="32"/>
          <w:shd w:val="clear" w:color="auto" w:fill="FFFFFF"/>
        </w:rPr>
      </w:pPr>
      <w:r>
        <w:rPr>
          <w:rFonts w:hint="eastAsia" w:ascii="仿宋_GB2312"/>
          <w:b/>
          <w:szCs w:val="32"/>
          <w:shd w:val="clear" w:color="auto" w:fill="FFFFFF"/>
        </w:rPr>
        <w:t>【计算方法】</w:t>
      </w:r>
    </w:p>
    <w:p>
      <w:pPr>
        <w:spacing w:line="600" w:lineRule="atLeast"/>
        <w:ind w:right="-499" w:rightChars="-156"/>
        <w:rPr>
          <w:rFonts w:ascii="仿宋_GB2312" w:eastAsiaTheme="minorEastAsia"/>
          <w:b/>
          <w:szCs w:val="32"/>
          <w:shd w:val="clear" w:color="auto" w:fill="FFFFFF"/>
        </w:rPr>
      </w:pPr>
      <m:oMathPara>
        <m:oMath>
          <m:r>
            <m:rPr>
              <m:sty m:val="b"/>
            </m:rPr>
            <w:rPr>
              <w:rFonts w:hint="eastAsia" w:ascii="Cambria Math" w:hAnsi="Cambria Math"/>
              <w:sz w:val="24"/>
              <w:shd w:val="clear" w:color="auto" w:fill="FFFFFF"/>
            </w:rPr>
            <m:t>每百名卫生技术人员重点学科、重点专科经费投入</m:t>
          </m:r>
          <m:r>
            <m:rPr>
              <m:sty m:val="p"/>
            </m:rPr>
            <w:rPr>
              <w:rFonts w:hint="eastAsia" w:ascii="Cambria Math" w:hAnsi="Cambria Math"/>
              <w:sz w:val="24"/>
              <w:shd w:val="clear" w:color="auto" w:fill="FFFFFF"/>
            </w:rPr>
            <m:t>=</m:t>
          </m:r>
          <m:f>
            <m:fPr>
              <m:ctrlPr>
                <w:rPr>
                  <w:rFonts w:ascii="Cambria Math" w:hAnsi="Cambria Math"/>
                  <w:sz w:val="24"/>
                  <w:shd w:val="clear" w:color="auto" w:fill="FFFFFF"/>
                </w:rPr>
              </m:ctrlPr>
            </m:fPr>
            <m:num>
              <m:r>
                <m:rPr>
                  <m:sty m:val="p"/>
                </m:rPr>
                <w:rPr>
                  <w:rFonts w:hint="eastAsia" w:ascii="Cambria Math" w:hAnsi="Cambria Math"/>
                  <w:sz w:val="24"/>
                  <w:shd w:val="clear" w:color="auto" w:fill="FFFFFF"/>
                </w:rPr>
                <m:t>本年度重点学科、重点专科投入总金额</m:t>
              </m:r>
              <m:ctrlPr>
                <w:rPr>
                  <w:rFonts w:ascii="Cambria Math" w:hAnsi="Cambria Math"/>
                  <w:sz w:val="24"/>
                  <w:shd w:val="clear" w:color="auto" w:fill="FFFFFF"/>
                </w:rPr>
              </m:ctrlPr>
            </m:num>
            <m:den>
              <m:r>
                <m:rPr>
                  <m:sty m:val="p"/>
                </m:rPr>
                <w:rPr>
                  <w:rFonts w:hint="eastAsia" w:ascii="Cambria Math" w:hAnsi="Cambria Math"/>
                  <w:sz w:val="24"/>
                  <w:shd w:val="clear" w:color="auto" w:fill="FFFFFF"/>
                </w:rPr>
                <m:t>同期卫生技术人员总数</m:t>
              </m:r>
              <m:ctrlPr>
                <w:rPr>
                  <w:rFonts w:ascii="Cambria Math" w:hAnsi="Cambria Math"/>
                  <w:sz w:val="24"/>
                  <w:shd w:val="clear" w:color="auto" w:fill="FFFFFF"/>
                </w:rPr>
              </m:ctrlPr>
            </m:den>
          </m:f>
          <m:r>
            <m:rPr>
              <m:sty m:val="p"/>
            </m:rPr>
            <w:rPr>
              <w:rFonts w:hint="eastAsia" w:ascii="Cambria Math" w:hAnsi="Cambria Math"/>
              <w:sz w:val="24"/>
              <w:shd w:val="clear" w:color="auto" w:fill="FFFFFF"/>
            </w:rPr>
            <m:t>×100</m:t>
          </m:r>
          <m:r>
            <m:rPr>
              <m:sty m:val="p"/>
            </m:rPr>
            <w:rPr>
              <w:rFonts w:ascii="Cambria Math" w:hAnsi="Cambria Math"/>
              <w:sz w:val="24"/>
              <w:shd w:val="clear" w:color="auto" w:fill="FFFFFF"/>
            </w:rPr>
            <m:t xml:space="preserve">                     </m:t>
          </m:r>
        </m:oMath>
      </m:oMathPara>
    </w:p>
    <w:p>
      <w:pPr>
        <w:spacing w:line="600" w:lineRule="atLeast"/>
        <w:ind w:right="-499" w:rightChars="-156"/>
        <w:rPr>
          <w:rFonts w:ascii="仿宋_GB2312"/>
          <w:b/>
          <w:szCs w:val="32"/>
          <w:shd w:val="clear" w:color="auto" w:fill="FFFFFF"/>
        </w:rPr>
      </w:pPr>
      <w:r>
        <w:rPr>
          <w:rFonts w:hint="eastAsia" w:ascii="仿宋_GB2312"/>
          <w:b/>
          <w:szCs w:val="32"/>
          <w:shd w:val="clear" w:color="auto" w:fill="FFFFFF"/>
        </w:rPr>
        <w:t>【指标说明】</w:t>
      </w:r>
    </w:p>
    <w:p>
      <w:pPr>
        <w:adjustRightInd w:val="0"/>
        <w:spacing w:line="600" w:lineRule="atLeast"/>
        <w:ind w:right="48" w:rightChars="15" w:firstLine="720" w:firstLineChars="225"/>
        <w:rPr>
          <w:rFonts w:ascii="仿宋_GB2312"/>
          <w:szCs w:val="32"/>
          <w:shd w:val="clear" w:color="auto" w:fill="FFFFFF"/>
        </w:rPr>
      </w:pPr>
      <w:r>
        <w:rPr>
          <w:rFonts w:hint="eastAsia" w:ascii="仿宋_GB2312"/>
          <w:szCs w:val="32"/>
          <w:shd w:val="clear" w:color="auto" w:fill="FFFFFF"/>
        </w:rPr>
        <w:t>（1）分子：重点学科、重点专科经费投入总金额是指各级中医药主管部门及医院按要求匹配的专项经费。重点学（专）科、中医优势专科经费以医院财务报表能体现的项目为准，以实际支出为统一口径。</w:t>
      </w:r>
    </w:p>
    <w:p>
      <w:pPr>
        <w:adjustRightInd w:val="0"/>
        <w:spacing w:line="600" w:lineRule="atLeast"/>
        <w:ind w:right="48" w:rightChars="15" w:firstLine="640" w:firstLineChars="200"/>
        <w:rPr>
          <w:rFonts w:ascii="仿宋_GB2312"/>
          <w:szCs w:val="32"/>
          <w:shd w:val="clear" w:color="auto" w:fill="FFFFFF"/>
        </w:rPr>
      </w:pPr>
      <w:r>
        <w:rPr>
          <w:rFonts w:hint="eastAsia" w:ascii="仿宋_GB2312"/>
          <w:szCs w:val="32"/>
          <w:shd w:val="clear" w:color="auto" w:fill="FFFFFF"/>
        </w:rPr>
        <w:t>（2）分母：卫生技术人员总数</w:t>
      </w:r>
      <w:r>
        <w:rPr>
          <w:rFonts w:ascii="仿宋_GB2312"/>
          <w:szCs w:val="32"/>
          <w:shd w:val="clear" w:color="auto" w:fill="FFFFFF"/>
        </w:rPr>
        <w:t>是指</w:t>
      </w:r>
      <w:r>
        <w:rPr>
          <w:rFonts w:hint="eastAsia" w:ascii="仿宋_GB2312"/>
          <w:szCs w:val="32"/>
          <w:shd w:val="clear" w:color="auto" w:fill="FFFFFF"/>
        </w:rPr>
        <w:t>医、药、护、技四类在岗人员，包含在行政职能科室工作的四类人员。</w:t>
      </w:r>
    </w:p>
    <w:p>
      <w:pPr>
        <w:adjustRightInd w:val="0"/>
        <w:spacing w:line="600" w:lineRule="atLeast"/>
        <w:ind w:right="-499" w:rightChars="-156"/>
        <w:rPr>
          <w:rFonts w:ascii="仿宋_GB2312"/>
          <w:b/>
          <w:szCs w:val="32"/>
          <w:shd w:val="clear" w:color="auto" w:fill="FFFFFF"/>
        </w:rPr>
      </w:pPr>
      <w:r>
        <w:rPr>
          <w:rFonts w:hint="eastAsia" w:ascii="仿宋_GB2312"/>
          <w:b/>
          <w:szCs w:val="32"/>
          <w:shd w:val="clear" w:color="auto" w:fill="FFFFFF"/>
        </w:rPr>
        <w:t>【指标意义】</w:t>
      </w:r>
    </w:p>
    <w:p>
      <w:pPr>
        <w:adjustRightInd w:val="0"/>
        <w:spacing w:line="600" w:lineRule="atLeast"/>
        <w:ind w:firstLine="640" w:firstLineChars="200"/>
        <w:rPr>
          <w:rFonts w:ascii="仿宋_GB2312"/>
          <w:szCs w:val="32"/>
          <w:shd w:val="clear" w:color="auto" w:fill="FFFFFF"/>
        </w:rPr>
      </w:pPr>
      <w:r>
        <w:rPr>
          <w:rFonts w:hint="eastAsia" w:ascii="仿宋_GB2312" w:cs="仿宋"/>
          <w:kern w:val="0"/>
          <w:szCs w:val="32"/>
          <w:shd w:val="clear" w:color="auto" w:fill="FFFFFF"/>
          <w:lang w:val="zh-CN"/>
        </w:rPr>
        <w:t>《中共中央 国务院关于促进中医药传承创新发展意见》（中发办〔2019〕</w:t>
      </w:r>
      <w:r>
        <w:rPr>
          <w:rFonts w:ascii="仿宋_GB2312" w:cs="仿宋"/>
          <w:kern w:val="0"/>
          <w:szCs w:val="32"/>
          <w:shd w:val="clear" w:color="auto" w:fill="FFFFFF"/>
          <w:lang w:val="zh-CN"/>
        </w:rPr>
        <w:t>43</w:t>
      </w:r>
      <w:r>
        <w:rPr>
          <w:rFonts w:hint="eastAsia" w:ascii="仿宋_GB2312" w:cs="仿宋"/>
          <w:kern w:val="0"/>
          <w:szCs w:val="32"/>
          <w:shd w:val="clear" w:color="auto" w:fill="FFFFFF"/>
          <w:lang w:val="zh-CN"/>
        </w:rPr>
        <w:t>号）、</w:t>
      </w:r>
      <w:r>
        <w:rPr>
          <w:rFonts w:hint="eastAsia" w:ascii="仿宋_GB2312"/>
          <w:szCs w:val="32"/>
          <w:shd w:val="clear" w:color="auto" w:fill="FFFFFF"/>
        </w:rPr>
        <w:t>国务院办公厅《关于印发“十四五”中医药发展规划的通知》（国办发〔2022〕</w:t>
      </w:r>
      <w:r>
        <w:rPr>
          <w:rFonts w:ascii="仿宋_GB2312"/>
          <w:szCs w:val="32"/>
          <w:shd w:val="clear" w:color="auto" w:fill="FFFFFF"/>
        </w:rPr>
        <w:t>5</w:t>
      </w:r>
      <w:r>
        <w:rPr>
          <w:rFonts w:hint="eastAsia" w:ascii="仿宋_GB2312"/>
          <w:szCs w:val="32"/>
          <w:shd w:val="clear" w:color="auto" w:fill="FFFFFF"/>
        </w:rPr>
        <w:t>号）</w:t>
      </w:r>
      <w:r>
        <w:rPr>
          <w:rFonts w:hint="eastAsia" w:ascii="仿宋_GB2312" w:cs="仿宋"/>
          <w:kern w:val="0"/>
          <w:szCs w:val="32"/>
          <w:shd w:val="clear" w:color="auto" w:fill="FFFFFF"/>
          <w:lang w:val="zh-CN"/>
        </w:rPr>
        <w:t>提出，加强</w:t>
      </w:r>
      <w:bookmarkStart w:id="31" w:name="_Hlk100337571"/>
      <w:r>
        <w:rPr>
          <w:rFonts w:hint="eastAsia" w:ascii="仿宋_GB2312" w:cs="仿宋"/>
          <w:kern w:val="0"/>
          <w:szCs w:val="32"/>
          <w:shd w:val="clear" w:color="auto" w:fill="FFFFFF"/>
          <w:lang w:val="zh-CN"/>
        </w:rPr>
        <w:t>中医优势专科</w:t>
      </w:r>
      <w:bookmarkEnd w:id="31"/>
      <w:r>
        <w:rPr>
          <w:rFonts w:hint="eastAsia" w:ascii="仿宋_GB2312" w:cs="仿宋"/>
          <w:kern w:val="0"/>
          <w:szCs w:val="32"/>
          <w:shd w:val="clear" w:color="auto" w:fill="FFFFFF"/>
          <w:lang w:val="zh-CN"/>
        </w:rPr>
        <w:t>建设</w:t>
      </w:r>
      <w:r>
        <w:rPr>
          <w:rFonts w:hint="eastAsia" w:ascii="仿宋" w:hAnsi="仿宋" w:eastAsia="仿宋"/>
          <w:szCs w:val="32"/>
        </w:rPr>
        <w:t>，加强少数民族医医院专科能力建设</w:t>
      </w:r>
      <w:r>
        <w:rPr>
          <w:rFonts w:hint="eastAsia" w:ascii="仿宋_GB2312" w:cs="仿宋"/>
          <w:kern w:val="0"/>
          <w:szCs w:val="32"/>
          <w:shd w:val="clear" w:color="auto" w:fill="FFFFFF"/>
          <w:lang w:val="zh-CN"/>
        </w:rPr>
        <w:t>。</w:t>
      </w:r>
      <w:r>
        <w:rPr>
          <w:rFonts w:hint="eastAsia" w:ascii="仿宋_GB2312" w:cs="仿宋"/>
          <w:kern w:val="0"/>
          <w:szCs w:val="32"/>
          <w:shd w:val="clear" w:color="auto" w:fill="FFFFFF"/>
        </w:rPr>
        <w:t>通过学科专科建设、重大科研平台建设和重大项目实施等，培养造就一批高水平中医临床人才和多学科交叉的中医药创新型领军人才，支持组建一批高层次创新团队</w:t>
      </w:r>
      <w:r>
        <w:rPr>
          <w:rFonts w:hint="eastAsia" w:ascii="仿宋_GB2312" w:cs="仿宋"/>
          <w:kern w:val="0"/>
          <w:szCs w:val="32"/>
          <w:shd w:val="clear" w:color="auto" w:fill="FFFFFF"/>
          <w:lang w:val="zh-CN"/>
        </w:rPr>
        <w:t>。中医药重点学科、重点专科、中医优势专科是整个中医药学科、专科群的龙头，是统领中医药各项业务建设的基础和平台，是培养和造就高素质创新人才和名医的重要途径，</w:t>
      </w:r>
      <w:r>
        <w:rPr>
          <w:rFonts w:hint="eastAsia" w:ascii="仿宋_GB2312"/>
          <w:szCs w:val="32"/>
          <w:shd w:val="clear" w:color="auto" w:fill="FFFFFF"/>
        </w:rPr>
        <w:t>是衡量中医药医、教、研能力的重要标志之一，对于持续改进中医医疗质量、提升服务能力、增强核心竞争力具有举足轻重的作用</w:t>
      </w:r>
      <w:r>
        <w:rPr>
          <w:rFonts w:hint="eastAsia" w:ascii="仿宋_GB2312" w:cs="仿宋"/>
          <w:kern w:val="0"/>
          <w:szCs w:val="32"/>
          <w:shd w:val="clear" w:color="auto" w:fill="FFFFFF"/>
          <w:lang w:val="zh-CN"/>
        </w:rPr>
        <w:t>。</w:t>
      </w:r>
      <w:r>
        <w:rPr>
          <w:rFonts w:hint="eastAsia" w:ascii="仿宋_GB2312"/>
          <w:szCs w:val="32"/>
          <w:shd w:val="clear" w:color="auto" w:fill="FFFFFF"/>
        </w:rPr>
        <w:t>重点学科、中医优势专科经费反映医院对重点学科、重点专科、中医优势专科建设投入与支撑能力。国家中医药管理局高度重视、积极推进中医重点学科、中医优势专科建设，并将重点学科、中医优势专科建设作为评价医院的核心指标。</w:t>
      </w:r>
    </w:p>
    <w:p>
      <w:pPr>
        <w:spacing w:line="600" w:lineRule="atLeast"/>
        <w:ind w:right="-499" w:rightChars="-156"/>
        <w:rPr>
          <w:rFonts w:ascii="仿宋_GB2312"/>
          <w:b/>
          <w:szCs w:val="32"/>
          <w:shd w:val="clear" w:color="auto" w:fill="FFFFFF"/>
        </w:rPr>
      </w:pPr>
      <w:r>
        <w:rPr>
          <w:rFonts w:hint="eastAsia" w:ascii="仿宋_GB2312"/>
          <w:b/>
          <w:szCs w:val="32"/>
          <w:shd w:val="clear" w:color="auto" w:fill="FFFFFF"/>
        </w:rPr>
        <w:t>【指标导向】</w:t>
      </w:r>
      <w:r>
        <w:rPr>
          <w:rFonts w:hint="eastAsia" w:ascii="仿宋_GB2312"/>
          <w:szCs w:val="32"/>
          <w:shd w:val="clear" w:color="auto" w:fill="FFFFFF"/>
        </w:rPr>
        <w:t>逐步提高。</w:t>
      </w:r>
    </w:p>
    <w:p>
      <w:pPr>
        <w:spacing w:line="600" w:lineRule="atLeast"/>
        <w:ind w:right="-499" w:rightChars="-156"/>
        <w:rPr>
          <w:rFonts w:ascii="仿宋_GB2312"/>
          <w:szCs w:val="32"/>
          <w:shd w:val="clear" w:color="auto" w:fill="FFFFFF"/>
        </w:rPr>
      </w:pPr>
      <w:r>
        <w:rPr>
          <w:rFonts w:hint="eastAsia" w:ascii="仿宋_GB2312"/>
          <w:b/>
          <w:szCs w:val="32"/>
          <w:shd w:val="clear" w:color="auto" w:fill="FFFFFF"/>
        </w:rPr>
        <w:t>【数据来源】</w:t>
      </w:r>
      <w:r>
        <w:rPr>
          <w:rFonts w:hint="eastAsia" w:ascii="仿宋_GB2312"/>
          <w:szCs w:val="32"/>
          <w:shd w:val="clear" w:color="auto" w:fill="FFFFFF"/>
        </w:rPr>
        <w:t>医院填报。</w:t>
      </w:r>
    </w:p>
    <w:p>
      <w:pPr>
        <w:spacing w:line="600" w:lineRule="atLeast"/>
        <w:ind w:right="-499" w:rightChars="-156"/>
        <w:rPr>
          <w:rFonts w:ascii="仿宋_GB2312"/>
          <w:bCs/>
          <w:szCs w:val="32"/>
          <w:shd w:val="clear" w:color="auto" w:fill="FFFFFF"/>
        </w:rPr>
      </w:pPr>
      <w:r>
        <w:rPr>
          <w:rFonts w:hint="eastAsia" w:ascii="仿宋_GB2312"/>
          <w:bCs/>
          <w:szCs w:val="32"/>
          <w:shd w:val="clear" w:color="auto" w:fill="FFFFFF"/>
        </w:rPr>
        <w:t>【</w:t>
      </w:r>
      <w:r>
        <w:rPr>
          <w:rFonts w:hint="eastAsia" w:ascii="仿宋_GB2312"/>
          <w:b/>
          <w:bCs/>
          <w:szCs w:val="32"/>
          <w:shd w:val="clear" w:color="auto" w:fill="FFFFFF"/>
        </w:rPr>
        <w:t>指标解释</w:t>
      </w:r>
      <w:r>
        <w:rPr>
          <w:rFonts w:hint="eastAsia" w:ascii="仿宋_GB2312"/>
          <w:bCs/>
          <w:szCs w:val="32"/>
          <w:shd w:val="clear" w:color="auto" w:fill="FFFFFF"/>
        </w:rPr>
        <w:t>】省级中医药主管部门。</w:t>
      </w:r>
    </w:p>
    <w:p>
      <w:pPr>
        <w:widowControl/>
        <w:spacing w:line="600" w:lineRule="exact"/>
        <w:rPr>
          <w:b/>
          <w:szCs w:val="32"/>
          <w:shd w:val="clear" w:color="auto" w:fill="FFFFFF"/>
        </w:rPr>
      </w:pPr>
    </w:p>
    <w:p>
      <w:pPr>
        <w:widowControl/>
        <w:spacing w:line="600" w:lineRule="exact"/>
        <w:rPr>
          <w:b/>
          <w:szCs w:val="32"/>
          <w:shd w:val="clear" w:color="auto" w:fill="FFFFFF"/>
        </w:rPr>
      </w:pPr>
    </w:p>
    <w:bookmarkEnd w:id="19"/>
    <w:p>
      <w:pPr>
        <w:widowControl/>
        <w:jc w:val="left"/>
        <w:rPr>
          <w:b/>
          <w:kern w:val="0"/>
          <w:szCs w:val="32"/>
        </w:rPr>
      </w:pPr>
      <w:bookmarkStart w:id="32" w:name="_Toc42857918"/>
      <w:r>
        <w:rPr>
          <w:b/>
          <w:kern w:val="0"/>
          <w:szCs w:val="32"/>
        </w:rPr>
        <w:br w:type="page"/>
      </w:r>
    </w:p>
    <w:p>
      <w:pPr>
        <w:keepNext/>
        <w:keepLines/>
        <w:spacing w:line="600" w:lineRule="exact"/>
        <w:ind w:firstLine="640" w:firstLineChars="200"/>
        <w:outlineLvl w:val="0"/>
        <w:rPr>
          <w:rFonts w:eastAsia="黑体"/>
          <w:b/>
          <w:bCs/>
          <w:kern w:val="44"/>
          <w:sz w:val="36"/>
          <w:szCs w:val="36"/>
        </w:rPr>
      </w:pPr>
      <w:r>
        <w:rPr>
          <w:rFonts w:hint="eastAsia" w:eastAsia="黑体"/>
          <w:b/>
          <w:bCs/>
          <w:kern w:val="44"/>
          <w:szCs w:val="32"/>
        </w:rPr>
        <w:t>五、满意度评价相关指标</w:t>
      </w:r>
      <w:bookmarkEnd w:id="32"/>
    </w:p>
    <w:p>
      <w:pPr>
        <w:widowControl/>
        <w:spacing w:line="600" w:lineRule="exact"/>
        <w:ind w:firstLine="640" w:firstLineChars="200"/>
        <w:rPr>
          <w:szCs w:val="32"/>
        </w:rPr>
      </w:pPr>
      <w:r>
        <w:rPr>
          <w:rFonts w:hint="eastAsia"/>
          <w:szCs w:val="32"/>
        </w:rPr>
        <w:t>满意度评价指标部分，共有二级指标2个，三级指标</w:t>
      </w:r>
      <w:r>
        <w:rPr>
          <w:szCs w:val="32"/>
        </w:rPr>
        <w:t>2</w:t>
      </w:r>
      <w:r>
        <w:rPr>
          <w:rFonts w:hint="eastAsia"/>
          <w:szCs w:val="32"/>
        </w:rPr>
        <w:t>个，均为定量指标和国家监测指标。</w:t>
      </w:r>
    </w:p>
    <w:p>
      <w:pPr>
        <w:keepNext/>
        <w:keepLines/>
        <w:shd w:val="clear" w:color="auto" w:fill="FFFFFF"/>
        <w:spacing w:line="600" w:lineRule="exact"/>
        <w:ind w:left="425" w:hanging="425"/>
        <w:outlineLvl w:val="1"/>
        <w:rPr>
          <w:rFonts w:eastAsia="楷体_GB2312"/>
          <w:b/>
          <w:bCs/>
          <w:szCs w:val="32"/>
        </w:rPr>
      </w:pPr>
      <w:bookmarkStart w:id="33" w:name="_Toc42857919"/>
      <w:r>
        <w:rPr>
          <w:rFonts w:hint="eastAsia" w:eastAsia="楷体_GB2312"/>
          <w:b/>
          <w:bCs/>
          <w:szCs w:val="32"/>
        </w:rPr>
        <w:t>（九）患者满意度（指标</w:t>
      </w:r>
      <w:r>
        <w:rPr>
          <w:rFonts w:eastAsia="楷体_GB2312"/>
          <w:b/>
          <w:bCs/>
          <w:szCs w:val="32"/>
        </w:rPr>
        <w:t>33</w:t>
      </w:r>
      <w:r>
        <w:rPr>
          <w:rFonts w:hint="eastAsia" w:eastAsia="楷体_GB2312"/>
          <w:b/>
          <w:bCs/>
          <w:szCs w:val="32"/>
        </w:rPr>
        <w:t>）</w:t>
      </w:r>
      <w:bookmarkEnd w:id="33"/>
    </w:p>
    <w:p>
      <w:pPr>
        <w:spacing w:line="600" w:lineRule="exact"/>
        <w:rPr>
          <w:b/>
          <w:kern w:val="0"/>
          <w:szCs w:val="32"/>
        </w:rPr>
      </w:pPr>
      <w:r>
        <w:rPr>
          <w:b/>
          <w:kern w:val="0"/>
          <w:szCs w:val="32"/>
        </w:rPr>
        <w:t>33</w:t>
      </w:r>
      <w:r>
        <w:rPr>
          <w:rFonts w:hint="eastAsia"/>
          <w:b/>
          <w:kern w:val="0"/>
          <w:szCs w:val="32"/>
        </w:rPr>
        <w:t>. 患者满意度▲</w:t>
      </w:r>
    </w:p>
    <w:p>
      <w:pPr>
        <w:spacing w:line="600" w:lineRule="exact"/>
        <w:rPr>
          <w:b/>
          <w:szCs w:val="32"/>
        </w:rPr>
      </w:pPr>
      <w:r>
        <w:rPr>
          <w:rFonts w:hint="eastAsia"/>
          <w:b/>
          <w:szCs w:val="32"/>
        </w:rPr>
        <w:t>【指标属性】</w:t>
      </w:r>
      <w:r>
        <w:rPr>
          <w:rFonts w:hint="eastAsia"/>
          <w:szCs w:val="32"/>
        </w:rPr>
        <w:t>定量指标、国家监测指标。</w:t>
      </w:r>
    </w:p>
    <w:p>
      <w:pPr>
        <w:spacing w:line="600" w:lineRule="exact"/>
        <w:rPr>
          <w:b/>
          <w:szCs w:val="32"/>
        </w:rPr>
      </w:pPr>
      <w:r>
        <w:rPr>
          <w:rFonts w:hint="eastAsia"/>
          <w:b/>
          <w:szCs w:val="32"/>
        </w:rPr>
        <w:t>【计量单位】</w:t>
      </w:r>
      <w:r>
        <w:rPr>
          <w:rFonts w:hint="eastAsia"/>
          <w:szCs w:val="32"/>
        </w:rPr>
        <w:t>分值</w:t>
      </w:r>
    </w:p>
    <w:p>
      <w:pPr>
        <w:spacing w:line="600" w:lineRule="exact"/>
        <w:rPr>
          <w:b/>
          <w:szCs w:val="32"/>
        </w:rPr>
      </w:pPr>
      <w:r>
        <w:rPr>
          <w:rFonts w:hint="eastAsia"/>
          <w:b/>
          <w:szCs w:val="32"/>
        </w:rPr>
        <w:t>【指标定义】</w:t>
      </w:r>
    </w:p>
    <w:p>
      <w:pPr>
        <w:adjustRightInd w:val="0"/>
        <w:spacing w:line="600" w:lineRule="exact"/>
        <w:ind w:firstLine="640" w:firstLineChars="200"/>
        <w:rPr>
          <w:szCs w:val="32"/>
        </w:rPr>
      </w:pPr>
      <w:r>
        <w:rPr>
          <w:rFonts w:hint="eastAsia"/>
          <w:szCs w:val="32"/>
        </w:rPr>
        <w:t>患者在就诊期间对医疗服务怀有的期望与其对医疗服务的实际感知的一致性程度。包括</w:t>
      </w:r>
      <w:r>
        <w:rPr>
          <w:szCs w:val="32"/>
        </w:rPr>
        <w:t>门诊患者满意度、住院患者满意度。</w:t>
      </w:r>
    </w:p>
    <w:p>
      <w:pPr>
        <w:adjustRightInd w:val="0"/>
        <w:spacing w:line="600" w:lineRule="exact"/>
        <w:rPr>
          <w:b/>
          <w:szCs w:val="32"/>
        </w:rPr>
      </w:pPr>
      <w:r>
        <w:rPr>
          <w:rFonts w:hint="eastAsia"/>
          <w:b/>
          <w:szCs w:val="32"/>
        </w:rPr>
        <w:t>【计算方法】</w:t>
      </w:r>
    </w:p>
    <w:p>
      <w:pPr>
        <w:adjustRightInd w:val="0"/>
        <w:spacing w:line="600" w:lineRule="exact"/>
        <w:ind w:firstLine="640" w:firstLineChars="200"/>
        <w:rPr>
          <w:b/>
          <w:szCs w:val="32"/>
        </w:rPr>
      </w:pPr>
      <w:r>
        <w:rPr>
          <w:rFonts w:hint="eastAsia"/>
          <w:szCs w:val="32"/>
        </w:rPr>
        <w:t>门诊、</w:t>
      </w:r>
      <w:r>
        <w:rPr>
          <w:szCs w:val="32"/>
        </w:rPr>
        <w:t>住院</w:t>
      </w:r>
      <w:r>
        <w:rPr>
          <w:rFonts w:hint="eastAsia"/>
          <w:szCs w:val="32"/>
        </w:rPr>
        <w:t>患者满意度调查得分。</w:t>
      </w:r>
    </w:p>
    <w:p>
      <w:pPr>
        <w:adjustRightInd w:val="0"/>
        <w:spacing w:line="600" w:lineRule="exact"/>
        <w:rPr>
          <w:b/>
          <w:szCs w:val="32"/>
        </w:rPr>
      </w:pPr>
      <w:r>
        <w:rPr>
          <w:rFonts w:hint="eastAsia"/>
          <w:b/>
          <w:szCs w:val="32"/>
        </w:rPr>
        <w:t>【指标说明】</w:t>
      </w:r>
    </w:p>
    <w:p>
      <w:pPr>
        <w:adjustRightInd w:val="0"/>
        <w:spacing w:line="600" w:lineRule="exact"/>
        <w:ind w:firstLine="640" w:firstLineChars="200"/>
        <w:rPr>
          <w:szCs w:val="32"/>
        </w:rPr>
      </w:pPr>
      <w:r>
        <w:rPr>
          <w:rFonts w:hint="eastAsia"/>
          <w:szCs w:val="32"/>
        </w:rPr>
        <w:t>门诊</w:t>
      </w:r>
      <w:r>
        <w:rPr>
          <w:szCs w:val="32"/>
        </w:rPr>
        <w:t>患者满意</w:t>
      </w:r>
      <w:r>
        <w:rPr>
          <w:rFonts w:hint="eastAsia"/>
          <w:szCs w:val="32"/>
        </w:rPr>
        <w:t>度问卷维度包括挂号体验、医患沟通、医务人员回应性、隐私保护、环境与标识等。</w:t>
      </w:r>
    </w:p>
    <w:p>
      <w:pPr>
        <w:adjustRightInd w:val="0"/>
        <w:spacing w:line="600" w:lineRule="exact"/>
        <w:ind w:firstLine="640" w:firstLineChars="200"/>
        <w:rPr>
          <w:szCs w:val="32"/>
        </w:rPr>
      </w:pPr>
      <w:r>
        <w:rPr>
          <w:rFonts w:hint="eastAsia"/>
          <w:szCs w:val="32"/>
        </w:rPr>
        <w:t>住院</w:t>
      </w:r>
      <w:r>
        <w:rPr>
          <w:szCs w:val="32"/>
        </w:rPr>
        <w:t>患者满意度</w:t>
      </w:r>
      <w:r>
        <w:rPr>
          <w:rFonts w:hint="eastAsia"/>
          <w:szCs w:val="32"/>
        </w:rPr>
        <w:t>问卷维度包括</w:t>
      </w:r>
      <w:r>
        <w:rPr>
          <w:rFonts w:hint="eastAsia"/>
          <w:bCs/>
          <w:szCs w:val="32"/>
        </w:rPr>
        <w:t>医患沟通、医务人员回应性、出入院手续和信息、疼痛管理、用药沟通、环境与标识、饭菜质量、对亲友态度等。</w:t>
      </w:r>
    </w:p>
    <w:p>
      <w:pPr>
        <w:adjustRightInd w:val="0"/>
        <w:spacing w:line="600" w:lineRule="exact"/>
        <w:ind w:firstLine="640" w:firstLineChars="200"/>
        <w:rPr>
          <w:szCs w:val="32"/>
        </w:rPr>
      </w:pPr>
      <w:r>
        <w:rPr>
          <w:rFonts w:hint="eastAsia"/>
          <w:szCs w:val="32"/>
        </w:rPr>
        <w:t>满意</w:t>
      </w:r>
      <w:r>
        <w:rPr>
          <w:szCs w:val="32"/>
        </w:rPr>
        <w:t>度评价</w:t>
      </w:r>
      <w:r>
        <w:rPr>
          <w:rFonts w:hint="eastAsia"/>
          <w:szCs w:val="32"/>
        </w:rPr>
        <w:t>作为医院绩效考核指标的组成部分，仅考察医院可控可</w:t>
      </w:r>
      <w:r>
        <w:rPr>
          <w:szCs w:val="32"/>
        </w:rPr>
        <w:t>改进</w:t>
      </w:r>
      <w:r>
        <w:rPr>
          <w:rFonts w:hint="eastAsia"/>
          <w:szCs w:val="32"/>
        </w:rPr>
        <w:t>的部分（医院本身的绩效），不包括影响患者就医体验的，</w:t>
      </w:r>
      <w:r>
        <w:rPr>
          <w:szCs w:val="32"/>
        </w:rPr>
        <w:t>但医院不可控的</w:t>
      </w:r>
      <w:r>
        <w:rPr>
          <w:rFonts w:hint="eastAsia"/>
          <w:szCs w:val="32"/>
        </w:rPr>
        <w:t>部分，比如服务价格。</w:t>
      </w:r>
    </w:p>
    <w:p>
      <w:pPr>
        <w:spacing w:line="600" w:lineRule="exact"/>
        <w:rPr>
          <w:b/>
          <w:szCs w:val="32"/>
        </w:rPr>
      </w:pPr>
      <w:r>
        <w:rPr>
          <w:rFonts w:hint="eastAsia"/>
          <w:b/>
          <w:szCs w:val="32"/>
        </w:rPr>
        <w:t>【指标意义】</w:t>
      </w:r>
    </w:p>
    <w:p>
      <w:pPr>
        <w:adjustRightInd w:val="0"/>
        <w:spacing w:line="600" w:lineRule="exact"/>
        <w:ind w:firstLine="640" w:firstLineChars="200"/>
        <w:rPr>
          <w:rFonts w:ascii="仿宋" w:hAnsi="仿宋" w:eastAsia="仿宋"/>
          <w:szCs w:val="32"/>
        </w:rPr>
      </w:pPr>
      <w:r>
        <w:rPr>
          <w:rFonts w:hint="eastAsia"/>
          <w:szCs w:val="32"/>
        </w:rPr>
        <w:t>《关于印发进一步</w:t>
      </w:r>
      <w:r>
        <w:rPr>
          <w:szCs w:val="32"/>
        </w:rPr>
        <w:t>改善医疗服务行动计划的通知》（国卫医发</w:t>
      </w:r>
      <w:r>
        <w:rPr>
          <w:rFonts w:hint="eastAsia" w:ascii="仿宋_GB2312"/>
          <w:szCs w:val="32"/>
        </w:rPr>
        <w:t>〔</w:t>
      </w:r>
      <w:r>
        <w:rPr>
          <w:rFonts w:ascii="仿宋_GB2312"/>
          <w:szCs w:val="32"/>
        </w:rPr>
        <w:t>2015</w:t>
      </w:r>
      <w:r>
        <w:rPr>
          <w:rFonts w:hint="eastAsia" w:ascii="仿宋_GB2312"/>
          <w:szCs w:val="32"/>
        </w:rPr>
        <w:t>〕</w:t>
      </w:r>
      <w:r>
        <w:rPr>
          <w:rFonts w:ascii="仿宋_GB2312"/>
          <w:szCs w:val="32"/>
        </w:rPr>
        <w:t>2</w:t>
      </w:r>
      <w:r>
        <w:rPr>
          <w:rFonts w:hint="eastAsia" w:ascii="仿宋_GB2312"/>
          <w:szCs w:val="32"/>
        </w:rPr>
        <w:t>号）、《关于印发进一步改善医疗服务行动计划（</w:t>
      </w:r>
      <w:r>
        <w:rPr>
          <w:rFonts w:ascii="仿宋_GB2312"/>
          <w:szCs w:val="32"/>
        </w:rPr>
        <w:t>2018-2020</w:t>
      </w:r>
      <w:r>
        <w:rPr>
          <w:rFonts w:hint="eastAsia" w:ascii="仿宋_GB2312"/>
          <w:szCs w:val="32"/>
        </w:rPr>
        <w:t>年）的通知》（</w:t>
      </w:r>
      <w:r>
        <w:rPr>
          <w:rFonts w:hint="eastAsia" w:ascii="仿宋_GB2312"/>
          <w:color w:val="000000"/>
          <w:szCs w:val="32"/>
          <w:shd w:val="clear" w:color="auto" w:fill="FFFFFF"/>
        </w:rPr>
        <w:t>国卫医发〔</w:t>
      </w:r>
      <w:r>
        <w:rPr>
          <w:rFonts w:ascii="仿宋_GB2312"/>
          <w:color w:val="000000"/>
          <w:szCs w:val="32"/>
          <w:shd w:val="clear" w:color="auto" w:fill="FFFFFF"/>
        </w:rPr>
        <w:t>2017</w:t>
      </w:r>
      <w:r>
        <w:rPr>
          <w:rFonts w:hint="eastAsia" w:ascii="仿宋_GB2312"/>
          <w:color w:val="000000"/>
          <w:szCs w:val="32"/>
          <w:shd w:val="clear" w:color="auto" w:fill="FFFFFF"/>
        </w:rPr>
        <w:t>〕</w:t>
      </w:r>
      <w:r>
        <w:rPr>
          <w:rFonts w:ascii="仿宋_GB2312"/>
          <w:color w:val="000000"/>
          <w:szCs w:val="32"/>
          <w:shd w:val="clear" w:color="auto" w:fill="FFFFFF"/>
        </w:rPr>
        <w:t>73</w:t>
      </w:r>
      <w:r>
        <w:rPr>
          <w:rFonts w:hint="eastAsia" w:ascii="仿宋_GB2312"/>
          <w:color w:val="000000"/>
          <w:szCs w:val="32"/>
          <w:shd w:val="clear" w:color="auto" w:fill="FFFFFF"/>
        </w:rPr>
        <w:t>号）</w:t>
      </w:r>
      <w:r>
        <w:rPr>
          <w:rFonts w:hint="eastAsia" w:ascii="仿宋_GB2312"/>
          <w:szCs w:val="32"/>
        </w:rPr>
        <w:t>及《国家卫生计生委办公厅关于开展医院满意度调查试点工作的通知》（国卫办医函〔</w:t>
      </w:r>
      <w:r>
        <w:rPr>
          <w:rFonts w:ascii="仿宋_GB2312"/>
          <w:szCs w:val="32"/>
        </w:rPr>
        <w:t>2017</w:t>
      </w:r>
      <w:r>
        <w:rPr>
          <w:rFonts w:hint="eastAsia" w:ascii="仿宋_GB2312"/>
          <w:szCs w:val="32"/>
        </w:rPr>
        <w:t>〕</w:t>
      </w:r>
      <w:r>
        <w:rPr>
          <w:rFonts w:ascii="仿宋_GB2312"/>
          <w:szCs w:val="32"/>
        </w:rPr>
        <w:t>849</w:t>
      </w:r>
      <w:r>
        <w:rPr>
          <w:rFonts w:hint="eastAsia" w:ascii="仿宋_GB2312"/>
          <w:szCs w:val="32"/>
        </w:rPr>
        <w:t>号）要求，医院应当制订满意度监测指标并不断完善，将患者满意度作为加强内部运行机制改革、促进自身健康发展的有效抓手，有针对性地改进服务，着力构建患者满意度调查长效工作机制，为患者提供人性化服务和人文关怀。</w:t>
      </w:r>
      <w:r>
        <w:rPr>
          <w:rFonts w:hint="eastAsia" w:ascii="仿宋_GB2312" w:hAnsi="仿宋" w:cs="仿宋"/>
          <w:szCs w:val="21"/>
        </w:rPr>
        <w:t>《关于印发公立医院高质量发展促进行动（</w:t>
      </w:r>
      <w:r>
        <w:rPr>
          <w:rFonts w:ascii="仿宋_GB2312" w:hAnsi="仿宋" w:cs="仿宋"/>
          <w:szCs w:val="21"/>
        </w:rPr>
        <w:t>2021-2025</w:t>
      </w:r>
      <w:r>
        <w:rPr>
          <w:rFonts w:hint="eastAsia" w:ascii="仿宋_GB2312" w:hAnsi="仿宋" w:cs="仿宋"/>
          <w:szCs w:val="21"/>
        </w:rPr>
        <w:t>年）的通知》（国卫医发〔</w:t>
      </w:r>
      <w:r>
        <w:rPr>
          <w:rFonts w:ascii="仿宋_GB2312" w:hAnsi="仿宋" w:cs="仿宋"/>
          <w:szCs w:val="21"/>
        </w:rPr>
        <w:t>2021</w:t>
      </w:r>
      <w:r>
        <w:rPr>
          <w:rFonts w:hint="eastAsia" w:ascii="仿宋_GB2312" w:hAnsi="仿宋" w:cs="仿宋"/>
          <w:szCs w:val="21"/>
        </w:rPr>
        <w:t>〕</w:t>
      </w:r>
      <w:r>
        <w:rPr>
          <w:rFonts w:ascii="仿宋_GB2312" w:hAnsi="仿宋" w:cs="仿宋"/>
          <w:szCs w:val="21"/>
        </w:rPr>
        <w:t>27</w:t>
      </w:r>
      <w:r>
        <w:rPr>
          <w:rFonts w:hint="eastAsia" w:ascii="仿宋_GB2312" w:hAnsi="仿宋" w:cs="仿宋"/>
          <w:szCs w:val="21"/>
        </w:rPr>
        <w:t>号）</w:t>
      </w:r>
      <w:r>
        <w:rPr>
          <w:rFonts w:hint="eastAsia" w:ascii="仿宋" w:hAnsi="仿宋" w:eastAsia="仿宋" w:cs="仿宋"/>
          <w:szCs w:val="21"/>
        </w:rPr>
        <w:t>要求，建立健全满意度管理制度。</w:t>
      </w:r>
    </w:p>
    <w:p>
      <w:pPr>
        <w:spacing w:line="600" w:lineRule="exact"/>
        <w:rPr>
          <w:szCs w:val="32"/>
        </w:rPr>
      </w:pPr>
      <w:r>
        <w:rPr>
          <w:rFonts w:hint="eastAsia"/>
          <w:b/>
          <w:szCs w:val="32"/>
        </w:rPr>
        <w:t>【指标导向】</w:t>
      </w:r>
      <w:r>
        <w:rPr>
          <w:rFonts w:hint="eastAsia"/>
          <w:szCs w:val="32"/>
        </w:rPr>
        <w:t>逐步提高。</w:t>
      </w:r>
    </w:p>
    <w:p>
      <w:pPr>
        <w:spacing w:line="600" w:lineRule="exact"/>
        <w:rPr>
          <w:szCs w:val="32"/>
        </w:rPr>
      </w:pPr>
      <w:r>
        <w:rPr>
          <w:rFonts w:hint="eastAsia"/>
          <w:b/>
          <w:szCs w:val="32"/>
        </w:rPr>
        <w:t>【指标来源】</w:t>
      </w:r>
      <w:r>
        <w:rPr>
          <w:rFonts w:hint="eastAsia"/>
          <w:szCs w:val="32"/>
        </w:rPr>
        <w:t>国家公立医院满意度调查平台。</w:t>
      </w:r>
    </w:p>
    <w:p>
      <w:pPr>
        <w:spacing w:line="600" w:lineRule="exact"/>
        <w:rPr>
          <w:szCs w:val="32"/>
        </w:rPr>
      </w:pPr>
      <w:r>
        <w:rPr>
          <w:rFonts w:hint="eastAsia"/>
          <w:b/>
          <w:szCs w:val="32"/>
        </w:rPr>
        <w:t>【指标解释】</w:t>
      </w:r>
      <w:r>
        <w:rPr>
          <w:rFonts w:hint="eastAsia"/>
          <w:szCs w:val="32"/>
        </w:rPr>
        <w:t>国家卫生健康委医疗管理服务指导中心。</w:t>
      </w:r>
    </w:p>
    <w:p>
      <w:pPr>
        <w:widowControl/>
        <w:jc w:val="left"/>
        <w:rPr>
          <w:szCs w:val="32"/>
        </w:rPr>
      </w:pPr>
      <w:r>
        <w:rPr>
          <w:szCs w:val="32"/>
        </w:rPr>
        <w:br w:type="page"/>
      </w:r>
    </w:p>
    <w:p>
      <w:pPr>
        <w:keepNext/>
        <w:keepLines/>
        <w:shd w:val="clear" w:color="auto" w:fill="FFFFFF"/>
        <w:spacing w:line="580" w:lineRule="exact"/>
        <w:outlineLvl w:val="1"/>
        <w:rPr>
          <w:rFonts w:eastAsia="楷体_GB2312"/>
          <w:b/>
          <w:bCs/>
          <w:szCs w:val="32"/>
        </w:rPr>
      </w:pPr>
      <w:bookmarkStart w:id="34" w:name="_Toc42857920"/>
      <w:r>
        <w:rPr>
          <w:rFonts w:hint="eastAsia" w:eastAsia="楷体_GB2312"/>
          <w:b/>
          <w:bCs/>
          <w:szCs w:val="32"/>
        </w:rPr>
        <w:t>（十）医务人员满意度（指标</w:t>
      </w:r>
      <w:r>
        <w:rPr>
          <w:rFonts w:eastAsia="楷体_GB2312"/>
          <w:b/>
          <w:bCs/>
          <w:szCs w:val="32"/>
        </w:rPr>
        <w:t>34</w:t>
      </w:r>
      <w:r>
        <w:rPr>
          <w:rFonts w:hint="eastAsia" w:eastAsia="楷体_GB2312"/>
          <w:b/>
          <w:bCs/>
          <w:szCs w:val="32"/>
        </w:rPr>
        <w:t>）</w:t>
      </w:r>
      <w:bookmarkEnd w:id="34"/>
    </w:p>
    <w:p>
      <w:pPr>
        <w:widowControl/>
        <w:spacing w:line="580" w:lineRule="exact"/>
        <w:rPr>
          <w:b/>
          <w:szCs w:val="32"/>
        </w:rPr>
      </w:pPr>
      <w:r>
        <w:rPr>
          <w:b/>
          <w:szCs w:val="32"/>
        </w:rPr>
        <w:t>34</w:t>
      </w:r>
      <w:r>
        <w:rPr>
          <w:rFonts w:hint="eastAsia"/>
          <w:b/>
          <w:szCs w:val="32"/>
        </w:rPr>
        <w:t>. 医务人员满意度▲</w:t>
      </w:r>
    </w:p>
    <w:p>
      <w:pPr>
        <w:spacing w:line="580" w:lineRule="exact"/>
        <w:rPr>
          <w:b/>
          <w:szCs w:val="32"/>
        </w:rPr>
      </w:pPr>
      <w:r>
        <w:rPr>
          <w:rFonts w:hint="eastAsia"/>
          <w:b/>
          <w:szCs w:val="32"/>
        </w:rPr>
        <w:t>【指标属性】</w:t>
      </w:r>
      <w:r>
        <w:rPr>
          <w:rFonts w:hint="eastAsia"/>
          <w:szCs w:val="32"/>
        </w:rPr>
        <w:t>定量指标、国家监测指标。</w:t>
      </w:r>
    </w:p>
    <w:p>
      <w:pPr>
        <w:spacing w:line="580" w:lineRule="exact"/>
        <w:rPr>
          <w:b/>
          <w:szCs w:val="32"/>
        </w:rPr>
      </w:pPr>
      <w:r>
        <w:rPr>
          <w:rFonts w:hint="eastAsia"/>
          <w:b/>
          <w:szCs w:val="32"/>
        </w:rPr>
        <w:t>【计量单位】</w:t>
      </w:r>
      <w:r>
        <w:rPr>
          <w:rFonts w:hint="eastAsia"/>
          <w:szCs w:val="32"/>
        </w:rPr>
        <w:t>分值</w:t>
      </w:r>
    </w:p>
    <w:p>
      <w:pPr>
        <w:spacing w:line="580" w:lineRule="exact"/>
        <w:rPr>
          <w:b/>
          <w:szCs w:val="32"/>
        </w:rPr>
      </w:pPr>
      <w:r>
        <w:rPr>
          <w:rFonts w:hint="eastAsia"/>
          <w:b/>
          <w:szCs w:val="32"/>
        </w:rPr>
        <w:t>【指标定义】</w:t>
      </w:r>
    </w:p>
    <w:p>
      <w:pPr>
        <w:adjustRightInd w:val="0"/>
        <w:spacing w:line="580" w:lineRule="exact"/>
        <w:ind w:firstLine="640" w:firstLineChars="200"/>
        <w:rPr>
          <w:szCs w:val="32"/>
        </w:rPr>
      </w:pPr>
      <w:r>
        <w:rPr>
          <w:rFonts w:hint="eastAsia"/>
          <w:szCs w:val="32"/>
        </w:rPr>
        <w:t>医务人员满意度</w:t>
      </w:r>
      <w:r>
        <w:rPr>
          <w:szCs w:val="32"/>
        </w:rPr>
        <w:t>指</w:t>
      </w:r>
      <w:r>
        <w:rPr>
          <w:rFonts w:hint="eastAsia"/>
          <w:bCs/>
          <w:szCs w:val="32"/>
        </w:rPr>
        <w:t>医务人员对其所从事工作的总体态度</w:t>
      </w:r>
      <w:r>
        <w:rPr>
          <w:rFonts w:hint="eastAsia"/>
          <w:szCs w:val="32"/>
        </w:rPr>
        <w:t>。</w:t>
      </w:r>
    </w:p>
    <w:p>
      <w:pPr>
        <w:adjustRightInd w:val="0"/>
        <w:spacing w:line="580" w:lineRule="exact"/>
        <w:rPr>
          <w:b/>
          <w:szCs w:val="32"/>
        </w:rPr>
      </w:pPr>
      <w:r>
        <w:rPr>
          <w:rFonts w:hint="eastAsia"/>
          <w:b/>
          <w:szCs w:val="32"/>
        </w:rPr>
        <w:t>【计算方法】</w:t>
      </w:r>
    </w:p>
    <w:p>
      <w:pPr>
        <w:adjustRightInd w:val="0"/>
        <w:spacing w:line="580" w:lineRule="exact"/>
        <w:ind w:firstLine="640" w:firstLineChars="200"/>
        <w:rPr>
          <w:b/>
          <w:szCs w:val="32"/>
        </w:rPr>
      </w:pPr>
      <w:r>
        <w:rPr>
          <w:rFonts w:hint="eastAsia"/>
          <w:szCs w:val="32"/>
        </w:rPr>
        <w:t>医务人员满意度调查得分。</w:t>
      </w:r>
    </w:p>
    <w:p>
      <w:pPr>
        <w:adjustRightInd w:val="0"/>
        <w:spacing w:line="580" w:lineRule="exact"/>
        <w:rPr>
          <w:b/>
          <w:szCs w:val="32"/>
        </w:rPr>
      </w:pPr>
      <w:r>
        <w:rPr>
          <w:rFonts w:hint="eastAsia"/>
          <w:b/>
          <w:szCs w:val="32"/>
        </w:rPr>
        <w:t>【指标说明】</w:t>
      </w:r>
    </w:p>
    <w:p>
      <w:pPr>
        <w:adjustRightInd w:val="0"/>
        <w:spacing w:line="580" w:lineRule="exact"/>
        <w:ind w:firstLine="640" w:firstLineChars="200"/>
        <w:rPr>
          <w:b/>
          <w:szCs w:val="32"/>
        </w:rPr>
      </w:pPr>
      <w:r>
        <w:rPr>
          <w:rFonts w:hint="eastAsia"/>
          <w:szCs w:val="32"/>
        </w:rPr>
        <w:t>医务人员满意度问卷维度包括薪酬福利、发展晋升、工作内容与环境、上下级关系、同级关系等。</w:t>
      </w:r>
    </w:p>
    <w:p>
      <w:pPr>
        <w:adjustRightInd w:val="0"/>
        <w:spacing w:line="580" w:lineRule="exact"/>
        <w:rPr>
          <w:b/>
          <w:szCs w:val="32"/>
        </w:rPr>
      </w:pPr>
      <w:r>
        <w:rPr>
          <w:rFonts w:hint="eastAsia"/>
          <w:b/>
          <w:szCs w:val="32"/>
        </w:rPr>
        <w:t>【指标意义】</w:t>
      </w:r>
    </w:p>
    <w:p>
      <w:pPr>
        <w:widowControl/>
        <w:adjustRightInd w:val="0"/>
        <w:spacing w:line="580" w:lineRule="exact"/>
        <w:ind w:firstLine="640" w:firstLineChars="200"/>
        <w:rPr>
          <w:rFonts w:ascii="仿宋" w:hAnsi="仿宋" w:eastAsia="仿宋"/>
          <w:szCs w:val="32"/>
        </w:rPr>
      </w:pPr>
      <w:r>
        <w:rPr>
          <w:rFonts w:hint="eastAsia"/>
          <w:szCs w:val="32"/>
        </w:rPr>
        <w:t>《关于印发进一步</w:t>
      </w:r>
      <w:r>
        <w:rPr>
          <w:szCs w:val="32"/>
        </w:rPr>
        <w:t>改善医疗服务行动计划的通知》（国卫医发</w:t>
      </w:r>
      <w:r>
        <w:rPr>
          <w:rFonts w:hint="eastAsia" w:ascii="仿宋_GB2312"/>
        </w:rPr>
        <w:t>〔</w:t>
      </w:r>
      <w:r>
        <w:rPr>
          <w:rFonts w:ascii="仿宋_GB2312"/>
        </w:rPr>
        <w:t>2015</w:t>
      </w:r>
      <w:r>
        <w:rPr>
          <w:rFonts w:hint="eastAsia" w:ascii="仿宋_GB2312"/>
        </w:rPr>
        <w:t>〕</w:t>
      </w:r>
      <w:r>
        <w:rPr>
          <w:rFonts w:ascii="仿宋_GB2312"/>
        </w:rPr>
        <w:t>2</w:t>
      </w:r>
      <w:r>
        <w:rPr>
          <w:rFonts w:hint="eastAsia" w:ascii="仿宋_GB2312"/>
        </w:rPr>
        <w:t>号）、《关于印发进一步改善医疗服务行动计划（</w:t>
      </w:r>
      <w:r>
        <w:rPr>
          <w:rFonts w:ascii="仿宋_GB2312"/>
        </w:rPr>
        <w:t>2018-2020</w:t>
      </w:r>
      <w:r>
        <w:rPr>
          <w:rFonts w:hint="eastAsia" w:ascii="仿宋_GB2312"/>
        </w:rPr>
        <w:t>年）的通知》（国卫医发〔</w:t>
      </w:r>
      <w:r>
        <w:rPr>
          <w:rFonts w:ascii="仿宋_GB2312"/>
        </w:rPr>
        <w:t>2017</w:t>
      </w:r>
      <w:r>
        <w:rPr>
          <w:rFonts w:hint="eastAsia" w:ascii="仿宋_GB2312"/>
        </w:rPr>
        <w:t>〕</w:t>
      </w:r>
      <w:r>
        <w:rPr>
          <w:rFonts w:ascii="仿宋_GB2312"/>
        </w:rPr>
        <w:t>73</w:t>
      </w:r>
      <w:r>
        <w:rPr>
          <w:rFonts w:hint="eastAsia" w:ascii="仿宋_GB2312"/>
        </w:rPr>
        <w:t>号）及《国家卫生计生委办公厅关于开展医院满意度调查试点工作的通知》（国卫办医函〔</w:t>
      </w:r>
      <w:r>
        <w:rPr>
          <w:rFonts w:ascii="仿宋_GB2312"/>
        </w:rPr>
        <w:t>2017</w:t>
      </w:r>
      <w:r>
        <w:rPr>
          <w:rFonts w:hint="eastAsia" w:ascii="仿宋_GB2312"/>
        </w:rPr>
        <w:t>〕</w:t>
      </w:r>
      <w:r>
        <w:rPr>
          <w:rFonts w:ascii="仿宋_GB2312"/>
        </w:rPr>
        <w:t>849</w:t>
      </w:r>
      <w:r>
        <w:rPr>
          <w:rFonts w:hint="eastAsia" w:ascii="仿宋_GB2312"/>
        </w:rPr>
        <w:t>号）要求，医院应及时了解医务人员感受，提高医务人员满意度，调动医务人员积极性，减少人员频繁流动等问题，使医务人员更好地为患者服务。《关于印发公立医院高质量发展促进行动（</w:t>
      </w:r>
      <w:r>
        <w:rPr>
          <w:rFonts w:ascii="仿宋_GB2312"/>
        </w:rPr>
        <w:t>2021-2025</w:t>
      </w:r>
      <w:r>
        <w:rPr>
          <w:rFonts w:hint="eastAsia" w:ascii="仿宋_GB2312"/>
        </w:rPr>
        <w:t>年）的通知》（国卫医发〔</w:t>
      </w:r>
      <w:r>
        <w:rPr>
          <w:rFonts w:ascii="仿宋_GB2312"/>
        </w:rPr>
        <w:t>2021</w:t>
      </w:r>
      <w:r>
        <w:rPr>
          <w:rFonts w:hint="eastAsia" w:ascii="仿宋_GB2312"/>
        </w:rPr>
        <w:t>〕</w:t>
      </w:r>
      <w:r>
        <w:rPr>
          <w:rFonts w:ascii="仿宋_GB2312"/>
        </w:rPr>
        <w:t>27</w:t>
      </w:r>
      <w:r>
        <w:rPr>
          <w:rFonts w:hint="eastAsia" w:ascii="仿宋_GB2312"/>
        </w:rPr>
        <w:t>号）要求，建立健全满意度管理制度</w:t>
      </w:r>
      <w:r>
        <w:rPr>
          <w:rFonts w:hint="eastAsia" w:ascii="仿宋" w:hAnsi="仿宋" w:eastAsia="仿宋" w:cs="仿宋"/>
          <w:szCs w:val="21"/>
        </w:rPr>
        <w:t>。</w:t>
      </w:r>
    </w:p>
    <w:p>
      <w:pPr>
        <w:spacing w:line="580" w:lineRule="exact"/>
        <w:rPr>
          <w:b/>
          <w:szCs w:val="32"/>
        </w:rPr>
      </w:pPr>
      <w:r>
        <w:rPr>
          <w:rFonts w:hint="eastAsia"/>
          <w:b/>
          <w:szCs w:val="32"/>
        </w:rPr>
        <w:t>【指标导向】</w:t>
      </w:r>
      <w:r>
        <w:rPr>
          <w:rFonts w:hint="eastAsia"/>
          <w:szCs w:val="32"/>
        </w:rPr>
        <w:t>逐步提高。</w:t>
      </w:r>
    </w:p>
    <w:p>
      <w:pPr>
        <w:spacing w:line="580" w:lineRule="exact"/>
        <w:rPr>
          <w:szCs w:val="32"/>
        </w:rPr>
      </w:pPr>
      <w:r>
        <w:rPr>
          <w:rFonts w:hint="eastAsia"/>
          <w:b/>
          <w:szCs w:val="32"/>
        </w:rPr>
        <w:t>【指标来源】</w:t>
      </w:r>
      <w:r>
        <w:rPr>
          <w:rFonts w:hint="eastAsia"/>
          <w:szCs w:val="32"/>
        </w:rPr>
        <w:t>国家公立医院满意度调查平台。</w:t>
      </w:r>
    </w:p>
    <w:p>
      <w:pPr>
        <w:spacing w:line="580" w:lineRule="exact"/>
        <w:rPr>
          <w:szCs w:val="32"/>
        </w:rPr>
      </w:pPr>
      <w:r>
        <w:rPr>
          <w:rFonts w:hint="eastAsia"/>
          <w:b/>
          <w:szCs w:val="32"/>
        </w:rPr>
        <w:t>【指标解释】</w:t>
      </w:r>
      <w:r>
        <w:rPr>
          <w:rFonts w:hint="eastAsia"/>
          <w:szCs w:val="32"/>
        </w:rPr>
        <w:t>国家卫生健康委医疗管理服务指导中心。</w:t>
      </w:r>
    </w:p>
    <w:bookmarkEnd w:id="8"/>
    <w:p>
      <w:pPr>
        <w:widowControl/>
        <w:spacing w:line="576" w:lineRule="auto"/>
        <w:jc w:val="left"/>
        <w:rPr>
          <w:rFonts w:eastAsia="黑体"/>
          <w:b/>
          <w:bCs/>
          <w:kern w:val="44"/>
          <w:sz w:val="44"/>
          <w:szCs w:val="44"/>
        </w:rPr>
        <w:sectPr>
          <w:footerReference r:id="rId6" w:type="default"/>
          <w:pgSz w:w="11906" w:h="16838"/>
          <w:pgMar w:top="1701" w:right="1531" w:bottom="1701" w:left="1531" w:header="851" w:footer="737" w:gutter="0"/>
          <w:pgNumType w:start="0"/>
          <w:cols w:space="720" w:num="1"/>
          <w:titlePg/>
          <w:docGrid w:type="linesAndChars" w:linePitch="435" w:charSpace="0"/>
        </w:sectPr>
      </w:pPr>
    </w:p>
    <w:p>
      <w:pPr>
        <w:keepNext/>
        <w:keepLines/>
        <w:spacing w:line="600" w:lineRule="exact"/>
        <w:outlineLvl w:val="0"/>
        <w:rPr>
          <w:rFonts w:eastAsia="黑体"/>
          <w:b/>
          <w:bCs/>
          <w:kern w:val="44"/>
          <w:szCs w:val="32"/>
        </w:rPr>
      </w:pPr>
      <w:bookmarkStart w:id="35" w:name="_Toc42857921"/>
      <w:r>
        <w:rPr>
          <w:rFonts w:hint="eastAsia" w:eastAsia="黑体"/>
          <w:b/>
          <w:bCs/>
          <w:kern w:val="44"/>
          <w:szCs w:val="32"/>
        </w:rPr>
        <w:t>六、附件</w:t>
      </w:r>
      <w:bookmarkEnd w:id="35"/>
    </w:p>
    <w:p>
      <w:pPr>
        <w:keepNext/>
        <w:keepLines/>
        <w:shd w:val="clear" w:color="auto" w:fill="FFFFFF"/>
        <w:spacing w:after="156" w:afterLines="50" w:line="600" w:lineRule="exact"/>
        <w:outlineLvl w:val="1"/>
        <w:rPr>
          <w:rFonts w:ascii="黑体" w:hAnsi="黑体" w:eastAsia="黑体"/>
          <w:kern w:val="44"/>
          <w:szCs w:val="32"/>
        </w:rPr>
      </w:pPr>
      <w:bookmarkStart w:id="36" w:name="_Toc42857922"/>
      <w:bookmarkStart w:id="37" w:name="_Hlk8285805"/>
      <w:r>
        <w:rPr>
          <w:rFonts w:hint="eastAsia" w:ascii="黑体" w:hAnsi="黑体" w:eastAsia="黑体"/>
          <w:kern w:val="44"/>
          <w:szCs w:val="32"/>
        </w:rPr>
        <w:t>附件</w:t>
      </w:r>
      <w:r>
        <w:rPr>
          <w:rFonts w:ascii="黑体" w:hAnsi="黑体" w:eastAsia="黑体"/>
          <w:kern w:val="44"/>
          <w:szCs w:val="32"/>
        </w:rPr>
        <w:t>1</w:t>
      </w:r>
      <w:bookmarkEnd w:id="36"/>
    </w:p>
    <w:p>
      <w:pPr>
        <w:pStyle w:val="11"/>
        <w:spacing w:after="156" w:afterLines="50"/>
        <w:ind w:firstLine="440" w:firstLineChars="100"/>
        <w:rPr>
          <w:b/>
          <w:bCs/>
          <w:sz w:val="44"/>
          <w:szCs w:val="44"/>
        </w:rPr>
      </w:pPr>
      <w:r>
        <w:rPr>
          <w:b/>
          <w:bCs/>
          <w:sz w:val="44"/>
          <w:szCs w:val="44"/>
        </w:rPr>
        <w:t>第一批国家重点监控合理用药药品目录</w:t>
      </w:r>
    </w:p>
    <w:tbl>
      <w:tblPr>
        <w:tblStyle w:val="26"/>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6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b/>
                <w:bCs/>
                <w:sz w:val="28"/>
                <w:szCs w:val="28"/>
              </w:rPr>
              <w:t>序号</w:t>
            </w:r>
          </w:p>
        </w:tc>
        <w:tc>
          <w:tcPr>
            <w:tcW w:w="6125" w:type="dxa"/>
          </w:tcPr>
          <w:p>
            <w:pPr>
              <w:spacing w:line="480" w:lineRule="exact"/>
              <w:jc w:val="center"/>
              <w:rPr>
                <w:rFonts w:ascii="等线" w:hAnsi="等线"/>
                <w:sz w:val="28"/>
                <w:szCs w:val="28"/>
              </w:rPr>
            </w:pPr>
            <w:r>
              <w:rPr>
                <w:rFonts w:ascii="等线" w:hAnsi="等线"/>
                <w:b/>
                <w:bCs/>
                <w:sz w:val="28"/>
                <w:szCs w:val="28"/>
              </w:rPr>
              <w:t>药品通用名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w:t>
            </w:r>
          </w:p>
        </w:tc>
        <w:tc>
          <w:tcPr>
            <w:tcW w:w="6125" w:type="dxa"/>
          </w:tcPr>
          <w:p>
            <w:pPr>
              <w:spacing w:line="480" w:lineRule="exact"/>
              <w:jc w:val="center"/>
              <w:rPr>
                <w:rFonts w:ascii="等线" w:hAnsi="等线"/>
                <w:sz w:val="28"/>
                <w:szCs w:val="28"/>
              </w:rPr>
            </w:pPr>
            <w:r>
              <w:rPr>
                <w:rFonts w:ascii="等线" w:hAnsi="等线"/>
                <w:sz w:val="28"/>
                <w:szCs w:val="28"/>
              </w:rPr>
              <w:t>神经节苷脂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2</w:t>
            </w:r>
          </w:p>
        </w:tc>
        <w:tc>
          <w:tcPr>
            <w:tcW w:w="6125" w:type="dxa"/>
          </w:tcPr>
          <w:p>
            <w:pPr>
              <w:spacing w:line="480" w:lineRule="exact"/>
              <w:jc w:val="center"/>
              <w:rPr>
                <w:rFonts w:ascii="等线" w:hAnsi="等线"/>
                <w:sz w:val="28"/>
                <w:szCs w:val="28"/>
              </w:rPr>
            </w:pPr>
            <w:r>
              <w:rPr>
                <w:rFonts w:ascii="等线" w:hAnsi="等线"/>
                <w:sz w:val="28"/>
                <w:szCs w:val="28"/>
              </w:rPr>
              <w:t>脑苷肌肽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3</w:t>
            </w:r>
          </w:p>
        </w:tc>
        <w:tc>
          <w:tcPr>
            <w:tcW w:w="6125" w:type="dxa"/>
          </w:tcPr>
          <w:p>
            <w:pPr>
              <w:spacing w:line="480" w:lineRule="exact"/>
              <w:jc w:val="center"/>
              <w:rPr>
                <w:rFonts w:ascii="等线" w:hAnsi="等线"/>
                <w:sz w:val="28"/>
                <w:szCs w:val="28"/>
              </w:rPr>
            </w:pPr>
            <w:r>
              <w:rPr>
                <w:rFonts w:ascii="等线" w:hAnsi="等线"/>
                <w:sz w:val="28"/>
                <w:szCs w:val="28"/>
              </w:rPr>
              <w:t>奥拉西坦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4</w:t>
            </w:r>
          </w:p>
        </w:tc>
        <w:tc>
          <w:tcPr>
            <w:tcW w:w="6125" w:type="dxa"/>
          </w:tcPr>
          <w:p>
            <w:pPr>
              <w:spacing w:line="480" w:lineRule="exact"/>
              <w:jc w:val="center"/>
              <w:rPr>
                <w:rFonts w:ascii="等线" w:hAnsi="等线"/>
                <w:sz w:val="28"/>
                <w:szCs w:val="28"/>
              </w:rPr>
            </w:pPr>
            <w:r>
              <w:rPr>
                <w:rFonts w:ascii="等线" w:hAnsi="等线"/>
                <w:sz w:val="28"/>
                <w:szCs w:val="28"/>
              </w:rPr>
              <w:t>磷酸肌酸</w:t>
            </w:r>
            <w:r>
              <w:rPr>
                <w:rFonts w:hint="eastAsia" w:ascii="等线" w:hAnsi="等线"/>
                <w:sz w:val="28"/>
                <w:szCs w:val="28"/>
                <w:lang w:val="en-US" w:eastAsia="zh-CN"/>
              </w:rPr>
              <w:t>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5</w:t>
            </w:r>
          </w:p>
        </w:tc>
        <w:tc>
          <w:tcPr>
            <w:tcW w:w="6125" w:type="dxa"/>
          </w:tcPr>
          <w:p>
            <w:pPr>
              <w:spacing w:line="480" w:lineRule="exact"/>
              <w:jc w:val="center"/>
              <w:rPr>
                <w:rFonts w:ascii="等线" w:hAnsi="等线"/>
                <w:sz w:val="28"/>
                <w:szCs w:val="28"/>
              </w:rPr>
            </w:pPr>
            <w:r>
              <w:rPr>
                <w:rFonts w:ascii="等线" w:hAnsi="等线"/>
                <w:sz w:val="28"/>
                <w:szCs w:val="28"/>
              </w:rPr>
              <w:t>小牛血清去蛋白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6</w:t>
            </w:r>
          </w:p>
        </w:tc>
        <w:tc>
          <w:tcPr>
            <w:tcW w:w="6125" w:type="dxa"/>
          </w:tcPr>
          <w:p>
            <w:pPr>
              <w:spacing w:line="480" w:lineRule="exact"/>
              <w:jc w:val="center"/>
              <w:rPr>
                <w:rFonts w:ascii="等线" w:hAnsi="等线"/>
                <w:sz w:val="28"/>
                <w:szCs w:val="28"/>
              </w:rPr>
            </w:pPr>
            <w:r>
              <w:rPr>
                <w:rFonts w:ascii="等线" w:hAnsi="等线"/>
                <w:sz w:val="28"/>
                <w:szCs w:val="28"/>
              </w:rPr>
              <w:t>前列地尔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7</w:t>
            </w:r>
          </w:p>
        </w:tc>
        <w:tc>
          <w:tcPr>
            <w:tcW w:w="6125" w:type="dxa"/>
          </w:tcPr>
          <w:p>
            <w:pPr>
              <w:spacing w:line="480" w:lineRule="exact"/>
              <w:jc w:val="center"/>
              <w:rPr>
                <w:rFonts w:ascii="等线" w:hAnsi="等线"/>
                <w:sz w:val="28"/>
                <w:szCs w:val="28"/>
              </w:rPr>
            </w:pPr>
            <w:r>
              <w:rPr>
                <w:rFonts w:ascii="等线" w:hAnsi="等线"/>
                <w:sz w:val="28"/>
                <w:szCs w:val="28"/>
              </w:rPr>
              <w:t>曲克芦丁脑蛋白水解物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8</w:t>
            </w:r>
          </w:p>
        </w:tc>
        <w:tc>
          <w:tcPr>
            <w:tcW w:w="6125" w:type="dxa"/>
          </w:tcPr>
          <w:p>
            <w:pPr>
              <w:spacing w:line="480" w:lineRule="exact"/>
              <w:jc w:val="center"/>
              <w:rPr>
                <w:rFonts w:ascii="等线" w:hAnsi="等线"/>
                <w:sz w:val="28"/>
                <w:szCs w:val="28"/>
              </w:rPr>
            </w:pPr>
            <w:r>
              <w:rPr>
                <w:rFonts w:ascii="等线" w:hAnsi="等线"/>
                <w:sz w:val="28"/>
                <w:szCs w:val="28"/>
              </w:rPr>
              <w:t>复合辅酶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9</w:t>
            </w:r>
          </w:p>
        </w:tc>
        <w:tc>
          <w:tcPr>
            <w:tcW w:w="6125" w:type="dxa"/>
          </w:tcPr>
          <w:p>
            <w:pPr>
              <w:spacing w:line="480" w:lineRule="exact"/>
              <w:jc w:val="center"/>
              <w:rPr>
                <w:rFonts w:ascii="等线" w:hAnsi="等线"/>
                <w:sz w:val="28"/>
                <w:szCs w:val="28"/>
              </w:rPr>
            </w:pPr>
            <w:r>
              <w:rPr>
                <w:rFonts w:ascii="等线" w:hAnsi="等线"/>
                <w:sz w:val="28"/>
                <w:szCs w:val="28"/>
              </w:rPr>
              <w:t>丹参川芎嗪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10</w:t>
            </w:r>
          </w:p>
        </w:tc>
        <w:tc>
          <w:tcPr>
            <w:tcW w:w="6125" w:type="dxa"/>
          </w:tcPr>
          <w:p>
            <w:pPr>
              <w:spacing w:line="480" w:lineRule="exact"/>
              <w:jc w:val="center"/>
              <w:rPr>
                <w:rFonts w:ascii="等线" w:hAnsi="等线"/>
                <w:sz w:val="28"/>
                <w:szCs w:val="28"/>
              </w:rPr>
            </w:pPr>
            <w:r>
              <w:rPr>
                <w:rFonts w:ascii="等线" w:hAnsi="等线"/>
                <w:sz w:val="28"/>
                <w:szCs w:val="28"/>
              </w:rPr>
              <w:t>转化糖电解质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11</w:t>
            </w:r>
          </w:p>
        </w:tc>
        <w:tc>
          <w:tcPr>
            <w:tcW w:w="6125" w:type="dxa"/>
          </w:tcPr>
          <w:p>
            <w:pPr>
              <w:spacing w:line="480" w:lineRule="exact"/>
              <w:jc w:val="center"/>
              <w:rPr>
                <w:rFonts w:ascii="等线" w:hAnsi="等线"/>
                <w:sz w:val="28"/>
                <w:szCs w:val="28"/>
              </w:rPr>
            </w:pPr>
            <w:r>
              <w:rPr>
                <w:rFonts w:ascii="等线" w:hAnsi="等线"/>
                <w:sz w:val="28"/>
                <w:szCs w:val="28"/>
              </w:rPr>
              <w:t>鼠神经生长因子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12</w:t>
            </w:r>
          </w:p>
        </w:tc>
        <w:tc>
          <w:tcPr>
            <w:tcW w:w="6125" w:type="dxa"/>
          </w:tcPr>
          <w:p>
            <w:pPr>
              <w:spacing w:line="480" w:lineRule="exact"/>
              <w:jc w:val="center"/>
              <w:rPr>
                <w:rFonts w:ascii="等线" w:hAnsi="等线"/>
                <w:sz w:val="28"/>
                <w:szCs w:val="28"/>
              </w:rPr>
            </w:pPr>
            <w:r>
              <w:rPr>
                <w:rFonts w:ascii="等线" w:hAnsi="等线"/>
                <w:sz w:val="28"/>
                <w:szCs w:val="28"/>
              </w:rPr>
              <w:t>胸腺五肽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13</w:t>
            </w:r>
          </w:p>
        </w:tc>
        <w:tc>
          <w:tcPr>
            <w:tcW w:w="6125" w:type="dxa"/>
          </w:tcPr>
          <w:p>
            <w:pPr>
              <w:spacing w:line="480" w:lineRule="exact"/>
              <w:jc w:val="center"/>
              <w:rPr>
                <w:rFonts w:ascii="等线" w:hAnsi="等线"/>
                <w:sz w:val="28"/>
                <w:szCs w:val="28"/>
              </w:rPr>
            </w:pPr>
            <w:r>
              <w:rPr>
                <w:rFonts w:ascii="等线" w:hAnsi="等线"/>
                <w:sz w:val="28"/>
                <w:szCs w:val="28"/>
              </w:rPr>
              <w:t>核糖核酸II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14</w:t>
            </w:r>
          </w:p>
        </w:tc>
        <w:tc>
          <w:tcPr>
            <w:tcW w:w="6125" w:type="dxa"/>
          </w:tcPr>
          <w:p>
            <w:pPr>
              <w:spacing w:line="480" w:lineRule="exact"/>
              <w:jc w:val="center"/>
              <w:rPr>
                <w:rFonts w:ascii="等线" w:hAnsi="等线"/>
                <w:sz w:val="28"/>
                <w:szCs w:val="28"/>
              </w:rPr>
            </w:pPr>
            <w:r>
              <w:rPr>
                <w:rFonts w:ascii="等线" w:hAnsi="等线"/>
                <w:sz w:val="28"/>
                <w:szCs w:val="28"/>
              </w:rPr>
              <w:t>依达拉奉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15</w:t>
            </w:r>
          </w:p>
        </w:tc>
        <w:tc>
          <w:tcPr>
            <w:tcW w:w="6125" w:type="dxa"/>
          </w:tcPr>
          <w:p>
            <w:pPr>
              <w:spacing w:line="480" w:lineRule="exact"/>
              <w:jc w:val="center"/>
              <w:rPr>
                <w:rFonts w:ascii="等线" w:hAnsi="等线"/>
                <w:sz w:val="28"/>
                <w:szCs w:val="28"/>
              </w:rPr>
            </w:pPr>
            <w:r>
              <w:rPr>
                <w:rFonts w:ascii="等线" w:hAnsi="等线"/>
                <w:sz w:val="28"/>
                <w:szCs w:val="28"/>
              </w:rPr>
              <w:t>骨肽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16</w:t>
            </w:r>
          </w:p>
        </w:tc>
        <w:tc>
          <w:tcPr>
            <w:tcW w:w="6125" w:type="dxa"/>
          </w:tcPr>
          <w:p>
            <w:pPr>
              <w:spacing w:line="480" w:lineRule="exact"/>
              <w:jc w:val="center"/>
              <w:rPr>
                <w:rFonts w:ascii="等线" w:hAnsi="等线"/>
                <w:sz w:val="28"/>
                <w:szCs w:val="28"/>
              </w:rPr>
            </w:pPr>
            <w:r>
              <w:rPr>
                <w:rFonts w:ascii="等线" w:hAnsi="等线"/>
                <w:sz w:val="28"/>
                <w:szCs w:val="28"/>
              </w:rPr>
              <w:t>脑蛋白水解物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17</w:t>
            </w:r>
          </w:p>
        </w:tc>
        <w:tc>
          <w:tcPr>
            <w:tcW w:w="6125" w:type="dxa"/>
          </w:tcPr>
          <w:p>
            <w:pPr>
              <w:spacing w:line="480" w:lineRule="exact"/>
              <w:jc w:val="center"/>
              <w:rPr>
                <w:rFonts w:ascii="等线" w:hAnsi="等线"/>
                <w:sz w:val="28"/>
                <w:szCs w:val="28"/>
              </w:rPr>
            </w:pPr>
            <w:r>
              <w:rPr>
                <w:rFonts w:ascii="等线" w:hAnsi="等线"/>
                <w:sz w:val="28"/>
                <w:szCs w:val="28"/>
              </w:rPr>
              <w:t>核糖核酸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18</w:t>
            </w:r>
          </w:p>
        </w:tc>
        <w:tc>
          <w:tcPr>
            <w:tcW w:w="6125" w:type="dxa"/>
          </w:tcPr>
          <w:p>
            <w:pPr>
              <w:spacing w:line="480" w:lineRule="exact"/>
              <w:jc w:val="center"/>
              <w:rPr>
                <w:rFonts w:ascii="等线" w:hAnsi="等线"/>
                <w:sz w:val="28"/>
                <w:szCs w:val="28"/>
              </w:rPr>
            </w:pPr>
            <w:r>
              <w:rPr>
                <w:rFonts w:ascii="等线" w:hAnsi="等线"/>
                <w:sz w:val="28"/>
                <w:szCs w:val="28"/>
              </w:rPr>
              <w:t>长春西汀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19</w:t>
            </w:r>
          </w:p>
        </w:tc>
        <w:tc>
          <w:tcPr>
            <w:tcW w:w="6125" w:type="dxa"/>
          </w:tcPr>
          <w:p>
            <w:pPr>
              <w:spacing w:line="480" w:lineRule="exact"/>
              <w:jc w:val="center"/>
              <w:rPr>
                <w:rFonts w:ascii="等线" w:hAnsi="等线"/>
                <w:sz w:val="28"/>
                <w:szCs w:val="28"/>
              </w:rPr>
            </w:pPr>
            <w:r>
              <w:rPr>
                <w:rFonts w:ascii="等线" w:hAnsi="等线"/>
                <w:sz w:val="28"/>
                <w:szCs w:val="28"/>
              </w:rPr>
              <w:t>小牛血去蛋白提取物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09" w:type="dxa"/>
          </w:tcPr>
          <w:p>
            <w:pPr>
              <w:spacing w:line="480" w:lineRule="exact"/>
              <w:jc w:val="center"/>
              <w:rPr>
                <w:rFonts w:ascii="等线" w:hAnsi="等线"/>
                <w:sz w:val="28"/>
                <w:szCs w:val="28"/>
              </w:rPr>
            </w:pPr>
            <w:r>
              <w:rPr>
                <w:rFonts w:ascii="等线" w:hAnsi="等线"/>
                <w:sz w:val="28"/>
                <w:szCs w:val="28"/>
              </w:rPr>
              <w:t>20</w:t>
            </w:r>
          </w:p>
        </w:tc>
        <w:tc>
          <w:tcPr>
            <w:tcW w:w="6125" w:type="dxa"/>
          </w:tcPr>
          <w:p>
            <w:pPr>
              <w:spacing w:line="480" w:lineRule="exact"/>
              <w:jc w:val="center"/>
              <w:rPr>
                <w:rFonts w:ascii="等线" w:hAnsi="等线"/>
                <w:sz w:val="28"/>
                <w:szCs w:val="28"/>
              </w:rPr>
            </w:pPr>
            <w:r>
              <w:rPr>
                <w:rFonts w:ascii="等线" w:hAnsi="等线"/>
                <w:sz w:val="28"/>
                <w:szCs w:val="28"/>
              </w:rPr>
              <w:t>马来酸桂哌齐特</w:t>
            </w:r>
          </w:p>
        </w:tc>
      </w:tr>
    </w:tbl>
    <w:p>
      <w:pPr>
        <w:spacing w:line="600" w:lineRule="exact"/>
        <w:rPr>
          <w:rFonts w:eastAsia="宋体"/>
          <w:b/>
          <w:sz w:val="44"/>
          <w:szCs w:val="44"/>
        </w:rPr>
      </w:pPr>
    </w:p>
    <w:p>
      <w:pPr>
        <w:widowControl/>
        <w:jc w:val="left"/>
        <w:rPr>
          <w:rFonts w:eastAsia="宋体"/>
          <w:b/>
          <w:sz w:val="44"/>
          <w:szCs w:val="44"/>
        </w:rPr>
        <w:sectPr>
          <w:footnotePr>
            <w:numFmt w:val="decimalEnclosedCircleChinese"/>
            <w:numRestart w:val="eachPage"/>
          </w:footnotePr>
          <w:pgSz w:w="11906" w:h="16838"/>
          <w:pgMar w:top="1440" w:right="1841" w:bottom="1440" w:left="1797" w:header="851" w:footer="992" w:gutter="0"/>
          <w:cols w:space="720" w:num="1"/>
          <w:docGrid w:type="linesAndChars" w:linePitch="312" w:charSpace="0"/>
        </w:sectPr>
      </w:pPr>
      <w:r>
        <w:rPr>
          <w:rFonts w:eastAsia="宋体"/>
          <w:b/>
          <w:sz w:val="44"/>
          <w:szCs w:val="44"/>
        </w:rPr>
        <w:br w:type="page"/>
      </w:r>
    </w:p>
    <w:p>
      <w:pPr>
        <w:keepNext/>
        <w:keepLines/>
        <w:shd w:val="clear" w:color="auto" w:fill="FFFFFF"/>
        <w:spacing w:after="217" w:afterLines="50" w:line="600" w:lineRule="exact"/>
        <w:outlineLvl w:val="1"/>
        <w:rPr>
          <w:rFonts w:ascii="黑体" w:hAnsi="黑体" w:eastAsia="黑体"/>
          <w:kern w:val="44"/>
          <w:szCs w:val="32"/>
        </w:rPr>
      </w:pPr>
      <w:bookmarkStart w:id="38" w:name="_Toc13044"/>
      <w:bookmarkStart w:id="39" w:name="_Toc42857923"/>
      <w:r>
        <w:rPr>
          <w:rFonts w:hint="eastAsia" w:ascii="黑体" w:hAnsi="黑体" w:eastAsia="黑体"/>
          <w:kern w:val="44"/>
          <w:szCs w:val="32"/>
        </w:rPr>
        <w:t>附件</w:t>
      </w:r>
      <w:bookmarkEnd w:id="38"/>
      <w:r>
        <w:rPr>
          <w:rFonts w:ascii="黑体" w:hAnsi="黑体" w:eastAsia="黑体"/>
          <w:kern w:val="44"/>
          <w:szCs w:val="32"/>
        </w:rPr>
        <w:t>2</w:t>
      </w:r>
      <w:bookmarkEnd w:id="39"/>
      <w:r>
        <w:rPr>
          <w:rFonts w:hint="eastAsia" w:ascii="黑体" w:hAnsi="黑体" w:eastAsia="黑体"/>
          <w:kern w:val="44"/>
          <w:szCs w:val="32"/>
        </w:rPr>
        <w:t>　</w:t>
      </w:r>
    </w:p>
    <w:p>
      <w:pPr>
        <w:pStyle w:val="11"/>
        <w:spacing w:after="217" w:afterLines="50"/>
        <w:ind w:left="1281"/>
        <w:jc w:val="center"/>
        <w:rPr>
          <w:rFonts w:ascii="Times New Roman" w:hAnsi="Times New Roman"/>
          <w:b/>
          <w:kern w:val="0"/>
          <w:szCs w:val="32"/>
        </w:rPr>
      </w:pPr>
      <w:r>
        <w:rPr>
          <w:b/>
          <w:bCs/>
          <w:sz w:val="44"/>
          <w:szCs w:val="44"/>
        </w:rPr>
        <w:t>第一批国家高值医用耗材</w:t>
      </w:r>
      <w:r>
        <w:rPr>
          <w:rFonts w:hint="eastAsia"/>
          <w:b/>
          <w:bCs/>
          <w:sz w:val="44"/>
          <w:szCs w:val="44"/>
        </w:rPr>
        <w:t>重点</w:t>
      </w:r>
      <w:r>
        <w:rPr>
          <w:b/>
          <w:bCs/>
          <w:sz w:val="44"/>
          <w:szCs w:val="44"/>
        </w:rPr>
        <w:t>治理清单</w:t>
      </w:r>
    </w:p>
    <w:tbl>
      <w:tblPr>
        <w:tblStyle w:val="25"/>
        <w:tblW w:w="13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1"/>
        <w:gridCol w:w="3408"/>
        <w:gridCol w:w="5323"/>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blHeader/>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2" w:leftChars="-5" w:hanging="14" w:hangingChars="5"/>
              <w:jc w:val="center"/>
              <w:textAlignment w:val="center"/>
              <w:rPr>
                <w:rFonts w:ascii="仿宋_GB2312" w:hAnsi="仿宋_GB2312" w:eastAsia="仿宋_GB2312" w:cs="仿宋_GB2312"/>
                <w:b/>
                <w:bCs/>
                <w:color w:val="484848"/>
                <w:sz w:val="28"/>
                <w:szCs w:val="28"/>
              </w:rPr>
            </w:pPr>
            <w:r>
              <w:rPr>
                <w:rFonts w:hint="eastAsia" w:ascii="仿宋_GB2312" w:hAnsi="仿宋_GB2312" w:eastAsia="仿宋_GB2312" w:cs="仿宋_GB2312"/>
                <w:b/>
                <w:bCs/>
                <w:color w:val="000000"/>
                <w:sz w:val="28"/>
                <w:szCs w:val="28"/>
              </w:rPr>
              <w:t>序号</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jc w:val="center"/>
              <w:textAlignment w:val="center"/>
              <w:rPr>
                <w:rFonts w:ascii="仿宋_GB2312" w:hAnsi="仿宋_GB2312" w:eastAsia="仿宋_GB2312" w:cs="仿宋_GB2312"/>
                <w:b/>
                <w:bCs/>
                <w:color w:val="484848"/>
                <w:sz w:val="28"/>
                <w:szCs w:val="28"/>
              </w:rPr>
            </w:pPr>
            <w:r>
              <w:rPr>
                <w:rFonts w:hint="eastAsia" w:ascii="仿宋_GB2312" w:hAnsi="仿宋_GB2312" w:eastAsia="仿宋_GB2312" w:cs="仿宋_GB2312"/>
                <w:b/>
                <w:bCs/>
                <w:color w:val="000000"/>
                <w:sz w:val="28"/>
                <w:szCs w:val="28"/>
              </w:rPr>
              <w:t>耗材名称</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jc w:val="center"/>
              <w:textAlignment w:val="center"/>
              <w:rPr>
                <w:rFonts w:ascii="仿宋_GB2312" w:hAnsi="仿宋_GB2312" w:eastAsia="仿宋_GB2312" w:cs="仿宋_GB2312"/>
                <w:b/>
                <w:bCs/>
                <w:color w:val="484848"/>
                <w:sz w:val="28"/>
                <w:szCs w:val="28"/>
              </w:rPr>
            </w:pPr>
            <w:r>
              <w:rPr>
                <w:rFonts w:hint="eastAsia" w:ascii="仿宋_GB2312" w:hAnsi="仿宋_GB2312" w:eastAsia="仿宋_GB2312" w:cs="仿宋_GB2312"/>
                <w:b/>
                <w:bCs/>
                <w:color w:val="000000"/>
                <w:sz w:val="28"/>
                <w:szCs w:val="28"/>
              </w:rPr>
              <w:t>描述</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jc w:val="center"/>
              <w:textAlignment w:val="center"/>
              <w:rPr>
                <w:rFonts w:ascii="仿宋_GB2312" w:hAnsi="仿宋_GB2312" w:eastAsia="仿宋_GB2312" w:cs="仿宋_GB2312"/>
                <w:b/>
                <w:bCs/>
                <w:color w:val="484848"/>
                <w:sz w:val="28"/>
                <w:szCs w:val="28"/>
              </w:rPr>
            </w:pPr>
            <w:r>
              <w:rPr>
                <w:rFonts w:hint="eastAsia" w:ascii="仿宋_GB2312" w:hAnsi="仿宋_GB2312" w:eastAsia="仿宋_GB2312" w:cs="仿宋_GB2312"/>
                <w:b/>
                <w:bCs/>
                <w:color w:val="000000"/>
                <w:sz w:val="28"/>
                <w:szCs w:val="28"/>
              </w:rPr>
              <w:t>品名举例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8"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单</w:t>
            </w:r>
            <w:r>
              <w:rPr>
                <w:rFonts w:hint="eastAsia" w:ascii="仿宋_GB2312" w:hAnsi="仿宋_GB2312" w:eastAsia="仿宋_GB2312" w:cs="仿宋_GB2312"/>
                <w:color w:val="484848"/>
                <w:sz w:val="28"/>
                <w:szCs w:val="28"/>
              </w:rPr>
              <w:t>/</w:t>
            </w:r>
            <w:r>
              <w:rPr>
                <w:rFonts w:hint="eastAsia" w:ascii="仿宋_GB2312" w:hAnsi="仿宋_GB2312" w:eastAsia="仿宋_GB2312" w:cs="仿宋_GB2312"/>
                <w:color w:val="000000"/>
                <w:sz w:val="28"/>
                <w:szCs w:val="28"/>
              </w:rPr>
              <w:t>多部件金属骨固定器械及附件</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由一个或多个金属部件及金属紧固装置组成。一般采用纯钛及钛合金、不锈钢、钴铬钼等材料制成。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jc w:val="both"/>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金属锁定接骨板、金属非锁定接骨板、金属锁定接骨螺钉等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2</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导丝</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引导导管或扩张器插入血管并定位的柔性器械。</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硬导丝、软头导丝、肾动脉导丝等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3</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耳内假体</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采用不锈钢、钛合金等金属材料和</w:t>
            </w:r>
            <w:r>
              <w:rPr>
                <w:rFonts w:hint="eastAsia" w:ascii="仿宋_GB2312" w:hAnsi="仿宋_GB2312" w:eastAsia="仿宋_GB2312" w:cs="仿宋_GB2312"/>
                <w:color w:val="484848"/>
                <w:sz w:val="28"/>
                <w:szCs w:val="28"/>
              </w:rPr>
              <w:t>/</w:t>
            </w:r>
            <w:r>
              <w:rPr>
                <w:rFonts w:hint="eastAsia" w:ascii="仿宋_GB2312" w:hAnsi="仿宋_GB2312" w:eastAsia="仿宋_GB2312" w:cs="仿宋_GB2312"/>
                <w:color w:val="000000"/>
                <w:sz w:val="28"/>
                <w:szCs w:val="28"/>
              </w:rPr>
              <w:t>或聚四氟乙烯等高分子材料制成。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鼓室成形术假体、镫骨成形术假体、通风管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4</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颌面部赝复及修复重建材料及制品</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由硅橡胶或聚甲基丙烯酸甲酯等组成。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硅橡胶颌面赝复材料、树脂颌面赝复材料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5</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脊柱椎体间固定</w:t>
            </w:r>
            <w:r>
              <w:rPr>
                <w:rFonts w:hint="eastAsia" w:ascii="仿宋_GB2312" w:hAnsi="仿宋_GB2312" w:eastAsia="仿宋_GB2312" w:cs="仿宋_GB2312"/>
                <w:color w:val="484848"/>
                <w:sz w:val="28"/>
                <w:szCs w:val="28"/>
              </w:rPr>
              <w:t>/</w:t>
            </w:r>
            <w:r>
              <w:rPr>
                <w:rFonts w:hint="eastAsia" w:ascii="仿宋_GB2312" w:hAnsi="仿宋_GB2312" w:eastAsia="仿宋_GB2312" w:cs="仿宋_GB2312"/>
                <w:color w:val="000000"/>
                <w:sz w:val="28"/>
                <w:szCs w:val="28"/>
              </w:rPr>
              <w:t>置换系统</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jc w:val="both"/>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由多种骨板和连接螺钉等组成。一般采用纯钛、钛合金等材料制成。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颈椎前路固定系统、胸腰椎前路固定系统、可吸收颈椎前路钉板系统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4"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6</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可吸收外科止血材料</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由有止血功能的可降解吸收材料制成。</w:t>
            </w:r>
          </w:p>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无菌提供，一次性使用。</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胶原蛋白海绵、胶原海绵、可吸收止血明胶海绵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7</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髋关节假体</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由髋臼部件和股骨部件组成。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髋关节假体系统、髋臼假体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8</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颅骨矫形器械</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由外壳、填充材料</w:t>
            </w:r>
            <w:r>
              <w:rPr>
                <w:rFonts w:hint="eastAsia" w:ascii="仿宋_GB2312" w:hAnsi="仿宋_GB2312" w:eastAsia="仿宋_GB2312" w:cs="仿宋_GB2312"/>
                <w:color w:val="484848"/>
                <w:sz w:val="28"/>
                <w:szCs w:val="28"/>
              </w:rPr>
              <w:t>/</w:t>
            </w:r>
            <w:r>
              <w:rPr>
                <w:rFonts w:hint="eastAsia" w:ascii="仿宋_GB2312" w:hAnsi="仿宋_GB2312" w:eastAsia="仿宋_GB2312" w:cs="仿宋_GB2312"/>
                <w:color w:val="000000"/>
                <w:sz w:val="28"/>
                <w:szCs w:val="28"/>
              </w:rPr>
              <w:t>垫和固定装置组成。</w:t>
            </w:r>
          </w:p>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一般采用高分子材料制成。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婴儿颅骨矫形固定器、颅骨成形术材料形成模具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9</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刨骨器</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骨科手术配套工具。一般采用不锈钢材料制成。非无菌提供。</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刨骨器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10</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球囊扩张导管</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由导管管体、球囊、不透射线标记、接头等结构组成。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冠状动脉球囊扩张导管、</w:t>
            </w:r>
            <w:r>
              <w:rPr>
                <w:rFonts w:hint="eastAsia" w:ascii="仿宋_GB2312" w:hAnsi="仿宋_GB2312" w:eastAsia="仿宋_GB2312" w:cs="仿宋_GB2312"/>
                <w:color w:val="484848"/>
                <w:sz w:val="28"/>
                <w:szCs w:val="28"/>
              </w:rPr>
              <w:t>PTCA</w:t>
            </w:r>
            <w:r>
              <w:rPr>
                <w:rFonts w:hint="eastAsia" w:ascii="仿宋_GB2312" w:hAnsi="仿宋_GB2312" w:eastAsia="仿宋_GB2312" w:cs="仿宋_GB2312"/>
                <w:color w:val="000000"/>
                <w:sz w:val="28"/>
                <w:szCs w:val="28"/>
              </w:rPr>
              <w:t>导管、</w:t>
            </w:r>
            <w:r>
              <w:rPr>
                <w:rFonts w:hint="eastAsia" w:ascii="仿宋_GB2312" w:hAnsi="仿宋_GB2312" w:eastAsia="仿宋_GB2312" w:cs="仿宋_GB2312"/>
                <w:color w:val="484848"/>
                <w:sz w:val="28"/>
                <w:szCs w:val="28"/>
              </w:rPr>
              <w:t>PTA</w:t>
            </w:r>
            <w:r>
              <w:rPr>
                <w:rFonts w:hint="eastAsia" w:ascii="仿宋_GB2312" w:hAnsi="仿宋_GB2312" w:eastAsia="仿宋_GB2312" w:cs="仿宋_GB2312"/>
                <w:color w:val="000000"/>
                <w:sz w:val="28"/>
                <w:szCs w:val="28"/>
              </w:rPr>
              <w:t>导管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11</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托槽</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采用金属、陶瓷或高分子材料制成。通常带有槽沟、结扎翼，部分带有牵引钩。</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正畸金属托槽、正畸树脂托槽、正畸陶瓷托槽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12</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吻合器（带钉）</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由吻合器或缝合器和钉仓（带钉）组成。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吻合器、切割吻合器、内窥镜吻合器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4"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13</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血管支架</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由支架和</w:t>
            </w:r>
            <w:r>
              <w:rPr>
                <w:rFonts w:hint="eastAsia" w:ascii="仿宋_GB2312" w:hAnsi="仿宋_GB2312" w:eastAsia="仿宋_GB2312" w:cs="仿宋_GB2312"/>
                <w:color w:val="484848"/>
                <w:sz w:val="28"/>
                <w:szCs w:val="28"/>
              </w:rPr>
              <w:t>/</w:t>
            </w:r>
            <w:r>
              <w:rPr>
                <w:rFonts w:hint="eastAsia" w:ascii="仿宋_GB2312" w:hAnsi="仿宋_GB2312" w:eastAsia="仿宋_GB2312" w:cs="仿宋_GB2312"/>
                <w:color w:val="000000"/>
                <w:sz w:val="28"/>
                <w:szCs w:val="28"/>
              </w:rPr>
              <w:t>或输送系统组成。支架一般采用金属或高分子材料制成，维持或恢复血管管腔的完整性，保持血管管腔通畅。</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jc w:val="both"/>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冠状动脉支架、外周动脉支架、肝内门体静脉支架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14</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阴茎假体</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由液囊、液泵阀与圆柱体组成。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阴茎支撑体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15</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植入式神经刺激器</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由植入式脉冲发生器和附件组成。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植入式脑深部神经刺激器、植入式脊髓神经刺激器、植入式骶神经刺激器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16</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植入式心律转复除颤器</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由植入式脉冲发生器和扭矩扳手组成。通过检测室性心动过速和颤动，并经由电极向心脏施加心律转复</w:t>
            </w:r>
            <w:r>
              <w:rPr>
                <w:rFonts w:hint="eastAsia" w:ascii="仿宋_GB2312" w:hAnsi="仿宋_GB2312" w:eastAsia="仿宋_GB2312" w:cs="仿宋_GB2312"/>
                <w:color w:val="484848"/>
                <w:sz w:val="28"/>
                <w:szCs w:val="28"/>
              </w:rPr>
              <w:t>/</w:t>
            </w:r>
            <w:r>
              <w:rPr>
                <w:rFonts w:hint="eastAsia" w:ascii="仿宋_GB2312" w:hAnsi="仿宋_GB2312" w:eastAsia="仿宋_GB2312" w:cs="仿宋_GB2312"/>
                <w:color w:val="000000"/>
                <w:sz w:val="28"/>
                <w:szCs w:val="28"/>
              </w:rPr>
              <w:t>除颤脉冲对其进行纠正。</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植入式心律转复除颤器、植入式再同步治疗心律转复除颤器、植入式皮下心律转复除颤器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17</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植入式药物输注设备</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由输注泵植入体、鞘内导管、附件组成。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植入式药物泵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851" w:type="dxa"/>
            <w:shd w:val="clear" w:color="auto" w:fill="auto"/>
            <w:tcMar>
              <w:top w:w="15" w:type="dxa"/>
              <w:left w:w="15" w:type="dxa"/>
              <w:bottom w:w="15" w:type="dxa"/>
              <w:right w:w="15" w:type="dxa"/>
            </w:tcMar>
            <w:vAlign w:val="center"/>
          </w:tcPr>
          <w:p>
            <w:pPr>
              <w:pStyle w:val="22"/>
              <w:spacing w:before="0" w:beforeAutospacing="0" w:after="0" w:afterAutospacing="0"/>
              <w:ind w:left="-16" w:leftChars="-5"/>
              <w:jc w:val="center"/>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18</w:t>
            </w:r>
          </w:p>
        </w:tc>
        <w:tc>
          <w:tcPr>
            <w:tcW w:w="3408"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75" w:firstLineChars="27"/>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椎体成形导引系统</w:t>
            </w:r>
          </w:p>
        </w:tc>
        <w:tc>
          <w:tcPr>
            <w:tcW w:w="5323" w:type="dxa"/>
            <w:shd w:val="clear" w:color="auto" w:fill="auto"/>
            <w:tcMar>
              <w:top w:w="15" w:type="dxa"/>
              <w:left w:w="15" w:type="dxa"/>
              <w:bottom w:w="15" w:type="dxa"/>
              <w:right w:w="15" w:type="dxa"/>
            </w:tcMar>
            <w:vAlign w:val="center"/>
          </w:tcPr>
          <w:p>
            <w:pPr>
              <w:pStyle w:val="22"/>
              <w:spacing w:before="0" w:beforeAutospacing="0" w:after="0" w:afterAutospacing="0"/>
              <w:ind w:left="-3" w:leftChars="-1" w:firstLine="33" w:firstLineChars="12"/>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由引导丝定位、扩张套管、高精度钻、工作套管等组成。</w:t>
            </w:r>
          </w:p>
        </w:tc>
        <w:tc>
          <w:tcPr>
            <w:tcW w:w="4111" w:type="dxa"/>
            <w:shd w:val="clear" w:color="auto" w:fill="auto"/>
            <w:tcMar>
              <w:top w:w="15" w:type="dxa"/>
              <w:left w:w="15" w:type="dxa"/>
              <w:bottom w:w="15" w:type="dxa"/>
              <w:right w:w="15" w:type="dxa"/>
            </w:tcMar>
            <w:vAlign w:val="center"/>
          </w:tcPr>
          <w:p>
            <w:pPr>
              <w:pStyle w:val="22"/>
              <w:spacing w:before="0" w:beforeAutospacing="0" w:after="0" w:afterAutospacing="0"/>
              <w:ind w:left="-2" w:leftChars="-13" w:hanging="39" w:hangingChars="14"/>
              <w:textAlignment w:val="center"/>
              <w:rPr>
                <w:rFonts w:ascii="仿宋_GB2312" w:hAnsi="仿宋_GB2312" w:eastAsia="仿宋_GB2312" w:cs="仿宋_GB2312"/>
                <w:color w:val="484848"/>
                <w:sz w:val="28"/>
                <w:szCs w:val="28"/>
              </w:rPr>
            </w:pPr>
            <w:r>
              <w:rPr>
                <w:rFonts w:hint="eastAsia" w:ascii="仿宋_GB2312" w:hAnsi="仿宋_GB2312" w:eastAsia="仿宋_GB2312" w:cs="仿宋_GB2312"/>
                <w:color w:val="000000"/>
                <w:sz w:val="28"/>
                <w:szCs w:val="28"/>
              </w:rPr>
              <w:t>椎体成形导向系统、椎体成形导引系统、椎体成形术器械</w:t>
            </w:r>
          </w:p>
        </w:tc>
      </w:tr>
    </w:tbl>
    <w:p>
      <w:pPr>
        <w:widowControl/>
        <w:jc w:val="left"/>
        <w:rPr>
          <w:rFonts w:eastAsia="宋体"/>
          <w:b/>
          <w:sz w:val="44"/>
          <w:szCs w:val="44"/>
        </w:rPr>
        <w:sectPr>
          <w:footnotePr>
            <w:numFmt w:val="decimalEnclosedCircleChinese"/>
            <w:numRestart w:val="eachPage"/>
          </w:footnotePr>
          <w:pgSz w:w="16838" w:h="11906" w:orient="landscape"/>
          <w:pgMar w:top="1797" w:right="1440" w:bottom="1843" w:left="1440" w:header="850" w:footer="992" w:gutter="0"/>
          <w:cols w:space="0" w:num="1"/>
          <w:docGrid w:type="linesAndChars" w:linePitch="435" w:charSpace="0"/>
        </w:sectPr>
      </w:pPr>
      <w:r>
        <w:rPr>
          <w:rFonts w:eastAsia="宋体"/>
          <w:b/>
          <w:sz w:val="44"/>
          <w:szCs w:val="44"/>
        </w:rPr>
        <w:br w:type="page"/>
      </w:r>
    </w:p>
    <w:p>
      <w:pPr>
        <w:keepNext/>
        <w:keepLines/>
        <w:shd w:val="clear" w:color="auto" w:fill="FFFFFF"/>
        <w:spacing w:after="217" w:afterLines="50" w:line="600" w:lineRule="exact"/>
        <w:outlineLvl w:val="1"/>
        <w:rPr>
          <w:rFonts w:ascii="黑体" w:hAnsi="黑体" w:eastAsia="黑体"/>
          <w:b/>
          <w:bCs/>
          <w:szCs w:val="32"/>
        </w:rPr>
      </w:pPr>
      <w:bookmarkStart w:id="40" w:name="_Toc1116"/>
      <w:bookmarkStart w:id="41" w:name="_Toc42857924"/>
      <w:r>
        <w:rPr>
          <w:rFonts w:hint="eastAsia" w:ascii="黑体" w:hAnsi="黑体" w:eastAsia="黑体"/>
          <w:kern w:val="44"/>
          <w:szCs w:val="32"/>
        </w:rPr>
        <w:t>附件</w:t>
      </w:r>
      <w:bookmarkEnd w:id="40"/>
      <w:r>
        <w:rPr>
          <w:rFonts w:ascii="黑体" w:hAnsi="黑体" w:eastAsia="黑体"/>
          <w:kern w:val="44"/>
          <w:szCs w:val="32"/>
        </w:rPr>
        <w:t>3</w:t>
      </w:r>
      <w:bookmarkEnd w:id="41"/>
      <w:r>
        <w:rPr>
          <w:rFonts w:hint="eastAsia" w:ascii="黑体" w:hAnsi="黑体" w:eastAsia="黑体"/>
          <w:b/>
          <w:bCs/>
          <w:szCs w:val="32"/>
        </w:rPr>
        <w:t>　</w:t>
      </w:r>
    </w:p>
    <w:p>
      <w:pPr>
        <w:spacing w:line="600" w:lineRule="exact"/>
        <w:jc w:val="center"/>
        <w:rPr>
          <w:rFonts w:eastAsia="宋体"/>
          <w:b/>
          <w:sz w:val="44"/>
          <w:szCs w:val="44"/>
        </w:rPr>
      </w:pPr>
      <w:r>
        <w:rPr>
          <w:rFonts w:hint="eastAsia" w:eastAsia="宋体"/>
          <w:b/>
          <w:sz w:val="44"/>
          <w:szCs w:val="44"/>
        </w:rPr>
        <w:t>二级公立中医医院绩效考核自评报告</w:t>
      </w:r>
    </w:p>
    <w:p>
      <w:pPr>
        <w:jc w:val="center"/>
        <w:rPr>
          <w:sz w:val="21"/>
          <w:szCs w:val="22"/>
        </w:rPr>
      </w:pPr>
      <w:r>
        <w:rPr>
          <w:rFonts w:hint="eastAsia"/>
          <w:szCs w:val="32"/>
        </w:rPr>
        <w:t>（参考提纲）</w:t>
      </w:r>
    </w:p>
    <w:p>
      <w:pPr>
        <w:spacing w:line="640" w:lineRule="exact"/>
        <w:ind w:firstLine="759" w:firstLineChars="230"/>
        <w:rPr>
          <w:rFonts w:eastAsia="黑体"/>
          <w:szCs w:val="32"/>
        </w:rPr>
      </w:pPr>
      <w:r>
        <w:rPr>
          <w:rFonts w:hint="eastAsia" w:eastAsia="黑体"/>
          <w:szCs w:val="32"/>
        </w:rPr>
        <w:t>一、医院基本情况</w:t>
      </w:r>
    </w:p>
    <w:p>
      <w:pPr>
        <w:spacing w:line="640" w:lineRule="exact"/>
        <w:ind w:firstLine="660" w:firstLineChars="200"/>
        <w:rPr>
          <w:color w:val="FF0000"/>
          <w:szCs w:val="32"/>
        </w:rPr>
      </w:pPr>
      <w:r>
        <w:rPr>
          <w:rFonts w:hint="eastAsia"/>
          <w:szCs w:val="32"/>
        </w:rPr>
        <w:t>医院提供考核年度与数据分析密切相关的主要信息，如医院性质、编制床位数、实际开放床位、编制人数、合同制人数、医药护技人数，麻醉、儿科、重症、病理、中医和感染性疾病科医师的占比等。</w:t>
      </w:r>
    </w:p>
    <w:bookmarkEnd w:id="37"/>
    <w:p>
      <w:pPr>
        <w:spacing w:line="640" w:lineRule="exact"/>
        <w:ind w:firstLine="759" w:firstLineChars="230"/>
        <w:rPr>
          <w:rFonts w:eastAsia="黑体"/>
          <w:szCs w:val="32"/>
        </w:rPr>
      </w:pPr>
      <w:r>
        <w:rPr>
          <w:rFonts w:hint="eastAsia" w:eastAsia="黑体"/>
          <w:szCs w:val="32"/>
        </w:rPr>
        <w:t>二、考核指标自评情况</w:t>
      </w:r>
    </w:p>
    <w:p>
      <w:pPr>
        <w:spacing w:line="640" w:lineRule="exact"/>
        <w:ind w:firstLine="660" w:firstLineChars="200"/>
        <w:rPr>
          <w:szCs w:val="32"/>
        </w:rPr>
      </w:pPr>
      <w:r>
        <w:rPr>
          <w:rFonts w:hint="eastAsia"/>
          <w:szCs w:val="32"/>
        </w:rPr>
        <w:t>（一）简述医院在绩效考核工作中如何组织实施。</w:t>
      </w:r>
    </w:p>
    <w:p>
      <w:pPr>
        <w:spacing w:line="640" w:lineRule="exact"/>
        <w:ind w:firstLine="660" w:firstLineChars="200"/>
        <w:rPr>
          <w:szCs w:val="32"/>
        </w:rPr>
      </w:pPr>
      <w:r>
        <w:rPr>
          <w:rFonts w:hint="eastAsia"/>
          <w:szCs w:val="32"/>
        </w:rPr>
        <w:t>（二）对照二级公立中医医院绩效考核指标，分析医院管理工作亮点，指标结果情况以及存在问题等。</w:t>
      </w:r>
    </w:p>
    <w:p>
      <w:pPr>
        <w:spacing w:line="640" w:lineRule="exact"/>
        <w:ind w:firstLine="759" w:firstLineChars="230"/>
        <w:rPr>
          <w:rFonts w:eastAsia="黑体"/>
          <w:szCs w:val="32"/>
        </w:rPr>
      </w:pPr>
      <w:r>
        <w:rPr>
          <w:rFonts w:hint="eastAsia" w:eastAsia="黑体"/>
          <w:szCs w:val="32"/>
        </w:rPr>
        <w:t>三、绩效考核工作意见建议</w:t>
      </w:r>
    </w:p>
    <w:p>
      <w:pPr>
        <w:spacing w:line="640" w:lineRule="exact"/>
        <w:ind w:firstLine="660" w:firstLineChars="200"/>
        <w:rPr>
          <w:szCs w:val="32"/>
        </w:rPr>
      </w:pPr>
      <w:r>
        <w:rPr>
          <w:rFonts w:hint="eastAsia"/>
          <w:szCs w:val="32"/>
        </w:rPr>
        <w:t>通过自评，针对绩效考核实施过程遇到的困难和问题，提出对下一步绩效考核工作的意见建议。</w:t>
      </w:r>
    </w:p>
    <w:p>
      <w:pPr>
        <w:spacing w:line="640" w:lineRule="exact"/>
        <w:ind w:firstLine="660" w:firstLineChars="200"/>
        <w:rPr>
          <w:rFonts w:eastAsia="仿宋"/>
          <w:szCs w:val="32"/>
        </w:rPr>
      </w:pPr>
    </w:p>
    <w:p>
      <w:pPr>
        <w:spacing w:line="640" w:lineRule="exact"/>
        <w:ind w:firstLine="660" w:firstLineChars="200"/>
        <w:rPr>
          <w:szCs w:val="32"/>
        </w:rPr>
      </w:pPr>
      <w:r>
        <w:rPr>
          <w:rFonts w:hint="eastAsia"/>
          <w:szCs w:val="32"/>
        </w:rPr>
        <w:t>附表：</w:t>
      </w:r>
      <w:bookmarkStart w:id="42" w:name="_Hlk8043112"/>
      <w:r>
        <w:rPr>
          <w:rFonts w:hint="eastAsia"/>
          <w:szCs w:val="32"/>
        </w:rPr>
        <w:t>二级公立中医医院绩效考核指标统计表</w:t>
      </w:r>
      <w:bookmarkEnd w:id="42"/>
    </w:p>
    <w:bookmarkEnd w:id="0"/>
    <w:p>
      <w:pPr>
        <w:adjustRightInd w:val="0"/>
        <w:snapToGrid w:val="0"/>
        <w:spacing w:before="217" w:beforeLines="50" w:after="100" w:afterAutospacing="1" w:line="240" w:lineRule="atLeast"/>
        <w:rPr>
          <w:rFonts w:eastAsia="仿宋"/>
          <w:szCs w:val="32"/>
        </w:rPr>
      </w:pPr>
    </w:p>
    <w:p>
      <w:pPr>
        <w:widowControl/>
        <w:jc w:val="left"/>
        <w:rPr>
          <w:rFonts w:eastAsia="宋体"/>
          <w:sz w:val="21"/>
          <w:szCs w:val="22"/>
        </w:rPr>
      </w:pPr>
      <w:r>
        <w:rPr>
          <w:rFonts w:eastAsia="宋体"/>
          <w:kern w:val="0"/>
          <w:sz w:val="21"/>
          <w:szCs w:val="22"/>
        </w:rPr>
        <w:br w:type="page"/>
      </w:r>
    </w:p>
    <w:p>
      <w:pPr>
        <w:spacing w:line="600" w:lineRule="exact"/>
        <w:rPr>
          <w:rFonts w:ascii="Calibri" w:hAnsi="Calibri"/>
          <w:b/>
          <w:szCs w:val="32"/>
        </w:rPr>
      </w:pPr>
      <w:r>
        <w:rPr>
          <w:rFonts w:hint="eastAsia" w:ascii="Calibri" w:hAnsi="Calibri"/>
          <w:b/>
          <w:szCs w:val="32"/>
        </w:rPr>
        <w:t>附表</w:t>
      </w:r>
    </w:p>
    <w:p>
      <w:pPr>
        <w:widowControl/>
        <w:spacing w:line="600" w:lineRule="exact"/>
        <w:jc w:val="center"/>
        <w:rPr>
          <w:b/>
          <w:sz w:val="21"/>
          <w:szCs w:val="21"/>
        </w:rPr>
      </w:pPr>
    </w:p>
    <w:p>
      <w:pPr>
        <w:widowControl/>
        <w:spacing w:after="217" w:afterLines="50" w:line="600" w:lineRule="exact"/>
        <w:jc w:val="center"/>
        <w:rPr>
          <w:kern w:val="0"/>
          <w:szCs w:val="32"/>
        </w:rPr>
      </w:pPr>
      <w:r>
        <w:rPr>
          <w:rFonts w:hint="eastAsia"/>
          <w:b/>
          <w:szCs w:val="32"/>
        </w:rPr>
        <w:t>二级公立中医医院绩效考核指标统计表</w:t>
      </w:r>
    </w:p>
    <w:tbl>
      <w:tblPr>
        <w:tblStyle w:val="25"/>
        <w:tblW w:w="962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108" w:type="dxa"/>
          <w:bottom w:w="0" w:type="dxa"/>
          <w:right w:w="108" w:type="dxa"/>
        </w:tblCellMar>
      </w:tblPr>
      <w:tblGrid>
        <w:gridCol w:w="1248"/>
        <w:gridCol w:w="1413"/>
        <w:gridCol w:w="2432"/>
        <w:gridCol w:w="851"/>
        <w:gridCol w:w="850"/>
        <w:gridCol w:w="851"/>
        <w:gridCol w:w="850"/>
        <w:gridCol w:w="113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635" w:hRule="atLeast"/>
          <w:tblHeader/>
          <w:jc w:val="center"/>
        </w:trPr>
        <w:tc>
          <w:tcPr>
            <w:tcW w:w="1248"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b/>
                <w:bCs/>
                <w:kern w:val="0"/>
                <w:sz w:val="24"/>
              </w:rPr>
              <w:t>一级指标</w:t>
            </w:r>
          </w:p>
        </w:tc>
        <w:tc>
          <w:tcPr>
            <w:tcW w:w="1413" w:type="dxa"/>
            <w:vMerge w:val="restart"/>
            <w:tcBorders>
              <w:top w:val="single" w:color="auto" w:sz="8" w:space="0"/>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b/>
                <w:bCs/>
                <w:kern w:val="0"/>
                <w:sz w:val="24"/>
              </w:rPr>
              <w:t>二级指标</w:t>
            </w:r>
          </w:p>
        </w:tc>
        <w:tc>
          <w:tcPr>
            <w:tcW w:w="2432" w:type="dxa"/>
            <w:vMerge w:val="restart"/>
            <w:tcBorders>
              <w:top w:val="single" w:color="auto" w:sz="8" w:space="0"/>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b/>
                <w:bCs/>
                <w:kern w:val="0"/>
                <w:sz w:val="24"/>
              </w:rPr>
              <w:t>三级指标</w:t>
            </w:r>
          </w:p>
        </w:tc>
        <w:tc>
          <w:tcPr>
            <w:tcW w:w="851" w:type="dxa"/>
            <w:vMerge w:val="restart"/>
            <w:tcBorders>
              <w:top w:val="single" w:color="auto" w:sz="8" w:space="0"/>
              <w:left w:val="nil"/>
              <w:bottom w:val="single" w:color="auto" w:sz="8" w:space="0"/>
              <w:right w:val="single" w:color="auto" w:sz="8" w:space="0"/>
            </w:tcBorders>
            <w:shd w:val="clear" w:color="auto" w:fill="FFFFFF"/>
            <w:vAlign w:val="center"/>
          </w:tcPr>
          <w:p>
            <w:pPr>
              <w:widowControl/>
              <w:spacing w:line="300" w:lineRule="exact"/>
              <w:jc w:val="center"/>
              <w:rPr>
                <w:b/>
                <w:bCs/>
                <w:kern w:val="0"/>
                <w:sz w:val="24"/>
              </w:rPr>
            </w:pPr>
            <w:r>
              <w:rPr>
                <w:rFonts w:hint="eastAsia"/>
                <w:b/>
                <w:bCs/>
                <w:kern w:val="0"/>
                <w:sz w:val="24"/>
              </w:rPr>
              <w:t>指标</w:t>
            </w:r>
          </w:p>
          <w:p>
            <w:pPr>
              <w:widowControl/>
              <w:spacing w:line="300" w:lineRule="exact"/>
              <w:jc w:val="center"/>
              <w:rPr>
                <w:kern w:val="0"/>
                <w:sz w:val="24"/>
              </w:rPr>
            </w:pPr>
            <w:r>
              <w:rPr>
                <w:rFonts w:hint="eastAsia"/>
                <w:b/>
                <w:bCs/>
                <w:kern w:val="0"/>
                <w:sz w:val="24"/>
              </w:rPr>
              <w:t>性质</w:t>
            </w:r>
          </w:p>
        </w:tc>
        <w:tc>
          <w:tcPr>
            <w:tcW w:w="2551" w:type="dxa"/>
            <w:gridSpan w:val="3"/>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b/>
                <w:bCs/>
                <w:kern w:val="0"/>
                <w:sz w:val="24"/>
              </w:rPr>
            </w:pPr>
            <w:r>
              <w:rPr>
                <w:rFonts w:hint="eastAsia"/>
                <w:b/>
                <w:bCs/>
                <w:kern w:val="0"/>
                <w:sz w:val="24"/>
              </w:rPr>
              <w:t>指标结果</w:t>
            </w:r>
          </w:p>
        </w:tc>
        <w:tc>
          <w:tcPr>
            <w:tcW w:w="113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before="217" w:beforeLines="50" w:line="300" w:lineRule="exact"/>
              <w:jc w:val="center"/>
              <w:rPr>
                <w:b/>
                <w:bCs/>
                <w:kern w:val="0"/>
                <w:sz w:val="24"/>
              </w:rPr>
            </w:pPr>
            <w:r>
              <w:rPr>
                <w:rFonts w:hint="eastAsia"/>
                <w:b/>
                <w:bCs/>
                <w:kern w:val="0"/>
                <w:sz w:val="24"/>
              </w:rPr>
              <w:t>自评得分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503" w:hRule="atLeast"/>
          <w:tblHeader/>
          <w:jc w:val="center"/>
        </w:trPr>
        <w:tc>
          <w:tcPr>
            <w:tcW w:w="124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kern w:val="0"/>
                <w:sz w:val="21"/>
                <w:szCs w:val="21"/>
              </w:rPr>
            </w:pPr>
          </w:p>
        </w:tc>
        <w:tc>
          <w:tcPr>
            <w:tcW w:w="1413" w:type="dxa"/>
            <w:vMerge w:val="continue"/>
            <w:tcBorders>
              <w:top w:val="single" w:color="auto" w:sz="8" w:space="0"/>
              <w:left w:val="nil"/>
              <w:bottom w:val="single" w:color="auto" w:sz="8" w:space="0"/>
              <w:right w:val="single" w:color="auto" w:sz="8" w:space="0"/>
            </w:tcBorders>
            <w:vAlign w:val="center"/>
          </w:tcPr>
          <w:p>
            <w:pPr>
              <w:widowControl/>
              <w:jc w:val="left"/>
              <w:rPr>
                <w:kern w:val="0"/>
                <w:sz w:val="21"/>
                <w:szCs w:val="21"/>
              </w:rPr>
            </w:pPr>
          </w:p>
        </w:tc>
        <w:tc>
          <w:tcPr>
            <w:tcW w:w="2432" w:type="dxa"/>
            <w:vMerge w:val="continue"/>
            <w:tcBorders>
              <w:top w:val="single" w:color="auto" w:sz="8" w:space="0"/>
              <w:left w:val="nil"/>
              <w:bottom w:val="single" w:color="auto" w:sz="8" w:space="0"/>
              <w:right w:val="single" w:color="auto" w:sz="8" w:space="0"/>
            </w:tcBorders>
            <w:vAlign w:val="center"/>
          </w:tcPr>
          <w:p>
            <w:pPr>
              <w:widowControl/>
              <w:jc w:val="left"/>
              <w:rPr>
                <w:kern w:val="0"/>
                <w:sz w:val="21"/>
                <w:szCs w:val="21"/>
              </w:rPr>
            </w:pPr>
          </w:p>
        </w:tc>
        <w:tc>
          <w:tcPr>
            <w:tcW w:w="851" w:type="dxa"/>
            <w:vMerge w:val="continue"/>
            <w:tcBorders>
              <w:top w:val="single" w:color="auto" w:sz="8" w:space="0"/>
              <w:left w:val="nil"/>
              <w:bottom w:val="single" w:color="auto" w:sz="8" w:space="0"/>
              <w:right w:val="single" w:color="auto" w:sz="8" w:space="0"/>
            </w:tcBorders>
            <w:vAlign w:val="center"/>
          </w:tcPr>
          <w:p>
            <w:pPr>
              <w:widowControl/>
              <w:jc w:val="left"/>
              <w:rPr>
                <w:kern w:val="0"/>
                <w:sz w:val="21"/>
                <w:szCs w:val="21"/>
              </w:rPr>
            </w:pPr>
          </w:p>
        </w:tc>
        <w:tc>
          <w:tcPr>
            <w:tcW w:w="850"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tcPr>
          <w:p>
            <w:pPr>
              <w:widowControl/>
              <w:spacing w:line="300" w:lineRule="exact"/>
              <w:jc w:val="center"/>
              <w:rPr>
                <w:b/>
                <w:bCs/>
                <w:kern w:val="0"/>
                <w:sz w:val="24"/>
              </w:rPr>
            </w:pPr>
            <w:r>
              <w:rPr>
                <w:rFonts w:hint="eastAsia"/>
                <w:b/>
                <w:bCs/>
                <w:kern w:val="0"/>
                <w:sz w:val="24"/>
              </w:rPr>
              <w:t>20</w:t>
            </w:r>
            <w:r>
              <w:rPr>
                <w:b/>
                <w:bCs/>
                <w:kern w:val="0"/>
                <w:sz w:val="24"/>
              </w:rPr>
              <w:t>2</w:t>
            </w:r>
            <w:r>
              <w:rPr>
                <w:rFonts w:hint="eastAsia"/>
                <w:b/>
                <w:bCs/>
                <w:kern w:val="0"/>
                <w:sz w:val="24"/>
              </w:rPr>
              <w:t>2年</w:t>
            </w:r>
          </w:p>
        </w:tc>
        <w:tc>
          <w:tcPr>
            <w:tcW w:w="851"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tcPr>
          <w:p>
            <w:pPr>
              <w:widowControl/>
              <w:spacing w:line="300" w:lineRule="exact"/>
              <w:jc w:val="center"/>
              <w:rPr>
                <w:b/>
                <w:bCs/>
                <w:kern w:val="0"/>
                <w:sz w:val="24"/>
              </w:rPr>
            </w:pPr>
            <w:r>
              <w:rPr>
                <w:rFonts w:hint="eastAsia"/>
                <w:b/>
                <w:bCs/>
                <w:kern w:val="0"/>
                <w:sz w:val="24"/>
              </w:rPr>
              <w:t>20</w:t>
            </w:r>
            <w:r>
              <w:rPr>
                <w:b/>
                <w:bCs/>
                <w:kern w:val="0"/>
                <w:sz w:val="24"/>
              </w:rPr>
              <w:t>2</w:t>
            </w:r>
            <w:r>
              <w:rPr>
                <w:rFonts w:hint="eastAsia"/>
                <w:b/>
                <w:bCs/>
                <w:kern w:val="0"/>
                <w:sz w:val="24"/>
              </w:rPr>
              <w:t>1年</w:t>
            </w:r>
          </w:p>
        </w:tc>
        <w:tc>
          <w:tcPr>
            <w:tcW w:w="850"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tcPr>
          <w:p>
            <w:pPr>
              <w:widowControl/>
              <w:spacing w:line="300" w:lineRule="exact"/>
              <w:jc w:val="center"/>
              <w:rPr>
                <w:b/>
                <w:bCs/>
                <w:kern w:val="0"/>
                <w:sz w:val="24"/>
              </w:rPr>
            </w:pPr>
            <w:r>
              <w:rPr>
                <w:rFonts w:hint="eastAsia"/>
                <w:b/>
                <w:bCs/>
                <w:kern w:val="0"/>
                <w:sz w:val="24"/>
              </w:rPr>
              <w:t>2020年</w:t>
            </w:r>
          </w:p>
        </w:tc>
        <w:tc>
          <w:tcPr>
            <w:tcW w:w="1134" w:type="dxa"/>
            <w:vMerge w:val="continue"/>
            <w:tcBorders>
              <w:top w:val="single" w:color="auto" w:sz="8" w:space="0"/>
              <w:left w:val="nil"/>
              <w:bottom w:val="single" w:color="auto" w:sz="8" w:space="0"/>
              <w:right w:val="single" w:color="auto" w:sz="8" w:space="0"/>
            </w:tcBorders>
            <w:vAlign w:val="center"/>
          </w:tcPr>
          <w:p>
            <w:pPr>
              <w:widowControl/>
              <w:jc w:val="left"/>
              <w:rPr>
                <w:b/>
                <w:bCs/>
                <w:kern w:val="0"/>
                <w:sz w:val="21"/>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restart"/>
            <w:tcBorders>
              <w:top w:val="nil"/>
              <w:left w:val="single" w:color="auto" w:sz="8" w:space="0"/>
              <w:bottom w:val="single" w:color="auto" w:sz="8" w:space="0"/>
              <w:right w:val="single" w:color="auto" w:sz="8" w:space="0"/>
            </w:tcBorders>
            <w:shd w:val="clear" w:color="auto" w:fill="FFFFFF"/>
            <w:vAlign w:val="center"/>
          </w:tcPr>
          <w:p>
            <w:pPr>
              <w:widowControl/>
              <w:spacing w:line="300" w:lineRule="exact"/>
              <w:jc w:val="center"/>
              <w:rPr>
                <w:b/>
                <w:bCs/>
                <w:kern w:val="0"/>
                <w:sz w:val="24"/>
              </w:rPr>
            </w:pPr>
            <w:r>
              <w:rPr>
                <w:rFonts w:hint="eastAsia"/>
                <w:b/>
                <w:bCs/>
                <w:kern w:val="0"/>
                <w:sz w:val="24"/>
              </w:rPr>
              <w:t>一、</w:t>
            </w:r>
          </w:p>
          <w:p>
            <w:pPr>
              <w:widowControl/>
              <w:spacing w:line="300" w:lineRule="exact"/>
              <w:jc w:val="center"/>
              <w:rPr>
                <w:kern w:val="0"/>
                <w:sz w:val="24"/>
              </w:rPr>
            </w:pPr>
            <w:r>
              <w:rPr>
                <w:rFonts w:hint="eastAsia"/>
                <w:b/>
                <w:bCs/>
                <w:kern w:val="0"/>
                <w:sz w:val="24"/>
              </w:rPr>
              <w:t>医疗质量</w:t>
            </w:r>
          </w:p>
        </w:tc>
        <w:tc>
          <w:tcPr>
            <w:tcW w:w="1413" w:type="dxa"/>
            <w:vMerge w:val="restart"/>
            <w:tcBorders>
              <w:top w:val="nil"/>
              <w:left w:val="nil"/>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（一）</w:t>
            </w:r>
          </w:p>
          <w:p>
            <w:pPr>
              <w:widowControl/>
              <w:spacing w:line="300" w:lineRule="exact"/>
              <w:jc w:val="center"/>
              <w:rPr>
                <w:rFonts w:ascii="仿宋_GB2312"/>
                <w:kern w:val="0"/>
                <w:sz w:val="24"/>
              </w:rPr>
            </w:pPr>
            <w:r>
              <w:rPr>
                <w:rFonts w:hint="eastAsia" w:ascii="仿宋_GB2312"/>
                <w:kern w:val="0"/>
                <w:sz w:val="24"/>
              </w:rPr>
              <w:t>功能定位</w:t>
            </w: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1.门诊中药处方比例▲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2.门诊散装中药饮片和小包装中药饮片处方比例▲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3.中药饮片使用率▲</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4.中医非药物疗法使用比例▲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5.以中医为主治疗的出院患者比例▲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6.手术患者围手术期中医治疗比例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top w:val="nil"/>
              <w:left w:val="nil"/>
              <w:bottom w:val="single" w:color="auto" w:sz="8" w:space="0"/>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（二）</w:t>
            </w:r>
          </w:p>
          <w:p>
            <w:pPr>
              <w:widowControl/>
              <w:spacing w:line="300" w:lineRule="exact"/>
              <w:jc w:val="center"/>
              <w:rPr>
                <w:rFonts w:ascii="仿宋_GB2312"/>
                <w:kern w:val="0"/>
                <w:sz w:val="24"/>
              </w:rPr>
            </w:pPr>
            <w:r>
              <w:rPr>
                <w:rFonts w:hint="eastAsia" w:ascii="仿宋_GB2312"/>
                <w:kern w:val="0"/>
                <w:sz w:val="24"/>
              </w:rPr>
              <w:t>质量安全</w:t>
            </w: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7.手术患者并发症发生率▲</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top w:val="nil"/>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adjustRightInd w:val="0"/>
              <w:snapToGrid w:val="0"/>
              <w:spacing w:line="380" w:lineRule="exact"/>
              <w:jc w:val="left"/>
              <w:rPr>
                <w:rFonts w:ascii="仿宋_GB2312"/>
                <w:kern w:val="0"/>
                <w:sz w:val="24"/>
              </w:rPr>
            </w:pPr>
            <w:r>
              <w:rPr>
                <w:rFonts w:hint="eastAsia" w:ascii="仿宋_GB2312" w:hAnsi="仿宋"/>
                <w:kern w:val="0"/>
                <w:sz w:val="24"/>
              </w:rPr>
              <w:t>8.理法方药使用一致的出院患者比例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top w:val="nil"/>
              <w:left w:val="nil"/>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（三）</w:t>
            </w:r>
          </w:p>
          <w:p>
            <w:pPr>
              <w:widowControl/>
              <w:spacing w:line="300" w:lineRule="exact"/>
              <w:rPr>
                <w:rFonts w:ascii="仿宋_GB2312"/>
                <w:kern w:val="0"/>
                <w:sz w:val="24"/>
              </w:rPr>
            </w:pPr>
            <w:r>
              <w:rPr>
                <w:rFonts w:hint="eastAsia" w:ascii="仿宋_GB2312"/>
                <w:kern w:val="0"/>
                <w:sz w:val="24"/>
              </w:rPr>
              <w:t>合理用药</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9.抗菌药物使用强度（DDDs）▲</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bottom w:val="single" w:color="auto" w:sz="8" w:space="0"/>
              <w:right w:val="single" w:color="auto" w:sz="8" w:space="0"/>
            </w:tcBorders>
            <w:shd w:val="clear" w:color="auto" w:fill="FFFFFF"/>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10.基本药物采购金额占比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029"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top w:val="nil"/>
              <w:left w:val="nil"/>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（三）</w:t>
            </w:r>
          </w:p>
          <w:p>
            <w:pPr>
              <w:widowControl/>
              <w:jc w:val="left"/>
              <w:rPr>
                <w:rFonts w:ascii="仿宋_GB2312"/>
                <w:kern w:val="0"/>
                <w:sz w:val="24"/>
              </w:rPr>
            </w:pPr>
            <w:r>
              <w:rPr>
                <w:rFonts w:hint="eastAsia" w:ascii="仿宋_GB2312"/>
                <w:kern w:val="0"/>
                <w:sz w:val="24"/>
              </w:rPr>
              <w:t>合理用药</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11.国家组织药品集中采购中标药品金额占比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shd w:val="clear" w:color="auto" w:fill="FFFFFF"/>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12.重点监控化学药品和生物制品收入占比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bottom w:val="single" w:color="auto" w:sz="8" w:space="0"/>
              <w:right w:val="single" w:color="auto" w:sz="8" w:space="0"/>
            </w:tcBorders>
            <w:shd w:val="clear" w:color="auto" w:fill="FFFFFF"/>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13.重点监控高值医用耗材收入占比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7"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top w:val="nil"/>
              <w:left w:val="nil"/>
              <w:bottom w:val="single" w:color="auto" w:sz="8" w:space="0"/>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（四）</w:t>
            </w:r>
          </w:p>
          <w:p>
            <w:pPr>
              <w:widowControl/>
              <w:spacing w:line="300" w:lineRule="exact"/>
              <w:jc w:val="center"/>
              <w:rPr>
                <w:rFonts w:ascii="仿宋_GB2312"/>
                <w:kern w:val="0"/>
                <w:sz w:val="24"/>
              </w:rPr>
            </w:pPr>
            <w:r>
              <w:rPr>
                <w:rFonts w:hint="eastAsia" w:ascii="仿宋_GB2312"/>
                <w:kern w:val="0"/>
                <w:sz w:val="24"/>
              </w:rPr>
              <w:t>医疗服务</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s="宋体"/>
                <w:kern w:val="0"/>
                <w:sz w:val="24"/>
              </w:rPr>
              <w:t>14.电子病历应用功能水平分级▲</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r>
              <w:rPr>
                <w:rFonts w:hint="eastAsia"/>
                <w:sz w:val="24"/>
              </w:rPr>
              <w:t>—</w:t>
            </w: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r>
              <w:rPr>
                <w:rFonts w:hint="eastAsia"/>
                <w:sz w:val="24"/>
              </w:rPr>
              <w:t>—</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r>
              <w:rPr>
                <w:rFonts w:hint="eastAsia"/>
                <w:sz w:val="24"/>
              </w:rPr>
              <w:t>—</w:t>
            </w: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059"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top w:val="nil"/>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15.省级室间质量评价临床检验项目参加率与合格率</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top w:val="nil"/>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16.平均住院日▲</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restart"/>
            <w:tcBorders>
              <w:top w:val="nil"/>
              <w:left w:val="single" w:color="auto" w:sz="8" w:space="0"/>
              <w:bottom w:val="single" w:color="auto" w:sz="8" w:space="0"/>
              <w:right w:val="single" w:color="auto" w:sz="8" w:space="0"/>
            </w:tcBorders>
            <w:shd w:val="clear" w:color="auto" w:fill="FFFFFF"/>
            <w:vAlign w:val="center"/>
          </w:tcPr>
          <w:p>
            <w:pPr>
              <w:widowControl/>
              <w:spacing w:line="300" w:lineRule="exact"/>
              <w:jc w:val="center"/>
              <w:rPr>
                <w:b/>
                <w:bCs/>
                <w:kern w:val="0"/>
                <w:sz w:val="24"/>
              </w:rPr>
            </w:pPr>
            <w:r>
              <w:rPr>
                <w:rFonts w:hint="eastAsia"/>
                <w:b/>
                <w:bCs/>
                <w:kern w:val="0"/>
                <w:sz w:val="24"/>
              </w:rPr>
              <w:t>二、</w:t>
            </w:r>
          </w:p>
          <w:p>
            <w:pPr>
              <w:widowControl/>
              <w:spacing w:line="300" w:lineRule="exact"/>
              <w:jc w:val="center"/>
              <w:rPr>
                <w:kern w:val="0"/>
                <w:sz w:val="24"/>
              </w:rPr>
            </w:pPr>
            <w:r>
              <w:rPr>
                <w:rFonts w:hint="eastAsia"/>
                <w:b/>
                <w:bCs/>
                <w:kern w:val="0"/>
                <w:sz w:val="24"/>
              </w:rPr>
              <w:t>运营效率</w:t>
            </w:r>
          </w:p>
          <w:p>
            <w:pPr>
              <w:widowControl/>
              <w:spacing w:line="300" w:lineRule="exact"/>
              <w:jc w:val="center"/>
              <w:rPr>
                <w:kern w:val="0"/>
                <w:sz w:val="24"/>
              </w:rPr>
            </w:pPr>
            <w:r>
              <w:rPr>
                <w:rFonts w:hint="eastAsia"/>
                <w:kern w:val="0"/>
                <w:sz w:val="24"/>
              </w:rPr>
              <w:t> </w:t>
            </w:r>
          </w:p>
        </w:tc>
        <w:tc>
          <w:tcPr>
            <w:tcW w:w="1413" w:type="dxa"/>
            <w:vMerge w:val="restart"/>
            <w:tcBorders>
              <w:top w:val="nil"/>
              <w:left w:val="nil"/>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（五）</w:t>
            </w:r>
          </w:p>
          <w:p>
            <w:pPr>
              <w:widowControl/>
              <w:spacing w:line="300" w:lineRule="exact"/>
              <w:jc w:val="center"/>
              <w:rPr>
                <w:rFonts w:ascii="仿宋_GB2312"/>
                <w:kern w:val="0"/>
                <w:sz w:val="24"/>
              </w:rPr>
            </w:pPr>
            <w:r>
              <w:rPr>
                <w:rFonts w:hint="eastAsia" w:ascii="仿宋_GB2312"/>
                <w:kern w:val="0"/>
                <w:sz w:val="24"/>
              </w:rPr>
              <w:t>收支结构</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17.医疗盈余率▲</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color w:val="000000"/>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spacing w:line="300" w:lineRule="exact"/>
              <w:jc w:val="center"/>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hAnsi="宋体"/>
                <w:color w:val="000000"/>
                <w:kern w:val="0"/>
                <w:sz w:val="24"/>
              </w:rPr>
            </w:pPr>
            <w:r>
              <w:rPr>
                <w:rFonts w:hint="eastAsia" w:ascii="仿宋_GB2312" w:hAnsi="仿宋"/>
                <w:kern w:val="0"/>
                <w:sz w:val="24"/>
              </w:rPr>
              <w:t>18.资产负债率▲</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shd w:val="clear" w:color="auto" w:fill="FFFFFF"/>
            <w:vAlign w:val="center"/>
          </w:tcPr>
          <w:p>
            <w:pPr>
              <w:widowControl/>
              <w:spacing w:line="300" w:lineRule="exact"/>
              <w:jc w:val="center"/>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19.人员经费占比▲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color w:val="000000"/>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822"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20.万元收入能耗占比▲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color w:val="000000"/>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821"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21.医疗收入中来自医保基金的比例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442"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22.中药饮片收入占药品收入比例▲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442"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left w:val="nil"/>
              <w:right w:val="single" w:color="auto" w:sz="8" w:space="0"/>
            </w:tcBorders>
            <w:vAlign w:val="center"/>
          </w:tcPr>
          <w:p>
            <w:pPr>
              <w:widowControl/>
              <w:spacing w:line="300" w:lineRule="exact"/>
              <w:jc w:val="center"/>
              <w:rPr>
                <w:rFonts w:ascii="仿宋_GB2312"/>
                <w:kern w:val="0"/>
                <w:sz w:val="24"/>
              </w:rPr>
            </w:pPr>
            <w:r>
              <w:rPr>
                <w:rFonts w:hint="eastAsia" w:ascii="仿宋_GB2312"/>
                <w:kern w:val="0"/>
                <w:sz w:val="24"/>
              </w:rPr>
              <w:t>（五）</w:t>
            </w:r>
          </w:p>
          <w:p>
            <w:pPr>
              <w:widowControl/>
              <w:jc w:val="left"/>
              <w:rPr>
                <w:rFonts w:ascii="仿宋_GB2312"/>
                <w:kern w:val="0"/>
                <w:sz w:val="24"/>
              </w:rPr>
            </w:pPr>
            <w:r>
              <w:rPr>
                <w:rFonts w:hint="eastAsia" w:ascii="仿宋_GB2312"/>
                <w:kern w:val="0"/>
                <w:sz w:val="24"/>
              </w:rPr>
              <w:t>收支结构</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23.中医医疗服务项目收入占医疗收入比例▲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442"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24.医疗服务收入（不含药品、耗材、检查检验收入）占医疗收入比例▲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top w:val="nil"/>
              <w:left w:val="nil"/>
              <w:bottom w:val="single" w:color="auto" w:sz="8" w:space="0"/>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（六）</w:t>
            </w:r>
          </w:p>
          <w:p>
            <w:pPr>
              <w:widowControl/>
              <w:spacing w:line="300" w:lineRule="exact"/>
              <w:jc w:val="center"/>
              <w:rPr>
                <w:rFonts w:ascii="仿宋_GB2312"/>
                <w:kern w:val="0"/>
                <w:sz w:val="24"/>
              </w:rPr>
            </w:pPr>
            <w:r>
              <w:rPr>
                <w:rFonts w:hint="eastAsia" w:ascii="仿宋_GB2312"/>
                <w:kern w:val="0"/>
                <w:sz w:val="24"/>
              </w:rPr>
              <w:t>费用控制</w:t>
            </w:r>
          </w:p>
        </w:tc>
        <w:tc>
          <w:tcPr>
            <w:tcW w:w="2432" w:type="dxa"/>
            <w:tcBorders>
              <w:top w:val="single" w:color="auto" w:sz="8" w:space="0"/>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25.医疗收入增幅▲</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top w:val="nil"/>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26.次均费用增幅▲</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822"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top w:val="nil"/>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27.次均药品费用增幅▲</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restart"/>
            <w:tcBorders>
              <w:top w:val="nil"/>
              <w:left w:val="single" w:color="auto" w:sz="8" w:space="0"/>
              <w:bottom w:val="single" w:color="auto" w:sz="8" w:space="0"/>
              <w:right w:val="single" w:color="auto" w:sz="8" w:space="0"/>
            </w:tcBorders>
            <w:shd w:val="clear" w:color="auto" w:fill="FFFFFF"/>
            <w:vAlign w:val="center"/>
          </w:tcPr>
          <w:p>
            <w:pPr>
              <w:widowControl/>
              <w:spacing w:line="300" w:lineRule="exact"/>
              <w:jc w:val="center"/>
              <w:rPr>
                <w:b/>
                <w:bCs/>
                <w:kern w:val="0"/>
                <w:sz w:val="24"/>
              </w:rPr>
            </w:pPr>
            <w:r>
              <w:rPr>
                <w:rFonts w:hint="eastAsia"/>
                <w:b/>
                <w:bCs/>
                <w:kern w:val="0"/>
                <w:sz w:val="24"/>
              </w:rPr>
              <w:t>三、</w:t>
            </w:r>
          </w:p>
          <w:p>
            <w:pPr>
              <w:widowControl/>
              <w:spacing w:line="300" w:lineRule="exact"/>
              <w:jc w:val="center"/>
              <w:rPr>
                <w:kern w:val="0"/>
                <w:sz w:val="24"/>
              </w:rPr>
            </w:pPr>
            <w:r>
              <w:rPr>
                <w:rFonts w:hint="eastAsia"/>
                <w:b/>
                <w:bCs/>
                <w:kern w:val="0"/>
                <w:sz w:val="24"/>
              </w:rPr>
              <w:t>持续发展</w:t>
            </w:r>
          </w:p>
        </w:tc>
        <w:tc>
          <w:tcPr>
            <w:tcW w:w="1413" w:type="dxa"/>
            <w:vMerge w:val="restart"/>
            <w:tcBorders>
              <w:top w:val="nil"/>
              <w:left w:val="nil"/>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（七）</w:t>
            </w:r>
          </w:p>
          <w:p>
            <w:pPr>
              <w:widowControl/>
              <w:spacing w:line="300" w:lineRule="exact"/>
              <w:jc w:val="center"/>
              <w:rPr>
                <w:rFonts w:ascii="仿宋_GB2312"/>
                <w:kern w:val="0"/>
                <w:sz w:val="24"/>
              </w:rPr>
            </w:pPr>
            <w:r>
              <w:rPr>
                <w:rFonts w:hint="eastAsia" w:ascii="仿宋_GB2312"/>
                <w:kern w:val="0"/>
                <w:sz w:val="24"/>
              </w:rPr>
              <w:t>人员结构</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28.中医类别执业医师（含执业助理医师）占执业医师总数比例▲</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071"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29.医护比▲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071"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color w:val="000000"/>
                <w:kern w:val="0"/>
                <w:sz w:val="24"/>
              </w:rPr>
              <w:t>30.麻醉、儿科、重症、病理医师占比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color w:val="000000"/>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822"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restart"/>
            <w:tcBorders>
              <w:top w:val="nil"/>
              <w:left w:val="nil"/>
              <w:bottom w:val="single" w:color="auto" w:sz="8" w:space="0"/>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（八）</w:t>
            </w:r>
          </w:p>
          <w:p>
            <w:pPr>
              <w:widowControl/>
              <w:spacing w:line="300" w:lineRule="exact"/>
              <w:jc w:val="center"/>
              <w:rPr>
                <w:rFonts w:ascii="仿宋_GB2312"/>
                <w:kern w:val="0"/>
                <w:sz w:val="24"/>
              </w:rPr>
            </w:pPr>
            <w:r>
              <w:rPr>
                <w:rFonts w:hint="eastAsia" w:ascii="仿宋_GB2312"/>
                <w:kern w:val="0"/>
                <w:sz w:val="24"/>
              </w:rPr>
              <w:t>学科建设</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31.</w:t>
            </w:r>
            <w:r>
              <w:rPr>
                <w:rFonts w:hint="eastAsia" w:ascii="仿宋_GB2312" w:hAnsi="仿宋"/>
                <w:spacing w:val="-17"/>
                <w:kern w:val="0"/>
                <w:sz w:val="24"/>
              </w:rPr>
              <w:t>人才培养经费投入占比</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vMerge w:val="continue"/>
            <w:tcBorders>
              <w:top w:val="nil"/>
              <w:left w:val="nil"/>
              <w:bottom w:val="single" w:color="auto" w:sz="8" w:space="0"/>
              <w:right w:val="single" w:color="auto" w:sz="8" w:space="0"/>
            </w:tcBorders>
            <w:vAlign w:val="center"/>
          </w:tcPr>
          <w:p>
            <w:pPr>
              <w:widowControl/>
              <w:jc w:val="left"/>
              <w:rPr>
                <w:rFonts w:ascii="仿宋_GB2312"/>
                <w:kern w:val="0"/>
                <w:sz w:val="24"/>
              </w:rPr>
            </w:pP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hAnsi="仿宋"/>
                <w:kern w:val="0"/>
                <w:sz w:val="24"/>
              </w:rPr>
              <w:t>32.每百名卫生技术人员重点学科、重点专科经费投入</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ascii="仿宋" w:hAnsi="仿宋" w:eastAsia="仿宋" w:cs="宋体"/>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96" w:hRule="atLeast"/>
          <w:jc w:val="center"/>
        </w:trPr>
        <w:tc>
          <w:tcPr>
            <w:tcW w:w="1248" w:type="dxa"/>
            <w:vMerge w:val="restart"/>
            <w:tcBorders>
              <w:top w:val="nil"/>
              <w:left w:val="single" w:color="auto" w:sz="8" w:space="0"/>
              <w:bottom w:val="single" w:color="auto" w:sz="8" w:space="0"/>
              <w:right w:val="single" w:color="auto" w:sz="8" w:space="0"/>
            </w:tcBorders>
            <w:shd w:val="clear" w:color="auto" w:fill="FFFFFF"/>
            <w:vAlign w:val="center"/>
          </w:tcPr>
          <w:p>
            <w:pPr>
              <w:widowControl/>
              <w:spacing w:line="300" w:lineRule="exact"/>
              <w:jc w:val="center"/>
              <w:rPr>
                <w:b/>
                <w:bCs/>
                <w:kern w:val="0"/>
                <w:sz w:val="24"/>
              </w:rPr>
            </w:pPr>
            <w:r>
              <w:rPr>
                <w:rFonts w:hint="eastAsia"/>
                <w:b/>
                <w:bCs/>
                <w:kern w:val="0"/>
                <w:sz w:val="24"/>
              </w:rPr>
              <w:t>四、</w:t>
            </w:r>
          </w:p>
          <w:p>
            <w:pPr>
              <w:widowControl/>
              <w:spacing w:line="300" w:lineRule="exact"/>
              <w:jc w:val="center"/>
              <w:rPr>
                <w:kern w:val="0"/>
                <w:sz w:val="24"/>
              </w:rPr>
            </w:pPr>
            <w:r>
              <w:rPr>
                <w:rFonts w:hint="eastAsia"/>
                <w:b/>
                <w:bCs/>
                <w:kern w:val="0"/>
                <w:sz w:val="24"/>
              </w:rPr>
              <w:t>满意度评价</w:t>
            </w:r>
          </w:p>
        </w:tc>
        <w:tc>
          <w:tcPr>
            <w:tcW w:w="1413"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（九）</w:t>
            </w:r>
          </w:p>
          <w:p>
            <w:pPr>
              <w:widowControl/>
              <w:spacing w:line="300" w:lineRule="exact"/>
              <w:jc w:val="center"/>
              <w:rPr>
                <w:rFonts w:ascii="仿宋_GB2312"/>
                <w:kern w:val="0"/>
                <w:sz w:val="24"/>
              </w:rPr>
            </w:pPr>
            <w:r>
              <w:rPr>
                <w:rFonts w:hint="eastAsia" w:ascii="仿宋_GB2312"/>
                <w:kern w:val="0"/>
                <w:sz w:val="24"/>
              </w:rPr>
              <w:t>患者满意度</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kern w:val="0"/>
                <w:sz w:val="24"/>
              </w:rPr>
              <w:t>33.患者满意度▲</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1053" w:hRule="atLeast"/>
          <w:jc w:val="center"/>
        </w:trPr>
        <w:tc>
          <w:tcPr>
            <w:tcW w:w="1248" w:type="dxa"/>
            <w:vMerge w:val="continue"/>
            <w:tcBorders>
              <w:top w:val="nil"/>
              <w:left w:val="single" w:color="auto" w:sz="8" w:space="0"/>
              <w:bottom w:val="single" w:color="auto" w:sz="8" w:space="0"/>
              <w:right w:val="single" w:color="auto" w:sz="8" w:space="0"/>
            </w:tcBorders>
            <w:vAlign w:val="center"/>
          </w:tcPr>
          <w:p>
            <w:pPr>
              <w:widowControl/>
              <w:jc w:val="left"/>
              <w:rPr>
                <w:kern w:val="0"/>
                <w:sz w:val="24"/>
              </w:rPr>
            </w:pPr>
          </w:p>
        </w:tc>
        <w:tc>
          <w:tcPr>
            <w:tcW w:w="1413"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rFonts w:ascii="仿宋_GB2312"/>
                <w:kern w:val="0"/>
                <w:sz w:val="24"/>
              </w:rPr>
            </w:pPr>
            <w:r>
              <w:rPr>
                <w:rFonts w:hint="eastAsia" w:ascii="仿宋_GB2312"/>
                <w:kern w:val="0"/>
                <w:sz w:val="24"/>
              </w:rPr>
              <w:t>（十）</w:t>
            </w:r>
          </w:p>
          <w:p>
            <w:pPr>
              <w:widowControl/>
              <w:spacing w:line="300" w:lineRule="exact"/>
              <w:jc w:val="center"/>
              <w:rPr>
                <w:rFonts w:ascii="仿宋_GB2312"/>
                <w:kern w:val="0"/>
                <w:sz w:val="24"/>
              </w:rPr>
            </w:pPr>
            <w:r>
              <w:rPr>
                <w:rFonts w:hint="eastAsia" w:ascii="仿宋_GB2312"/>
                <w:kern w:val="0"/>
                <w:sz w:val="24"/>
              </w:rPr>
              <w:t>医务人员</w:t>
            </w:r>
          </w:p>
          <w:p>
            <w:pPr>
              <w:widowControl/>
              <w:spacing w:line="300" w:lineRule="exact"/>
              <w:jc w:val="center"/>
              <w:rPr>
                <w:rFonts w:ascii="仿宋_GB2312"/>
                <w:kern w:val="0"/>
                <w:sz w:val="24"/>
              </w:rPr>
            </w:pPr>
            <w:r>
              <w:rPr>
                <w:rFonts w:hint="eastAsia" w:ascii="仿宋_GB2312"/>
                <w:kern w:val="0"/>
                <w:sz w:val="24"/>
              </w:rPr>
              <w:t>满意度</w:t>
            </w:r>
          </w:p>
        </w:tc>
        <w:tc>
          <w:tcPr>
            <w:tcW w:w="2432" w:type="dxa"/>
            <w:tcBorders>
              <w:top w:val="nil"/>
              <w:left w:val="nil"/>
              <w:bottom w:val="single" w:color="auto" w:sz="8" w:space="0"/>
              <w:right w:val="single" w:color="auto" w:sz="8" w:space="0"/>
            </w:tcBorders>
            <w:shd w:val="clear" w:color="auto" w:fill="FFFFFF"/>
            <w:vAlign w:val="center"/>
          </w:tcPr>
          <w:p>
            <w:pPr>
              <w:widowControl/>
              <w:spacing w:line="300" w:lineRule="exact"/>
              <w:jc w:val="left"/>
              <w:rPr>
                <w:rFonts w:ascii="仿宋_GB2312"/>
                <w:kern w:val="0"/>
                <w:sz w:val="24"/>
              </w:rPr>
            </w:pPr>
            <w:r>
              <w:rPr>
                <w:rFonts w:hint="eastAsia" w:ascii="仿宋_GB2312"/>
                <w:kern w:val="0"/>
                <w:sz w:val="24"/>
              </w:rPr>
              <w:t>34.医务人员满意度▲</w:t>
            </w:r>
          </w:p>
        </w:tc>
        <w:tc>
          <w:tcPr>
            <w:tcW w:w="851" w:type="dxa"/>
            <w:tcBorders>
              <w:top w:val="nil"/>
              <w:left w:val="nil"/>
              <w:bottom w:val="single" w:color="auto" w:sz="8" w:space="0"/>
              <w:right w:val="single" w:color="auto" w:sz="8" w:space="0"/>
            </w:tcBorders>
            <w:shd w:val="clear" w:color="auto" w:fill="FFFFFF"/>
            <w:vAlign w:val="center"/>
          </w:tcPr>
          <w:p>
            <w:pPr>
              <w:widowControl/>
              <w:spacing w:line="300" w:lineRule="exact"/>
              <w:jc w:val="center"/>
              <w:rPr>
                <w:kern w:val="0"/>
                <w:sz w:val="24"/>
              </w:rPr>
            </w:pPr>
            <w:r>
              <w:rPr>
                <w:rFonts w:hint="eastAsia"/>
                <w:kern w:val="0"/>
                <w:sz w:val="24"/>
              </w:rPr>
              <w:t>定量</w:t>
            </w: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96" w:hRule="atLeast"/>
          <w:jc w:val="center"/>
        </w:trPr>
        <w:tc>
          <w:tcPr>
            <w:tcW w:w="5093" w:type="dxa"/>
            <w:gridSpan w:val="3"/>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spacing w:line="300" w:lineRule="exact"/>
              <w:jc w:val="center"/>
              <w:rPr>
                <w:b/>
                <w:kern w:val="0"/>
                <w:sz w:val="24"/>
              </w:rPr>
            </w:pPr>
            <w:r>
              <w:rPr>
                <w:rFonts w:hint="eastAsia"/>
                <w:b/>
                <w:kern w:val="0"/>
                <w:sz w:val="24"/>
              </w:rPr>
              <w:t>总分</w:t>
            </w:r>
          </w:p>
        </w:tc>
        <w:tc>
          <w:tcPr>
            <w:tcW w:w="851"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1"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850"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c>
          <w:tcPr>
            <w:tcW w:w="1134"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pPr>
              <w:widowControl/>
              <w:spacing w:line="300" w:lineRule="exact"/>
              <w:jc w:val="center"/>
              <w:rPr>
                <w:kern w:val="0"/>
                <w:sz w:val="24"/>
              </w:rPr>
            </w:pPr>
          </w:p>
        </w:tc>
      </w:tr>
    </w:tbl>
    <w:p>
      <w:pPr>
        <w:widowControl/>
        <w:adjustRightInd w:val="0"/>
        <w:spacing w:before="217" w:beforeLines="50" w:line="400" w:lineRule="exact"/>
        <w:ind w:firstLine="500" w:firstLineChars="200"/>
        <w:rPr>
          <w:sz w:val="24"/>
        </w:rPr>
      </w:pPr>
      <w:r>
        <w:rPr>
          <w:rFonts w:hint="eastAsia"/>
          <w:sz w:val="24"/>
        </w:rPr>
        <w:t>注：每个指标均以10分为满分，总分应当为</w:t>
      </w:r>
      <w:r>
        <w:rPr>
          <w:sz w:val="24"/>
        </w:rPr>
        <w:t>340</w:t>
      </w:r>
      <w:r>
        <w:rPr>
          <w:rFonts w:hint="eastAsia"/>
          <w:sz w:val="24"/>
        </w:rPr>
        <w:t>分。民族医医院总分应当为3</w:t>
      </w:r>
      <w:r>
        <w:rPr>
          <w:sz w:val="24"/>
        </w:rPr>
        <w:t>30</w:t>
      </w:r>
      <w:r>
        <w:rPr>
          <w:rFonts w:hint="eastAsia"/>
          <w:sz w:val="24"/>
        </w:rPr>
        <w:t>分。“—”线对应的指标，只需填写自评得分，不需填报数值。</w:t>
      </w:r>
    </w:p>
    <w:p>
      <w:pPr>
        <w:widowControl/>
        <w:jc w:val="left"/>
        <w:rPr>
          <w:sz w:val="24"/>
        </w:rPr>
      </w:pPr>
    </w:p>
    <w:p>
      <w:pPr>
        <w:widowControl/>
        <w:jc w:val="left"/>
        <w:rPr>
          <w:sz w:val="24"/>
        </w:rPr>
      </w:pPr>
    </w:p>
    <w:p>
      <w:pPr>
        <w:widowControl/>
        <w:jc w:val="left"/>
        <w:rPr>
          <w:sz w:val="24"/>
        </w:rPr>
      </w:pPr>
    </w:p>
    <w:p>
      <w:pPr>
        <w:widowControl/>
        <w:jc w:val="left"/>
        <w:rPr>
          <w:sz w:val="24"/>
        </w:rPr>
      </w:pPr>
    </w:p>
    <w:p>
      <w:pPr>
        <w:widowControl/>
        <w:jc w:val="left"/>
        <w:rPr>
          <w:sz w:val="24"/>
        </w:rPr>
      </w:pPr>
    </w:p>
    <w:p>
      <w:pPr>
        <w:widowControl/>
        <w:jc w:val="left"/>
        <w:rPr>
          <w:sz w:val="24"/>
        </w:rPr>
      </w:pPr>
    </w:p>
    <w:p>
      <w:pPr>
        <w:widowControl/>
        <w:jc w:val="left"/>
        <w:rPr>
          <w:sz w:val="24"/>
        </w:rPr>
      </w:pPr>
    </w:p>
    <w:p>
      <w:pPr>
        <w:widowControl/>
        <w:jc w:val="left"/>
        <w:rPr>
          <w:sz w:val="24"/>
        </w:rPr>
        <w:sectPr>
          <w:footnotePr>
            <w:numFmt w:val="decimalEnclosedCircleChinese"/>
            <w:numRestart w:val="eachPage"/>
          </w:footnotePr>
          <w:pgSz w:w="11906" w:h="16838"/>
          <w:pgMar w:top="1440" w:right="1843" w:bottom="1440" w:left="1797" w:header="850" w:footer="992" w:gutter="0"/>
          <w:cols w:space="0" w:num="1"/>
          <w:docGrid w:type="linesAndChars" w:linePitch="435" w:charSpace="2179"/>
        </w:sectPr>
      </w:pPr>
      <w:r>
        <w:rPr>
          <w:sz w:val="24"/>
        </w:rPr>
        <w:br w:type="page"/>
      </w:r>
    </w:p>
    <w:p>
      <w:pPr>
        <w:keepNext/>
        <w:keepLines/>
        <w:shd w:val="clear" w:color="auto" w:fill="FFFFFF"/>
        <w:spacing w:after="217" w:afterLines="50" w:line="600" w:lineRule="exact"/>
        <w:outlineLvl w:val="1"/>
        <w:rPr>
          <w:rFonts w:ascii="黑体" w:hAnsi="黑体" w:eastAsia="黑体"/>
          <w:kern w:val="44"/>
          <w:szCs w:val="32"/>
        </w:rPr>
      </w:pPr>
      <w:bookmarkStart w:id="43" w:name="_Toc42857925"/>
      <w:r>
        <w:rPr>
          <w:rFonts w:hint="eastAsia" w:ascii="黑体" w:hAnsi="黑体" w:eastAsia="黑体"/>
          <w:kern w:val="44"/>
          <w:szCs w:val="32"/>
        </w:rPr>
        <w:t>附件4</w:t>
      </w:r>
      <w:bookmarkEnd w:id="43"/>
    </w:p>
    <w:p>
      <w:pPr>
        <w:spacing w:after="217" w:afterLines="50" w:line="600" w:lineRule="exact"/>
        <w:jc w:val="center"/>
        <w:rPr>
          <w:rFonts w:ascii="Courier New" w:hAnsi="Courier New" w:eastAsia="宋体"/>
          <w:b/>
          <w:bCs/>
          <w:sz w:val="44"/>
          <w:szCs w:val="44"/>
        </w:rPr>
      </w:pPr>
      <w:r>
        <w:rPr>
          <w:rFonts w:hint="eastAsia" w:ascii="Courier New" w:hAnsi="Courier New" w:eastAsia="宋体"/>
          <w:b/>
          <w:bCs/>
          <w:sz w:val="44"/>
          <w:szCs w:val="44"/>
        </w:rPr>
        <w:t>二级公立中医医院绩效考核上报系统</w:t>
      </w:r>
      <w:r>
        <w:rPr>
          <w:rFonts w:ascii="Courier New" w:hAnsi="Courier New" w:eastAsia="宋体"/>
          <w:b/>
          <w:bCs/>
          <w:sz w:val="44"/>
          <w:szCs w:val="44"/>
        </w:rPr>
        <w:t>/</w:t>
      </w:r>
      <w:r>
        <w:rPr>
          <w:rFonts w:hint="eastAsia" w:ascii="Courier New" w:hAnsi="Courier New" w:eastAsia="宋体"/>
          <w:b/>
          <w:bCs/>
          <w:sz w:val="44"/>
          <w:szCs w:val="44"/>
        </w:rPr>
        <w:t>平台</w:t>
      </w:r>
    </w:p>
    <w:tbl>
      <w:tblPr>
        <w:tblStyle w:val="25"/>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8"/>
        <w:gridCol w:w="2382"/>
        <w:gridCol w:w="2694"/>
        <w:gridCol w:w="4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32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8"/>
                <w:szCs w:val="28"/>
              </w:rPr>
            </w:pPr>
            <w:bookmarkStart w:id="44" w:name="_Hlk9459252"/>
            <w:r>
              <w:rPr>
                <w:b/>
                <w:kern w:val="0"/>
                <w:sz w:val="28"/>
                <w:szCs w:val="28"/>
              </w:rPr>
              <w:t>上报系统/平台名称</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8"/>
                <w:szCs w:val="28"/>
              </w:rPr>
            </w:pPr>
            <w:r>
              <w:rPr>
                <w:b/>
                <w:kern w:val="0"/>
                <w:sz w:val="28"/>
                <w:szCs w:val="28"/>
              </w:rPr>
              <w:t>联系电话</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8"/>
                <w:szCs w:val="28"/>
              </w:rPr>
            </w:pPr>
            <w:r>
              <w:rPr>
                <w:b/>
                <w:kern w:val="0"/>
                <w:sz w:val="28"/>
                <w:szCs w:val="28"/>
              </w:rPr>
              <w:t>三级指标序号</w:t>
            </w:r>
          </w:p>
        </w:tc>
        <w:tc>
          <w:tcPr>
            <w:tcW w:w="4956" w:type="dxa"/>
            <w:tcBorders>
              <w:top w:val="single" w:color="auto" w:sz="4" w:space="0"/>
              <w:left w:val="single" w:color="auto" w:sz="4" w:space="0"/>
              <w:bottom w:val="single" w:color="auto" w:sz="4" w:space="0"/>
              <w:right w:val="single" w:color="auto" w:sz="4" w:space="0"/>
            </w:tcBorders>
            <w:vAlign w:val="center"/>
          </w:tcPr>
          <w:p>
            <w:pPr>
              <w:jc w:val="center"/>
              <w:rPr>
                <w:b/>
                <w:kern w:val="0"/>
                <w:sz w:val="28"/>
                <w:szCs w:val="28"/>
              </w:rPr>
            </w:pPr>
            <w:r>
              <w:rPr>
                <w:rFonts w:hint="eastAsia"/>
                <w:b/>
                <w:kern w:val="0"/>
                <w:sz w:val="28"/>
                <w:szCs w:val="28"/>
              </w:rPr>
              <w:t>上报网址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32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rFonts w:hint="eastAsia"/>
                <w:b/>
                <w:kern w:val="0"/>
                <w:sz w:val="24"/>
              </w:rPr>
              <w:t>中医医疗服务</w:t>
            </w:r>
            <w:r>
              <w:rPr>
                <w:b/>
                <w:kern w:val="0"/>
                <w:sz w:val="24"/>
              </w:rPr>
              <w:t>监测系统（TCMMS）</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 w:val="24"/>
              </w:rPr>
            </w:pPr>
            <w:r>
              <w:rPr>
                <w:kern w:val="0"/>
                <w:sz w:val="24"/>
              </w:rPr>
              <w:t>010-64089654</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 w:val="24"/>
              </w:rPr>
            </w:pPr>
            <w:r>
              <w:rPr>
                <w:kern w:val="0"/>
                <w:sz w:val="24"/>
              </w:rPr>
              <w:t>3—7、16</w:t>
            </w:r>
          </w:p>
        </w:tc>
        <w:tc>
          <w:tcPr>
            <w:tcW w:w="4956" w:type="dxa"/>
            <w:tcBorders>
              <w:top w:val="single" w:color="auto" w:sz="4" w:space="0"/>
              <w:left w:val="single" w:color="auto" w:sz="4" w:space="0"/>
              <w:bottom w:val="single" w:color="auto" w:sz="4" w:space="0"/>
              <w:right w:val="single" w:color="auto" w:sz="4" w:space="0"/>
            </w:tcBorders>
            <w:vAlign w:val="center"/>
          </w:tcPr>
          <w:p>
            <w:pPr>
              <w:jc w:val="center"/>
              <w:rPr>
                <w:kern w:val="0"/>
                <w:sz w:val="24"/>
              </w:rPr>
            </w:pPr>
            <w:r>
              <w:rPr>
                <w:kern w:val="0"/>
                <w:sz w:val="24"/>
              </w:rPr>
              <w:t>http://basy.ndctcm.cn:8000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32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4"/>
              </w:rPr>
            </w:pPr>
            <w:r>
              <w:rPr>
                <w:rFonts w:hint="eastAsia"/>
                <w:b/>
                <w:kern w:val="0"/>
                <w:sz w:val="24"/>
              </w:rPr>
              <w:t>电子病历系统分级评价平台</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kern w:val="0"/>
                <w:sz w:val="24"/>
              </w:rPr>
            </w:pPr>
            <w:r>
              <w:rPr>
                <w:kern w:val="0"/>
                <w:sz w:val="24"/>
              </w:rPr>
              <w:t>010-81138605</w:t>
            </w:r>
          </w:p>
          <w:p>
            <w:pPr>
              <w:spacing w:line="360" w:lineRule="exact"/>
              <w:jc w:val="center"/>
              <w:rPr>
                <w:kern w:val="0"/>
                <w:sz w:val="24"/>
              </w:rPr>
            </w:pPr>
            <w:r>
              <w:rPr>
                <w:kern w:val="0"/>
                <w:sz w:val="24"/>
              </w:rPr>
              <w:t>010-81138609</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 w:val="24"/>
              </w:rPr>
            </w:pPr>
            <w:r>
              <w:rPr>
                <w:rFonts w:hint="eastAsia"/>
                <w:kern w:val="0"/>
                <w:sz w:val="24"/>
              </w:rPr>
              <w:t>14</w:t>
            </w:r>
          </w:p>
        </w:tc>
        <w:tc>
          <w:tcPr>
            <w:tcW w:w="4956" w:type="dxa"/>
            <w:tcBorders>
              <w:top w:val="single" w:color="auto" w:sz="4" w:space="0"/>
              <w:left w:val="single" w:color="auto" w:sz="4" w:space="0"/>
              <w:bottom w:val="single" w:color="auto" w:sz="4" w:space="0"/>
              <w:right w:val="single" w:color="auto" w:sz="4" w:space="0"/>
            </w:tcBorders>
            <w:vAlign w:val="center"/>
          </w:tcPr>
          <w:p>
            <w:pPr>
              <w:jc w:val="center"/>
              <w:rPr>
                <w:kern w:val="0"/>
                <w:sz w:val="24"/>
              </w:rPr>
            </w:pPr>
            <w:r>
              <w:rPr>
                <w:rFonts w:hint="eastAsia"/>
                <w:kern w:val="0"/>
                <w:sz w:val="24"/>
              </w:rPr>
              <w:t>h</w:t>
            </w:r>
            <w:r>
              <w:rPr>
                <w:kern w:val="0"/>
                <w:sz w:val="24"/>
              </w:rPr>
              <w:t>ttp://sjzx.niha.org.cn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32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b/>
                <w:kern w:val="0"/>
                <w:sz w:val="24"/>
              </w:rPr>
              <w:t>国家医疗机构、医师、护士</w:t>
            </w:r>
          </w:p>
          <w:p>
            <w:pPr>
              <w:spacing w:line="360" w:lineRule="exact"/>
              <w:jc w:val="center"/>
              <w:rPr>
                <w:b/>
                <w:kern w:val="0"/>
                <w:sz w:val="24"/>
              </w:rPr>
            </w:pPr>
            <w:r>
              <w:rPr>
                <w:b/>
                <w:kern w:val="0"/>
                <w:sz w:val="24"/>
              </w:rPr>
              <w:t>电子化注册系统</w:t>
            </w:r>
          </w:p>
        </w:tc>
        <w:tc>
          <w:tcPr>
            <w:tcW w:w="2382" w:type="dxa"/>
            <w:tcBorders>
              <w:top w:val="single" w:color="auto" w:sz="4" w:space="0"/>
              <w:left w:val="single" w:color="auto" w:sz="4" w:space="0"/>
              <w:right w:val="single" w:color="auto" w:sz="4" w:space="0"/>
            </w:tcBorders>
            <w:shd w:val="clear" w:color="auto" w:fill="auto"/>
            <w:vAlign w:val="center"/>
          </w:tcPr>
          <w:p>
            <w:pPr>
              <w:spacing w:line="360" w:lineRule="exact"/>
              <w:jc w:val="center"/>
              <w:rPr>
                <w:kern w:val="0"/>
                <w:sz w:val="24"/>
              </w:rPr>
            </w:pPr>
            <w:r>
              <w:rPr>
                <w:kern w:val="0"/>
                <w:sz w:val="24"/>
              </w:rPr>
              <w:t>15313767780</w:t>
            </w:r>
          </w:p>
          <w:p>
            <w:pPr>
              <w:spacing w:line="360" w:lineRule="exact"/>
              <w:jc w:val="center"/>
              <w:rPr>
                <w:kern w:val="0"/>
                <w:sz w:val="24"/>
              </w:rPr>
            </w:pPr>
            <w:r>
              <w:rPr>
                <w:kern w:val="0"/>
                <w:sz w:val="24"/>
              </w:rPr>
              <w:t>18311182824</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 w:val="24"/>
              </w:rPr>
            </w:pPr>
            <w:r>
              <w:rPr>
                <w:kern w:val="0"/>
                <w:sz w:val="24"/>
              </w:rPr>
              <w:t>28—30</w:t>
            </w:r>
          </w:p>
        </w:tc>
        <w:tc>
          <w:tcPr>
            <w:tcW w:w="4956" w:type="dxa"/>
            <w:tcBorders>
              <w:top w:val="single" w:color="auto" w:sz="4" w:space="0"/>
              <w:left w:val="single" w:color="auto" w:sz="4" w:space="0"/>
              <w:bottom w:val="single" w:color="auto" w:sz="4" w:space="0"/>
              <w:right w:val="single" w:color="auto" w:sz="4" w:space="0"/>
            </w:tcBorders>
            <w:vAlign w:val="center"/>
          </w:tcPr>
          <w:p>
            <w:pPr>
              <w:jc w:val="center"/>
              <w:rPr>
                <w:kern w:val="0"/>
                <w:sz w:val="24"/>
              </w:rPr>
            </w:pPr>
            <w:r>
              <w:rPr>
                <w:spacing w:val="-14"/>
                <w:kern w:val="0"/>
                <w:sz w:val="24"/>
              </w:rPr>
              <w:t>http://gjdzhzc.wsb003.cn/Home/CountryIndex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2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4"/>
              </w:rPr>
            </w:pPr>
            <w:r>
              <w:rPr>
                <w:b/>
                <w:kern w:val="0"/>
                <w:sz w:val="24"/>
              </w:rPr>
              <w:t>国家</w:t>
            </w:r>
            <w:r>
              <w:rPr>
                <w:rFonts w:hint="eastAsia"/>
                <w:b/>
                <w:kern w:val="0"/>
                <w:sz w:val="24"/>
              </w:rPr>
              <w:t>卫生健康委</w:t>
            </w:r>
            <w:r>
              <w:rPr>
                <w:b/>
                <w:kern w:val="0"/>
                <w:sz w:val="24"/>
              </w:rPr>
              <w:t>满意度调查平台</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kern w:val="0"/>
                <w:sz w:val="24"/>
              </w:rPr>
            </w:pPr>
            <w:r>
              <w:rPr>
                <w:kern w:val="0"/>
                <w:sz w:val="24"/>
              </w:rPr>
              <w:t>010—6879192</w:t>
            </w:r>
            <w:r>
              <w:rPr>
                <w:rFonts w:hint="eastAsia"/>
                <w:kern w:val="0"/>
                <w:sz w:val="24"/>
              </w:rPr>
              <w:t>8</w:t>
            </w:r>
          </w:p>
          <w:p>
            <w:pPr>
              <w:spacing w:line="360" w:lineRule="exact"/>
              <w:jc w:val="center"/>
              <w:rPr>
                <w:kern w:val="0"/>
                <w:sz w:val="24"/>
              </w:rPr>
            </w:pPr>
            <w:r>
              <w:rPr>
                <w:kern w:val="0"/>
                <w:sz w:val="24"/>
              </w:rPr>
              <w:t>010—68791</w:t>
            </w:r>
            <w:r>
              <w:rPr>
                <w:rFonts w:hint="eastAsia"/>
                <w:kern w:val="0"/>
                <w:sz w:val="24"/>
              </w:rPr>
              <w:t>185</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 w:val="24"/>
              </w:rPr>
            </w:pPr>
            <w:r>
              <w:rPr>
                <w:kern w:val="0"/>
                <w:sz w:val="24"/>
              </w:rPr>
              <w:t>33—34</w:t>
            </w:r>
          </w:p>
        </w:tc>
        <w:tc>
          <w:tcPr>
            <w:tcW w:w="4956" w:type="dxa"/>
            <w:tcBorders>
              <w:top w:val="single" w:color="auto" w:sz="4" w:space="0"/>
              <w:left w:val="single" w:color="auto" w:sz="4" w:space="0"/>
              <w:bottom w:val="single" w:color="auto" w:sz="4" w:space="0"/>
              <w:right w:val="single" w:color="auto" w:sz="4" w:space="0"/>
            </w:tcBorders>
            <w:vAlign w:val="center"/>
          </w:tcPr>
          <w:p>
            <w:pPr>
              <w:jc w:val="center"/>
              <w:rPr>
                <w:kern w:val="0"/>
                <w:sz w:val="24"/>
              </w:rPr>
            </w:pPr>
            <w:r>
              <w:rPr>
                <w:rFonts w:hint="eastAsia"/>
                <w:kern w:val="0"/>
                <w:sz w:val="24"/>
              </w:rPr>
              <w:t>h</w:t>
            </w:r>
            <w:r>
              <w:rPr>
                <w:kern w:val="0"/>
                <w:sz w:val="24"/>
              </w:rPr>
              <w:t>ttps://health.10086.cn/sfp/login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32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rFonts w:hint="eastAsia"/>
                <w:b/>
                <w:kern w:val="0"/>
                <w:sz w:val="24"/>
              </w:rPr>
              <w:t>国家公立医院绩效考核</w:t>
            </w:r>
          </w:p>
          <w:p>
            <w:pPr>
              <w:spacing w:line="360" w:lineRule="exact"/>
              <w:jc w:val="center"/>
              <w:rPr>
                <w:b/>
                <w:kern w:val="0"/>
                <w:sz w:val="24"/>
              </w:rPr>
            </w:pPr>
            <w:r>
              <w:rPr>
                <w:rFonts w:hint="eastAsia"/>
                <w:b/>
                <w:kern w:val="0"/>
                <w:sz w:val="24"/>
              </w:rPr>
              <w:t>信息系统</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kern w:val="0"/>
                <w:sz w:val="24"/>
              </w:rPr>
            </w:pPr>
            <w:r>
              <w:rPr>
                <w:rFonts w:hint="eastAsia"/>
                <w:kern w:val="0"/>
                <w:sz w:val="24"/>
              </w:rPr>
              <w:t>400-000-1676</w:t>
            </w:r>
          </w:p>
          <w:p>
            <w:pPr>
              <w:spacing w:line="360" w:lineRule="exact"/>
              <w:jc w:val="center"/>
              <w:rPr>
                <w:kern w:val="0"/>
                <w:sz w:val="24"/>
              </w:rPr>
            </w:pPr>
            <w:r>
              <w:rPr>
                <w:kern w:val="0"/>
                <w:sz w:val="24"/>
              </w:rPr>
              <w:t>010—68791185</w:t>
            </w:r>
          </w:p>
          <w:p>
            <w:pPr>
              <w:spacing w:line="360" w:lineRule="exact"/>
              <w:jc w:val="center"/>
              <w:rPr>
                <w:kern w:val="0"/>
                <w:sz w:val="24"/>
              </w:rPr>
            </w:pPr>
            <w:r>
              <w:rPr>
                <w:kern w:val="0"/>
                <w:sz w:val="24"/>
              </w:rPr>
              <w:t>010—68791681</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 w:val="24"/>
              </w:rPr>
            </w:pPr>
            <w:r>
              <w:rPr>
                <w:rFonts w:hint="eastAsia"/>
                <w:kern w:val="0"/>
                <w:sz w:val="24"/>
              </w:rPr>
              <w:t>其他医院填报指标</w:t>
            </w:r>
          </w:p>
        </w:tc>
        <w:tc>
          <w:tcPr>
            <w:tcW w:w="4956" w:type="dxa"/>
            <w:tcBorders>
              <w:top w:val="single" w:color="auto" w:sz="4" w:space="0"/>
              <w:left w:val="single" w:color="auto" w:sz="4" w:space="0"/>
              <w:bottom w:val="single" w:color="auto" w:sz="4" w:space="0"/>
              <w:right w:val="single" w:color="auto" w:sz="4" w:space="0"/>
            </w:tcBorders>
            <w:vAlign w:val="center"/>
          </w:tcPr>
          <w:p>
            <w:pPr>
              <w:jc w:val="center"/>
              <w:rPr>
                <w:kern w:val="0"/>
                <w:sz w:val="24"/>
              </w:rPr>
            </w:pPr>
            <w:r>
              <w:rPr>
                <w:kern w:val="0"/>
                <w:sz w:val="24"/>
              </w:rPr>
              <w:t>https://sslvpn.ncmsa.cn:9999</w:t>
            </w:r>
          </w:p>
        </w:tc>
      </w:tr>
      <w:bookmarkEnd w:id="44"/>
    </w:tbl>
    <w:p>
      <w:pPr>
        <w:widowControl/>
        <w:jc w:val="left"/>
        <w:rPr>
          <w:rFonts w:eastAsia="仿宋"/>
          <w:szCs w:val="32"/>
        </w:rPr>
        <w:sectPr>
          <w:footnotePr>
            <w:numFmt w:val="decimalEnclosedCircleChinese"/>
            <w:numRestart w:val="eachPage"/>
          </w:footnotePr>
          <w:pgSz w:w="16838" w:h="11906" w:orient="landscape"/>
          <w:pgMar w:top="1797" w:right="1440" w:bottom="1843" w:left="1440" w:header="850" w:footer="992" w:gutter="0"/>
          <w:cols w:space="0" w:num="1"/>
          <w:docGrid w:type="linesAndChars" w:linePitch="435" w:charSpace="2179"/>
        </w:sectPr>
      </w:pPr>
    </w:p>
    <w:p>
      <w:pPr>
        <w:keepNext/>
        <w:keepLines/>
        <w:shd w:val="clear" w:color="auto" w:fill="FFFFFF"/>
        <w:spacing w:after="217" w:afterLines="50" w:line="600" w:lineRule="exact"/>
        <w:outlineLvl w:val="1"/>
        <w:rPr>
          <w:rFonts w:ascii="黑体" w:hAnsi="黑体" w:eastAsia="黑体"/>
          <w:kern w:val="44"/>
          <w:szCs w:val="32"/>
        </w:rPr>
      </w:pPr>
      <w:bookmarkStart w:id="45" w:name="_Toc42857926"/>
      <w:r>
        <w:rPr>
          <w:rFonts w:hint="eastAsia" w:ascii="黑体" w:hAnsi="黑体" w:eastAsia="黑体"/>
          <w:kern w:val="44"/>
          <w:szCs w:val="32"/>
        </w:rPr>
        <w:t>附件5</w:t>
      </w:r>
      <w:bookmarkEnd w:id="45"/>
    </w:p>
    <w:p>
      <w:pPr>
        <w:spacing w:after="217" w:afterLines="50" w:line="600" w:lineRule="exact"/>
        <w:jc w:val="center"/>
        <w:rPr>
          <w:rFonts w:ascii="Courier New" w:hAnsi="Courier New" w:eastAsia="宋体"/>
          <w:b/>
          <w:bCs/>
          <w:sz w:val="44"/>
          <w:szCs w:val="44"/>
        </w:rPr>
      </w:pPr>
      <w:bookmarkStart w:id="46" w:name="_Hlk8306479"/>
      <w:r>
        <w:rPr>
          <w:rFonts w:hint="eastAsia" w:ascii="Courier New" w:hAnsi="Courier New" w:eastAsia="宋体"/>
          <w:b/>
          <w:bCs/>
          <w:sz w:val="44"/>
          <w:szCs w:val="44"/>
        </w:rPr>
        <w:t>指标解释联系人</w:t>
      </w:r>
      <w:bookmarkEnd w:id="46"/>
    </w:p>
    <w:tbl>
      <w:tblPr>
        <w:tblStyle w:val="25"/>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7"/>
        <w:gridCol w:w="3492"/>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kern w:val="0"/>
                <w:sz w:val="28"/>
                <w:szCs w:val="28"/>
              </w:rPr>
            </w:pPr>
            <w:r>
              <w:rPr>
                <w:rFonts w:hint="eastAsia"/>
                <w:b/>
                <w:kern w:val="0"/>
                <w:sz w:val="28"/>
                <w:szCs w:val="28"/>
              </w:rPr>
              <w:t>单位</w:t>
            </w:r>
          </w:p>
        </w:tc>
        <w:tc>
          <w:tcPr>
            <w:tcW w:w="3492" w:type="dxa"/>
            <w:tcBorders>
              <w:left w:val="single" w:color="auto" w:sz="4" w:space="0"/>
            </w:tcBorders>
            <w:shd w:val="clear" w:color="auto" w:fill="auto"/>
            <w:vAlign w:val="center"/>
          </w:tcPr>
          <w:p>
            <w:pPr>
              <w:jc w:val="center"/>
              <w:rPr>
                <w:rFonts w:ascii="黑体" w:hAnsi="黑体" w:eastAsia="黑体"/>
                <w:kern w:val="0"/>
                <w:sz w:val="28"/>
                <w:szCs w:val="28"/>
              </w:rPr>
            </w:pPr>
            <w:r>
              <w:rPr>
                <w:b/>
                <w:kern w:val="0"/>
                <w:sz w:val="28"/>
                <w:szCs w:val="28"/>
              </w:rPr>
              <w:t>联系电话</w:t>
            </w:r>
          </w:p>
        </w:tc>
        <w:tc>
          <w:tcPr>
            <w:tcW w:w="1975" w:type="dxa"/>
            <w:vAlign w:val="center"/>
          </w:tcPr>
          <w:p>
            <w:pPr>
              <w:jc w:val="center"/>
              <w:rPr>
                <w:rFonts w:ascii="黑体" w:hAnsi="黑体" w:eastAsia="黑体"/>
                <w:kern w:val="0"/>
                <w:sz w:val="28"/>
                <w:szCs w:val="28"/>
              </w:rPr>
            </w:pPr>
            <w:r>
              <w:rPr>
                <w:rFonts w:hint="eastAsia"/>
                <w:b/>
                <w:kern w:val="0"/>
                <w:sz w:val="28"/>
                <w:szCs w:val="28"/>
              </w:rPr>
              <w:t>三级</w:t>
            </w:r>
            <w:r>
              <w:rPr>
                <w:b/>
                <w:kern w:val="0"/>
                <w:sz w:val="28"/>
                <w:szCs w:val="28"/>
              </w:rPr>
              <w:t>指标序号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rFonts w:hint="eastAsia"/>
                <w:b/>
                <w:kern w:val="0"/>
                <w:sz w:val="24"/>
              </w:rPr>
              <w:t>中国中医科学院</w:t>
            </w:r>
          </w:p>
          <w:p>
            <w:pPr>
              <w:spacing w:line="360" w:lineRule="exact"/>
              <w:jc w:val="center"/>
              <w:rPr>
                <w:b/>
                <w:kern w:val="0"/>
                <w:sz w:val="24"/>
              </w:rPr>
            </w:pPr>
            <w:r>
              <w:rPr>
                <w:rFonts w:hint="eastAsia"/>
                <w:b/>
                <w:kern w:val="0"/>
                <w:sz w:val="24"/>
              </w:rPr>
              <w:t>中医药数据中心</w:t>
            </w:r>
          </w:p>
        </w:tc>
        <w:tc>
          <w:tcPr>
            <w:tcW w:w="3492" w:type="dxa"/>
            <w:tcBorders>
              <w:left w:val="single" w:color="auto" w:sz="4" w:space="0"/>
            </w:tcBorders>
            <w:shd w:val="clear" w:color="auto" w:fill="auto"/>
            <w:vAlign w:val="center"/>
          </w:tcPr>
          <w:p>
            <w:pPr>
              <w:jc w:val="center"/>
              <w:rPr>
                <w:kern w:val="0"/>
                <w:sz w:val="24"/>
              </w:rPr>
            </w:pPr>
            <w:r>
              <w:rPr>
                <w:kern w:val="0"/>
                <w:sz w:val="24"/>
              </w:rPr>
              <w:t>010-64089</w:t>
            </w:r>
            <w:r>
              <w:rPr>
                <w:rFonts w:hint="eastAsia"/>
                <w:kern w:val="0"/>
                <w:sz w:val="24"/>
              </w:rPr>
              <w:t>6</w:t>
            </w:r>
            <w:r>
              <w:rPr>
                <w:kern w:val="0"/>
                <w:sz w:val="24"/>
              </w:rPr>
              <w:t>54</w:t>
            </w:r>
          </w:p>
        </w:tc>
        <w:tc>
          <w:tcPr>
            <w:tcW w:w="1975" w:type="dxa"/>
            <w:vAlign w:val="center"/>
          </w:tcPr>
          <w:p>
            <w:pPr>
              <w:jc w:val="center"/>
              <w:rPr>
                <w:kern w:val="0"/>
                <w:sz w:val="24"/>
              </w:rPr>
            </w:pPr>
            <w:r>
              <w:rPr>
                <w:kern w:val="0"/>
                <w:sz w:val="24"/>
              </w:rPr>
              <w:t>3-7、16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rFonts w:hint="eastAsia"/>
                <w:b/>
                <w:kern w:val="0"/>
                <w:sz w:val="24"/>
              </w:rPr>
              <w:t>国家卫生健康委</w:t>
            </w:r>
          </w:p>
          <w:p>
            <w:pPr>
              <w:spacing w:line="360" w:lineRule="exact"/>
              <w:jc w:val="center"/>
              <w:rPr>
                <w:b/>
                <w:kern w:val="0"/>
                <w:sz w:val="24"/>
              </w:rPr>
            </w:pPr>
            <w:r>
              <w:rPr>
                <w:rFonts w:hint="eastAsia"/>
                <w:b/>
                <w:kern w:val="0"/>
                <w:sz w:val="24"/>
              </w:rPr>
              <w:t>医院管理研究所</w:t>
            </w:r>
          </w:p>
        </w:tc>
        <w:tc>
          <w:tcPr>
            <w:tcW w:w="3492" w:type="dxa"/>
            <w:tcBorders>
              <w:left w:val="single" w:color="auto" w:sz="4" w:space="0"/>
            </w:tcBorders>
            <w:shd w:val="clear" w:color="auto" w:fill="auto"/>
            <w:vAlign w:val="center"/>
          </w:tcPr>
          <w:p>
            <w:pPr>
              <w:jc w:val="center"/>
              <w:rPr>
                <w:kern w:val="0"/>
                <w:sz w:val="24"/>
              </w:rPr>
            </w:pPr>
            <w:r>
              <w:rPr>
                <w:rFonts w:hint="eastAsia"/>
                <w:kern w:val="0"/>
                <w:sz w:val="24"/>
              </w:rPr>
              <w:t>010-</w:t>
            </w:r>
            <w:r>
              <w:rPr>
                <w:kern w:val="0"/>
                <w:sz w:val="24"/>
              </w:rPr>
              <w:t>81138605</w:t>
            </w:r>
          </w:p>
          <w:p>
            <w:pPr>
              <w:spacing w:line="320" w:lineRule="exact"/>
              <w:jc w:val="center"/>
              <w:rPr>
                <w:kern w:val="0"/>
                <w:sz w:val="24"/>
              </w:rPr>
            </w:pPr>
            <w:r>
              <w:rPr>
                <w:kern w:val="0"/>
                <w:sz w:val="24"/>
              </w:rPr>
              <w:t>010-81138609</w:t>
            </w:r>
          </w:p>
        </w:tc>
        <w:tc>
          <w:tcPr>
            <w:tcW w:w="1975" w:type="dxa"/>
            <w:vAlign w:val="center"/>
          </w:tcPr>
          <w:p>
            <w:pPr>
              <w:jc w:val="center"/>
              <w:rPr>
                <w:color w:val="FF0000"/>
                <w:kern w:val="0"/>
                <w:sz w:val="24"/>
              </w:rPr>
            </w:pPr>
            <w:r>
              <w:rPr>
                <w:rFonts w:hint="eastAsia"/>
                <w:kern w:val="0"/>
                <w:sz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b/>
                <w:kern w:val="0"/>
                <w:sz w:val="24"/>
              </w:rPr>
              <w:t>国家医疗机构、医师、护士</w:t>
            </w:r>
          </w:p>
          <w:p>
            <w:pPr>
              <w:spacing w:line="360" w:lineRule="exact"/>
              <w:jc w:val="center"/>
              <w:rPr>
                <w:b/>
                <w:kern w:val="0"/>
                <w:sz w:val="24"/>
              </w:rPr>
            </w:pPr>
            <w:r>
              <w:rPr>
                <w:b/>
                <w:kern w:val="0"/>
                <w:sz w:val="24"/>
              </w:rPr>
              <w:t>电子化注册系统</w:t>
            </w:r>
          </w:p>
        </w:tc>
        <w:tc>
          <w:tcPr>
            <w:tcW w:w="3492" w:type="dxa"/>
            <w:tcBorders>
              <w:left w:val="single" w:color="auto" w:sz="4" w:space="0"/>
            </w:tcBorders>
            <w:shd w:val="clear" w:color="auto" w:fill="auto"/>
            <w:vAlign w:val="center"/>
          </w:tcPr>
          <w:p>
            <w:pPr>
              <w:jc w:val="center"/>
              <w:rPr>
                <w:kern w:val="0"/>
                <w:sz w:val="24"/>
              </w:rPr>
            </w:pPr>
            <w:r>
              <w:rPr>
                <w:kern w:val="0"/>
                <w:sz w:val="24"/>
              </w:rPr>
              <w:t>15313767780</w:t>
            </w:r>
          </w:p>
          <w:p>
            <w:pPr>
              <w:spacing w:line="320" w:lineRule="exact"/>
              <w:jc w:val="center"/>
              <w:rPr>
                <w:kern w:val="0"/>
                <w:sz w:val="24"/>
              </w:rPr>
            </w:pPr>
            <w:r>
              <w:rPr>
                <w:kern w:val="0"/>
                <w:sz w:val="24"/>
              </w:rPr>
              <w:t>18311182824</w:t>
            </w:r>
          </w:p>
        </w:tc>
        <w:tc>
          <w:tcPr>
            <w:tcW w:w="1975" w:type="dxa"/>
            <w:vAlign w:val="center"/>
          </w:tcPr>
          <w:p>
            <w:pPr>
              <w:jc w:val="center"/>
              <w:rPr>
                <w:sz w:val="24"/>
              </w:rPr>
            </w:pPr>
            <w:r>
              <w:rPr>
                <w:kern w:val="0"/>
                <w:sz w:val="24"/>
              </w:rPr>
              <w:t>28—30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b/>
                <w:kern w:val="0"/>
                <w:sz w:val="24"/>
              </w:rPr>
            </w:pPr>
            <w:r>
              <w:rPr>
                <w:rFonts w:hint="eastAsia"/>
                <w:b/>
                <w:kern w:val="0"/>
                <w:sz w:val="24"/>
              </w:rPr>
              <w:t>国家卫生健康委</w:t>
            </w:r>
          </w:p>
          <w:p>
            <w:pPr>
              <w:spacing w:line="360" w:lineRule="exact"/>
              <w:jc w:val="center"/>
              <w:rPr>
                <w:b/>
                <w:kern w:val="0"/>
                <w:sz w:val="24"/>
              </w:rPr>
            </w:pPr>
            <w:r>
              <w:rPr>
                <w:rFonts w:hint="eastAsia"/>
                <w:b/>
                <w:kern w:val="0"/>
                <w:sz w:val="24"/>
              </w:rPr>
              <w:t>医管中心</w:t>
            </w:r>
          </w:p>
        </w:tc>
        <w:tc>
          <w:tcPr>
            <w:tcW w:w="3492" w:type="dxa"/>
            <w:tcBorders>
              <w:left w:val="single" w:color="auto" w:sz="4" w:space="0"/>
            </w:tcBorders>
            <w:shd w:val="clear" w:color="auto" w:fill="auto"/>
            <w:vAlign w:val="center"/>
          </w:tcPr>
          <w:p>
            <w:pPr>
              <w:jc w:val="center"/>
              <w:rPr>
                <w:kern w:val="0"/>
                <w:sz w:val="24"/>
              </w:rPr>
            </w:pPr>
            <w:r>
              <w:rPr>
                <w:rFonts w:hint="eastAsia"/>
                <w:kern w:val="0"/>
                <w:sz w:val="24"/>
              </w:rPr>
              <w:t>010-68791185</w:t>
            </w:r>
          </w:p>
          <w:p>
            <w:pPr>
              <w:jc w:val="center"/>
              <w:rPr>
                <w:kern w:val="0"/>
                <w:sz w:val="24"/>
              </w:rPr>
            </w:pPr>
            <w:r>
              <w:rPr>
                <w:rFonts w:hint="eastAsia"/>
                <w:kern w:val="0"/>
                <w:sz w:val="24"/>
              </w:rPr>
              <w:t>010-68791681</w:t>
            </w:r>
          </w:p>
        </w:tc>
        <w:tc>
          <w:tcPr>
            <w:tcW w:w="1975" w:type="dxa"/>
            <w:vAlign w:val="center"/>
          </w:tcPr>
          <w:p>
            <w:pPr>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4"/>
              </w:rPr>
            </w:pPr>
            <w:r>
              <w:rPr>
                <w:b/>
                <w:kern w:val="0"/>
                <w:sz w:val="24"/>
              </w:rPr>
              <w:t>省级卫生健康委</w:t>
            </w:r>
          </w:p>
        </w:tc>
        <w:tc>
          <w:tcPr>
            <w:tcW w:w="3492" w:type="dxa"/>
            <w:tcBorders>
              <w:left w:val="single" w:color="auto" w:sz="4" w:space="0"/>
            </w:tcBorders>
            <w:shd w:val="clear" w:color="auto" w:fill="auto"/>
            <w:vAlign w:val="center"/>
          </w:tcPr>
          <w:p>
            <w:pPr>
              <w:spacing w:line="360" w:lineRule="exact"/>
              <w:jc w:val="center"/>
              <w:rPr>
                <w:kern w:val="0"/>
                <w:sz w:val="24"/>
              </w:rPr>
            </w:pPr>
            <w:r>
              <w:rPr>
                <w:kern w:val="0"/>
                <w:sz w:val="24"/>
              </w:rPr>
              <w:t>请联系所在地省级卫生健康委负责</w:t>
            </w:r>
            <w:r>
              <w:rPr>
                <w:rFonts w:hint="eastAsia"/>
                <w:kern w:val="0"/>
                <w:sz w:val="24"/>
              </w:rPr>
              <w:t>二</w:t>
            </w:r>
            <w:r>
              <w:rPr>
                <w:kern w:val="0"/>
                <w:sz w:val="24"/>
              </w:rPr>
              <w:t>级公立医院绩效考核的工作人员</w:t>
            </w:r>
          </w:p>
        </w:tc>
        <w:tc>
          <w:tcPr>
            <w:tcW w:w="1975" w:type="dxa"/>
          </w:tcPr>
          <w:p>
            <w:pPr>
              <w:jc w:val="left"/>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33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kern w:val="0"/>
                <w:sz w:val="24"/>
              </w:rPr>
            </w:pPr>
            <w:r>
              <w:rPr>
                <w:rFonts w:hint="eastAsia"/>
                <w:b/>
                <w:kern w:val="0"/>
                <w:sz w:val="24"/>
              </w:rPr>
              <w:t>省级中医药主管部门</w:t>
            </w:r>
          </w:p>
        </w:tc>
        <w:tc>
          <w:tcPr>
            <w:tcW w:w="3492" w:type="dxa"/>
            <w:tcBorders>
              <w:left w:val="single" w:color="auto" w:sz="4" w:space="0"/>
            </w:tcBorders>
            <w:shd w:val="clear" w:color="auto" w:fill="auto"/>
            <w:vAlign w:val="center"/>
          </w:tcPr>
          <w:p>
            <w:pPr>
              <w:spacing w:line="360" w:lineRule="exact"/>
              <w:jc w:val="center"/>
              <w:rPr>
                <w:kern w:val="0"/>
                <w:sz w:val="24"/>
              </w:rPr>
            </w:pPr>
            <w:r>
              <w:rPr>
                <w:kern w:val="0"/>
                <w:sz w:val="24"/>
              </w:rPr>
              <w:t>请联系所在地省级</w:t>
            </w:r>
            <w:r>
              <w:rPr>
                <w:rFonts w:hint="eastAsia"/>
                <w:kern w:val="0"/>
                <w:sz w:val="24"/>
              </w:rPr>
              <w:t>中医药管理部门</w:t>
            </w:r>
            <w:r>
              <w:rPr>
                <w:kern w:val="0"/>
                <w:sz w:val="24"/>
              </w:rPr>
              <w:t>负责</w:t>
            </w:r>
            <w:r>
              <w:rPr>
                <w:rFonts w:hint="eastAsia"/>
                <w:kern w:val="0"/>
                <w:sz w:val="24"/>
              </w:rPr>
              <w:t>二</w:t>
            </w:r>
            <w:r>
              <w:rPr>
                <w:kern w:val="0"/>
                <w:sz w:val="24"/>
              </w:rPr>
              <w:t>级公立</w:t>
            </w:r>
            <w:r>
              <w:rPr>
                <w:rFonts w:hint="eastAsia"/>
                <w:kern w:val="0"/>
                <w:sz w:val="24"/>
              </w:rPr>
              <w:t>中医</w:t>
            </w:r>
            <w:r>
              <w:rPr>
                <w:kern w:val="0"/>
                <w:sz w:val="24"/>
              </w:rPr>
              <w:t>医院绩效考核的工作人员</w:t>
            </w:r>
          </w:p>
        </w:tc>
        <w:tc>
          <w:tcPr>
            <w:tcW w:w="1975" w:type="dxa"/>
          </w:tcPr>
          <w:p>
            <w:pPr>
              <w:jc w:val="left"/>
              <w:rPr>
                <w:kern w:val="0"/>
                <w:sz w:val="24"/>
              </w:rPr>
            </w:pPr>
          </w:p>
        </w:tc>
      </w:tr>
    </w:tbl>
    <w:p>
      <w:pPr>
        <w:spacing w:before="217" w:beforeLines="50"/>
        <w:ind w:left="330" w:leftChars="100" w:firstLine="250" w:firstLineChars="100"/>
        <w:rPr>
          <w:rFonts w:eastAsia="仿宋"/>
          <w:kern w:val="0"/>
          <w:sz w:val="24"/>
        </w:rPr>
      </w:pPr>
    </w:p>
    <w:p>
      <w:pPr>
        <w:jc w:val="center"/>
        <w:rPr>
          <w:rFonts w:eastAsia="仿宋"/>
          <w:szCs w:val="32"/>
        </w:rPr>
      </w:pPr>
    </w:p>
    <w:p>
      <w:pPr>
        <w:jc w:val="center"/>
        <w:rPr>
          <w:rFonts w:eastAsia="仿宋"/>
          <w:szCs w:val="32"/>
        </w:rPr>
      </w:pPr>
    </w:p>
    <w:p>
      <w:pPr>
        <w:ind w:right="240" w:rightChars="73"/>
        <w:rPr>
          <w:bCs/>
          <w:szCs w:val="32"/>
        </w:rPr>
      </w:pPr>
    </w:p>
    <w:p>
      <w:pPr>
        <w:ind w:right="240" w:rightChars="73"/>
        <w:rPr>
          <w:bCs/>
          <w:szCs w:val="32"/>
        </w:rPr>
      </w:pPr>
    </w:p>
    <w:p>
      <w:pPr>
        <w:ind w:right="240" w:rightChars="73"/>
        <w:rPr>
          <w:bCs/>
          <w:szCs w:val="32"/>
        </w:rPr>
      </w:pPr>
    </w:p>
    <w:p>
      <w:pPr>
        <w:ind w:right="240" w:rightChars="73"/>
        <w:rPr>
          <w:bCs/>
          <w:szCs w:val="32"/>
        </w:rPr>
      </w:pPr>
    </w:p>
    <w:bookmarkEnd w:id="1"/>
    <w:p>
      <w:pPr>
        <w:tabs>
          <w:tab w:val="left" w:pos="1655"/>
        </w:tabs>
      </w:pPr>
      <w:bookmarkStart w:id="47" w:name="_Toc448159844"/>
      <w:bookmarkEnd w:id="47"/>
      <w:bookmarkStart w:id="48" w:name="_Toc469588462"/>
      <w:bookmarkEnd w:id="48"/>
    </w:p>
    <w:sectPr>
      <w:headerReference r:id="rId9" w:type="first"/>
      <w:footerReference r:id="rId12" w:type="first"/>
      <w:headerReference r:id="rId7" w:type="default"/>
      <w:footerReference r:id="rId10" w:type="default"/>
      <w:headerReference r:id="rId8" w:type="even"/>
      <w:footerReference r:id="rId11" w:type="even"/>
      <w:footnotePr>
        <w:numFmt w:val="decimalEnclosedCircleChinese"/>
        <w:numRestart w:val="eachPage"/>
      </w:footnotePr>
      <w:pgSz w:w="11906" w:h="16838"/>
      <w:pgMar w:top="1440" w:right="1843" w:bottom="1440" w:left="1797" w:header="850" w:footer="992" w:gutter="0"/>
      <w:cols w:space="0" w:num="1"/>
      <w:docGrid w:type="linesAndChars" w:linePitch="435" w:charSpace="21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441AC9D-F286-460D-89C5-95D92931A5B3}"/>
  </w:font>
  <w:font w:name="黑体">
    <w:panose1 w:val="02010609060101010101"/>
    <w:charset w:val="86"/>
    <w:family w:val="auto"/>
    <w:pitch w:val="default"/>
    <w:sig w:usb0="800002BF" w:usb1="38CF7CFA" w:usb2="00000016" w:usb3="00000000" w:csb0="00040001" w:csb1="00000000"/>
    <w:embedRegular r:id="rId2" w:fontKey="{E8BA5A0D-68BE-46D6-A1C6-8892B294A5B2}"/>
  </w:font>
  <w:font w:name="Courier New">
    <w:panose1 w:val="02070309020205020404"/>
    <w:charset w:val="01"/>
    <w:family w:val="modern"/>
    <w:pitch w:val="default"/>
    <w:sig w:usb0="E0002EFF" w:usb1="C0007843" w:usb2="00000009" w:usb3="00000000" w:csb0="400001FF" w:csb1="FFFF0000"/>
    <w:embedRegular r:id="rId3" w:fontKey="{E961453C-A775-4DB2-A7ED-6612B6FD73F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75615AE-EBF5-4F5D-B8F6-34E636C47962}"/>
  </w:font>
  <w:font w:name="仿宋_GB2312">
    <w:panose1 w:val="02010609030101010101"/>
    <w:charset w:val="86"/>
    <w:family w:val="modern"/>
    <w:pitch w:val="default"/>
    <w:sig w:usb0="00000001" w:usb1="080E0000" w:usb2="00000000" w:usb3="00000000" w:csb0="00040000" w:csb1="00000000"/>
    <w:embedRegular r:id="rId5" w:fontKey="{074CEFEE-23D1-496A-9AD7-C3B24F604E48}"/>
  </w:font>
  <w:font w:name="Cambria">
    <w:panose1 w:val="02040503050406030204"/>
    <w:charset w:val="00"/>
    <w:family w:val="roman"/>
    <w:pitch w:val="default"/>
    <w:sig w:usb0="E00006FF" w:usb1="420024FF" w:usb2="02000000" w:usb3="00000000" w:csb0="2000019F" w:csb1="00000000"/>
  </w:font>
  <w:font w:name="Microsoft Himalaya">
    <w:panose1 w:val="01010100010101010101"/>
    <w:charset w:val="00"/>
    <w:family w:val="auto"/>
    <w:pitch w:val="default"/>
    <w:sig w:usb0="80000003" w:usb1="00010000" w:usb2="00000040" w:usb3="00000000" w:csb0="00000001" w:csb1="00000000"/>
    <w:embedRegular r:id="rId6" w:fontKey="{0F391B26-76B6-4071-8516-CEE65D27570C}"/>
  </w:font>
  <w:font w:name="楷体_GB2312">
    <w:altName w:val="楷体"/>
    <w:panose1 w:val="00000000000000000000"/>
    <w:charset w:val="86"/>
    <w:family w:val="modern"/>
    <w:pitch w:val="default"/>
    <w:sig w:usb0="00000000" w:usb1="00000000" w:usb2="00000000" w:usb3="00000000" w:csb0="00040000" w:csb1="00000000"/>
    <w:embedRegular r:id="rId7" w:fontKey="{DE157E55-7446-44C3-B5D5-1C5A130730FD}"/>
  </w:font>
  <w:font w:name="PingFang SC">
    <w:altName w:val="Segoe Print"/>
    <w:panose1 w:val="00000000000000000000"/>
    <w:charset w:val="00"/>
    <w:family w:val="auto"/>
    <w:pitch w:val="default"/>
    <w:sig w:usb0="00000000" w:usb1="00000000" w:usb2="00000000" w:usb3="00000000" w:csb0="00040001" w:csb1="00000000"/>
  </w:font>
  <w:font w:name="Calibri Light">
    <w:panose1 w:val="020F0302020204030204"/>
    <w:charset w:val="00"/>
    <w:family w:val="swiss"/>
    <w:pitch w:val="default"/>
    <w:sig w:usb0="E4002EFF" w:usb1="C000247B" w:usb2="00000009" w:usb3="00000000" w:csb0="200001FF" w:csb1="00000000"/>
    <w:embedRegular r:id="rId8" w:fontKey="{0B657D6A-1FA9-4DF2-919B-3AC2FD0A414E}"/>
  </w:font>
  <w:font w:name="等线">
    <w:panose1 w:val="02010600030101010101"/>
    <w:charset w:val="86"/>
    <w:family w:val="auto"/>
    <w:pitch w:val="default"/>
    <w:sig w:usb0="A00002BF" w:usb1="38CF7CFA" w:usb2="00000016" w:usb3="00000000" w:csb0="0004000F" w:csb1="00000000"/>
    <w:embedRegular r:id="rId9" w:fontKey="{E6375352-9825-44BE-B6BD-35E03F039FC3}"/>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0" w:fontKey="{EFF3DEA4-FBF8-4940-99F9-1FB392203454}"/>
  </w:font>
  <w:font w:name="楷体">
    <w:panose1 w:val="02010609060101010101"/>
    <w:charset w:val="86"/>
    <w:family w:val="modern"/>
    <w:pitch w:val="default"/>
    <w:sig w:usb0="800002BF" w:usb1="38CF7CFA" w:usb2="00000016" w:usb3="00000000" w:csb0="00040001" w:csb1="00000000"/>
    <w:embedRegular r:id="rId11" w:fontKey="{9D3BE13A-BC08-41BD-868E-1AA02ACE35F6}"/>
  </w:font>
  <w:font w:name="方正小标宋简体">
    <w:panose1 w:val="02000000000000000000"/>
    <w:charset w:val="86"/>
    <w:family w:val="auto"/>
    <w:pitch w:val="default"/>
    <w:sig w:usb0="00000001" w:usb1="08000000" w:usb2="00000000" w:usb3="00000000" w:csb0="00040000" w:csb1="00000000"/>
    <w:embedRegular r:id="rId12" w:fontKey="{584D1E76-549D-487E-81F7-6851E7FF51F2}"/>
  </w:font>
  <w:font w:name="Cambria Math">
    <w:panose1 w:val="02040503050406030204"/>
    <w:charset w:val="00"/>
    <w:family w:val="roman"/>
    <w:pitch w:val="default"/>
    <w:sig w:usb0="E00006FF" w:usb1="420024FF" w:usb2="02000000" w:usb3="00000000" w:csb0="2000019F" w:csb1="00000000"/>
    <w:embedRegular r:id="rId13" w:fontKey="{9AE45A73-F51C-4DBD-B48B-5919CD9B40F1}"/>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9594974"/>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524566"/>
    </w:sdtPr>
    <w:sdtContent>
      <w:p>
        <w:pPr>
          <w:pStyle w:val="15"/>
          <w:jc w:val="center"/>
        </w:pPr>
        <w:r>
          <w:fldChar w:fldCharType="begin"/>
        </w:r>
        <w:r>
          <w:instrText xml:space="preserve">PAGE   \* MERGEFORMAT</w:instrText>
        </w:r>
        <w:r>
          <w:fldChar w:fldCharType="separate"/>
        </w:r>
        <w:r>
          <w:rPr>
            <w:lang w:val="zh-CN"/>
          </w:rPr>
          <w:t>16</w:t>
        </w:r>
        <w:r>
          <w:rPr>
            <w:lang w:val="zh-CN"/>
          </w:rPr>
          <w:fldChar w:fldCharType="end"/>
        </w:r>
      </w:p>
    </w:sdtContent>
  </w:sdt>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88</w:t>
    </w:r>
    <w:r>
      <w:rPr>
        <w:lang w:val="zh-CN"/>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0">
    <w:p>
      <w:r>
        <w:separator/>
      </w:r>
    </w:p>
  </w:footnote>
  <w:footnote w:type="continuationSeparator" w:id="101">
    <w:p>
      <w:r>
        <w:continuationSeparator/>
      </w:r>
    </w:p>
  </w:footnote>
  <w:footnote w:id="0">
    <w:p>
      <w:pPr>
        <w:pStyle w:val="19"/>
        <w:jc w:val="both"/>
        <w:rPr>
          <w:rFonts w:ascii="仿宋_GB2312" w:eastAsia="仿宋_GB2312"/>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shd w:val="clear" w:color="auto" w:fill="FFFFFF"/>
        </w:rPr>
        <w:t>处方是指由注册的执业医师和执业助理医师（以下简称医师）在诊疗活动中为患者开具的、由取得药学专业技术职务任职资格的药学专业技术人员（以下简称药师）审核、调配、核对，并作为患者用药凭证的医疗文书。参阅《处方管理办法》（中华人民共和国卫生部令第53号）</w:t>
      </w:r>
      <w:r>
        <w:rPr>
          <w:rFonts w:hint="eastAsia" w:ascii="仿宋_GB2312" w:eastAsia="仿宋_GB2312"/>
          <w:sz w:val="21"/>
          <w:szCs w:val="21"/>
        </w:rPr>
        <w:t>。</w:t>
      </w:r>
    </w:p>
  </w:footnote>
  <w:footnote w:id="1">
    <w:p>
      <w:pPr>
        <w:pStyle w:val="19"/>
        <w:jc w:val="both"/>
        <w:rPr>
          <w:rFonts w:ascii="仿宋_GB2312" w:eastAsia="仿宋_GB2312"/>
          <w:sz w:val="21"/>
          <w:szCs w:val="21"/>
        </w:rPr>
      </w:pPr>
      <w:r>
        <w:rPr>
          <w:rFonts w:hint="eastAsia" w:ascii="仿宋_GB2312" w:eastAsia="仿宋_GB2312"/>
          <w:sz w:val="21"/>
          <w:szCs w:val="21"/>
        </w:rPr>
        <w:footnoteRef/>
      </w:r>
      <w:r>
        <w:rPr>
          <w:rFonts w:hint="eastAsia" w:ascii="仿宋_GB2312" w:eastAsia="仿宋_GB2312"/>
          <w:sz w:val="21"/>
          <w:szCs w:val="21"/>
        </w:rPr>
        <w:t>中药处方包括中成药（含医疗机构中药制剂）、散装中药饮片、小包装中药饮片、中药配方颗粒处方。</w:t>
      </w:r>
    </w:p>
  </w:footnote>
  <w:footnote w:id="2">
    <w:p>
      <w:pPr>
        <w:pStyle w:val="19"/>
        <w:jc w:val="both"/>
        <w:rPr>
          <w:rFonts w:ascii="仿宋_GB2312" w:eastAsia="仿宋_GB2312"/>
          <w:sz w:val="21"/>
          <w:szCs w:val="21"/>
        </w:rPr>
      </w:pPr>
      <w:r>
        <w:rPr>
          <w:rFonts w:hint="eastAsia" w:ascii="仿宋_GB2312" w:eastAsia="仿宋_GB2312"/>
          <w:sz w:val="21"/>
          <w:szCs w:val="21"/>
        </w:rPr>
        <w:footnoteRef/>
      </w:r>
      <w:r>
        <w:rPr>
          <w:rFonts w:hint="eastAsia" w:ascii="仿宋_GB2312" w:eastAsia="仿宋_GB2312"/>
          <w:sz w:val="21"/>
          <w:szCs w:val="21"/>
        </w:rPr>
        <w:t>医疗机构中药制剂是指取得批准文号或符合国家食品药品监督管理总局《关于对医疗机构应用传统工艺配制中药制剂实施备案管理的公告》（2018年第19号）要求备案的医疗机构中药制剂。不含未经批准医疗机构内部的协定处方。</w:t>
      </w:r>
    </w:p>
  </w:footnote>
  <w:footnote w:id="3">
    <w:p>
      <w:pPr>
        <w:pStyle w:val="19"/>
        <w:jc w:val="both"/>
        <w:rPr>
          <w:rFonts w:ascii="仿宋_GB2312" w:eastAsia="仿宋_GB2312"/>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shd w:val="clear" w:color="auto" w:fill="FFFFFF"/>
        </w:rPr>
        <w:t>小包装中药饮片是按照设定的剂量包装，能直接“数包”配方的中药饮片，供患者煎煮后使用。参阅《小包装中药饮片医疗机构应用指南》（国中医药办[2008]34号）。</w:t>
      </w:r>
    </w:p>
  </w:footnote>
  <w:footnote w:id="4">
    <w:p>
      <w:pPr>
        <w:pStyle w:val="19"/>
        <w:jc w:val="both"/>
        <w:rPr>
          <w:rFonts w:ascii="仿宋_GB2312" w:eastAsia="仿宋_GB2312"/>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shd w:val="clear" w:color="auto" w:fill="FFFFFF"/>
        </w:rPr>
        <w:t>中药配方颗粒剂是由单味中药饮片经水加热提取、分离、浓缩、干燥、制粒而成的颗粒，在中医药理论指导下，按照中医临床处方调配后，供患者冲服使用。参阅国家药监局、国家中医药管理局、国家卫生健康委、国家医保局《关于结束中药配方颗粒试点工作的公告》（2021年第22号）。</w:t>
      </w:r>
    </w:p>
  </w:footnote>
  <w:footnote w:id="5">
    <w:p>
      <w:pPr>
        <w:pStyle w:val="19"/>
        <w:rPr>
          <w:rFonts w:ascii="仿宋_GB2312" w:eastAsia="仿宋_GB2312"/>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shd w:val="clear" w:color="auto" w:fill="FFFFFF"/>
        </w:rPr>
        <w:t>参阅《</w:t>
      </w:r>
      <w:r>
        <w:rPr>
          <w:rFonts w:hint="eastAsia" w:ascii="仿宋_GB2312" w:hAnsi="Times New Roman" w:eastAsia="仿宋_GB2312"/>
          <w:sz w:val="21"/>
          <w:szCs w:val="21"/>
          <w:shd w:val="clear" w:color="auto" w:fill="FFFFFF"/>
          <w:lang w:val="en-US" w:eastAsia="zh-CN"/>
        </w:rPr>
        <w:t>国家中医药综合</w:t>
      </w:r>
      <w:r>
        <w:rPr>
          <w:rFonts w:hint="eastAsia" w:ascii="仿宋_GB2312" w:hAnsi="Times New Roman" w:eastAsia="仿宋_GB2312"/>
          <w:sz w:val="21"/>
          <w:szCs w:val="21"/>
          <w:shd w:val="clear" w:color="auto" w:fill="FFFFFF"/>
        </w:rPr>
        <w:t>统计制度》（国统制〔20</w:t>
      </w:r>
      <w:r>
        <w:rPr>
          <w:rFonts w:hint="eastAsia" w:ascii="仿宋_GB2312" w:hAnsi="Times New Roman" w:eastAsia="仿宋_GB2312"/>
          <w:sz w:val="21"/>
          <w:szCs w:val="21"/>
          <w:shd w:val="clear" w:color="auto" w:fill="FFFFFF"/>
          <w:lang w:val="en-US" w:eastAsia="zh-CN"/>
        </w:rPr>
        <w:t>22</w:t>
      </w:r>
      <w:r>
        <w:rPr>
          <w:rFonts w:hint="eastAsia" w:ascii="仿宋_GB2312" w:hAnsi="Times New Roman" w:eastAsia="仿宋_GB2312"/>
          <w:sz w:val="21"/>
          <w:szCs w:val="21"/>
          <w:shd w:val="clear" w:color="auto" w:fill="FFFFFF"/>
        </w:rPr>
        <w:t>〕</w:t>
      </w:r>
      <w:r>
        <w:rPr>
          <w:rFonts w:hint="eastAsia" w:ascii="仿宋_GB2312" w:hAnsi="Times New Roman" w:eastAsia="仿宋_GB2312"/>
          <w:sz w:val="21"/>
          <w:szCs w:val="21"/>
          <w:shd w:val="clear" w:color="auto" w:fill="FFFFFF"/>
          <w:lang w:val="en-US" w:eastAsia="zh-CN"/>
        </w:rPr>
        <w:t>59</w:t>
      </w:r>
      <w:r>
        <w:rPr>
          <w:rFonts w:hint="eastAsia" w:ascii="仿宋_GB2312" w:hAnsi="Times New Roman" w:eastAsia="仿宋_GB2312"/>
          <w:sz w:val="21"/>
          <w:szCs w:val="21"/>
          <w:shd w:val="clear" w:color="auto" w:fill="FFFFFF"/>
        </w:rPr>
        <w:t>号）。</w:t>
      </w:r>
    </w:p>
  </w:footnote>
  <w:footnote w:id="6">
    <w:p>
      <w:pPr>
        <w:pStyle w:val="19"/>
        <w:rPr>
          <w:rFonts w:ascii="仿宋_GB2312" w:hAnsi="仿宋" w:eastAsia="仿宋_GB2312"/>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shd w:val="clear" w:color="auto" w:fill="FFFFFF"/>
        </w:rPr>
        <w:t>民族药包含成药、制剂和饮片（含原料药、卡嚓药）。参阅《二级民族医医院评审标准(2018年版)》（国中医药医政函〔2018〕96号）</w:t>
      </w:r>
      <w:r>
        <w:rPr>
          <w:rFonts w:hint="eastAsia" w:ascii="仿宋_GB2312" w:hAnsi="仿宋" w:eastAsia="仿宋_GB2312"/>
          <w:sz w:val="21"/>
          <w:szCs w:val="21"/>
        </w:rPr>
        <w:t>。</w:t>
      </w:r>
    </w:p>
  </w:footnote>
  <w:footnote w:id="7">
    <w:p>
      <w:pPr>
        <w:pStyle w:val="19"/>
        <w:rPr>
          <w:rStyle w:val="34"/>
          <w:rFonts w:ascii="仿宋_GB2312" w:eastAsia="仿宋_GB2312"/>
          <w:sz w:val="21"/>
          <w:szCs w:val="21"/>
          <w:vertAlign w:val="baseline"/>
        </w:rPr>
      </w:pPr>
      <w:r>
        <w:rPr>
          <w:rStyle w:val="34"/>
          <w:rFonts w:hint="eastAsia" w:ascii="仿宋_GB2312" w:eastAsia="仿宋_GB2312"/>
          <w:sz w:val="21"/>
          <w:szCs w:val="21"/>
          <w:vertAlign w:val="baseline"/>
        </w:rPr>
        <w:footnoteRef/>
      </w:r>
      <w:r>
        <w:rPr>
          <w:rStyle w:val="34"/>
          <w:rFonts w:hint="eastAsia" w:ascii="仿宋_GB2312" w:eastAsia="仿宋_GB2312"/>
          <w:sz w:val="21"/>
          <w:szCs w:val="21"/>
          <w:vertAlign w:val="baseline"/>
        </w:rPr>
        <w:t>散装中药饮片是中药饮片的传统应用形式，医疗机构一般以大包装的形式进行购入，中药学专业技术</w:t>
      </w:r>
      <w:r>
        <w:rPr>
          <w:rFonts w:hint="eastAsia" w:ascii="仿宋_GB2312" w:eastAsia="仿宋_GB2312"/>
          <w:sz w:val="21"/>
          <w:szCs w:val="21"/>
        </w:rPr>
        <w:t>人员</w:t>
      </w:r>
      <w:r>
        <w:rPr>
          <w:rStyle w:val="34"/>
          <w:rFonts w:hint="eastAsia" w:ascii="仿宋_GB2312" w:eastAsia="仿宋_GB2312"/>
          <w:sz w:val="21"/>
          <w:szCs w:val="21"/>
          <w:vertAlign w:val="baseline"/>
        </w:rPr>
        <w:t>拆包装分散至斗柜或其他调配设备中，根据医师处方要求进行调配，供患者煎煮后使用的中药饮片。</w:t>
      </w:r>
    </w:p>
  </w:footnote>
  <w:footnote w:id="8">
    <w:p>
      <w:pPr>
        <w:pStyle w:val="19"/>
        <w:rPr>
          <w:rStyle w:val="34"/>
          <w:rFonts w:ascii="仿宋_GB2312" w:eastAsia="仿宋_GB2312"/>
          <w:sz w:val="21"/>
          <w:szCs w:val="21"/>
          <w:vertAlign w:val="baseline"/>
        </w:rPr>
      </w:pPr>
      <w:r>
        <w:rPr>
          <w:rStyle w:val="34"/>
          <w:rFonts w:hint="eastAsia" w:ascii="仿宋_GB2312" w:eastAsia="仿宋_GB2312"/>
          <w:sz w:val="21"/>
          <w:szCs w:val="21"/>
          <w:vertAlign w:val="baseline"/>
        </w:rPr>
        <w:footnoteRef/>
      </w:r>
      <w:r>
        <w:rPr>
          <w:rStyle w:val="34"/>
          <w:rFonts w:hint="eastAsia" w:ascii="仿宋_GB2312" w:eastAsia="仿宋_GB2312"/>
          <w:sz w:val="21"/>
          <w:szCs w:val="21"/>
          <w:vertAlign w:val="baseline"/>
        </w:rPr>
        <w:t>参阅《二级民族医医院评审标准(2018年版)》（国中医药医政函〔2018〕96号）。</w:t>
      </w:r>
    </w:p>
  </w:footnote>
  <w:footnote w:id="9">
    <w:p>
      <w:pPr>
        <w:pStyle w:val="19"/>
        <w:spacing w:line="320" w:lineRule="exact"/>
        <w:rPr>
          <w:sz w:val="21"/>
          <w:szCs w:val="21"/>
        </w:rPr>
      </w:pPr>
      <w:r>
        <w:rPr>
          <w:rStyle w:val="34"/>
          <w:rFonts w:ascii="仿宋_GB2312" w:eastAsia="仿宋_GB2312"/>
          <w:sz w:val="21"/>
          <w:szCs w:val="21"/>
          <w:vertAlign w:val="baseline"/>
        </w:rPr>
        <w:footnoteRef/>
      </w:r>
      <w:r>
        <w:rPr>
          <w:rFonts w:hint="eastAsia" w:ascii="仿宋_GB2312" w:hAnsi="Times New Roman" w:eastAsia="仿宋_GB2312"/>
          <w:sz w:val="21"/>
          <w:szCs w:val="21"/>
          <w:shd w:val="clear" w:color="auto" w:fill="FFFFFF"/>
        </w:rPr>
        <w:t>参阅《20</w:t>
      </w:r>
      <w:r>
        <w:rPr>
          <w:rFonts w:ascii="仿宋_GB2312" w:hAnsi="Times New Roman" w:eastAsia="仿宋_GB2312"/>
          <w:sz w:val="21"/>
          <w:szCs w:val="21"/>
          <w:shd w:val="clear" w:color="auto" w:fill="FFFFFF"/>
        </w:rPr>
        <w:t>21</w:t>
      </w:r>
      <w:r>
        <w:rPr>
          <w:rFonts w:hint="eastAsia" w:ascii="仿宋_GB2312" w:hAnsi="Times New Roman" w:eastAsia="仿宋_GB2312"/>
          <w:sz w:val="21"/>
          <w:szCs w:val="21"/>
          <w:shd w:val="clear" w:color="auto" w:fill="FFFFFF"/>
        </w:rPr>
        <w:t>国家卫生健康统计调查制度》。</w:t>
      </w:r>
    </w:p>
  </w:footnote>
  <w:footnote w:id="10">
    <w:p>
      <w:pPr>
        <w:pStyle w:val="19"/>
        <w:spacing w:line="320" w:lineRule="exact"/>
        <w:rPr>
          <w:rFonts w:ascii="仿宋_GB2312" w:eastAsia="仿宋_GB2312"/>
          <w:sz w:val="21"/>
          <w:szCs w:val="21"/>
        </w:rPr>
      </w:pPr>
      <w:r>
        <w:rPr>
          <w:rStyle w:val="34"/>
          <w:rFonts w:ascii="仿宋_GB2312" w:eastAsia="仿宋_GB2312"/>
          <w:sz w:val="21"/>
          <w:szCs w:val="21"/>
          <w:vertAlign w:val="baseline"/>
        </w:rPr>
        <w:footnoteRef/>
      </w:r>
      <w:r>
        <w:rPr>
          <w:rFonts w:hint="eastAsia" w:ascii="仿宋_GB2312" w:hAnsi="Times New Roman" w:eastAsia="仿宋_GB2312"/>
          <w:sz w:val="21"/>
          <w:szCs w:val="21"/>
          <w:shd w:val="clear" w:color="auto" w:fill="FFFFFF"/>
        </w:rPr>
        <w:t>参阅《2</w:t>
      </w:r>
      <w:r>
        <w:rPr>
          <w:rFonts w:ascii="仿宋_GB2312" w:hAnsi="Times New Roman" w:eastAsia="仿宋_GB2312"/>
          <w:sz w:val="21"/>
          <w:szCs w:val="21"/>
          <w:shd w:val="clear" w:color="auto" w:fill="FFFFFF"/>
        </w:rPr>
        <w:t>021</w:t>
      </w:r>
      <w:r>
        <w:rPr>
          <w:rFonts w:hint="eastAsia" w:ascii="仿宋_GB2312" w:hAnsi="Times New Roman" w:eastAsia="仿宋_GB2312"/>
          <w:sz w:val="21"/>
          <w:szCs w:val="21"/>
          <w:shd w:val="clear" w:color="auto" w:fill="FFFFFF"/>
        </w:rPr>
        <w:t>国家卫生健康统计调查制度》。</w:t>
      </w:r>
    </w:p>
  </w:footnote>
  <w:footnote w:id="11">
    <w:p>
      <w:pPr>
        <w:spacing w:line="320" w:lineRule="exact"/>
        <w:rPr>
          <w:rFonts w:ascii="仿宋_GB2312"/>
          <w:sz w:val="21"/>
          <w:szCs w:val="21"/>
        </w:rPr>
      </w:pPr>
      <w:r>
        <w:rPr>
          <w:rStyle w:val="34"/>
          <w:rFonts w:ascii="仿宋_GB2312" w:hAnsi="Calibri"/>
          <w:sz w:val="21"/>
          <w:szCs w:val="21"/>
          <w:vertAlign w:val="baseline"/>
        </w:rPr>
        <w:footnoteRef/>
      </w:r>
      <w:r>
        <w:rPr>
          <w:rFonts w:hint="eastAsia" w:ascii="仿宋_GB2312"/>
          <w:sz w:val="21"/>
          <w:szCs w:val="21"/>
          <w:shd w:val="clear" w:color="auto" w:fill="FFFFFF"/>
        </w:rPr>
        <w:t>统计界定原则是（1）“死亡”包括已办住院手续后死亡者、未办理住院手续而是实际上已收容入院的死亡者。（2）“其他”人数指正常分娩和未产出院者、未治和住院经检查无病出院者、无并发症的人工流产或绝育手术出院者。</w:t>
      </w:r>
    </w:p>
  </w:footnote>
  <w:footnote w:id="12">
    <w:p>
      <w:pPr>
        <w:pStyle w:val="19"/>
        <w:spacing w:line="320" w:lineRule="exact"/>
        <w:rPr>
          <w:rFonts w:ascii="仿宋_GB2312" w:eastAsia="仿宋_GB2312"/>
          <w:sz w:val="21"/>
          <w:szCs w:val="21"/>
        </w:rPr>
      </w:pPr>
      <w:r>
        <w:rPr>
          <w:rStyle w:val="34"/>
          <w:rFonts w:ascii="仿宋_GB2312" w:eastAsia="仿宋_GB2312"/>
          <w:sz w:val="21"/>
          <w:szCs w:val="21"/>
          <w:vertAlign w:val="baseline"/>
        </w:rPr>
        <w:footnoteRef/>
      </w:r>
      <w:r>
        <w:rPr>
          <w:rFonts w:hint="eastAsia" w:ascii="仿宋_GB2312" w:hAnsi="Times New Roman" w:eastAsia="仿宋_GB2312"/>
          <w:sz w:val="21"/>
          <w:szCs w:val="21"/>
          <w:shd w:val="clear" w:color="auto" w:fill="FFFFFF"/>
        </w:rPr>
        <w:t>参阅《二级民族医医院评审标准（2018年版）》（国中医药医政函〔2018〕96号）。</w:t>
      </w:r>
    </w:p>
  </w:footnote>
  <w:footnote w:id="13">
    <w:p>
      <w:pPr>
        <w:spacing w:line="320" w:lineRule="exact"/>
        <w:rPr>
          <w:rFonts w:ascii="仿宋" w:hAnsi="仿宋" w:eastAsia="仿宋" w:cstheme="minorHAnsi"/>
          <w:sz w:val="21"/>
          <w:szCs w:val="21"/>
          <w:shd w:val="clear" w:color="auto" w:fill="FFFFFF"/>
        </w:rPr>
      </w:pPr>
      <w:r>
        <w:rPr>
          <w:rStyle w:val="34"/>
          <w:rFonts w:hint="eastAsia" w:ascii="仿宋_GB2312"/>
          <w:sz w:val="21"/>
          <w:szCs w:val="21"/>
          <w:vertAlign w:val="baseline"/>
        </w:rPr>
        <w:footnoteRef/>
      </w:r>
      <w:r>
        <w:rPr>
          <w:rFonts w:ascii="仿宋_GB2312" w:hAnsi="仿宋" w:cstheme="minorHAnsi"/>
          <w:sz w:val="21"/>
          <w:szCs w:val="21"/>
          <w:shd w:val="clear" w:color="auto" w:fill="FFFFFF"/>
        </w:rPr>
        <w:t>中医非药物疗法是指以中医理论为指导，以诊断和治疗疾病为目的，能够消除疾病、缓解病情、减轻痛苦、改善功能、延长生命、帮助患者恢复健康而采取的技术方法，包括针刺、灸类、刮痧、拔罐、推拿等中医医疗技术。中医医疗技术参阅《中医医疗技术手册（2013普及版）》（国中医药医政医管便函〔2013〕81号）和《全国医疗服务价格项目规范(2012年版)》（发改价格〔2012〕1170号）中的中医</w:t>
      </w:r>
      <w:r>
        <w:rPr>
          <w:rFonts w:hint="eastAsia" w:ascii="仿宋_GB2312" w:hAnsi="仿宋" w:cstheme="minorHAnsi"/>
          <w:sz w:val="21"/>
          <w:szCs w:val="21"/>
          <w:shd w:val="clear" w:color="auto" w:fill="FFFFFF"/>
        </w:rPr>
        <w:t>治疗</w:t>
      </w:r>
      <w:r>
        <w:rPr>
          <w:rFonts w:ascii="仿宋_GB2312" w:hAnsi="仿宋" w:cstheme="minorHAnsi"/>
          <w:sz w:val="21"/>
          <w:szCs w:val="21"/>
          <w:shd w:val="clear" w:color="auto" w:fill="FFFFFF"/>
        </w:rPr>
        <w:t>。</w:t>
      </w:r>
    </w:p>
  </w:footnote>
  <w:footnote w:id="14">
    <w:p>
      <w:pPr>
        <w:spacing w:line="320" w:lineRule="exact"/>
        <w:rPr>
          <w:rFonts w:ascii="仿宋_GB2312"/>
          <w:sz w:val="21"/>
          <w:szCs w:val="21"/>
        </w:rPr>
      </w:pPr>
      <w:r>
        <w:rPr>
          <w:rStyle w:val="34"/>
          <w:rFonts w:ascii="仿宋_GB2312"/>
          <w:sz w:val="21"/>
          <w:szCs w:val="21"/>
          <w:vertAlign w:val="baseline"/>
        </w:rPr>
        <w:footnoteRef/>
      </w:r>
      <w:r>
        <w:rPr>
          <w:rFonts w:hint="eastAsia" w:ascii="仿宋_GB2312" w:hAnsi="仿宋"/>
          <w:sz w:val="21"/>
          <w:szCs w:val="21"/>
          <w:shd w:val="clear" w:color="auto" w:fill="FFFFFF"/>
        </w:rPr>
        <w:t>中医治疗费用是指中医病案首页中住院费用项目</w:t>
      </w:r>
      <w:r>
        <w:rPr>
          <w:rFonts w:ascii="仿宋_GB2312" w:hAnsi="仿宋"/>
          <w:sz w:val="21"/>
          <w:szCs w:val="21"/>
          <w:shd w:val="clear" w:color="auto" w:fill="FFFFFF"/>
        </w:rPr>
        <w:t>5中医类（中医和少数民族</w:t>
      </w:r>
      <w:r>
        <w:rPr>
          <w:rFonts w:hint="eastAsia" w:ascii="仿宋_GB2312" w:hAnsi="仿宋"/>
          <w:sz w:val="21"/>
          <w:szCs w:val="21"/>
          <w:shd w:val="clear" w:color="auto" w:fill="FFFFFF"/>
        </w:rPr>
        <w:t>医医疗服务）（</w:t>
      </w:r>
      <w:r>
        <w:rPr>
          <w:rFonts w:ascii="仿宋_GB2312" w:hAnsi="仿宋"/>
          <w:sz w:val="21"/>
          <w:szCs w:val="21"/>
          <w:shd w:val="clear" w:color="auto" w:fill="FFFFFF"/>
        </w:rPr>
        <w:t>13）中医治疗（中医外治、中医骨伤、针刺与</w:t>
      </w:r>
      <w:r>
        <w:rPr>
          <w:rFonts w:hint="eastAsia" w:ascii="仿宋_GB2312" w:hAnsi="仿宋"/>
          <w:sz w:val="21"/>
          <w:szCs w:val="21"/>
          <w:shd w:val="clear" w:color="auto" w:fill="FFFFFF"/>
        </w:rPr>
        <w:t>灸法、中医推拿治疗、中医肛肠治疗、中医特殊治疗），（</w:t>
      </w:r>
      <w:r>
        <w:rPr>
          <w:rFonts w:ascii="仿宋_GB2312" w:hAnsi="仿宋"/>
          <w:sz w:val="21"/>
          <w:szCs w:val="21"/>
          <w:shd w:val="clear" w:color="auto" w:fill="FFFFFF"/>
        </w:rPr>
        <w:t>14）中医其他（除外中药特殊调配加工、辨证施膳）。参阅《中医住院病案首页数据填写质量管理规范（暂行）》（国中医药办医政发〔2017〕1号）。</w:t>
      </w:r>
    </w:p>
  </w:footnote>
  <w:footnote w:id="15">
    <w:p>
      <w:pPr>
        <w:pStyle w:val="19"/>
        <w:spacing w:line="320" w:lineRule="exact"/>
        <w:rPr>
          <w:rFonts w:ascii="仿宋_GB2312" w:eastAsia="仿宋_GB2312"/>
        </w:rPr>
      </w:pPr>
      <w:r>
        <w:rPr>
          <w:rStyle w:val="34"/>
          <w:rFonts w:ascii="仿宋_GB2312" w:hAnsi="Times New Roman" w:eastAsia="仿宋_GB2312"/>
          <w:sz w:val="21"/>
          <w:szCs w:val="21"/>
          <w:vertAlign w:val="baseline"/>
        </w:rPr>
        <w:footnoteRef/>
      </w:r>
      <w:r>
        <w:rPr>
          <w:rFonts w:hint="eastAsia" w:ascii="仿宋_GB2312" w:hAnsi="Times New Roman" w:eastAsia="仿宋_GB2312"/>
          <w:sz w:val="21"/>
          <w:szCs w:val="21"/>
          <w:shd w:val="clear" w:color="auto" w:fill="FFFFFF"/>
        </w:rPr>
        <w:t>参阅《20</w:t>
      </w:r>
      <w:r>
        <w:rPr>
          <w:rFonts w:ascii="仿宋_GB2312" w:hAnsi="Times New Roman" w:eastAsia="仿宋_GB2312"/>
          <w:sz w:val="21"/>
          <w:szCs w:val="21"/>
          <w:shd w:val="clear" w:color="auto" w:fill="FFFFFF"/>
        </w:rPr>
        <w:t>21</w:t>
      </w:r>
      <w:r>
        <w:rPr>
          <w:rFonts w:hint="eastAsia" w:ascii="仿宋_GB2312" w:hAnsi="Times New Roman" w:eastAsia="仿宋_GB2312"/>
          <w:sz w:val="21"/>
          <w:szCs w:val="21"/>
          <w:shd w:val="clear" w:color="auto" w:fill="FFFFFF"/>
        </w:rPr>
        <w:t>国家卫生健康统计调查制度》。</w:t>
      </w:r>
    </w:p>
  </w:footnote>
  <w:footnote w:id="16">
    <w:p>
      <w:pPr>
        <w:pStyle w:val="19"/>
        <w:rPr>
          <w:rFonts w:ascii="仿宋_GB2312" w:eastAsia="仿宋_GB2312"/>
          <w:sz w:val="21"/>
          <w:szCs w:val="21"/>
        </w:rPr>
      </w:pPr>
      <w:r>
        <w:rPr>
          <w:rStyle w:val="34"/>
          <w:rFonts w:ascii="仿宋_GB2312" w:hAnsi="Times New Roman" w:eastAsia="仿宋_GB2312"/>
          <w:sz w:val="21"/>
          <w:szCs w:val="21"/>
          <w:vertAlign w:val="baseline"/>
        </w:rPr>
        <w:footnoteRef/>
      </w:r>
      <w:r>
        <w:rPr>
          <w:rFonts w:hint="eastAsia" w:ascii="仿宋_GB2312" w:hAnsi="Times New Roman" w:eastAsia="仿宋_GB2312"/>
          <w:sz w:val="21"/>
          <w:szCs w:val="21"/>
          <w:shd w:val="clear" w:color="auto" w:fill="FFFFFF"/>
        </w:rPr>
        <w:t>其他治疗费用包括住院</w:t>
      </w:r>
      <w:r>
        <w:rPr>
          <w:rFonts w:ascii="仿宋_GB2312" w:hAnsi="Times New Roman" w:eastAsia="仿宋_GB2312"/>
          <w:sz w:val="21"/>
          <w:szCs w:val="21"/>
          <w:shd w:val="clear" w:color="auto" w:fill="FFFFFF"/>
        </w:rPr>
        <w:t>病案首页</w:t>
      </w:r>
      <w:r>
        <w:rPr>
          <w:rFonts w:hint="eastAsia" w:ascii="仿宋_GB2312" w:hAnsi="Times New Roman" w:eastAsia="仿宋_GB2312"/>
          <w:sz w:val="21"/>
          <w:szCs w:val="21"/>
          <w:shd w:val="clear" w:color="auto" w:fill="FFFFFF"/>
        </w:rPr>
        <w:t>住院费用中项目3治疗类：（9）非手术治疗项目费（临床物理治疗费）、（10）手术治疗费（麻醉费、手术费）；项目6西药类：（15）西药费（抗菌药物费）；项目8血液和血液制品类：（18）血费、（19）白蛋白类制品费、（20）球蛋白类制品费、（21）凝血因子类制品费、（22）细胞因子类制品费；项目9耗材类：（24）治疗用一次性医用材料费、（25）手术用一次性医用材料费。</w:t>
      </w:r>
    </w:p>
  </w:footnote>
  <w:footnote w:id="17">
    <w:p>
      <w:pPr>
        <w:pStyle w:val="19"/>
        <w:spacing w:line="320" w:lineRule="exact"/>
        <w:jc w:val="both"/>
        <w:rPr>
          <w:rFonts w:ascii="仿宋_GB2312" w:hAnsi="Times New Roman" w:eastAsia="仿宋_GB2312"/>
          <w:sz w:val="21"/>
          <w:szCs w:val="21"/>
          <w:shd w:val="clear" w:color="auto" w:fill="FFFFFF"/>
        </w:rPr>
      </w:pPr>
      <w:r>
        <w:rPr>
          <w:rStyle w:val="34"/>
          <w:rFonts w:ascii="仿宋_GB2312" w:hAnsi="Times New Roman" w:eastAsia="仿宋_GB2312"/>
          <w:sz w:val="21"/>
          <w:szCs w:val="21"/>
          <w:vertAlign w:val="baseline"/>
        </w:rPr>
        <w:footnoteRef/>
      </w:r>
      <w:r>
        <w:rPr>
          <w:rFonts w:hint="eastAsia" w:ascii="仿宋_GB2312" w:hAnsi="Times New Roman" w:eastAsia="仿宋_GB2312"/>
          <w:sz w:val="21"/>
          <w:szCs w:val="21"/>
          <w:shd w:val="clear" w:color="auto" w:fill="FFFFFF"/>
        </w:rPr>
        <w:t>根据《国家卫生健康委办公厅关于印发医疗机构手术分级管理办法的通知》（国卫办医政发〔</w:t>
      </w:r>
      <w:r>
        <w:rPr>
          <w:rFonts w:ascii="仿宋_GB2312" w:hAnsi="Times New Roman" w:eastAsia="仿宋_GB2312"/>
          <w:sz w:val="21"/>
          <w:szCs w:val="21"/>
          <w:shd w:val="clear" w:color="auto" w:fill="FFFFFF"/>
        </w:rPr>
        <w:t>2022</w:t>
      </w:r>
      <w:r>
        <w:rPr>
          <w:rFonts w:hint="eastAsia" w:ascii="仿宋_GB2312" w:hAnsi="Times New Roman" w:eastAsia="仿宋_GB2312"/>
          <w:sz w:val="21"/>
          <w:szCs w:val="21"/>
          <w:shd w:val="clear" w:color="auto" w:fill="FFFFFF"/>
        </w:rPr>
        <w:t>〕</w:t>
      </w:r>
      <w:r>
        <w:rPr>
          <w:rFonts w:ascii="仿宋_GB2312" w:hAnsi="Times New Roman" w:eastAsia="仿宋_GB2312"/>
          <w:sz w:val="21"/>
          <w:szCs w:val="21"/>
          <w:shd w:val="clear" w:color="auto" w:fill="FFFFFF"/>
        </w:rPr>
        <w:t>18</w:t>
      </w:r>
      <w:r>
        <w:rPr>
          <w:rFonts w:hint="eastAsia" w:ascii="仿宋_GB2312" w:hAnsi="Times New Roman" w:eastAsia="仿宋_GB2312"/>
          <w:sz w:val="21"/>
          <w:szCs w:val="21"/>
          <w:shd w:val="clear" w:color="auto" w:fill="FFFFFF"/>
        </w:rPr>
        <w:t>号）规定，手术是指医疗机构及其医务人员以诊断或治疗疾病为目的，在人体局部开展去除病变组织、修复损伤、重建形态或功能、移植细胞组织或器官、植入医疗器械等医学操作的医疗技术，手术应当经过临床研究论证且安全性、有效性确切。</w:t>
      </w:r>
    </w:p>
  </w:footnote>
  <w:footnote w:id="18">
    <w:p>
      <w:pPr>
        <w:tabs>
          <w:tab w:val="left" w:pos="7797"/>
        </w:tabs>
        <w:spacing w:line="320" w:lineRule="exact"/>
        <w:rPr>
          <w:rFonts w:ascii="仿宋_GB2312" w:hAnsi="仿宋" w:eastAsia="仿宋"/>
          <w:sz w:val="21"/>
          <w:szCs w:val="21"/>
          <w:shd w:val="clear" w:color="auto" w:fill="FFFFFF"/>
        </w:rPr>
      </w:pPr>
      <w:r>
        <w:rPr>
          <w:rStyle w:val="34"/>
          <w:rFonts w:ascii="仿宋_GB2312"/>
          <w:sz w:val="21"/>
          <w:szCs w:val="21"/>
          <w:vertAlign w:val="baseline"/>
        </w:rPr>
        <w:footnoteRef/>
      </w:r>
      <w:r>
        <w:rPr>
          <w:rFonts w:hint="eastAsia" w:ascii="仿宋_GB2312" w:hAnsi="仿宋"/>
          <w:sz w:val="21"/>
          <w:szCs w:val="21"/>
          <w:shd w:val="clear" w:color="auto" w:fill="FFFFFF"/>
        </w:rPr>
        <w:t>围手术期是指围绕患者术前</w:t>
      </w:r>
      <w:r>
        <w:rPr>
          <w:rFonts w:ascii="仿宋_GB2312" w:hAnsi="仿宋"/>
          <w:sz w:val="21"/>
          <w:szCs w:val="21"/>
          <w:shd w:val="clear" w:color="auto" w:fill="FFFFFF"/>
        </w:rPr>
        <w:t xml:space="preserve"> 24 </w:t>
      </w:r>
      <w:r>
        <w:rPr>
          <w:rFonts w:hint="eastAsia" w:ascii="仿宋_GB2312" w:hAnsi="仿宋"/>
          <w:sz w:val="21"/>
          <w:szCs w:val="21"/>
          <w:shd w:val="clear" w:color="auto" w:fill="FFFFFF"/>
        </w:rPr>
        <w:t>小时至与本次手术有关的治疗基本结束的过程。含中医治疗。中医治疗包括中药内服或外用、中医医疗技术等。</w:t>
      </w:r>
    </w:p>
  </w:footnote>
  <w:footnote w:id="19">
    <w:p>
      <w:pPr>
        <w:pStyle w:val="19"/>
        <w:spacing w:before="217" w:beforeLines="50"/>
        <w:rPr>
          <w:rFonts w:ascii="仿宋_GB2312" w:hAnsi="Times New Roman" w:eastAsia="仿宋_GB2312"/>
          <w:sz w:val="21"/>
          <w:szCs w:val="21"/>
          <w:shd w:val="clear" w:color="auto" w:fill="FFFFFF"/>
        </w:rPr>
      </w:pPr>
      <w:r>
        <w:rPr>
          <w:rStyle w:val="34"/>
          <w:rFonts w:hint="eastAsia" w:ascii="仿宋_GB2312" w:hAnsi="Times New Roman" w:eastAsia="仿宋_GB2312"/>
          <w:sz w:val="21"/>
          <w:szCs w:val="21"/>
          <w:vertAlign w:val="baseline"/>
        </w:rPr>
        <w:footnoteRef/>
      </w:r>
      <w:r>
        <w:rPr>
          <w:rFonts w:hint="eastAsia" w:ascii="仿宋_GB2312" w:hAnsi="Times New Roman" w:eastAsia="仿宋_GB2312"/>
          <w:sz w:val="21"/>
          <w:szCs w:val="21"/>
          <w:shd w:val="clear" w:color="auto" w:fill="FFFFFF"/>
        </w:rPr>
        <w:t>介入治疗即不切开暴露病灶的情况下，在血管、皮肤上作微小通道，或经人体原有的管道，在影像设备(血管造影机、</w:t>
      </w:r>
      <w:r>
        <w:rPr>
          <w:rFonts w:hint="eastAsia" w:ascii="仿宋_GB2312" w:eastAsia="仿宋_GB2312"/>
          <w:sz w:val="21"/>
          <w:szCs w:val="21"/>
        </w:rPr>
        <w:t>透视机</w:t>
      </w:r>
      <w:r>
        <w:rPr>
          <w:rFonts w:hint="eastAsia" w:ascii="仿宋_GB2312" w:hAnsi="Times New Roman" w:eastAsia="仿宋_GB2312"/>
          <w:sz w:val="21"/>
          <w:szCs w:val="21"/>
          <w:shd w:val="clear" w:color="auto" w:fill="FFFFFF"/>
        </w:rPr>
        <w:t>、CT、MR、B超等)的引导下对病灶局部进行治疗的创伤最小的治疗方法，包括：心血管介入、外周血管介入、神经血管介入、综合介入。</w:t>
      </w:r>
    </w:p>
  </w:footnote>
  <w:footnote w:id="20">
    <w:p>
      <w:pPr>
        <w:pStyle w:val="19"/>
        <w:spacing w:line="300" w:lineRule="exact"/>
        <w:rPr>
          <w:rFonts w:ascii="Times New Roman" w:hAnsi="Times New Roman" w:eastAsia="仿宋_GB2312"/>
          <w:sz w:val="21"/>
          <w:szCs w:val="21"/>
        </w:rPr>
      </w:pPr>
      <w:r>
        <w:rPr>
          <w:rStyle w:val="34"/>
          <w:rFonts w:hint="eastAsia" w:ascii="仿宋_GB2312" w:hAnsi="Times New Roman" w:eastAsia="仿宋_GB2312"/>
          <w:sz w:val="21"/>
          <w:szCs w:val="21"/>
          <w:vertAlign w:val="baseline"/>
        </w:rPr>
        <w:footnoteRef/>
      </w:r>
      <w:r>
        <w:rPr>
          <w:rStyle w:val="34"/>
          <w:rFonts w:hint="eastAsia" w:ascii="仿宋_GB2312" w:hAnsi="仿宋" w:eastAsia="仿宋_GB2312"/>
          <w:sz w:val="21"/>
          <w:szCs w:val="21"/>
          <w:vertAlign w:val="baseline"/>
        </w:rPr>
        <w:t>择期手术指可以选择适当的时机实施的手术，手术时机的把握不致影响治疗效果，允许术前充分准备或观察，再选择时机实施手术</w:t>
      </w:r>
      <w:r>
        <w:rPr>
          <w:rFonts w:hint="eastAsia" w:ascii="仿宋_GB2312" w:hAnsi="仿宋" w:eastAsia="仿宋_GB2312"/>
          <w:kern w:val="0"/>
          <w:sz w:val="21"/>
          <w:szCs w:val="21"/>
        </w:rPr>
        <w:t>。</w:t>
      </w:r>
    </w:p>
  </w:footnote>
  <w:footnote w:id="21">
    <w:p>
      <w:pPr>
        <w:widowControl/>
        <w:adjustRightInd w:val="0"/>
        <w:snapToGrid w:val="0"/>
        <w:spacing w:line="300" w:lineRule="exact"/>
        <w:jc w:val="left"/>
        <w:rPr>
          <w:rStyle w:val="34"/>
          <w:sz w:val="21"/>
          <w:szCs w:val="21"/>
          <w:vertAlign w:val="baseline"/>
        </w:rPr>
      </w:pPr>
      <w:r>
        <w:rPr>
          <w:rStyle w:val="34"/>
          <w:rFonts w:ascii="仿宋_GB2312"/>
          <w:sz w:val="21"/>
          <w:szCs w:val="21"/>
          <w:vertAlign w:val="baseline"/>
        </w:rPr>
        <w:footnoteRef/>
      </w:r>
      <w:r>
        <w:rPr>
          <w:rFonts w:hint="eastAsia" w:ascii="仿宋_GB2312" w:hAnsi="仿宋"/>
          <w:sz w:val="21"/>
          <w:szCs w:val="21"/>
          <w:shd w:val="clear" w:color="auto" w:fill="FFFFFF"/>
        </w:rPr>
        <w:t>手术并发症是指并发于手术或手术后的疾病或情况，本年度仅统计择期手术后，并发于手术或手术后的疾病或情况的人数，包括：手术后出血或血肿、手术后伤口裂开、肺部感染、肺栓塞、深静脉血栓、败血症、猝死、手术中发生或由于手术造成的休克、手术后血管并发症、瘘、呼吸衰竭、骨折、生理</w:t>
      </w:r>
      <w:r>
        <w:rPr>
          <w:rFonts w:ascii="仿宋_GB2312" w:hAnsi="仿宋"/>
          <w:sz w:val="21"/>
          <w:szCs w:val="21"/>
          <w:shd w:val="clear" w:color="auto" w:fill="FFFFFF"/>
        </w:rPr>
        <w:t>/代谢紊乱、人工气道意外脱出等。参阅《卫生部办公厅关于印发&lt;三级综合医院医疗质量管理与控制指标（2011年版）&gt;的通知》（卫办医政函〔2011〕54号）和</w:t>
      </w:r>
      <w:r>
        <w:rPr>
          <w:rFonts w:hint="eastAsia" w:ascii="仿宋_GB2312" w:hAnsi="仿宋"/>
          <w:sz w:val="21"/>
          <w:szCs w:val="21"/>
          <w:shd w:val="clear" w:color="auto" w:fill="FFFFFF"/>
        </w:rPr>
        <w:t>国家卫生健康委关于印发《三级医院评审标准（2022年版）》及其实施细则的通知(国卫医政发〔2022〕31号)</w:t>
      </w:r>
      <w:r>
        <w:rPr>
          <w:rFonts w:ascii="仿宋_GB2312" w:hAnsi="仿宋"/>
          <w:sz w:val="21"/>
          <w:szCs w:val="21"/>
          <w:shd w:val="clear" w:color="auto" w:fill="FFFFFF"/>
        </w:rPr>
        <w:t>。</w:t>
      </w:r>
      <w:r>
        <w:rPr>
          <w:rFonts w:hint="eastAsia" w:ascii="仿宋_GB2312" w:hAnsi="仿宋"/>
          <w:sz w:val="21"/>
          <w:szCs w:val="21"/>
          <w:shd w:val="clear" w:color="auto" w:fill="FFFFFF"/>
        </w:rPr>
        <w:t>二级医院参照三级医院标准执行。</w:t>
      </w:r>
    </w:p>
  </w:footnote>
  <w:footnote w:id="22">
    <w:p>
      <w:pPr>
        <w:pStyle w:val="19"/>
        <w:jc w:val="both"/>
        <w:rPr>
          <w:rFonts w:ascii="Times New Roman" w:hAnsi="Times New Roman" w:eastAsia="仿宋_GB2312"/>
          <w:sz w:val="21"/>
          <w:szCs w:val="21"/>
          <w:shd w:val="clear" w:color="auto" w:fill="FFFFFF"/>
        </w:rPr>
      </w:pPr>
      <w:r>
        <w:rPr>
          <w:rStyle w:val="34"/>
          <w:rFonts w:ascii="仿宋_GB2312" w:hAnsi="Times New Roman" w:eastAsia="仿宋_GB2312"/>
          <w:sz w:val="21"/>
          <w:szCs w:val="21"/>
          <w:vertAlign w:val="baseline"/>
        </w:rPr>
        <w:footnoteRef/>
      </w:r>
      <w:r>
        <w:rPr>
          <w:rFonts w:hint="eastAsia" w:ascii="Times New Roman" w:hAnsi="Times New Roman" w:eastAsia="仿宋_GB2312"/>
          <w:sz w:val="21"/>
          <w:szCs w:val="21"/>
          <w:shd w:val="clear" w:color="auto" w:fill="FFFFFF"/>
        </w:rPr>
        <w:t>理法方药使用一致是指中医住院病案的首次病程及病程记录中使用中药、中医医疗技术在辨证、立法、选方、谴药一致。</w:t>
      </w:r>
    </w:p>
  </w:footnote>
  <w:footnote w:id="23">
    <w:p>
      <w:pPr>
        <w:spacing w:line="320" w:lineRule="exact"/>
        <w:rPr>
          <w:rFonts w:ascii="仿宋" w:hAnsi="仿宋" w:eastAsia="仿宋"/>
        </w:rPr>
      </w:pPr>
      <w:r>
        <w:rPr>
          <w:rStyle w:val="34"/>
          <w:rFonts w:ascii="仿宋_GB2312"/>
          <w:sz w:val="21"/>
          <w:szCs w:val="21"/>
          <w:vertAlign w:val="baseline"/>
        </w:rPr>
        <w:footnoteRef/>
      </w:r>
      <w:r>
        <w:rPr>
          <w:rFonts w:hint="eastAsia"/>
          <w:sz w:val="21"/>
          <w:szCs w:val="21"/>
          <w:shd w:val="clear" w:color="auto" w:fill="FFFFFF"/>
        </w:rPr>
        <w:t>理法方药使用一致的病历判断标准：全部病程记录均应符合理法方药一致，如果在首次病程记录或任意一次病程记录中，无论是应用散装中药饮片、小包装中药饮片、中药配方颗粒剂、中成药（含医疗机构中药制剂）、中医医疗技术在辨证、立法、选方、谴药存在不一致现象，或有医嘱，病程中无记录，则此份病历视为理法方药不一致。</w:t>
      </w:r>
    </w:p>
  </w:footnote>
  <w:footnote w:id="24">
    <w:p>
      <w:pPr>
        <w:adjustRightInd w:val="0"/>
        <w:snapToGrid w:val="0"/>
        <w:jc w:val="left"/>
        <w:rPr>
          <w:rFonts w:ascii="仿宋_GB2312" w:hAnsi="仿宋"/>
          <w:sz w:val="21"/>
          <w:szCs w:val="21"/>
        </w:rPr>
      </w:pPr>
      <w:r>
        <w:rPr>
          <w:rStyle w:val="34"/>
          <w:rFonts w:hint="eastAsia" w:ascii="仿宋_GB2312"/>
          <w:sz w:val="21"/>
          <w:szCs w:val="21"/>
          <w:vertAlign w:val="baseline"/>
        </w:rPr>
        <w:footnoteRef/>
      </w:r>
      <w:r>
        <w:rPr>
          <w:rFonts w:hint="eastAsia" w:ascii="仿宋_GB2312" w:hAnsi="仿宋"/>
          <w:kern w:val="0"/>
          <w:sz w:val="21"/>
          <w:szCs w:val="21"/>
        </w:rPr>
        <w:t>WHO在1969年制定了解剖—治疗—化学的药物</w:t>
      </w:r>
      <w:r>
        <w:fldChar w:fldCharType="begin"/>
      </w:r>
      <w:r>
        <w:instrText xml:space="preserve"> HYPERLINK "https://baike.baidu.com/item/%E5%88%86%E7%B1%BB%E7%B3%BB%E7%BB%9F" \t "_blank" </w:instrText>
      </w:r>
      <w:r>
        <w:fldChar w:fldCharType="separate"/>
      </w:r>
      <w:r>
        <w:rPr>
          <w:rFonts w:hint="eastAsia" w:ascii="仿宋_GB2312" w:hAnsi="仿宋"/>
          <w:kern w:val="0"/>
          <w:sz w:val="21"/>
          <w:szCs w:val="21"/>
        </w:rPr>
        <w:t>分类系统</w:t>
      </w:r>
      <w:r>
        <w:rPr>
          <w:rFonts w:hint="eastAsia" w:ascii="仿宋_GB2312" w:hAnsi="仿宋"/>
          <w:kern w:val="0"/>
          <w:sz w:val="21"/>
          <w:szCs w:val="21"/>
        </w:rPr>
        <w:fldChar w:fldCharType="end"/>
      </w:r>
      <w:r>
        <w:rPr>
          <w:rFonts w:hint="eastAsia" w:ascii="仿宋_GB2312" w:hAnsi="仿宋"/>
          <w:kern w:val="0"/>
          <w:sz w:val="21"/>
          <w:szCs w:val="21"/>
        </w:rPr>
        <w:t>（anatomical therapeutic chemical，ATC），确定了将限定日剂量（DDD）作为用药频度分析的单位。抗菌药物使用强度DDD</w:t>
      </w:r>
      <w:r>
        <w:rPr>
          <w:rFonts w:hint="eastAsia" w:ascii="仿宋_GB2312" w:hAnsi="仿宋"/>
          <w:sz w:val="21"/>
          <w:szCs w:val="21"/>
        </w:rPr>
        <w:t>指用于主要治疗目的的成人的药物平均日剂量。</w:t>
      </w:r>
    </w:p>
  </w:footnote>
  <w:footnote w:id="25">
    <w:p>
      <w:pPr>
        <w:pStyle w:val="19"/>
        <w:rPr>
          <w:rFonts w:ascii="仿宋" w:hAnsi="仿宋" w:eastAsia="仿宋"/>
          <w:kern w:val="0"/>
        </w:rPr>
      </w:pPr>
      <w:r>
        <w:rPr>
          <w:rStyle w:val="34"/>
          <w:rFonts w:hint="eastAsia" w:ascii="仿宋_GB2312" w:hAnsi="Times New Roman" w:eastAsia="仿宋_GB2312"/>
          <w:sz w:val="21"/>
          <w:szCs w:val="21"/>
          <w:vertAlign w:val="baseline"/>
        </w:rPr>
        <w:footnoteRef/>
      </w:r>
      <w:r>
        <w:rPr>
          <w:rFonts w:hint="eastAsia" w:ascii="仿宋_GB2312" w:hAnsi="仿宋" w:eastAsia="仿宋_GB2312"/>
          <w:kern w:val="0"/>
          <w:sz w:val="21"/>
          <w:szCs w:val="21"/>
        </w:rPr>
        <w:t>指同期出院患者在住院期间抗菌药物的实际消耗量。</w:t>
      </w:r>
    </w:p>
  </w:footnote>
  <w:footnote w:id="26">
    <w:p>
      <w:pPr>
        <w:pStyle w:val="19"/>
        <w:rPr>
          <w:sz w:val="21"/>
          <w:szCs w:val="21"/>
        </w:rPr>
      </w:pPr>
      <w:r>
        <w:rPr>
          <w:rStyle w:val="34"/>
          <w:rFonts w:ascii="仿宋_GB2312" w:hAnsi="Times New Roman" w:eastAsia="仿宋_GB2312"/>
          <w:sz w:val="21"/>
          <w:szCs w:val="21"/>
          <w:vertAlign w:val="baseline"/>
        </w:rPr>
        <w:footnoteRef/>
      </w:r>
      <w:r>
        <w:rPr>
          <w:rFonts w:hint="eastAsia" w:ascii="仿宋_GB2312" w:eastAsia="仿宋_GB2312"/>
          <w:sz w:val="21"/>
          <w:szCs w:val="21"/>
        </w:rPr>
        <w:t>基本药物按照《国家基本药物目录（</w:t>
      </w:r>
      <w:r>
        <w:rPr>
          <w:rFonts w:ascii="仿宋_GB2312" w:eastAsia="仿宋_GB2312"/>
          <w:sz w:val="21"/>
          <w:szCs w:val="21"/>
        </w:rPr>
        <w:t>2018</w:t>
      </w:r>
      <w:r>
        <w:rPr>
          <w:rFonts w:hint="eastAsia" w:ascii="仿宋_GB2312" w:eastAsia="仿宋_GB2312"/>
          <w:sz w:val="21"/>
          <w:szCs w:val="21"/>
        </w:rPr>
        <w:t>年版）》的药品（含药品通用名、剂型、规格）进行统计，药品包括化学药品和生物制品、中成药和中药饮片</w:t>
      </w:r>
      <w:r>
        <w:rPr>
          <w:rFonts w:ascii="仿宋_GB2312" w:eastAsia="仿宋_GB2312"/>
          <w:sz w:val="21"/>
          <w:szCs w:val="21"/>
        </w:rPr>
        <w:t>3</w:t>
      </w:r>
      <w:r>
        <w:rPr>
          <w:rFonts w:hint="eastAsia" w:ascii="仿宋_GB2312" w:eastAsia="仿宋_GB2312"/>
          <w:sz w:val="21"/>
          <w:szCs w:val="21"/>
        </w:rPr>
        <w:t>部分。</w:t>
      </w:r>
    </w:p>
  </w:footnote>
  <w:footnote w:id="27">
    <w:p>
      <w:pPr>
        <w:pStyle w:val="19"/>
        <w:snapToGrid/>
        <w:jc w:val="both"/>
        <w:rPr>
          <w:rFonts w:ascii="仿宋_GB2312" w:hAnsi="Times New Roman" w:eastAsia="仿宋_GB2312"/>
          <w:sz w:val="21"/>
          <w:szCs w:val="21"/>
        </w:rPr>
      </w:pPr>
      <w:r>
        <w:rPr>
          <w:rFonts w:hint="eastAsia" w:ascii="仿宋_GB2312" w:hAnsi="Times New Roman" w:eastAsia="仿宋_GB2312"/>
          <w:sz w:val="21"/>
          <w:szCs w:val="21"/>
        </w:rPr>
        <w:footnoteRef/>
      </w:r>
      <w:r>
        <w:rPr>
          <w:rFonts w:hint="eastAsia" w:ascii="仿宋_GB2312" w:hAnsi="Times New Roman" w:eastAsia="仿宋_GB2312"/>
          <w:sz w:val="21"/>
          <w:szCs w:val="21"/>
        </w:rPr>
        <w:t xml:space="preserve"> 临时医嘱按条目累计计算，长期医嘱按照药品执行的品种数累计计算。</w:t>
      </w:r>
    </w:p>
  </w:footnote>
  <w:footnote w:id="28">
    <w:p>
      <w:pPr>
        <w:pStyle w:val="19"/>
        <w:jc w:val="both"/>
        <w:rPr>
          <w:rFonts w:ascii="仿宋_GB2312" w:eastAsia="仿宋_GB2312"/>
        </w:rPr>
      </w:pPr>
      <w:r>
        <w:rPr>
          <w:rFonts w:hint="eastAsia" w:ascii="仿宋_GB2312" w:hAnsi="Times New Roman" w:eastAsia="仿宋_GB2312"/>
          <w:sz w:val="21"/>
          <w:szCs w:val="21"/>
        </w:rPr>
        <w:footnoteRef/>
      </w:r>
      <w:r>
        <w:rPr>
          <w:rFonts w:hint="eastAsia" w:ascii="仿宋_GB2312" w:hAnsi="Times New Roman" w:eastAsia="仿宋_GB2312"/>
          <w:sz w:val="21"/>
          <w:szCs w:val="21"/>
        </w:rPr>
        <w:t xml:space="preserve"> 用于溶媒使用药品包括</w:t>
      </w:r>
      <w:r>
        <w:rPr>
          <w:rFonts w:hint="eastAsia" w:ascii="仿宋_GB2312" w:hAnsi="Times New Roman" w:eastAsia="仿宋_GB2312"/>
          <w:sz w:val="21"/>
          <w:szCs w:val="21"/>
          <w:shd w:val="clear" w:color="auto" w:fill="FFFFFF"/>
        </w:rPr>
        <w:t>《国家基本药物目录—</w:t>
      </w:r>
      <w:r>
        <w:rPr>
          <w:rFonts w:ascii="仿宋_GB2312" w:hAnsi="Times New Roman" w:eastAsia="仿宋_GB2312"/>
          <w:sz w:val="21"/>
          <w:szCs w:val="21"/>
          <w:shd w:val="clear" w:color="auto" w:fill="FFFFFF"/>
        </w:rPr>
        <w:t>2018</w:t>
      </w:r>
      <w:r>
        <w:rPr>
          <w:rFonts w:hint="eastAsia" w:ascii="仿宋_GB2312" w:hAnsi="Times New Roman" w:eastAsia="仿宋_GB2312"/>
          <w:sz w:val="21"/>
          <w:szCs w:val="21"/>
          <w:shd w:val="clear" w:color="auto" w:fill="FFFFFF"/>
        </w:rPr>
        <w:t>年版》</w:t>
      </w:r>
      <w:r>
        <w:rPr>
          <w:rFonts w:hint="eastAsia" w:ascii="仿宋_GB2312" w:hAnsi="Times New Roman" w:eastAsia="仿宋_GB2312"/>
          <w:sz w:val="21"/>
          <w:szCs w:val="21"/>
        </w:rPr>
        <w:t>中的</w:t>
      </w:r>
      <w:r>
        <w:rPr>
          <w:rFonts w:ascii="仿宋_GB2312" w:hAnsi="Times New Roman" w:eastAsia="仿宋_GB2312"/>
          <w:sz w:val="21"/>
          <w:szCs w:val="21"/>
        </w:rPr>
        <w:t>0.9%</w:t>
      </w:r>
      <w:r>
        <w:rPr>
          <w:rFonts w:hint="eastAsia" w:ascii="仿宋_GB2312" w:hAnsi="Times New Roman" w:eastAsia="仿宋_GB2312"/>
          <w:sz w:val="21"/>
          <w:szCs w:val="21"/>
        </w:rPr>
        <w:t>氯化钠注射液（</w:t>
      </w:r>
      <w:r>
        <w:rPr>
          <w:rFonts w:ascii="仿宋_GB2312" w:hAnsi="Times New Roman" w:eastAsia="仿宋_GB2312"/>
          <w:sz w:val="21"/>
          <w:szCs w:val="21"/>
        </w:rPr>
        <w:t>100ml</w:t>
      </w:r>
      <w:r>
        <w:rPr>
          <w:rFonts w:hint="eastAsia" w:ascii="仿宋_GB2312" w:hAnsi="Times New Roman" w:eastAsia="仿宋_GB2312"/>
          <w:sz w:val="21"/>
          <w:szCs w:val="21"/>
        </w:rPr>
        <w:t>、</w:t>
      </w:r>
      <w:r>
        <w:rPr>
          <w:rFonts w:ascii="仿宋_GB2312" w:hAnsi="Times New Roman" w:eastAsia="仿宋_GB2312"/>
          <w:sz w:val="21"/>
          <w:szCs w:val="21"/>
        </w:rPr>
        <w:t>250ml</w:t>
      </w:r>
      <w:r>
        <w:rPr>
          <w:rFonts w:hint="eastAsia" w:ascii="仿宋_GB2312" w:hAnsi="Times New Roman" w:eastAsia="仿宋_GB2312"/>
          <w:sz w:val="21"/>
          <w:szCs w:val="21"/>
        </w:rPr>
        <w:t>、</w:t>
      </w:r>
      <w:r>
        <w:rPr>
          <w:rFonts w:ascii="仿宋_GB2312" w:hAnsi="Times New Roman" w:eastAsia="仿宋_GB2312"/>
          <w:sz w:val="21"/>
          <w:szCs w:val="21"/>
        </w:rPr>
        <w:t>500ml</w:t>
      </w:r>
      <w:r>
        <w:rPr>
          <w:rFonts w:hint="eastAsia" w:ascii="仿宋_GB2312" w:hAnsi="Times New Roman" w:eastAsia="仿宋_GB2312"/>
          <w:sz w:val="21"/>
          <w:szCs w:val="21"/>
        </w:rPr>
        <w:t>、</w:t>
      </w:r>
      <w:r>
        <w:rPr>
          <w:rFonts w:ascii="仿宋_GB2312" w:hAnsi="Times New Roman" w:eastAsia="仿宋_GB2312"/>
          <w:sz w:val="21"/>
          <w:szCs w:val="21"/>
        </w:rPr>
        <w:t>1000ml</w:t>
      </w:r>
      <w:r>
        <w:rPr>
          <w:rFonts w:hint="eastAsia" w:ascii="仿宋_GB2312" w:hAnsi="Times New Roman" w:eastAsia="仿宋_GB2312"/>
          <w:sz w:val="21"/>
          <w:szCs w:val="21"/>
        </w:rPr>
        <w:t>）、葡萄糖氯化钠注射液（</w:t>
      </w:r>
      <w:r>
        <w:rPr>
          <w:rFonts w:ascii="仿宋_GB2312" w:hAnsi="Times New Roman" w:eastAsia="仿宋_GB2312"/>
          <w:sz w:val="21"/>
          <w:szCs w:val="21"/>
        </w:rPr>
        <w:t>100ml</w:t>
      </w:r>
      <w:r>
        <w:rPr>
          <w:rFonts w:hint="eastAsia" w:ascii="仿宋_GB2312" w:hAnsi="Times New Roman" w:eastAsia="仿宋_GB2312"/>
          <w:sz w:val="21"/>
          <w:szCs w:val="21"/>
        </w:rPr>
        <w:t>、</w:t>
      </w:r>
      <w:r>
        <w:rPr>
          <w:rFonts w:ascii="仿宋_GB2312" w:hAnsi="Times New Roman" w:eastAsia="仿宋_GB2312"/>
          <w:sz w:val="21"/>
          <w:szCs w:val="21"/>
        </w:rPr>
        <w:t>250ml</w:t>
      </w:r>
      <w:r>
        <w:rPr>
          <w:rFonts w:hint="eastAsia" w:ascii="仿宋_GB2312" w:hAnsi="Times New Roman" w:eastAsia="仿宋_GB2312"/>
          <w:sz w:val="21"/>
          <w:szCs w:val="21"/>
        </w:rPr>
        <w:t>、</w:t>
      </w:r>
      <w:r>
        <w:rPr>
          <w:rFonts w:ascii="仿宋_GB2312" w:hAnsi="Times New Roman" w:eastAsia="仿宋_GB2312"/>
          <w:sz w:val="21"/>
          <w:szCs w:val="21"/>
        </w:rPr>
        <w:t>500ml</w:t>
      </w:r>
      <w:r>
        <w:rPr>
          <w:rFonts w:hint="eastAsia" w:ascii="仿宋_GB2312" w:hAnsi="Times New Roman" w:eastAsia="仿宋_GB2312"/>
          <w:sz w:val="21"/>
          <w:szCs w:val="21"/>
        </w:rPr>
        <w:t>）和</w:t>
      </w:r>
      <w:r>
        <w:rPr>
          <w:rFonts w:ascii="仿宋_GB2312" w:hAnsi="Times New Roman" w:eastAsia="仿宋_GB2312"/>
          <w:sz w:val="21"/>
          <w:szCs w:val="21"/>
        </w:rPr>
        <w:t>5%</w:t>
      </w:r>
      <w:r>
        <w:rPr>
          <w:rFonts w:hint="eastAsia" w:ascii="仿宋_GB2312" w:hAnsi="Times New Roman" w:eastAsia="仿宋_GB2312"/>
          <w:sz w:val="21"/>
          <w:szCs w:val="21"/>
        </w:rPr>
        <w:t>、</w:t>
      </w:r>
      <w:r>
        <w:rPr>
          <w:rFonts w:ascii="仿宋_GB2312" w:hAnsi="Times New Roman" w:eastAsia="仿宋_GB2312"/>
          <w:sz w:val="21"/>
          <w:szCs w:val="21"/>
        </w:rPr>
        <w:t>10%</w:t>
      </w:r>
      <w:r>
        <w:rPr>
          <w:rFonts w:hint="eastAsia" w:ascii="仿宋_GB2312" w:hAnsi="Times New Roman" w:eastAsia="仿宋_GB2312"/>
          <w:sz w:val="21"/>
          <w:szCs w:val="21"/>
        </w:rPr>
        <w:t>葡萄糖注射液（</w:t>
      </w:r>
      <w:r>
        <w:rPr>
          <w:rFonts w:ascii="仿宋_GB2312" w:hAnsi="Times New Roman" w:eastAsia="仿宋_GB2312"/>
          <w:sz w:val="21"/>
          <w:szCs w:val="21"/>
        </w:rPr>
        <w:t>100ml</w:t>
      </w:r>
      <w:r>
        <w:rPr>
          <w:rFonts w:hint="eastAsia" w:ascii="仿宋_GB2312" w:hAnsi="Times New Roman" w:eastAsia="仿宋_GB2312"/>
          <w:sz w:val="21"/>
          <w:szCs w:val="21"/>
        </w:rPr>
        <w:t>、</w:t>
      </w:r>
      <w:r>
        <w:rPr>
          <w:rFonts w:ascii="仿宋_GB2312" w:hAnsi="Times New Roman" w:eastAsia="仿宋_GB2312"/>
          <w:sz w:val="21"/>
          <w:szCs w:val="21"/>
        </w:rPr>
        <w:t>250ml</w:t>
      </w:r>
      <w:r>
        <w:rPr>
          <w:rFonts w:hint="eastAsia" w:ascii="仿宋_GB2312" w:hAnsi="Times New Roman" w:eastAsia="仿宋_GB2312"/>
          <w:sz w:val="21"/>
          <w:szCs w:val="21"/>
        </w:rPr>
        <w:t>、</w:t>
      </w:r>
      <w:r>
        <w:rPr>
          <w:rFonts w:ascii="仿宋_GB2312" w:hAnsi="Times New Roman" w:eastAsia="仿宋_GB2312"/>
          <w:sz w:val="21"/>
          <w:szCs w:val="21"/>
        </w:rPr>
        <w:t>500ml</w:t>
      </w:r>
      <w:r>
        <w:rPr>
          <w:rFonts w:hint="eastAsia" w:ascii="仿宋_GB2312" w:hAnsi="Times New Roman" w:eastAsia="仿宋_GB2312"/>
          <w:sz w:val="21"/>
          <w:szCs w:val="21"/>
        </w:rPr>
        <w:t>、</w:t>
      </w:r>
      <w:r>
        <w:rPr>
          <w:rFonts w:ascii="仿宋_GB2312" w:hAnsi="Times New Roman" w:eastAsia="仿宋_GB2312"/>
          <w:sz w:val="21"/>
          <w:szCs w:val="21"/>
        </w:rPr>
        <w:t>1000ml</w:t>
      </w:r>
      <w:r>
        <w:rPr>
          <w:rFonts w:hint="eastAsia" w:ascii="仿宋_GB2312" w:hAnsi="Times New Roman" w:eastAsia="仿宋_GB2312"/>
          <w:sz w:val="21"/>
          <w:szCs w:val="21"/>
        </w:rPr>
        <w:t>）。</w:t>
      </w:r>
    </w:p>
  </w:footnote>
  <w:footnote w:id="29">
    <w:p>
      <w:pPr>
        <w:adjustRightInd w:val="0"/>
        <w:snapToGrid w:val="0"/>
        <w:jc w:val="left"/>
        <w:rPr>
          <w:rFonts w:ascii="仿宋" w:hAnsi="仿宋" w:eastAsia="仿宋"/>
          <w:kern w:val="0"/>
          <w:sz w:val="21"/>
          <w:szCs w:val="21"/>
        </w:rPr>
      </w:pPr>
      <w:r>
        <w:rPr>
          <w:rStyle w:val="34"/>
          <w:rFonts w:ascii="仿宋_GB2312" w:hAnsi="Calibri"/>
          <w:sz w:val="21"/>
          <w:szCs w:val="21"/>
          <w:vertAlign w:val="baseline"/>
        </w:rPr>
        <w:footnoteRef/>
      </w:r>
      <w:r>
        <w:rPr>
          <w:rFonts w:hint="eastAsia" w:ascii="仿宋_GB2312" w:hAnsi="仿宋"/>
          <w:kern w:val="0"/>
          <w:sz w:val="21"/>
          <w:szCs w:val="21"/>
        </w:rPr>
        <w:t>国家组织药品集中采购参阅《国务院办公厅关于推动药品集中带量采购工作常态化制度化开展的意见》（国办发〔</w:t>
      </w:r>
      <w:r>
        <w:rPr>
          <w:rFonts w:ascii="仿宋_GB2312" w:hAnsi="仿宋"/>
          <w:kern w:val="0"/>
          <w:sz w:val="21"/>
          <w:szCs w:val="21"/>
        </w:rPr>
        <w:t>2021〕2号）。</w:t>
      </w:r>
    </w:p>
  </w:footnote>
  <w:footnote w:id="30">
    <w:p>
      <w:pPr>
        <w:pStyle w:val="19"/>
        <w:rPr>
          <w:rFonts w:ascii="仿宋_GB2312" w:eastAsia="仿宋_GB2312"/>
          <w:sz w:val="21"/>
          <w:szCs w:val="21"/>
        </w:rPr>
      </w:pPr>
      <w:r>
        <w:rPr>
          <w:rStyle w:val="34"/>
          <w:rFonts w:hint="eastAsia" w:ascii="仿宋_GB2312" w:hAnsi="Times New Roman" w:eastAsia="仿宋_GB2312"/>
          <w:sz w:val="21"/>
          <w:szCs w:val="21"/>
          <w:vertAlign w:val="baseline"/>
        </w:rPr>
        <w:footnoteRef/>
      </w:r>
      <w:r>
        <w:rPr>
          <w:rFonts w:hint="eastAsia" w:ascii="仿宋_GB2312" w:hAnsi="仿宋" w:eastAsia="仿宋_GB2312"/>
          <w:sz w:val="21"/>
          <w:szCs w:val="21"/>
        </w:rPr>
        <w:t>国家重点监控的化学药品和生物制品是为了落实深化医药卫生体制改革任务、控制公立医院医疗费用不合理增长的明确要求，也是减轻患者看病就医负担、维护人民健康权益的重要举措。</w:t>
      </w:r>
    </w:p>
  </w:footnote>
  <w:footnote w:id="31">
    <w:p>
      <w:pPr>
        <w:pStyle w:val="19"/>
        <w:rPr>
          <w:rFonts w:ascii="仿宋" w:hAnsi="仿宋" w:eastAsia="仿宋"/>
        </w:rPr>
      </w:pPr>
      <w:r>
        <w:rPr>
          <w:rStyle w:val="34"/>
          <w:rFonts w:hint="eastAsia" w:ascii="仿宋_GB2312" w:hAnsi="Times New Roman" w:eastAsia="仿宋_GB2312"/>
          <w:sz w:val="21"/>
          <w:szCs w:val="21"/>
          <w:vertAlign w:val="baseline"/>
        </w:rPr>
        <w:footnoteRef/>
      </w:r>
      <w:r>
        <w:rPr>
          <w:rFonts w:hint="eastAsia" w:ascii="仿宋_GB2312" w:hAnsi="仿宋" w:eastAsia="仿宋_GB2312"/>
          <w:sz w:val="21"/>
          <w:szCs w:val="21"/>
        </w:rPr>
        <w:t>重点监控药品目录参阅《关于印发第一批国家重点监控合理用药药品目录（化药及生物制品）的通知》（国卫办医函〔2019〕558号）。</w:t>
      </w:r>
    </w:p>
  </w:footnote>
  <w:footnote w:id="32">
    <w:p>
      <w:pPr>
        <w:pStyle w:val="19"/>
        <w:spacing w:line="320" w:lineRule="exact"/>
        <w:rPr>
          <w:rFonts w:ascii="Times New Roman" w:hAnsi="Times New Roman" w:eastAsia="仿宋_GB2312"/>
          <w:sz w:val="21"/>
          <w:szCs w:val="21"/>
        </w:rPr>
      </w:pPr>
      <w:r>
        <w:rPr>
          <w:rStyle w:val="34"/>
          <w:rFonts w:ascii="仿宋_GB2312" w:hAnsi="Times New Roman" w:eastAsia="仿宋_GB2312"/>
          <w:sz w:val="21"/>
          <w:szCs w:val="21"/>
          <w:vertAlign w:val="baseline"/>
        </w:rPr>
        <w:footnoteRef/>
      </w:r>
      <w:r>
        <w:rPr>
          <w:rFonts w:hint="eastAsia" w:ascii="Times New Roman" w:hAnsi="Times New Roman" w:eastAsia="仿宋_GB2312"/>
          <w:sz w:val="21"/>
          <w:szCs w:val="21"/>
        </w:rPr>
        <w:t>高值医用耗材指直接作用于人体、对安全性有严格要求、临床使用量大、价格相对较高、群众费用负担重的医用耗材。</w:t>
      </w:r>
    </w:p>
  </w:footnote>
  <w:footnote w:id="33">
    <w:p>
      <w:pPr>
        <w:pStyle w:val="19"/>
        <w:spacing w:line="320" w:lineRule="exact"/>
        <w:rPr>
          <w:rFonts w:ascii="仿宋_GB2312" w:hAnsi="仿宋" w:eastAsia="仿宋_GB2312"/>
          <w:sz w:val="21"/>
          <w:szCs w:val="21"/>
        </w:rPr>
      </w:pPr>
      <w:r>
        <w:rPr>
          <w:rStyle w:val="34"/>
          <w:rFonts w:ascii="仿宋_GB2312" w:hAnsi="Times New Roman" w:eastAsia="仿宋_GB2312"/>
          <w:sz w:val="21"/>
          <w:szCs w:val="21"/>
          <w:vertAlign w:val="baseline"/>
        </w:rPr>
        <w:footnoteRef/>
      </w:r>
      <w:r>
        <w:rPr>
          <w:rFonts w:hint="eastAsia" w:ascii="仿宋_GB2312" w:hAnsi="Times New Roman" w:eastAsia="仿宋_GB2312"/>
          <w:sz w:val="21"/>
          <w:szCs w:val="21"/>
        </w:rPr>
        <w:t>重点监控高值医用耗材目录参阅《国家卫生健康委办公厅关于印发第一批国家高值医用耗材重点治理清单的通知》（国卫办医函〔</w:t>
      </w:r>
      <w:r>
        <w:rPr>
          <w:rFonts w:ascii="仿宋_GB2312" w:hAnsi="Times New Roman" w:eastAsia="仿宋_GB2312"/>
          <w:sz w:val="21"/>
          <w:szCs w:val="21"/>
        </w:rPr>
        <w:t>2020</w:t>
      </w:r>
      <w:r>
        <w:rPr>
          <w:rFonts w:hint="eastAsia" w:ascii="仿宋_GB2312" w:hAnsi="Times New Roman" w:eastAsia="仿宋_GB2312"/>
          <w:sz w:val="21"/>
          <w:szCs w:val="21"/>
        </w:rPr>
        <w:t>〕</w:t>
      </w:r>
      <w:r>
        <w:rPr>
          <w:rFonts w:ascii="仿宋_GB2312" w:hAnsi="Times New Roman" w:eastAsia="仿宋_GB2312"/>
          <w:sz w:val="21"/>
          <w:szCs w:val="21"/>
        </w:rPr>
        <w:t>9</w:t>
      </w:r>
      <w:r>
        <w:rPr>
          <w:rFonts w:hint="eastAsia" w:ascii="仿宋_GB2312" w:hAnsi="Times New Roman" w:eastAsia="仿宋_GB2312"/>
          <w:sz w:val="21"/>
          <w:szCs w:val="21"/>
        </w:rPr>
        <w:t>号）。</w:t>
      </w:r>
    </w:p>
  </w:footnote>
  <w:footnote w:id="34">
    <w:p>
      <w:pPr>
        <w:pStyle w:val="19"/>
        <w:rPr>
          <w:rFonts w:ascii="Times New Roman" w:hAnsi="Times New Roman" w:eastAsia="仿宋_GB2312"/>
          <w:sz w:val="21"/>
          <w:szCs w:val="21"/>
        </w:rPr>
      </w:pPr>
      <w:r>
        <w:rPr>
          <w:rStyle w:val="34"/>
          <w:rFonts w:ascii="仿宋_GB2312" w:hAnsi="Times New Roman" w:eastAsia="仿宋_GB2312"/>
          <w:sz w:val="21"/>
          <w:szCs w:val="21"/>
          <w:vertAlign w:val="baseline"/>
        </w:rPr>
        <w:footnoteRef/>
      </w:r>
      <w:r>
        <w:rPr>
          <w:rFonts w:hint="eastAsia" w:ascii="仿宋_GB2312" w:hAnsi="Times New Roman" w:eastAsia="仿宋_GB2312"/>
          <w:kern w:val="0"/>
          <w:sz w:val="21"/>
          <w:szCs w:val="21"/>
        </w:rPr>
        <w:t>参阅《国家卫生计生委办公厅关于印发麻醉等</w:t>
      </w:r>
      <w:r>
        <w:rPr>
          <w:rFonts w:ascii="仿宋_GB2312" w:hAnsi="Times New Roman" w:eastAsia="仿宋_GB2312"/>
          <w:kern w:val="0"/>
          <w:sz w:val="21"/>
          <w:szCs w:val="21"/>
        </w:rPr>
        <w:t>6</w:t>
      </w:r>
      <w:r>
        <w:rPr>
          <w:rFonts w:hint="eastAsia" w:ascii="仿宋_GB2312" w:hAnsi="Times New Roman" w:eastAsia="仿宋_GB2312"/>
          <w:kern w:val="0"/>
          <w:sz w:val="21"/>
          <w:szCs w:val="21"/>
        </w:rPr>
        <w:t>个专业质控指标（</w:t>
      </w:r>
      <w:r>
        <w:rPr>
          <w:rFonts w:ascii="仿宋_GB2312" w:hAnsi="Times New Roman" w:eastAsia="仿宋_GB2312"/>
          <w:kern w:val="0"/>
          <w:sz w:val="21"/>
          <w:szCs w:val="21"/>
        </w:rPr>
        <w:t>2015</w:t>
      </w:r>
      <w:r>
        <w:rPr>
          <w:rFonts w:hint="eastAsia" w:ascii="仿宋_GB2312" w:hAnsi="Times New Roman" w:eastAsia="仿宋_GB2312"/>
          <w:kern w:val="0"/>
          <w:sz w:val="21"/>
          <w:szCs w:val="21"/>
        </w:rPr>
        <w:t>年版）的通知》（国卫办医函〔</w:t>
      </w:r>
      <w:r>
        <w:rPr>
          <w:rFonts w:ascii="仿宋_GB2312" w:hAnsi="Times New Roman" w:eastAsia="仿宋_GB2312"/>
          <w:kern w:val="0"/>
          <w:sz w:val="21"/>
          <w:szCs w:val="21"/>
        </w:rPr>
        <w:t>2015</w:t>
      </w:r>
      <w:r>
        <w:rPr>
          <w:rFonts w:hint="eastAsia" w:ascii="仿宋_GB2312" w:hAnsi="Times New Roman" w:eastAsia="仿宋_GB2312"/>
          <w:kern w:val="0"/>
          <w:sz w:val="21"/>
          <w:szCs w:val="21"/>
        </w:rPr>
        <w:t>〕</w:t>
      </w:r>
      <w:r>
        <w:rPr>
          <w:rFonts w:ascii="仿宋_GB2312" w:hAnsi="Times New Roman" w:eastAsia="仿宋_GB2312"/>
          <w:kern w:val="0"/>
          <w:sz w:val="21"/>
          <w:szCs w:val="21"/>
        </w:rPr>
        <w:t>252</w:t>
      </w:r>
      <w:r>
        <w:rPr>
          <w:rFonts w:hint="eastAsia" w:ascii="仿宋_GB2312" w:hAnsi="Times New Roman" w:eastAsia="仿宋_GB2312"/>
          <w:kern w:val="0"/>
          <w:sz w:val="21"/>
          <w:szCs w:val="21"/>
        </w:rPr>
        <w:t>号）。</w:t>
      </w:r>
    </w:p>
  </w:footnote>
  <w:footnote w:id="35">
    <w:p>
      <w:pPr>
        <w:pStyle w:val="19"/>
        <w:rPr>
          <w:sz w:val="21"/>
          <w:szCs w:val="21"/>
        </w:rPr>
      </w:pPr>
      <w:r>
        <w:rPr>
          <w:rStyle w:val="34"/>
          <w:rFonts w:hint="eastAsia" w:ascii="仿宋_GB2312" w:hAnsi="Times New Roman" w:eastAsia="仿宋_GB2312"/>
          <w:sz w:val="21"/>
          <w:szCs w:val="21"/>
          <w:vertAlign w:val="baseline"/>
        </w:rPr>
        <w:footnoteRef/>
      </w:r>
      <w:r>
        <w:rPr>
          <w:rFonts w:hint="eastAsia" w:ascii="仿宋_GB2312" w:hAnsi="Times New Roman" w:eastAsia="仿宋_GB2312"/>
          <w:sz w:val="21"/>
          <w:szCs w:val="21"/>
          <w:shd w:val="clear" w:color="auto" w:fill="FFFFFF"/>
        </w:rPr>
        <w:t>电：</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千瓦时＝</w:t>
      </w:r>
      <w:r>
        <w:rPr>
          <w:rFonts w:ascii="仿宋_GB2312" w:hAnsi="Times New Roman" w:eastAsia="仿宋_GB2312"/>
          <w:sz w:val="21"/>
          <w:szCs w:val="21"/>
          <w:shd w:val="clear" w:color="auto" w:fill="FFFFFF"/>
        </w:rPr>
        <w:t>0.1229</w:t>
      </w:r>
      <w:r>
        <w:rPr>
          <w:rFonts w:hint="eastAsia" w:ascii="仿宋_GB2312" w:hAnsi="Times New Roman" w:eastAsia="仿宋_GB2312"/>
          <w:sz w:val="21"/>
          <w:szCs w:val="21"/>
          <w:shd w:val="clear" w:color="auto" w:fill="FFFFFF"/>
        </w:rPr>
        <w:t>×</w:t>
      </w:r>
      <w:r>
        <w:rPr>
          <w:rFonts w:ascii="仿宋_GB2312" w:hAnsi="Times New Roman" w:eastAsia="仿宋_GB2312"/>
          <w:sz w:val="21"/>
          <w:szCs w:val="21"/>
          <w:shd w:val="clear" w:color="auto" w:fill="FFFFFF"/>
        </w:rPr>
        <w:t>10</w:t>
      </w:r>
      <w:r>
        <w:rPr>
          <w:rFonts w:ascii="仿宋_GB2312" w:hAnsi="Times New Roman" w:eastAsia="仿宋_GB2312"/>
          <w:sz w:val="21"/>
          <w:szCs w:val="21"/>
          <w:shd w:val="clear" w:color="auto" w:fill="FFFFFF"/>
          <w:vertAlign w:val="superscript"/>
        </w:rPr>
        <w:t>-3</w:t>
      </w:r>
      <w:r>
        <w:rPr>
          <w:rFonts w:hint="eastAsia" w:ascii="仿宋_GB2312" w:hAnsi="Times New Roman" w:eastAsia="仿宋_GB2312"/>
          <w:sz w:val="21"/>
          <w:szCs w:val="21"/>
          <w:shd w:val="clear" w:color="auto" w:fill="FFFFFF"/>
        </w:rPr>
        <w:t>吨标准煤，煤炭：</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吨＝</w:t>
      </w:r>
      <w:r>
        <w:rPr>
          <w:rFonts w:ascii="仿宋_GB2312" w:hAnsi="Times New Roman" w:eastAsia="仿宋_GB2312"/>
          <w:sz w:val="21"/>
          <w:szCs w:val="21"/>
          <w:shd w:val="clear" w:color="auto" w:fill="FFFFFF"/>
        </w:rPr>
        <w:t>0.7143</w:t>
      </w:r>
      <w:r>
        <w:rPr>
          <w:rFonts w:hint="eastAsia" w:ascii="仿宋_GB2312" w:hAnsi="Times New Roman" w:eastAsia="仿宋_GB2312"/>
          <w:sz w:val="21"/>
          <w:szCs w:val="21"/>
          <w:shd w:val="clear" w:color="auto" w:fill="FFFFFF"/>
        </w:rPr>
        <w:t>吨标准煤，煤气：</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立方米＝</w:t>
      </w:r>
      <w:r>
        <w:rPr>
          <w:rFonts w:ascii="仿宋_GB2312" w:hAnsi="Times New Roman" w:eastAsia="仿宋_GB2312"/>
          <w:sz w:val="21"/>
          <w:szCs w:val="21"/>
          <w:shd w:val="clear" w:color="auto" w:fill="FFFFFF"/>
        </w:rPr>
        <w:t>0.5714</w:t>
      </w:r>
      <w:r>
        <w:rPr>
          <w:rFonts w:hint="eastAsia" w:ascii="仿宋_GB2312" w:hAnsi="Times New Roman" w:eastAsia="仿宋_GB2312"/>
          <w:sz w:val="21"/>
          <w:szCs w:val="21"/>
          <w:shd w:val="clear" w:color="auto" w:fill="FFFFFF"/>
        </w:rPr>
        <w:t>×</w:t>
      </w:r>
      <w:r>
        <w:rPr>
          <w:rFonts w:ascii="仿宋_GB2312" w:hAnsi="Times New Roman" w:eastAsia="仿宋_GB2312"/>
          <w:sz w:val="21"/>
          <w:szCs w:val="21"/>
          <w:shd w:val="clear" w:color="auto" w:fill="FFFFFF"/>
        </w:rPr>
        <w:t>10</w:t>
      </w:r>
      <w:r>
        <w:rPr>
          <w:rFonts w:ascii="仿宋_GB2312" w:hAnsi="Times New Roman" w:eastAsia="仿宋_GB2312"/>
          <w:sz w:val="21"/>
          <w:szCs w:val="21"/>
          <w:shd w:val="clear" w:color="auto" w:fill="FFFFFF"/>
          <w:vertAlign w:val="superscript"/>
        </w:rPr>
        <w:t>-3</w:t>
      </w:r>
      <w:r>
        <w:rPr>
          <w:rFonts w:hint="eastAsia" w:ascii="仿宋_GB2312" w:hAnsi="Times New Roman" w:eastAsia="仿宋_GB2312"/>
          <w:sz w:val="21"/>
          <w:szCs w:val="21"/>
          <w:shd w:val="clear" w:color="auto" w:fill="FFFFFF"/>
        </w:rPr>
        <w:t>吨标准煤，天然气</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立方米＝</w:t>
      </w:r>
      <w:r>
        <w:rPr>
          <w:rFonts w:ascii="仿宋_GB2312" w:hAnsi="Times New Roman" w:eastAsia="仿宋_GB2312"/>
          <w:sz w:val="21"/>
          <w:szCs w:val="21"/>
          <w:shd w:val="clear" w:color="auto" w:fill="FFFFFF"/>
        </w:rPr>
        <w:t>1.33</w:t>
      </w:r>
      <w:r>
        <w:rPr>
          <w:rFonts w:hint="eastAsia" w:ascii="仿宋_GB2312" w:hAnsi="Times New Roman" w:eastAsia="仿宋_GB2312"/>
          <w:sz w:val="21"/>
          <w:szCs w:val="21"/>
          <w:shd w:val="clear" w:color="auto" w:fill="FFFFFF"/>
        </w:rPr>
        <w:t>×</w:t>
      </w:r>
      <w:r>
        <w:rPr>
          <w:rFonts w:ascii="仿宋_GB2312" w:hAnsi="Times New Roman" w:eastAsia="仿宋_GB2312"/>
          <w:sz w:val="21"/>
          <w:szCs w:val="21"/>
          <w:shd w:val="clear" w:color="auto" w:fill="FFFFFF"/>
        </w:rPr>
        <w:t>10</w:t>
      </w:r>
      <w:r>
        <w:rPr>
          <w:rFonts w:ascii="仿宋_GB2312" w:hAnsi="Times New Roman" w:eastAsia="仿宋_GB2312"/>
          <w:sz w:val="21"/>
          <w:szCs w:val="21"/>
          <w:shd w:val="clear" w:color="auto" w:fill="FFFFFF"/>
          <w:vertAlign w:val="superscript"/>
        </w:rPr>
        <w:t>-3</w:t>
      </w:r>
      <w:r>
        <w:rPr>
          <w:rFonts w:hint="eastAsia" w:ascii="仿宋_GB2312" w:hAnsi="Times New Roman" w:eastAsia="仿宋_GB2312"/>
          <w:sz w:val="21"/>
          <w:szCs w:val="21"/>
          <w:shd w:val="clear" w:color="auto" w:fill="FFFFFF"/>
        </w:rPr>
        <w:t>吨标准煤，汽油：</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吨</w:t>
      </w:r>
      <w:r>
        <w:rPr>
          <w:rFonts w:ascii="仿宋_GB2312" w:hAnsi="Times New Roman" w:eastAsia="仿宋_GB2312"/>
          <w:sz w:val="21"/>
          <w:szCs w:val="21"/>
          <w:shd w:val="clear" w:color="auto" w:fill="FFFFFF"/>
        </w:rPr>
        <w:t>=1.4714</w:t>
      </w:r>
      <w:r>
        <w:rPr>
          <w:rFonts w:hint="eastAsia" w:ascii="仿宋_GB2312" w:hAnsi="Times New Roman" w:eastAsia="仿宋_GB2312"/>
          <w:sz w:val="21"/>
          <w:szCs w:val="21"/>
          <w:shd w:val="clear" w:color="auto" w:fill="FFFFFF"/>
        </w:rPr>
        <w:t>吨标准煤，煤油：</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吨</w:t>
      </w:r>
      <w:r>
        <w:rPr>
          <w:rFonts w:ascii="仿宋_GB2312" w:hAnsi="Times New Roman" w:eastAsia="仿宋_GB2312"/>
          <w:sz w:val="21"/>
          <w:szCs w:val="21"/>
          <w:shd w:val="clear" w:color="auto" w:fill="FFFFFF"/>
        </w:rPr>
        <w:t>=1.4714</w:t>
      </w:r>
      <w:r>
        <w:rPr>
          <w:rFonts w:hint="eastAsia" w:ascii="仿宋_GB2312" w:hAnsi="Times New Roman" w:eastAsia="仿宋_GB2312"/>
          <w:sz w:val="21"/>
          <w:szCs w:val="21"/>
          <w:shd w:val="clear" w:color="auto" w:fill="FFFFFF"/>
        </w:rPr>
        <w:t>吨标准煤，柴油：</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吨</w:t>
      </w:r>
      <w:r>
        <w:rPr>
          <w:rFonts w:ascii="仿宋_GB2312" w:hAnsi="Times New Roman" w:eastAsia="仿宋_GB2312"/>
          <w:sz w:val="21"/>
          <w:szCs w:val="21"/>
          <w:shd w:val="clear" w:color="auto" w:fill="FFFFFF"/>
        </w:rPr>
        <w:t>=1.4571</w:t>
      </w:r>
      <w:r>
        <w:rPr>
          <w:rFonts w:hint="eastAsia" w:ascii="仿宋_GB2312" w:hAnsi="Times New Roman" w:eastAsia="仿宋_GB2312"/>
          <w:sz w:val="21"/>
          <w:szCs w:val="21"/>
          <w:shd w:val="clear" w:color="auto" w:fill="FFFFFF"/>
        </w:rPr>
        <w:t>吨标准煤，燃料油：</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吨</w:t>
      </w:r>
      <w:r>
        <w:rPr>
          <w:rFonts w:ascii="仿宋_GB2312" w:hAnsi="Times New Roman" w:eastAsia="仿宋_GB2312"/>
          <w:sz w:val="21"/>
          <w:szCs w:val="21"/>
          <w:shd w:val="clear" w:color="auto" w:fill="FFFFFF"/>
        </w:rPr>
        <w:t>=1.4286</w:t>
      </w:r>
      <w:r>
        <w:rPr>
          <w:rFonts w:hint="eastAsia" w:ascii="仿宋_GB2312" w:hAnsi="Times New Roman" w:eastAsia="仿宋_GB2312"/>
          <w:sz w:val="21"/>
          <w:szCs w:val="21"/>
          <w:shd w:val="clear" w:color="auto" w:fill="FFFFFF"/>
        </w:rPr>
        <w:t>吨标准煤，外购热力：</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百万千焦</w:t>
      </w:r>
      <w:r>
        <w:rPr>
          <w:rFonts w:ascii="仿宋_GB2312" w:hAnsi="Times New Roman" w:eastAsia="仿宋_GB2312"/>
          <w:sz w:val="21"/>
          <w:szCs w:val="21"/>
          <w:shd w:val="clear" w:color="auto" w:fill="FFFFFF"/>
        </w:rPr>
        <w:t>=0.0341</w:t>
      </w:r>
      <w:r>
        <w:rPr>
          <w:rFonts w:hint="eastAsia" w:ascii="仿宋_GB2312" w:hAnsi="Times New Roman" w:eastAsia="仿宋_GB2312"/>
          <w:sz w:val="21"/>
          <w:szCs w:val="21"/>
          <w:shd w:val="clear" w:color="auto" w:fill="FFFFFF"/>
        </w:rPr>
        <w:t>吨标准煤（按供热面积结算热力的单位：1个供暖季按面积每1 平方米≈0.0310 吨标煤），水：</w:t>
      </w:r>
      <w:r>
        <w:rPr>
          <w:rFonts w:ascii="仿宋_GB2312" w:hAnsi="Times New Roman" w:eastAsia="仿宋_GB2312"/>
          <w:sz w:val="21"/>
          <w:szCs w:val="21"/>
          <w:shd w:val="clear" w:color="auto" w:fill="FFFFFF"/>
        </w:rPr>
        <w:t>1</w:t>
      </w:r>
      <w:r>
        <w:rPr>
          <w:rFonts w:hint="eastAsia" w:ascii="仿宋_GB2312" w:hAnsi="Times New Roman" w:eastAsia="仿宋_GB2312"/>
          <w:sz w:val="21"/>
          <w:szCs w:val="21"/>
          <w:shd w:val="clear" w:color="auto" w:fill="FFFFFF"/>
        </w:rPr>
        <w:t>吨</w:t>
      </w:r>
      <w:r>
        <w:rPr>
          <w:rFonts w:ascii="仿宋_GB2312" w:hAnsi="Times New Roman" w:eastAsia="仿宋_GB2312"/>
          <w:sz w:val="21"/>
          <w:szCs w:val="21"/>
          <w:shd w:val="clear" w:color="auto" w:fill="FFFFFF"/>
        </w:rPr>
        <w:t>=0.0857</w:t>
      </w:r>
      <w:r>
        <w:rPr>
          <w:rFonts w:hint="eastAsia" w:ascii="仿宋_GB2312" w:hAnsi="Times New Roman" w:eastAsia="仿宋_GB2312"/>
          <w:sz w:val="21"/>
          <w:szCs w:val="21"/>
          <w:shd w:val="clear" w:color="auto" w:fill="FFFFFF"/>
        </w:rPr>
        <w:t>×</w:t>
      </w:r>
      <w:r>
        <w:rPr>
          <w:rFonts w:ascii="仿宋_GB2312" w:hAnsi="Times New Roman" w:eastAsia="仿宋_GB2312"/>
          <w:sz w:val="21"/>
          <w:szCs w:val="21"/>
          <w:shd w:val="clear" w:color="auto" w:fill="FFFFFF"/>
        </w:rPr>
        <w:t>10</w:t>
      </w:r>
      <w:r>
        <w:rPr>
          <w:rFonts w:ascii="仿宋_GB2312" w:hAnsi="Times New Roman" w:eastAsia="仿宋_GB2312"/>
          <w:sz w:val="21"/>
          <w:szCs w:val="21"/>
          <w:shd w:val="clear" w:color="auto" w:fill="FFFFFF"/>
          <w:vertAlign w:val="superscript"/>
        </w:rPr>
        <w:t>-3</w:t>
      </w:r>
      <w:r>
        <w:rPr>
          <w:rFonts w:hint="eastAsia" w:ascii="仿宋_GB2312" w:hAnsi="Times New Roman" w:eastAsia="仿宋_GB2312"/>
          <w:sz w:val="21"/>
          <w:szCs w:val="21"/>
          <w:shd w:val="clear" w:color="auto" w:fill="FFFFFF"/>
        </w:rPr>
        <w:t>吨标准煤。</w:t>
      </w:r>
    </w:p>
  </w:footnote>
  <w:footnote w:id="36">
    <w:p>
      <w:pPr>
        <w:pStyle w:val="19"/>
      </w:pPr>
      <w:r>
        <w:rPr>
          <w:rFonts w:hint="eastAsia" w:ascii="仿宋_GB2312" w:hAnsi="仿宋" w:eastAsia="仿宋_GB2312" w:cs="仿宋"/>
          <w:sz w:val="21"/>
          <w:szCs w:val="21"/>
        </w:rPr>
        <w:footnoteRef/>
      </w:r>
      <w:r>
        <w:rPr>
          <w:rFonts w:hint="eastAsia" w:ascii="仿宋" w:hAnsi="仿宋" w:eastAsia="仿宋" w:cs="仿宋"/>
          <w:sz w:val="21"/>
          <w:szCs w:val="21"/>
        </w:rPr>
        <w:t>按照权责发生制计算考核年度的“门诊收入中来自医保基金的收入”，不包括医保机构拨付的往年款项。</w:t>
      </w:r>
    </w:p>
  </w:footnote>
  <w:footnote w:id="37">
    <w:p>
      <w:pPr>
        <w:pStyle w:val="19"/>
        <w:rPr>
          <w:rFonts w:ascii="仿宋_GB2312" w:eastAsia="仿宋_GB2312"/>
          <w:sz w:val="21"/>
          <w:szCs w:val="21"/>
        </w:rPr>
      </w:pPr>
      <w:r>
        <w:rPr>
          <w:rFonts w:hint="eastAsia" w:ascii="仿宋_GB2312" w:eastAsia="仿宋_GB2312" w:cs="仿宋"/>
          <w:sz w:val="21"/>
          <w:szCs w:val="21"/>
        </w:rPr>
        <w:footnoteRef/>
      </w:r>
      <w:r>
        <w:rPr>
          <w:rFonts w:hint="eastAsia" w:ascii="仿宋_GB2312" w:hAnsi="Times New Roman" w:eastAsia="仿宋_GB2312"/>
          <w:sz w:val="21"/>
          <w:szCs w:val="21"/>
          <w:shd w:val="clear" w:color="auto" w:fill="FFFFFF"/>
        </w:rPr>
        <w:t>中医医疗服务项目是指应用中医药理论和技术完成诊断治疗的医疗服务项目。参阅《全国医疗服务价格项目规范（2012年版）》（发改价格〔2012〕1170号）。</w:t>
      </w:r>
    </w:p>
  </w:footnote>
  <w:footnote w:id="38">
    <w:p>
      <w:pPr>
        <w:pStyle w:val="19"/>
        <w:rPr>
          <w:sz w:val="21"/>
          <w:szCs w:val="21"/>
        </w:rPr>
      </w:pPr>
      <w:r>
        <w:rPr>
          <w:rStyle w:val="34"/>
          <w:rFonts w:hint="eastAsia" w:ascii="仿宋_GB2312" w:eastAsia="仿宋_GB2312"/>
          <w:sz w:val="21"/>
          <w:szCs w:val="21"/>
          <w:vertAlign w:val="baseline"/>
        </w:rPr>
        <w:footnoteRef/>
      </w:r>
      <w:r>
        <w:rPr>
          <w:rFonts w:hint="eastAsia" w:ascii="Times New Roman" w:hAnsi="Times New Roman" w:eastAsia="仿宋_GB2312"/>
          <w:sz w:val="21"/>
          <w:szCs w:val="21"/>
        </w:rPr>
        <w:t>针对各省医疗服务价格调整、支付方式改革对考核指标产生较大影响的，需提供说明材料。</w:t>
      </w:r>
    </w:p>
  </w:footnote>
  <w:footnote w:id="39">
    <w:p>
      <w:pPr>
        <w:pStyle w:val="19"/>
        <w:rPr>
          <w:rFonts w:ascii="仿宋_GB2312" w:hAnsi="Times New Roman" w:eastAsia="仿宋_GB2312"/>
          <w:sz w:val="21"/>
          <w:szCs w:val="22"/>
        </w:rPr>
      </w:pPr>
      <w:r>
        <w:rPr>
          <w:rFonts w:ascii="仿宋_GB2312" w:hAnsi="Times New Roman" w:eastAsia="仿宋_GB2312"/>
          <w:sz w:val="21"/>
          <w:szCs w:val="22"/>
        </w:rPr>
        <w:footnoteRef/>
      </w:r>
      <w:r>
        <w:rPr>
          <w:rFonts w:hint="eastAsia" w:ascii="仿宋_GB2312" w:hAnsi="Times New Roman" w:eastAsia="仿宋_GB2312"/>
          <w:sz w:val="21"/>
          <w:szCs w:val="22"/>
        </w:rPr>
        <w:t>本手册中关于长期处方的界定，均依据《关于长期处方管理规范（试行）的通知》（国办医发〔</w:t>
      </w:r>
      <w:r>
        <w:rPr>
          <w:rFonts w:ascii="仿宋_GB2312" w:hAnsi="Times New Roman" w:eastAsia="仿宋_GB2312"/>
          <w:sz w:val="21"/>
          <w:szCs w:val="22"/>
        </w:rPr>
        <w:t>2021〕17</w:t>
      </w:r>
      <w:r>
        <w:rPr>
          <w:rFonts w:hint="eastAsia" w:ascii="仿宋_GB2312" w:hAnsi="Times New Roman" w:eastAsia="仿宋_GB2312"/>
          <w:sz w:val="21"/>
          <w:szCs w:val="22"/>
        </w:rPr>
        <w:t>号）。</w:t>
      </w:r>
    </w:p>
  </w:footnote>
  <w:footnote w:id="40">
    <w:p>
      <w:pPr>
        <w:pStyle w:val="19"/>
      </w:pPr>
      <w:r>
        <w:rPr>
          <w:rFonts w:ascii="仿宋_GB2312" w:hAnsi="Times New Roman" w:eastAsia="仿宋_GB2312"/>
          <w:sz w:val="21"/>
          <w:szCs w:val="22"/>
        </w:rPr>
        <w:footnoteRef/>
      </w:r>
      <w:r>
        <w:rPr>
          <w:rFonts w:hint="eastAsia" w:ascii="仿宋_GB2312" w:hAnsi="Times New Roman" w:eastAsia="仿宋_GB2312"/>
          <w:sz w:val="21"/>
          <w:szCs w:val="22"/>
        </w:rPr>
        <w:t>本手册中关于纳入国家医保目录中谈判药物的统计，均依据《国家基本医疗保险、工伤保险和生育保险药品目录（</w:t>
      </w:r>
      <w:r>
        <w:rPr>
          <w:rFonts w:ascii="仿宋_GB2312" w:hAnsi="Times New Roman" w:eastAsia="仿宋_GB2312"/>
          <w:sz w:val="21"/>
          <w:szCs w:val="22"/>
        </w:rPr>
        <w:t>2021</w:t>
      </w:r>
      <w:r>
        <w:rPr>
          <w:rFonts w:hint="eastAsia" w:ascii="仿宋_GB2312" w:hAnsi="Times New Roman" w:eastAsia="仿宋_GB2312"/>
          <w:sz w:val="21"/>
          <w:szCs w:val="22"/>
        </w:rPr>
        <w:t>年）》协议期内谈判药品部分。</w:t>
      </w:r>
    </w:p>
  </w:footnote>
  <w:footnote w:id="41">
    <w:p>
      <w:pPr>
        <w:pStyle w:val="19"/>
        <w:rPr>
          <w:rFonts w:ascii="Times New Roman" w:hAnsi="Times New Roman" w:eastAsia="仿宋_GB2312"/>
          <w:sz w:val="21"/>
          <w:szCs w:val="21"/>
          <w:shd w:val="clear" w:color="auto" w:fill="FFFFFF"/>
        </w:rPr>
      </w:pPr>
      <w:r>
        <w:rPr>
          <w:rStyle w:val="34"/>
          <w:rFonts w:hint="eastAsia" w:ascii="仿宋_GB2312" w:hAnsi="Times New Roman" w:eastAsia="仿宋_GB2312"/>
          <w:sz w:val="21"/>
          <w:szCs w:val="21"/>
          <w:vertAlign w:val="baseline"/>
        </w:rPr>
        <w:footnoteRef/>
      </w:r>
      <w:r>
        <w:rPr>
          <w:rFonts w:hint="eastAsia" w:ascii="Times New Roman" w:hAnsi="Times New Roman" w:eastAsia="仿宋_GB2312"/>
          <w:sz w:val="21"/>
          <w:szCs w:val="21"/>
          <w:shd w:val="clear" w:color="auto" w:fill="FFFFFF"/>
        </w:rPr>
        <w:t>中医类别执业医师含中医类别执业（助理）医师（包括中医专业、中西医结合专业、民族医专业）和中医（专长）医师。</w:t>
      </w:r>
    </w:p>
  </w:footnote>
  <w:footnote w:id="42">
    <w:p>
      <w:pPr>
        <w:pStyle w:val="19"/>
        <w:rPr>
          <w:rFonts w:ascii="Times New Roman" w:hAnsi="Times New Roman" w:eastAsia="仿宋_GB2312"/>
          <w:sz w:val="21"/>
          <w:szCs w:val="21"/>
          <w:shd w:val="clear" w:color="auto" w:fill="FFFFFF"/>
        </w:rPr>
      </w:pPr>
      <w:r>
        <w:rPr>
          <w:rStyle w:val="34"/>
          <w:rFonts w:hint="eastAsia" w:ascii="仿宋_GB2312" w:hAnsi="Times New Roman" w:eastAsia="仿宋_GB2312"/>
          <w:sz w:val="21"/>
          <w:szCs w:val="21"/>
          <w:vertAlign w:val="baseline"/>
        </w:rPr>
        <w:footnoteRef/>
      </w:r>
      <w:r>
        <w:rPr>
          <w:rFonts w:hint="eastAsia" w:ascii="仿宋_GB2312" w:hAnsi="Times New Roman" w:eastAsia="仿宋_GB2312"/>
          <w:sz w:val="21"/>
          <w:szCs w:val="21"/>
          <w:shd w:val="clear" w:color="auto" w:fill="FFFFFF"/>
        </w:rPr>
        <w:t>参阅《关于印发医疗机构、医师、护士电子化注册管理规范（试行）等文件的通知》（国卫办医发〔2017〕18号）。</w:t>
      </w:r>
    </w:p>
  </w:footnote>
  <w:footnote w:id="43">
    <w:p>
      <w:pPr>
        <w:pStyle w:val="19"/>
        <w:rPr>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rPr>
        <w:t>参阅《医师执业注册管理办法》（中华人民共和国国家卫生和计划生育委员会令第</w:t>
      </w:r>
      <w:r>
        <w:rPr>
          <w:rFonts w:ascii="仿宋_GB2312" w:hAnsi="Times New Roman" w:eastAsia="仿宋_GB2312"/>
          <w:sz w:val="21"/>
          <w:szCs w:val="21"/>
        </w:rPr>
        <w:t>13</w:t>
      </w:r>
      <w:r>
        <w:rPr>
          <w:rFonts w:hint="eastAsia" w:ascii="仿宋_GB2312" w:hAnsi="Times New Roman" w:eastAsia="仿宋_GB2312"/>
          <w:sz w:val="21"/>
          <w:szCs w:val="21"/>
        </w:rPr>
        <w:t>号）。</w:t>
      </w:r>
    </w:p>
  </w:footnote>
  <w:footnote w:id="44">
    <w:p>
      <w:pPr>
        <w:pStyle w:val="19"/>
        <w:rPr>
          <w:sz w:val="21"/>
          <w:szCs w:val="21"/>
        </w:rPr>
      </w:pPr>
      <w:r>
        <w:rPr>
          <w:rStyle w:val="34"/>
          <w:rFonts w:hint="eastAsia" w:ascii="仿宋_GB2312" w:eastAsia="仿宋_GB2312"/>
          <w:sz w:val="21"/>
          <w:szCs w:val="21"/>
          <w:vertAlign w:val="baseline"/>
        </w:rPr>
        <w:footnoteRef/>
      </w:r>
      <w:r>
        <w:rPr>
          <w:rFonts w:hint="eastAsia" w:ascii="仿宋_GB2312" w:hAnsi="Times New Roman" w:eastAsia="仿宋_GB2312"/>
          <w:sz w:val="21"/>
          <w:szCs w:val="21"/>
        </w:rPr>
        <w:t>参阅《关于印发医疗机构、医师、护士电子化注册管理规范（试行）等文件的通知》（国卫办医发〔</w:t>
      </w:r>
      <w:r>
        <w:rPr>
          <w:rFonts w:ascii="仿宋_GB2312" w:hAnsi="Times New Roman" w:eastAsia="仿宋_GB2312"/>
          <w:sz w:val="21"/>
          <w:szCs w:val="21"/>
        </w:rPr>
        <w:t>2017</w:t>
      </w:r>
      <w:r>
        <w:rPr>
          <w:rFonts w:hint="eastAsia" w:ascii="仿宋_GB2312" w:hAnsi="Times New Roman" w:eastAsia="仿宋_GB2312"/>
          <w:sz w:val="21"/>
          <w:szCs w:val="21"/>
        </w:rPr>
        <w:t>〕</w:t>
      </w:r>
      <w:r>
        <w:rPr>
          <w:rFonts w:ascii="仿宋_GB2312" w:hAnsi="Times New Roman" w:eastAsia="仿宋_GB2312"/>
          <w:sz w:val="21"/>
          <w:szCs w:val="21"/>
        </w:rPr>
        <w:t xml:space="preserve">18 </w:t>
      </w:r>
      <w:r>
        <w:rPr>
          <w:rFonts w:hint="eastAsia" w:ascii="仿宋_GB2312" w:hAnsi="Times New Roman" w:eastAsia="仿宋_GB2312"/>
          <w:sz w:val="21"/>
          <w:szCs w:val="21"/>
        </w:rPr>
        <w:t>号）。</w:t>
      </w:r>
    </w:p>
  </w:footnote>
  <w:footnote w:id="45">
    <w:p>
      <w:pPr>
        <w:pStyle w:val="19"/>
        <w:rPr>
          <w:sz w:val="21"/>
          <w:szCs w:val="21"/>
        </w:rPr>
      </w:pPr>
      <w:r>
        <w:rPr>
          <w:rStyle w:val="34"/>
          <w:rFonts w:ascii="仿宋_GB2312" w:eastAsia="仿宋_GB2312"/>
          <w:sz w:val="21"/>
          <w:szCs w:val="21"/>
          <w:vertAlign w:val="baseline"/>
        </w:rPr>
        <w:footnoteRef/>
      </w:r>
      <w:r>
        <w:rPr>
          <w:rFonts w:hint="eastAsia" w:ascii="仿宋_GB2312" w:hAnsi="Times New Roman" w:eastAsia="仿宋_GB2312"/>
          <w:sz w:val="21"/>
          <w:szCs w:val="21"/>
        </w:rPr>
        <w:t>参阅《医师执业注册管理办法》（中华人民共和国卫生和计划生育委员会令第</w:t>
      </w:r>
      <w:r>
        <w:rPr>
          <w:rFonts w:ascii="仿宋_GB2312" w:hAnsi="Times New Roman" w:eastAsia="仿宋_GB2312"/>
          <w:sz w:val="21"/>
          <w:szCs w:val="21"/>
        </w:rPr>
        <w:t>13</w:t>
      </w:r>
      <w:r>
        <w:rPr>
          <w:rFonts w:hint="eastAsia" w:ascii="仿宋_GB2312" w:hAnsi="Times New Roman" w:eastAsia="仿宋_GB2312"/>
          <w:sz w:val="21"/>
          <w:szCs w:val="21"/>
        </w:rPr>
        <w:t>号）。</w:t>
      </w:r>
    </w:p>
  </w:footnote>
  <w:footnote w:id="46">
    <w:p>
      <w:pPr>
        <w:pStyle w:val="19"/>
        <w:rPr>
          <w:sz w:val="21"/>
          <w:szCs w:val="21"/>
        </w:rPr>
      </w:pPr>
      <w:r>
        <w:rPr>
          <w:rStyle w:val="34"/>
          <w:rFonts w:hint="eastAsia" w:ascii="仿宋_GB2312" w:eastAsia="仿宋_GB2312"/>
          <w:sz w:val="21"/>
          <w:szCs w:val="21"/>
          <w:vertAlign w:val="baseline"/>
        </w:rPr>
        <w:footnoteRef/>
      </w:r>
      <w:r>
        <w:rPr>
          <w:rFonts w:hint="eastAsia" w:ascii="仿宋_GB2312" w:hAnsi="仿宋" w:eastAsia="仿宋_GB2312" w:cs="仿宋"/>
          <w:sz w:val="21"/>
          <w:szCs w:val="21"/>
        </w:rPr>
        <w:t>在岗职工数统计，包括在编、合同制、返聘和临聘半年以上人员。</w:t>
      </w:r>
    </w:p>
  </w:footnote>
  <w:footnote w:id="47">
    <w:p>
      <w:pPr>
        <w:pStyle w:val="19"/>
        <w:rPr>
          <w:sz w:val="21"/>
          <w:szCs w:val="21"/>
        </w:rPr>
      </w:pPr>
      <w:r>
        <w:rPr>
          <w:rStyle w:val="34"/>
          <w:rFonts w:hint="eastAsia" w:ascii="仿宋_GB2312" w:eastAsia="仿宋_GB2312"/>
          <w:sz w:val="21"/>
          <w:szCs w:val="21"/>
          <w:vertAlign w:val="baseline"/>
        </w:rPr>
        <w:footnoteRef/>
      </w:r>
      <w:r>
        <w:rPr>
          <w:rFonts w:hint="eastAsia" w:ascii="仿宋_GB2312" w:eastAsia="仿宋_GB2312"/>
          <w:sz w:val="21"/>
          <w:szCs w:val="21"/>
        </w:rPr>
        <w:t>参阅《医师执业注册管理办法》（中华人民共和国卫生和计划生育委员会令第</w:t>
      </w:r>
      <w:r>
        <w:rPr>
          <w:rFonts w:ascii="仿宋_GB2312" w:eastAsia="仿宋_GB2312"/>
          <w:sz w:val="21"/>
          <w:szCs w:val="21"/>
        </w:rPr>
        <w:t>13</w:t>
      </w:r>
      <w:r>
        <w:rPr>
          <w:rFonts w:hint="eastAsia" w:ascii="仿宋_GB2312" w:eastAsia="仿宋_GB2312"/>
          <w:sz w:val="21"/>
          <w:szCs w:val="21"/>
        </w:rPr>
        <w:t>号）。</w:t>
      </w:r>
    </w:p>
  </w:footnote>
  <w:footnote w:id="48">
    <w:p>
      <w:pPr>
        <w:pStyle w:val="19"/>
        <w:spacing w:line="320" w:lineRule="exact"/>
        <w:rPr>
          <w:rFonts w:ascii="Times New Roman" w:hAnsi="Times New Roman" w:eastAsia="仿宋_GB2312"/>
          <w:sz w:val="21"/>
          <w:szCs w:val="21"/>
          <w:shd w:val="clear" w:color="auto" w:fill="FFFFFF"/>
        </w:rPr>
      </w:pPr>
      <w:r>
        <w:rPr>
          <w:rStyle w:val="34"/>
          <w:rFonts w:ascii="仿宋_GB2312" w:eastAsia="仿宋_GB2312"/>
          <w:sz w:val="21"/>
          <w:szCs w:val="21"/>
          <w:vertAlign w:val="baseline"/>
        </w:rPr>
        <w:footnoteRef/>
      </w:r>
      <w:r>
        <w:rPr>
          <w:rFonts w:hint="eastAsia" w:ascii="Times New Roman" w:hAnsi="Times New Roman" w:eastAsia="仿宋_GB2312"/>
          <w:sz w:val="21"/>
          <w:szCs w:val="21"/>
          <w:shd w:val="clear" w:color="auto" w:fill="FFFFFF"/>
        </w:rPr>
        <w:t>重点学科是指县级及以上中医药主管部门公布的重点学科，包含历史和建设期的中医重点学科。不含医院确定的重点学科。</w:t>
      </w:r>
    </w:p>
  </w:footnote>
  <w:footnote w:id="49">
    <w:p>
      <w:pPr>
        <w:spacing w:line="320" w:lineRule="exact"/>
        <w:ind w:right="48" w:rightChars="15"/>
        <w:rPr>
          <w:sz w:val="21"/>
          <w:szCs w:val="21"/>
          <w:shd w:val="clear" w:color="auto" w:fill="FFFFFF"/>
        </w:rPr>
      </w:pPr>
      <w:r>
        <w:rPr>
          <w:rStyle w:val="34"/>
          <w:rFonts w:ascii="仿宋_GB2312" w:hAnsi="Calibri"/>
          <w:sz w:val="21"/>
          <w:szCs w:val="21"/>
          <w:vertAlign w:val="baseline"/>
        </w:rPr>
        <w:footnoteRef/>
      </w:r>
      <w:r>
        <w:rPr>
          <w:rFonts w:hint="eastAsia"/>
          <w:sz w:val="21"/>
          <w:szCs w:val="21"/>
          <w:shd w:val="clear" w:color="auto" w:fill="FFFFFF"/>
        </w:rPr>
        <w:t>重点专科是指县级及以上中医药主管部门公布的重点专科（含区域中医（专科）诊疗中心、中医优势专科），包含历史和建设期的重点中医专科。不含医院确定的重点专科。</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C1A2F"/>
    <w:multiLevelType w:val="multilevel"/>
    <w:tmpl w:val="374C1A2F"/>
    <w:lvl w:ilvl="0" w:tentative="0">
      <w:start w:val="1"/>
      <w:numFmt w:val="japaneseCounting"/>
      <w:pStyle w:val="69"/>
      <w:lvlText w:val="（%1）"/>
      <w:lvlJc w:val="left"/>
      <w:pPr>
        <w:ind w:left="885" w:hanging="885"/>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HorizontalSpacing w:val="165"/>
  <w:drawingGridVerticalSpacing w:val="218"/>
  <w:displayHorizontalDrawingGridEvery w:val="2"/>
  <w:displayVerticalDrawingGridEvery w:val="2"/>
  <w:noPunctuationKerning w:val="1"/>
  <w:characterSpacingControl w:val="compressPunctuation"/>
  <w:footnotePr>
    <w:footnote w:id="100"/>
    <w:footnote w:id="10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3B0115"/>
    <w:rsid w:val="000008A7"/>
    <w:rsid w:val="00001502"/>
    <w:rsid w:val="000028C7"/>
    <w:rsid w:val="00004597"/>
    <w:rsid w:val="0000548C"/>
    <w:rsid w:val="00006EA1"/>
    <w:rsid w:val="00011365"/>
    <w:rsid w:val="00013150"/>
    <w:rsid w:val="0002276E"/>
    <w:rsid w:val="0002400A"/>
    <w:rsid w:val="0002736D"/>
    <w:rsid w:val="00031043"/>
    <w:rsid w:val="00031637"/>
    <w:rsid w:val="00032B00"/>
    <w:rsid w:val="0003417D"/>
    <w:rsid w:val="00035DE1"/>
    <w:rsid w:val="000372AC"/>
    <w:rsid w:val="000405E5"/>
    <w:rsid w:val="00043743"/>
    <w:rsid w:val="00043D5A"/>
    <w:rsid w:val="00045763"/>
    <w:rsid w:val="00046766"/>
    <w:rsid w:val="0005157C"/>
    <w:rsid w:val="00055982"/>
    <w:rsid w:val="00056CEE"/>
    <w:rsid w:val="00060287"/>
    <w:rsid w:val="00060B43"/>
    <w:rsid w:val="00061D1C"/>
    <w:rsid w:val="00062888"/>
    <w:rsid w:val="00065F29"/>
    <w:rsid w:val="000732DD"/>
    <w:rsid w:val="000733B4"/>
    <w:rsid w:val="00074A23"/>
    <w:rsid w:val="00074B9B"/>
    <w:rsid w:val="000760BB"/>
    <w:rsid w:val="00076D60"/>
    <w:rsid w:val="00086D45"/>
    <w:rsid w:val="00087B20"/>
    <w:rsid w:val="00094429"/>
    <w:rsid w:val="0009491F"/>
    <w:rsid w:val="0009580D"/>
    <w:rsid w:val="00097A63"/>
    <w:rsid w:val="000A279B"/>
    <w:rsid w:val="000A3848"/>
    <w:rsid w:val="000A4741"/>
    <w:rsid w:val="000A5708"/>
    <w:rsid w:val="000B1335"/>
    <w:rsid w:val="000B215E"/>
    <w:rsid w:val="000B2D46"/>
    <w:rsid w:val="000B5B46"/>
    <w:rsid w:val="000C3187"/>
    <w:rsid w:val="000C4926"/>
    <w:rsid w:val="000C4EE3"/>
    <w:rsid w:val="000C50BB"/>
    <w:rsid w:val="000C7945"/>
    <w:rsid w:val="000D55DA"/>
    <w:rsid w:val="000D55FD"/>
    <w:rsid w:val="000D780B"/>
    <w:rsid w:val="000E093F"/>
    <w:rsid w:val="000E0EE6"/>
    <w:rsid w:val="000E104D"/>
    <w:rsid w:val="000E7939"/>
    <w:rsid w:val="000F0ECD"/>
    <w:rsid w:val="000F13FB"/>
    <w:rsid w:val="000F18C2"/>
    <w:rsid w:val="000F1E85"/>
    <w:rsid w:val="000F47A5"/>
    <w:rsid w:val="000F56DD"/>
    <w:rsid w:val="000F70BA"/>
    <w:rsid w:val="000F7697"/>
    <w:rsid w:val="000F7B1A"/>
    <w:rsid w:val="0010461E"/>
    <w:rsid w:val="00110838"/>
    <w:rsid w:val="00111B97"/>
    <w:rsid w:val="0011470D"/>
    <w:rsid w:val="00116E17"/>
    <w:rsid w:val="00117BB2"/>
    <w:rsid w:val="001201C9"/>
    <w:rsid w:val="00120D8D"/>
    <w:rsid w:val="00121285"/>
    <w:rsid w:val="00121804"/>
    <w:rsid w:val="00121BFB"/>
    <w:rsid w:val="00121C86"/>
    <w:rsid w:val="001254F0"/>
    <w:rsid w:val="00126C71"/>
    <w:rsid w:val="0013052B"/>
    <w:rsid w:val="00131A3D"/>
    <w:rsid w:val="001326F0"/>
    <w:rsid w:val="001338E4"/>
    <w:rsid w:val="001339F9"/>
    <w:rsid w:val="00136BE8"/>
    <w:rsid w:val="001400CD"/>
    <w:rsid w:val="00141E52"/>
    <w:rsid w:val="00143C9D"/>
    <w:rsid w:val="00144589"/>
    <w:rsid w:val="001451DB"/>
    <w:rsid w:val="00145EFC"/>
    <w:rsid w:val="00147C77"/>
    <w:rsid w:val="00150230"/>
    <w:rsid w:val="00153D19"/>
    <w:rsid w:val="001602CD"/>
    <w:rsid w:val="0016094D"/>
    <w:rsid w:val="00164142"/>
    <w:rsid w:val="00164AAD"/>
    <w:rsid w:val="00164AFF"/>
    <w:rsid w:val="00166F9D"/>
    <w:rsid w:val="00176FB2"/>
    <w:rsid w:val="00177207"/>
    <w:rsid w:val="00177B55"/>
    <w:rsid w:val="00186E5F"/>
    <w:rsid w:val="0019026B"/>
    <w:rsid w:val="0019122A"/>
    <w:rsid w:val="00192817"/>
    <w:rsid w:val="001932BA"/>
    <w:rsid w:val="001939F4"/>
    <w:rsid w:val="001949DA"/>
    <w:rsid w:val="00197B0B"/>
    <w:rsid w:val="001A2946"/>
    <w:rsid w:val="001A2B3E"/>
    <w:rsid w:val="001A2FD2"/>
    <w:rsid w:val="001A3098"/>
    <w:rsid w:val="001A35BE"/>
    <w:rsid w:val="001A51CC"/>
    <w:rsid w:val="001A72E6"/>
    <w:rsid w:val="001B3089"/>
    <w:rsid w:val="001B54A4"/>
    <w:rsid w:val="001B6B65"/>
    <w:rsid w:val="001B71D6"/>
    <w:rsid w:val="001C305D"/>
    <w:rsid w:val="001C563B"/>
    <w:rsid w:val="001D0A45"/>
    <w:rsid w:val="001D0E6B"/>
    <w:rsid w:val="001D3B9D"/>
    <w:rsid w:val="001D5632"/>
    <w:rsid w:val="001D6857"/>
    <w:rsid w:val="001E0CDA"/>
    <w:rsid w:val="001E55C4"/>
    <w:rsid w:val="001E5D5B"/>
    <w:rsid w:val="001F181A"/>
    <w:rsid w:val="001F3D87"/>
    <w:rsid w:val="001F3DD0"/>
    <w:rsid w:val="001F4857"/>
    <w:rsid w:val="00200ED2"/>
    <w:rsid w:val="0020226C"/>
    <w:rsid w:val="00205470"/>
    <w:rsid w:val="002071F0"/>
    <w:rsid w:val="00210A7B"/>
    <w:rsid w:val="00210C13"/>
    <w:rsid w:val="002132A3"/>
    <w:rsid w:val="00221558"/>
    <w:rsid w:val="00222212"/>
    <w:rsid w:val="002223EB"/>
    <w:rsid w:val="00225514"/>
    <w:rsid w:val="002257E2"/>
    <w:rsid w:val="00231144"/>
    <w:rsid w:val="00232520"/>
    <w:rsid w:val="00233C46"/>
    <w:rsid w:val="0023696A"/>
    <w:rsid w:val="0024272F"/>
    <w:rsid w:val="002433F1"/>
    <w:rsid w:val="002437CD"/>
    <w:rsid w:val="00244550"/>
    <w:rsid w:val="002458DD"/>
    <w:rsid w:val="00245F99"/>
    <w:rsid w:val="00247363"/>
    <w:rsid w:val="00250149"/>
    <w:rsid w:val="00250207"/>
    <w:rsid w:val="00250E43"/>
    <w:rsid w:val="002522BF"/>
    <w:rsid w:val="0025345F"/>
    <w:rsid w:val="00253736"/>
    <w:rsid w:val="00264F26"/>
    <w:rsid w:val="00267029"/>
    <w:rsid w:val="002763BC"/>
    <w:rsid w:val="002810BE"/>
    <w:rsid w:val="002902CE"/>
    <w:rsid w:val="00295652"/>
    <w:rsid w:val="00296890"/>
    <w:rsid w:val="002A06B9"/>
    <w:rsid w:val="002A4507"/>
    <w:rsid w:val="002A5A0C"/>
    <w:rsid w:val="002A5B91"/>
    <w:rsid w:val="002A6B72"/>
    <w:rsid w:val="002A73C5"/>
    <w:rsid w:val="002A75D9"/>
    <w:rsid w:val="002B0DE1"/>
    <w:rsid w:val="002B13E7"/>
    <w:rsid w:val="002B1C98"/>
    <w:rsid w:val="002B2114"/>
    <w:rsid w:val="002B23C7"/>
    <w:rsid w:val="002B38EB"/>
    <w:rsid w:val="002B6792"/>
    <w:rsid w:val="002C1FAF"/>
    <w:rsid w:val="002C33B2"/>
    <w:rsid w:val="002C4919"/>
    <w:rsid w:val="002C5C7D"/>
    <w:rsid w:val="002D195D"/>
    <w:rsid w:val="002D1985"/>
    <w:rsid w:val="002D3F65"/>
    <w:rsid w:val="002D77C2"/>
    <w:rsid w:val="002E0F72"/>
    <w:rsid w:val="002E1C3A"/>
    <w:rsid w:val="002E375C"/>
    <w:rsid w:val="002E3B46"/>
    <w:rsid w:val="002E3DB6"/>
    <w:rsid w:val="002E44F7"/>
    <w:rsid w:val="002E56CD"/>
    <w:rsid w:val="002E7FC3"/>
    <w:rsid w:val="002F1DFD"/>
    <w:rsid w:val="002F5C6C"/>
    <w:rsid w:val="002F796D"/>
    <w:rsid w:val="003010CC"/>
    <w:rsid w:val="00304E77"/>
    <w:rsid w:val="00311576"/>
    <w:rsid w:val="003139BD"/>
    <w:rsid w:val="0031585B"/>
    <w:rsid w:val="003211FA"/>
    <w:rsid w:val="00321AF1"/>
    <w:rsid w:val="003236F2"/>
    <w:rsid w:val="003245B6"/>
    <w:rsid w:val="00324A25"/>
    <w:rsid w:val="00325A23"/>
    <w:rsid w:val="00330AAD"/>
    <w:rsid w:val="003358D2"/>
    <w:rsid w:val="0033601F"/>
    <w:rsid w:val="0033618C"/>
    <w:rsid w:val="0034416C"/>
    <w:rsid w:val="00347658"/>
    <w:rsid w:val="00350035"/>
    <w:rsid w:val="00350A95"/>
    <w:rsid w:val="00350C35"/>
    <w:rsid w:val="00350E6A"/>
    <w:rsid w:val="003513D0"/>
    <w:rsid w:val="00351505"/>
    <w:rsid w:val="0035165C"/>
    <w:rsid w:val="00355993"/>
    <w:rsid w:val="003600D1"/>
    <w:rsid w:val="003622F5"/>
    <w:rsid w:val="00362601"/>
    <w:rsid w:val="00363495"/>
    <w:rsid w:val="0037033D"/>
    <w:rsid w:val="003755E6"/>
    <w:rsid w:val="00375E54"/>
    <w:rsid w:val="00381584"/>
    <w:rsid w:val="00383313"/>
    <w:rsid w:val="0038669F"/>
    <w:rsid w:val="00387ECD"/>
    <w:rsid w:val="003900F8"/>
    <w:rsid w:val="00390F7E"/>
    <w:rsid w:val="00391790"/>
    <w:rsid w:val="003962E9"/>
    <w:rsid w:val="0039652D"/>
    <w:rsid w:val="00396DF6"/>
    <w:rsid w:val="00397371"/>
    <w:rsid w:val="00397DF9"/>
    <w:rsid w:val="003A0FAD"/>
    <w:rsid w:val="003A170C"/>
    <w:rsid w:val="003A4072"/>
    <w:rsid w:val="003A425E"/>
    <w:rsid w:val="003A64C6"/>
    <w:rsid w:val="003A6926"/>
    <w:rsid w:val="003A7EDF"/>
    <w:rsid w:val="003B0115"/>
    <w:rsid w:val="003B280C"/>
    <w:rsid w:val="003B2E79"/>
    <w:rsid w:val="003B3843"/>
    <w:rsid w:val="003B4A8A"/>
    <w:rsid w:val="003B678E"/>
    <w:rsid w:val="003B722B"/>
    <w:rsid w:val="003C399A"/>
    <w:rsid w:val="003C3C8B"/>
    <w:rsid w:val="003C484A"/>
    <w:rsid w:val="003C57A1"/>
    <w:rsid w:val="003C64E8"/>
    <w:rsid w:val="003C7149"/>
    <w:rsid w:val="003C7B5E"/>
    <w:rsid w:val="003D0342"/>
    <w:rsid w:val="003D19D9"/>
    <w:rsid w:val="003D3924"/>
    <w:rsid w:val="003D3A60"/>
    <w:rsid w:val="003D4C84"/>
    <w:rsid w:val="003E003E"/>
    <w:rsid w:val="003E15D9"/>
    <w:rsid w:val="003E3683"/>
    <w:rsid w:val="003E7271"/>
    <w:rsid w:val="003F060D"/>
    <w:rsid w:val="003F1D4C"/>
    <w:rsid w:val="003F5BBD"/>
    <w:rsid w:val="00402EB6"/>
    <w:rsid w:val="0040725E"/>
    <w:rsid w:val="00407407"/>
    <w:rsid w:val="00416B89"/>
    <w:rsid w:val="00416E4B"/>
    <w:rsid w:val="004172F4"/>
    <w:rsid w:val="004219E0"/>
    <w:rsid w:val="004227E4"/>
    <w:rsid w:val="00424252"/>
    <w:rsid w:val="00431290"/>
    <w:rsid w:val="00431AC6"/>
    <w:rsid w:val="004331BE"/>
    <w:rsid w:val="00435B92"/>
    <w:rsid w:val="0043653F"/>
    <w:rsid w:val="00440A78"/>
    <w:rsid w:val="0044258E"/>
    <w:rsid w:val="00446633"/>
    <w:rsid w:val="004473D4"/>
    <w:rsid w:val="00447C24"/>
    <w:rsid w:val="0045059F"/>
    <w:rsid w:val="00452FED"/>
    <w:rsid w:val="00453112"/>
    <w:rsid w:val="00455CA6"/>
    <w:rsid w:val="00456AE3"/>
    <w:rsid w:val="00460B95"/>
    <w:rsid w:val="00462AB9"/>
    <w:rsid w:val="0046415C"/>
    <w:rsid w:val="00465241"/>
    <w:rsid w:val="00465BA7"/>
    <w:rsid w:val="00466052"/>
    <w:rsid w:val="00470D91"/>
    <w:rsid w:val="00471B59"/>
    <w:rsid w:val="00471DD7"/>
    <w:rsid w:val="00471DFF"/>
    <w:rsid w:val="00473817"/>
    <w:rsid w:val="0047396A"/>
    <w:rsid w:val="00473BA7"/>
    <w:rsid w:val="00474A23"/>
    <w:rsid w:val="00475AE5"/>
    <w:rsid w:val="00477152"/>
    <w:rsid w:val="0047726D"/>
    <w:rsid w:val="004816B5"/>
    <w:rsid w:val="004830B7"/>
    <w:rsid w:val="0048342B"/>
    <w:rsid w:val="004834C1"/>
    <w:rsid w:val="00485BE7"/>
    <w:rsid w:val="00486316"/>
    <w:rsid w:val="0048669E"/>
    <w:rsid w:val="00486DF3"/>
    <w:rsid w:val="00486FFA"/>
    <w:rsid w:val="004916E2"/>
    <w:rsid w:val="00492F3B"/>
    <w:rsid w:val="004950F6"/>
    <w:rsid w:val="00495363"/>
    <w:rsid w:val="00495642"/>
    <w:rsid w:val="00496408"/>
    <w:rsid w:val="004A0A00"/>
    <w:rsid w:val="004A16CD"/>
    <w:rsid w:val="004A203B"/>
    <w:rsid w:val="004A475F"/>
    <w:rsid w:val="004B27E7"/>
    <w:rsid w:val="004B39D4"/>
    <w:rsid w:val="004B77F8"/>
    <w:rsid w:val="004C1059"/>
    <w:rsid w:val="004C10EC"/>
    <w:rsid w:val="004C1942"/>
    <w:rsid w:val="004C6B2F"/>
    <w:rsid w:val="004C6F36"/>
    <w:rsid w:val="004D07AC"/>
    <w:rsid w:val="004D0B6F"/>
    <w:rsid w:val="004D2321"/>
    <w:rsid w:val="004D2D04"/>
    <w:rsid w:val="004D413C"/>
    <w:rsid w:val="004D430D"/>
    <w:rsid w:val="004D5BD6"/>
    <w:rsid w:val="004D67E1"/>
    <w:rsid w:val="004D73EE"/>
    <w:rsid w:val="004E2394"/>
    <w:rsid w:val="004E27C8"/>
    <w:rsid w:val="004E2E82"/>
    <w:rsid w:val="004E3AC4"/>
    <w:rsid w:val="004E4A15"/>
    <w:rsid w:val="004E5A4B"/>
    <w:rsid w:val="004E604E"/>
    <w:rsid w:val="004E63B1"/>
    <w:rsid w:val="004E6986"/>
    <w:rsid w:val="004E6D80"/>
    <w:rsid w:val="004E79DA"/>
    <w:rsid w:val="004F02B0"/>
    <w:rsid w:val="004F5691"/>
    <w:rsid w:val="004F6AFB"/>
    <w:rsid w:val="004F7D30"/>
    <w:rsid w:val="00500596"/>
    <w:rsid w:val="0050126B"/>
    <w:rsid w:val="00501AE6"/>
    <w:rsid w:val="00502C6F"/>
    <w:rsid w:val="0050327B"/>
    <w:rsid w:val="005038DE"/>
    <w:rsid w:val="00503E3E"/>
    <w:rsid w:val="00504489"/>
    <w:rsid w:val="0050694C"/>
    <w:rsid w:val="00513A54"/>
    <w:rsid w:val="00516C07"/>
    <w:rsid w:val="00517843"/>
    <w:rsid w:val="005201BE"/>
    <w:rsid w:val="0052072F"/>
    <w:rsid w:val="00521CD7"/>
    <w:rsid w:val="00522076"/>
    <w:rsid w:val="00523632"/>
    <w:rsid w:val="005244A6"/>
    <w:rsid w:val="00524802"/>
    <w:rsid w:val="00525B16"/>
    <w:rsid w:val="00526D1D"/>
    <w:rsid w:val="005300F1"/>
    <w:rsid w:val="00533780"/>
    <w:rsid w:val="005346EA"/>
    <w:rsid w:val="0053499E"/>
    <w:rsid w:val="0053786B"/>
    <w:rsid w:val="00537986"/>
    <w:rsid w:val="005408D8"/>
    <w:rsid w:val="00541254"/>
    <w:rsid w:val="00542326"/>
    <w:rsid w:val="005443B5"/>
    <w:rsid w:val="005456E5"/>
    <w:rsid w:val="00547F6B"/>
    <w:rsid w:val="00555BA2"/>
    <w:rsid w:val="00557E8E"/>
    <w:rsid w:val="00564573"/>
    <w:rsid w:val="00564793"/>
    <w:rsid w:val="00564AE7"/>
    <w:rsid w:val="00565106"/>
    <w:rsid w:val="00567D0F"/>
    <w:rsid w:val="005720C0"/>
    <w:rsid w:val="005722BC"/>
    <w:rsid w:val="00575C3A"/>
    <w:rsid w:val="00580FD5"/>
    <w:rsid w:val="005822BF"/>
    <w:rsid w:val="00582F32"/>
    <w:rsid w:val="00587777"/>
    <w:rsid w:val="00587899"/>
    <w:rsid w:val="00590D11"/>
    <w:rsid w:val="00592DF2"/>
    <w:rsid w:val="0059454B"/>
    <w:rsid w:val="00594892"/>
    <w:rsid w:val="00595472"/>
    <w:rsid w:val="0059571E"/>
    <w:rsid w:val="005A460A"/>
    <w:rsid w:val="005A5AE1"/>
    <w:rsid w:val="005A6027"/>
    <w:rsid w:val="005A66D0"/>
    <w:rsid w:val="005A719B"/>
    <w:rsid w:val="005B0059"/>
    <w:rsid w:val="005B05A2"/>
    <w:rsid w:val="005B179F"/>
    <w:rsid w:val="005B25D9"/>
    <w:rsid w:val="005B3767"/>
    <w:rsid w:val="005C4DE2"/>
    <w:rsid w:val="005C55F6"/>
    <w:rsid w:val="005C7FAB"/>
    <w:rsid w:val="005D7F83"/>
    <w:rsid w:val="005E008C"/>
    <w:rsid w:val="005E2002"/>
    <w:rsid w:val="005E2FD3"/>
    <w:rsid w:val="005E3106"/>
    <w:rsid w:val="005E3234"/>
    <w:rsid w:val="005E4401"/>
    <w:rsid w:val="005F2707"/>
    <w:rsid w:val="005F3301"/>
    <w:rsid w:val="005F68FF"/>
    <w:rsid w:val="00600DC5"/>
    <w:rsid w:val="00601224"/>
    <w:rsid w:val="00606C85"/>
    <w:rsid w:val="006104FD"/>
    <w:rsid w:val="00611392"/>
    <w:rsid w:val="00612A4A"/>
    <w:rsid w:val="00617CC0"/>
    <w:rsid w:val="006213A2"/>
    <w:rsid w:val="00621AD7"/>
    <w:rsid w:val="00622DC6"/>
    <w:rsid w:val="00623395"/>
    <w:rsid w:val="00624B5D"/>
    <w:rsid w:val="00627DAA"/>
    <w:rsid w:val="0063240F"/>
    <w:rsid w:val="00633256"/>
    <w:rsid w:val="00636C19"/>
    <w:rsid w:val="00640794"/>
    <w:rsid w:val="00641CEA"/>
    <w:rsid w:val="0064524F"/>
    <w:rsid w:val="00645471"/>
    <w:rsid w:val="00646794"/>
    <w:rsid w:val="00646E65"/>
    <w:rsid w:val="006472B2"/>
    <w:rsid w:val="006474F3"/>
    <w:rsid w:val="00647DF7"/>
    <w:rsid w:val="006505F5"/>
    <w:rsid w:val="006546BE"/>
    <w:rsid w:val="006555C5"/>
    <w:rsid w:val="006567ED"/>
    <w:rsid w:val="006577EB"/>
    <w:rsid w:val="0066233B"/>
    <w:rsid w:val="006660FC"/>
    <w:rsid w:val="00666111"/>
    <w:rsid w:val="006702C8"/>
    <w:rsid w:val="006728B6"/>
    <w:rsid w:val="006740AD"/>
    <w:rsid w:val="00683B39"/>
    <w:rsid w:val="00691345"/>
    <w:rsid w:val="0069187A"/>
    <w:rsid w:val="00691FA2"/>
    <w:rsid w:val="00693EA1"/>
    <w:rsid w:val="00693EDE"/>
    <w:rsid w:val="00693EE2"/>
    <w:rsid w:val="006943E8"/>
    <w:rsid w:val="00695EE1"/>
    <w:rsid w:val="006A123C"/>
    <w:rsid w:val="006A743D"/>
    <w:rsid w:val="006A7602"/>
    <w:rsid w:val="006B10CB"/>
    <w:rsid w:val="006B506F"/>
    <w:rsid w:val="006B7CD9"/>
    <w:rsid w:val="006C0093"/>
    <w:rsid w:val="006C35D8"/>
    <w:rsid w:val="006C62C8"/>
    <w:rsid w:val="006C6D46"/>
    <w:rsid w:val="006C6FE6"/>
    <w:rsid w:val="006D072F"/>
    <w:rsid w:val="006D1F26"/>
    <w:rsid w:val="006D2AE5"/>
    <w:rsid w:val="006D2B17"/>
    <w:rsid w:val="006D2EA5"/>
    <w:rsid w:val="006D34C3"/>
    <w:rsid w:val="006D428A"/>
    <w:rsid w:val="006D4E1F"/>
    <w:rsid w:val="006D5313"/>
    <w:rsid w:val="006E089A"/>
    <w:rsid w:val="006E308A"/>
    <w:rsid w:val="006E5C1D"/>
    <w:rsid w:val="006F3B75"/>
    <w:rsid w:val="006F5BC3"/>
    <w:rsid w:val="00703F1B"/>
    <w:rsid w:val="00707675"/>
    <w:rsid w:val="007077A9"/>
    <w:rsid w:val="00711927"/>
    <w:rsid w:val="00712F14"/>
    <w:rsid w:val="0072289E"/>
    <w:rsid w:val="00722E73"/>
    <w:rsid w:val="00723944"/>
    <w:rsid w:val="00723EBE"/>
    <w:rsid w:val="0072479D"/>
    <w:rsid w:val="007247D8"/>
    <w:rsid w:val="00725C4B"/>
    <w:rsid w:val="00734F29"/>
    <w:rsid w:val="0073536F"/>
    <w:rsid w:val="007371A6"/>
    <w:rsid w:val="00737E3E"/>
    <w:rsid w:val="00750EFF"/>
    <w:rsid w:val="007524A5"/>
    <w:rsid w:val="007578EC"/>
    <w:rsid w:val="00763115"/>
    <w:rsid w:val="00765032"/>
    <w:rsid w:val="007674B0"/>
    <w:rsid w:val="00767AFF"/>
    <w:rsid w:val="007705CC"/>
    <w:rsid w:val="007706D1"/>
    <w:rsid w:val="00770A51"/>
    <w:rsid w:val="00770D8C"/>
    <w:rsid w:val="00771CF5"/>
    <w:rsid w:val="00776051"/>
    <w:rsid w:val="0077737C"/>
    <w:rsid w:val="00777F09"/>
    <w:rsid w:val="0078050A"/>
    <w:rsid w:val="0078070C"/>
    <w:rsid w:val="00782B9A"/>
    <w:rsid w:val="00783123"/>
    <w:rsid w:val="00783F4F"/>
    <w:rsid w:val="007852B1"/>
    <w:rsid w:val="007862E8"/>
    <w:rsid w:val="00791139"/>
    <w:rsid w:val="00792DA9"/>
    <w:rsid w:val="00793113"/>
    <w:rsid w:val="007935C3"/>
    <w:rsid w:val="007948C6"/>
    <w:rsid w:val="007962D9"/>
    <w:rsid w:val="007A05A0"/>
    <w:rsid w:val="007A0BB1"/>
    <w:rsid w:val="007B0059"/>
    <w:rsid w:val="007B04F4"/>
    <w:rsid w:val="007B2A60"/>
    <w:rsid w:val="007B4FCC"/>
    <w:rsid w:val="007B6AC2"/>
    <w:rsid w:val="007B7EB6"/>
    <w:rsid w:val="007C0B90"/>
    <w:rsid w:val="007C3124"/>
    <w:rsid w:val="007C38A9"/>
    <w:rsid w:val="007C5B65"/>
    <w:rsid w:val="007C6092"/>
    <w:rsid w:val="007C67E1"/>
    <w:rsid w:val="007D167B"/>
    <w:rsid w:val="007D2DCF"/>
    <w:rsid w:val="007D4CBD"/>
    <w:rsid w:val="007D6222"/>
    <w:rsid w:val="007E03CA"/>
    <w:rsid w:val="007E06FC"/>
    <w:rsid w:val="007E2462"/>
    <w:rsid w:val="007E2F0C"/>
    <w:rsid w:val="007E4D0E"/>
    <w:rsid w:val="007E575B"/>
    <w:rsid w:val="007E6F55"/>
    <w:rsid w:val="007E75CD"/>
    <w:rsid w:val="007E7F37"/>
    <w:rsid w:val="007F01AF"/>
    <w:rsid w:val="007F5BD3"/>
    <w:rsid w:val="007F6DF9"/>
    <w:rsid w:val="0080065F"/>
    <w:rsid w:val="0080085B"/>
    <w:rsid w:val="00800F4C"/>
    <w:rsid w:val="008013EB"/>
    <w:rsid w:val="00802B10"/>
    <w:rsid w:val="0080653B"/>
    <w:rsid w:val="00810709"/>
    <w:rsid w:val="00810921"/>
    <w:rsid w:val="00811A84"/>
    <w:rsid w:val="0081208C"/>
    <w:rsid w:val="008120F6"/>
    <w:rsid w:val="0081222A"/>
    <w:rsid w:val="00813205"/>
    <w:rsid w:val="00815A71"/>
    <w:rsid w:val="00823382"/>
    <w:rsid w:val="008248F4"/>
    <w:rsid w:val="00830454"/>
    <w:rsid w:val="00830D54"/>
    <w:rsid w:val="0084083E"/>
    <w:rsid w:val="0084365C"/>
    <w:rsid w:val="00844A6D"/>
    <w:rsid w:val="008462B6"/>
    <w:rsid w:val="00847783"/>
    <w:rsid w:val="00850A33"/>
    <w:rsid w:val="00851131"/>
    <w:rsid w:val="008519D4"/>
    <w:rsid w:val="00851BDE"/>
    <w:rsid w:val="008564E7"/>
    <w:rsid w:val="00860E88"/>
    <w:rsid w:val="00861AC0"/>
    <w:rsid w:val="00862F66"/>
    <w:rsid w:val="00865BA9"/>
    <w:rsid w:val="008706D4"/>
    <w:rsid w:val="0087334E"/>
    <w:rsid w:val="008735E2"/>
    <w:rsid w:val="00874EAD"/>
    <w:rsid w:val="0087502E"/>
    <w:rsid w:val="00876104"/>
    <w:rsid w:val="008769FB"/>
    <w:rsid w:val="00876DEF"/>
    <w:rsid w:val="008777D4"/>
    <w:rsid w:val="00881EF9"/>
    <w:rsid w:val="008844A8"/>
    <w:rsid w:val="008853E3"/>
    <w:rsid w:val="00885EA2"/>
    <w:rsid w:val="008865BF"/>
    <w:rsid w:val="008878CA"/>
    <w:rsid w:val="00891879"/>
    <w:rsid w:val="008947E2"/>
    <w:rsid w:val="008949B0"/>
    <w:rsid w:val="00896AE6"/>
    <w:rsid w:val="008A0E34"/>
    <w:rsid w:val="008A0EDA"/>
    <w:rsid w:val="008A1E12"/>
    <w:rsid w:val="008A2BDE"/>
    <w:rsid w:val="008A567E"/>
    <w:rsid w:val="008A618C"/>
    <w:rsid w:val="008A6223"/>
    <w:rsid w:val="008A6FDB"/>
    <w:rsid w:val="008B1280"/>
    <w:rsid w:val="008B162B"/>
    <w:rsid w:val="008B2D45"/>
    <w:rsid w:val="008B3D92"/>
    <w:rsid w:val="008B42F0"/>
    <w:rsid w:val="008B4478"/>
    <w:rsid w:val="008B4D00"/>
    <w:rsid w:val="008B51BB"/>
    <w:rsid w:val="008B5C72"/>
    <w:rsid w:val="008B681F"/>
    <w:rsid w:val="008B6826"/>
    <w:rsid w:val="008B733D"/>
    <w:rsid w:val="008B7BCE"/>
    <w:rsid w:val="008C0E1D"/>
    <w:rsid w:val="008C1164"/>
    <w:rsid w:val="008C2B4E"/>
    <w:rsid w:val="008C62EC"/>
    <w:rsid w:val="008C6468"/>
    <w:rsid w:val="008D2448"/>
    <w:rsid w:val="008D3A81"/>
    <w:rsid w:val="008D7301"/>
    <w:rsid w:val="008E2F8F"/>
    <w:rsid w:val="008E41FF"/>
    <w:rsid w:val="008E5D5F"/>
    <w:rsid w:val="008F22B6"/>
    <w:rsid w:val="008F4971"/>
    <w:rsid w:val="008F62AD"/>
    <w:rsid w:val="008F687E"/>
    <w:rsid w:val="008F7ED2"/>
    <w:rsid w:val="00903C7E"/>
    <w:rsid w:val="00904502"/>
    <w:rsid w:val="009061B4"/>
    <w:rsid w:val="00910BD5"/>
    <w:rsid w:val="00911753"/>
    <w:rsid w:val="00912BFB"/>
    <w:rsid w:val="00912E9A"/>
    <w:rsid w:val="00913B1C"/>
    <w:rsid w:val="00914E35"/>
    <w:rsid w:val="00916579"/>
    <w:rsid w:val="00916C71"/>
    <w:rsid w:val="009170D8"/>
    <w:rsid w:val="00917DDB"/>
    <w:rsid w:val="009210E1"/>
    <w:rsid w:val="00926444"/>
    <w:rsid w:val="009269F5"/>
    <w:rsid w:val="00930411"/>
    <w:rsid w:val="0093190B"/>
    <w:rsid w:val="0093391E"/>
    <w:rsid w:val="00935F6C"/>
    <w:rsid w:val="00936F04"/>
    <w:rsid w:val="0093717C"/>
    <w:rsid w:val="009408C9"/>
    <w:rsid w:val="00941094"/>
    <w:rsid w:val="00942BCA"/>
    <w:rsid w:val="00943985"/>
    <w:rsid w:val="00943FA2"/>
    <w:rsid w:val="00944484"/>
    <w:rsid w:val="00945069"/>
    <w:rsid w:val="009463A0"/>
    <w:rsid w:val="00952C27"/>
    <w:rsid w:val="00953030"/>
    <w:rsid w:val="00957C49"/>
    <w:rsid w:val="0096217A"/>
    <w:rsid w:val="009622D5"/>
    <w:rsid w:val="0096493A"/>
    <w:rsid w:val="00970D1E"/>
    <w:rsid w:val="009736A4"/>
    <w:rsid w:val="0097450A"/>
    <w:rsid w:val="00977FFE"/>
    <w:rsid w:val="00980AAD"/>
    <w:rsid w:val="00980FC4"/>
    <w:rsid w:val="00983776"/>
    <w:rsid w:val="00984F9C"/>
    <w:rsid w:val="009856CE"/>
    <w:rsid w:val="009860C7"/>
    <w:rsid w:val="00992350"/>
    <w:rsid w:val="00993E5A"/>
    <w:rsid w:val="00994027"/>
    <w:rsid w:val="00994836"/>
    <w:rsid w:val="009948F9"/>
    <w:rsid w:val="00995540"/>
    <w:rsid w:val="00997F36"/>
    <w:rsid w:val="009A3BDF"/>
    <w:rsid w:val="009A753A"/>
    <w:rsid w:val="009A75BB"/>
    <w:rsid w:val="009B0626"/>
    <w:rsid w:val="009B1318"/>
    <w:rsid w:val="009B1E4F"/>
    <w:rsid w:val="009B240F"/>
    <w:rsid w:val="009B2B6A"/>
    <w:rsid w:val="009B2E61"/>
    <w:rsid w:val="009B4370"/>
    <w:rsid w:val="009B7A0D"/>
    <w:rsid w:val="009C044F"/>
    <w:rsid w:val="009C70F6"/>
    <w:rsid w:val="009D0DEE"/>
    <w:rsid w:val="009D21A8"/>
    <w:rsid w:val="009D3AE6"/>
    <w:rsid w:val="009D442B"/>
    <w:rsid w:val="009E00C5"/>
    <w:rsid w:val="009E303D"/>
    <w:rsid w:val="009E3227"/>
    <w:rsid w:val="009E434F"/>
    <w:rsid w:val="009E4FDB"/>
    <w:rsid w:val="009E6A35"/>
    <w:rsid w:val="009E6BE8"/>
    <w:rsid w:val="009E7C1C"/>
    <w:rsid w:val="009E7F5D"/>
    <w:rsid w:val="009F1883"/>
    <w:rsid w:val="009F2320"/>
    <w:rsid w:val="009F24C5"/>
    <w:rsid w:val="009F2A11"/>
    <w:rsid w:val="009F3A52"/>
    <w:rsid w:val="009F68E1"/>
    <w:rsid w:val="009F69B3"/>
    <w:rsid w:val="00A05F7D"/>
    <w:rsid w:val="00A103DA"/>
    <w:rsid w:val="00A11656"/>
    <w:rsid w:val="00A1630D"/>
    <w:rsid w:val="00A16EFD"/>
    <w:rsid w:val="00A179ED"/>
    <w:rsid w:val="00A208C8"/>
    <w:rsid w:val="00A21AA5"/>
    <w:rsid w:val="00A22A0C"/>
    <w:rsid w:val="00A2545E"/>
    <w:rsid w:val="00A25A48"/>
    <w:rsid w:val="00A26053"/>
    <w:rsid w:val="00A30188"/>
    <w:rsid w:val="00A34DC6"/>
    <w:rsid w:val="00A40362"/>
    <w:rsid w:val="00A40433"/>
    <w:rsid w:val="00A42CAA"/>
    <w:rsid w:val="00A42D08"/>
    <w:rsid w:val="00A4723A"/>
    <w:rsid w:val="00A50015"/>
    <w:rsid w:val="00A51004"/>
    <w:rsid w:val="00A51AFC"/>
    <w:rsid w:val="00A51EDC"/>
    <w:rsid w:val="00A53FD2"/>
    <w:rsid w:val="00A57FCE"/>
    <w:rsid w:val="00A60B0D"/>
    <w:rsid w:val="00A62889"/>
    <w:rsid w:val="00A62C20"/>
    <w:rsid w:val="00A63781"/>
    <w:rsid w:val="00A63E06"/>
    <w:rsid w:val="00A658B1"/>
    <w:rsid w:val="00A661C2"/>
    <w:rsid w:val="00A667DD"/>
    <w:rsid w:val="00A66CDD"/>
    <w:rsid w:val="00A723AE"/>
    <w:rsid w:val="00A72451"/>
    <w:rsid w:val="00A76999"/>
    <w:rsid w:val="00A83F73"/>
    <w:rsid w:val="00A83FD5"/>
    <w:rsid w:val="00A84102"/>
    <w:rsid w:val="00A8417B"/>
    <w:rsid w:val="00A8451C"/>
    <w:rsid w:val="00A92557"/>
    <w:rsid w:val="00A9379F"/>
    <w:rsid w:val="00A93EB7"/>
    <w:rsid w:val="00A96BD3"/>
    <w:rsid w:val="00AA1839"/>
    <w:rsid w:val="00AA1A8E"/>
    <w:rsid w:val="00AA1E98"/>
    <w:rsid w:val="00AA2388"/>
    <w:rsid w:val="00AA3DFE"/>
    <w:rsid w:val="00AA490C"/>
    <w:rsid w:val="00AA5CC6"/>
    <w:rsid w:val="00AA64E9"/>
    <w:rsid w:val="00AA6671"/>
    <w:rsid w:val="00AB01C8"/>
    <w:rsid w:val="00AB10C5"/>
    <w:rsid w:val="00AB156D"/>
    <w:rsid w:val="00AB4187"/>
    <w:rsid w:val="00AB493F"/>
    <w:rsid w:val="00AB646F"/>
    <w:rsid w:val="00AB7CF0"/>
    <w:rsid w:val="00AC1738"/>
    <w:rsid w:val="00AC3140"/>
    <w:rsid w:val="00AC40FC"/>
    <w:rsid w:val="00AC42E8"/>
    <w:rsid w:val="00AC4AC2"/>
    <w:rsid w:val="00AC5BB5"/>
    <w:rsid w:val="00AD00D9"/>
    <w:rsid w:val="00AD136D"/>
    <w:rsid w:val="00AD248B"/>
    <w:rsid w:val="00AD279B"/>
    <w:rsid w:val="00AD2996"/>
    <w:rsid w:val="00AD39A2"/>
    <w:rsid w:val="00AD42AA"/>
    <w:rsid w:val="00AD654C"/>
    <w:rsid w:val="00AE52B6"/>
    <w:rsid w:val="00AE5455"/>
    <w:rsid w:val="00AE6351"/>
    <w:rsid w:val="00AF052B"/>
    <w:rsid w:val="00AF0626"/>
    <w:rsid w:val="00AF0B2B"/>
    <w:rsid w:val="00AF12DC"/>
    <w:rsid w:val="00AF4C30"/>
    <w:rsid w:val="00AF6106"/>
    <w:rsid w:val="00AF7DD5"/>
    <w:rsid w:val="00B040C9"/>
    <w:rsid w:val="00B05FAD"/>
    <w:rsid w:val="00B06CE5"/>
    <w:rsid w:val="00B07A0A"/>
    <w:rsid w:val="00B07BF9"/>
    <w:rsid w:val="00B10B9D"/>
    <w:rsid w:val="00B120CD"/>
    <w:rsid w:val="00B13CFF"/>
    <w:rsid w:val="00B14B7B"/>
    <w:rsid w:val="00B16473"/>
    <w:rsid w:val="00B2089C"/>
    <w:rsid w:val="00B216FF"/>
    <w:rsid w:val="00B22E31"/>
    <w:rsid w:val="00B27693"/>
    <w:rsid w:val="00B30426"/>
    <w:rsid w:val="00B308EB"/>
    <w:rsid w:val="00B32469"/>
    <w:rsid w:val="00B328F7"/>
    <w:rsid w:val="00B35E51"/>
    <w:rsid w:val="00B37167"/>
    <w:rsid w:val="00B4095C"/>
    <w:rsid w:val="00B422AA"/>
    <w:rsid w:val="00B43ABF"/>
    <w:rsid w:val="00B45050"/>
    <w:rsid w:val="00B45234"/>
    <w:rsid w:val="00B452B6"/>
    <w:rsid w:val="00B45AD6"/>
    <w:rsid w:val="00B46BFA"/>
    <w:rsid w:val="00B472A7"/>
    <w:rsid w:val="00B47B69"/>
    <w:rsid w:val="00B51196"/>
    <w:rsid w:val="00B513EB"/>
    <w:rsid w:val="00B52B31"/>
    <w:rsid w:val="00B53436"/>
    <w:rsid w:val="00B57A0C"/>
    <w:rsid w:val="00B57D19"/>
    <w:rsid w:val="00B614FA"/>
    <w:rsid w:val="00B71536"/>
    <w:rsid w:val="00B8009E"/>
    <w:rsid w:val="00B820FB"/>
    <w:rsid w:val="00B82FE5"/>
    <w:rsid w:val="00B83E81"/>
    <w:rsid w:val="00B847D9"/>
    <w:rsid w:val="00B857E5"/>
    <w:rsid w:val="00B912E2"/>
    <w:rsid w:val="00B916C4"/>
    <w:rsid w:val="00B93F2E"/>
    <w:rsid w:val="00B94424"/>
    <w:rsid w:val="00B94AB3"/>
    <w:rsid w:val="00B95B67"/>
    <w:rsid w:val="00B96811"/>
    <w:rsid w:val="00BA181F"/>
    <w:rsid w:val="00BA2FC0"/>
    <w:rsid w:val="00BA7578"/>
    <w:rsid w:val="00BB27EB"/>
    <w:rsid w:val="00BB4B83"/>
    <w:rsid w:val="00BC24E5"/>
    <w:rsid w:val="00BC6CC2"/>
    <w:rsid w:val="00BD12BC"/>
    <w:rsid w:val="00BD1D15"/>
    <w:rsid w:val="00BD2881"/>
    <w:rsid w:val="00BD2ECC"/>
    <w:rsid w:val="00BD7956"/>
    <w:rsid w:val="00BD7A3A"/>
    <w:rsid w:val="00BE0E62"/>
    <w:rsid w:val="00BE0F51"/>
    <w:rsid w:val="00BE16B3"/>
    <w:rsid w:val="00BE1985"/>
    <w:rsid w:val="00BE1A95"/>
    <w:rsid w:val="00BE63AE"/>
    <w:rsid w:val="00BF0470"/>
    <w:rsid w:val="00BF06A0"/>
    <w:rsid w:val="00BF3147"/>
    <w:rsid w:val="00BF383A"/>
    <w:rsid w:val="00BF5A82"/>
    <w:rsid w:val="00BF6E20"/>
    <w:rsid w:val="00C02C5C"/>
    <w:rsid w:val="00C07CA8"/>
    <w:rsid w:val="00C11166"/>
    <w:rsid w:val="00C11352"/>
    <w:rsid w:val="00C11FEE"/>
    <w:rsid w:val="00C12BCE"/>
    <w:rsid w:val="00C13895"/>
    <w:rsid w:val="00C13EF4"/>
    <w:rsid w:val="00C17B82"/>
    <w:rsid w:val="00C2144F"/>
    <w:rsid w:val="00C248ED"/>
    <w:rsid w:val="00C313FB"/>
    <w:rsid w:val="00C343C6"/>
    <w:rsid w:val="00C35336"/>
    <w:rsid w:val="00C374CE"/>
    <w:rsid w:val="00C41923"/>
    <w:rsid w:val="00C4235B"/>
    <w:rsid w:val="00C424A9"/>
    <w:rsid w:val="00C4748F"/>
    <w:rsid w:val="00C50D53"/>
    <w:rsid w:val="00C529AB"/>
    <w:rsid w:val="00C563A8"/>
    <w:rsid w:val="00C56E66"/>
    <w:rsid w:val="00C607D1"/>
    <w:rsid w:val="00C630C0"/>
    <w:rsid w:val="00C65C50"/>
    <w:rsid w:val="00C670A9"/>
    <w:rsid w:val="00C70458"/>
    <w:rsid w:val="00C70A44"/>
    <w:rsid w:val="00C72A52"/>
    <w:rsid w:val="00C72F9E"/>
    <w:rsid w:val="00C7354E"/>
    <w:rsid w:val="00C74221"/>
    <w:rsid w:val="00C75D83"/>
    <w:rsid w:val="00C75F79"/>
    <w:rsid w:val="00C7641A"/>
    <w:rsid w:val="00C76896"/>
    <w:rsid w:val="00C76E6A"/>
    <w:rsid w:val="00C77A5A"/>
    <w:rsid w:val="00C82947"/>
    <w:rsid w:val="00C9027D"/>
    <w:rsid w:val="00C90CB1"/>
    <w:rsid w:val="00C90EA6"/>
    <w:rsid w:val="00C9211C"/>
    <w:rsid w:val="00C922B3"/>
    <w:rsid w:val="00C925A3"/>
    <w:rsid w:val="00C9347C"/>
    <w:rsid w:val="00C93EBD"/>
    <w:rsid w:val="00C941D0"/>
    <w:rsid w:val="00C941E6"/>
    <w:rsid w:val="00C94713"/>
    <w:rsid w:val="00C94F0E"/>
    <w:rsid w:val="00C961B0"/>
    <w:rsid w:val="00C969E8"/>
    <w:rsid w:val="00CA163A"/>
    <w:rsid w:val="00CA2180"/>
    <w:rsid w:val="00CA2CD5"/>
    <w:rsid w:val="00CA5C94"/>
    <w:rsid w:val="00CA6D1E"/>
    <w:rsid w:val="00CB0854"/>
    <w:rsid w:val="00CB223A"/>
    <w:rsid w:val="00CB4235"/>
    <w:rsid w:val="00CB4E60"/>
    <w:rsid w:val="00CB61F5"/>
    <w:rsid w:val="00CB62BA"/>
    <w:rsid w:val="00CC4A23"/>
    <w:rsid w:val="00CC543E"/>
    <w:rsid w:val="00CC76F9"/>
    <w:rsid w:val="00CC7EE1"/>
    <w:rsid w:val="00CD0192"/>
    <w:rsid w:val="00CD3614"/>
    <w:rsid w:val="00CD3F71"/>
    <w:rsid w:val="00CD5704"/>
    <w:rsid w:val="00CD65DD"/>
    <w:rsid w:val="00CE6081"/>
    <w:rsid w:val="00CE6727"/>
    <w:rsid w:val="00CE68B8"/>
    <w:rsid w:val="00CE78AC"/>
    <w:rsid w:val="00CF5C69"/>
    <w:rsid w:val="00CF610D"/>
    <w:rsid w:val="00D019F1"/>
    <w:rsid w:val="00D02BBD"/>
    <w:rsid w:val="00D02EE3"/>
    <w:rsid w:val="00D03774"/>
    <w:rsid w:val="00D03906"/>
    <w:rsid w:val="00D039A1"/>
    <w:rsid w:val="00D0502B"/>
    <w:rsid w:val="00D05309"/>
    <w:rsid w:val="00D05569"/>
    <w:rsid w:val="00D10256"/>
    <w:rsid w:val="00D11725"/>
    <w:rsid w:val="00D13ED2"/>
    <w:rsid w:val="00D15B79"/>
    <w:rsid w:val="00D20B91"/>
    <w:rsid w:val="00D21449"/>
    <w:rsid w:val="00D21DA5"/>
    <w:rsid w:val="00D224B8"/>
    <w:rsid w:val="00D22EC0"/>
    <w:rsid w:val="00D24095"/>
    <w:rsid w:val="00D24BBE"/>
    <w:rsid w:val="00D2658E"/>
    <w:rsid w:val="00D268EE"/>
    <w:rsid w:val="00D30622"/>
    <w:rsid w:val="00D32A14"/>
    <w:rsid w:val="00D3391B"/>
    <w:rsid w:val="00D352B7"/>
    <w:rsid w:val="00D36EDA"/>
    <w:rsid w:val="00D37874"/>
    <w:rsid w:val="00D433FF"/>
    <w:rsid w:val="00D44499"/>
    <w:rsid w:val="00D455EE"/>
    <w:rsid w:val="00D46197"/>
    <w:rsid w:val="00D46B39"/>
    <w:rsid w:val="00D46DDC"/>
    <w:rsid w:val="00D508CD"/>
    <w:rsid w:val="00D52204"/>
    <w:rsid w:val="00D53366"/>
    <w:rsid w:val="00D54C14"/>
    <w:rsid w:val="00D551AD"/>
    <w:rsid w:val="00D5523B"/>
    <w:rsid w:val="00D57498"/>
    <w:rsid w:val="00D60218"/>
    <w:rsid w:val="00D643AC"/>
    <w:rsid w:val="00D66B86"/>
    <w:rsid w:val="00D7019A"/>
    <w:rsid w:val="00D70F63"/>
    <w:rsid w:val="00D7144C"/>
    <w:rsid w:val="00D71DD6"/>
    <w:rsid w:val="00D727C7"/>
    <w:rsid w:val="00D73FC3"/>
    <w:rsid w:val="00D74ADE"/>
    <w:rsid w:val="00D768C0"/>
    <w:rsid w:val="00D77E57"/>
    <w:rsid w:val="00D9796D"/>
    <w:rsid w:val="00DA184A"/>
    <w:rsid w:val="00DA23DB"/>
    <w:rsid w:val="00DA44ED"/>
    <w:rsid w:val="00DA5169"/>
    <w:rsid w:val="00DA578D"/>
    <w:rsid w:val="00DA6780"/>
    <w:rsid w:val="00DA6A96"/>
    <w:rsid w:val="00DA6BBB"/>
    <w:rsid w:val="00DA6E96"/>
    <w:rsid w:val="00DA718F"/>
    <w:rsid w:val="00DB36E0"/>
    <w:rsid w:val="00DB3F63"/>
    <w:rsid w:val="00DB4264"/>
    <w:rsid w:val="00DB4341"/>
    <w:rsid w:val="00DB70BA"/>
    <w:rsid w:val="00DC27CB"/>
    <w:rsid w:val="00DC672F"/>
    <w:rsid w:val="00DD2949"/>
    <w:rsid w:val="00DD43B6"/>
    <w:rsid w:val="00DD52A5"/>
    <w:rsid w:val="00DD74AB"/>
    <w:rsid w:val="00DD76BD"/>
    <w:rsid w:val="00DE5463"/>
    <w:rsid w:val="00DE657A"/>
    <w:rsid w:val="00DE7698"/>
    <w:rsid w:val="00DF48D0"/>
    <w:rsid w:val="00E015A5"/>
    <w:rsid w:val="00E01821"/>
    <w:rsid w:val="00E01E56"/>
    <w:rsid w:val="00E0438C"/>
    <w:rsid w:val="00E07578"/>
    <w:rsid w:val="00E07E4A"/>
    <w:rsid w:val="00E1232A"/>
    <w:rsid w:val="00E1454B"/>
    <w:rsid w:val="00E14934"/>
    <w:rsid w:val="00E14FFF"/>
    <w:rsid w:val="00E224DE"/>
    <w:rsid w:val="00E23376"/>
    <w:rsid w:val="00E25879"/>
    <w:rsid w:val="00E25B95"/>
    <w:rsid w:val="00E26EBE"/>
    <w:rsid w:val="00E3194E"/>
    <w:rsid w:val="00E31C0A"/>
    <w:rsid w:val="00E33B6E"/>
    <w:rsid w:val="00E35B17"/>
    <w:rsid w:val="00E35C7A"/>
    <w:rsid w:val="00E37760"/>
    <w:rsid w:val="00E40017"/>
    <w:rsid w:val="00E42F9D"/>
    <w:rsid w:val="00E43554"/>
    <w:rsid w:val="00E43F46"/>
    <w:rsid w:val="00E44A0E"/>
    <w:rsid w:val="00E469AA"/>
    <w:rsid w:val="00E46B82"/>
    <w:rsid w:val="00E47B34"/>
    <w:rsid w:val="00E507C1"/>
    <w:rsid w:val="00E5133D"/>
    <w:rsid w:val="00E5206B"/>
    <w:rsid w:val="00E52D30"/>
    <w:rsid w:val="00E552E3"/>
    <w:rsid w:val="00E56F7C"/>
    <w:rsid w:val="00E612ED"/>
    <w:rsid w:val="00E627C5"/>
    <w:rsid w:val="00E63984"/>
    <w:rsid w:val="00E647FA"/>
    <w:rsid w:val="00E65306"/>
    <w:rsid w:val="00E6562E"/>
    <w:rsid w:val="00E6597D"/>
    <w:rsid w:val="00E7020D"/>
    <w:rsid w:val="00E71DFF"/>
    <w:rsid w:val="00E72F1B"/>
    <w:rsid w:val="00E74754"/>
    <w:rsid w:val="00E75D1D"/>
    <w:rsid w:val="00E80324"/>
    <w:rsid w:val="00E87394"/>
    <w:rsid w:val="00E947A3"/>
    <w:rsid w:val="00E95175"/>
    <w:rsid w:val="00EA0ACB"/>
    <w:rsid w:val="00EA4346"/>
    <w:rsid w:val="00EA6FB5"/>
    <w:rsid w:val="00EB28EB"/>
    <w:rsid w:val="00EB2A4F"/>
    <w:rsid w:val="00EC1CE0"/>
    <w:rsid w:val="00EC2F25"/>
    <w:rsid w:val="00EC33C3"/>
    <w:rsid w:val="00EC5A9B"/>
    <w:rsid w:val="00EC6FF3"/>
    <w:rsid w:val="00ED0787"/>
    <w:rsid w:val="00ED1806"/>
    <w:rsid w:val="00ED1B6B"/>
    <w:rsid w:val="00ED26AC"/>
    <w:rsid w:val="00EE195C"/>
    <w:rsid w:val="00EE312E"/>
    <w:rsid w:val="00EE3E7B"/>
    <w:rsid w:val="00EE4130"/>
    <w:rsid w:val="00EE4A7E"/>
    <w:rsid w:val="00EE5B94"/>
    <w:rsid w:val="00EE5D60"/>
    <w:rsid w:val="00EE61D0"/>
    <w:rsid w:val="00EF100E"/>
    <w:rsid w:val="00F0378B"/>
    <w:rsid w:val="00F05223"/>
    <w:rsid w:val="00F0649E"/>
    <w:rsid w:val="00F10E0C"/>
    <w:rsid w:val="00F134F5"/>
    <w:rsid w:val="00F15CAA"/>
    <w:rsid w:val="00F15F19"/>
    <w:rsid w:val="00F16A2A"/>
    <w:rsid w:val="00F20E8D"/>
    <w:rsid w:val="00F214A9"/>
    <w:rsid w:val="00F24E54"/>
    <w:rsid w:val="00F261FD"/>
    <w:rsid w:val="00F26E21"/>
    <w:rsid w:val="00F33A14"/>
    <w:rsid w:val="00F33F96"/>
    <w:rsid w:val="00F33FE9"/>
    <w:rsid w:val="00F366FE"/>
    <w:rsid w:val="00F36A9D"/>
    <w:rsid w:val="00F4165C"/>
    <w:rsid w:val="00F41AD1"/>
    <w:rsid w:val="00F42475"/>
    <w:rsid w:val="00F44EE9"/>
    <w:rsid w:val="00F46A20"/>
    <w:rsid w:val="00F47FB1"/>
    <w:rsid w:val="00F5037A"/>
    <w:rsid w:val="00F5172C"/>
    <w:rsid w:val="00F54D9D"/>
    <w:rsid w:val="00F555CD"/>
    <w:rsid w:val="00F56A02"/>
    <w:rsid w:val="00F57134"/>
    <w:rsid w:val="00F63589"/>
    <w:rsid w:val="00F72B6E"/>
    <w:rsid w:val="00F7338B"/>
    <w:rsid w:val="00F73A83"/>
    <w:rsid w:val="00F75317"/>
    <w:rsid w:val="00F7576E"/>
    <w:rsid w:val="00F767C1"/>
    <w:rsid w:val="00F76A01"/>
    <w:rsid w:val="00F77726"/>
    <w:rsid w:val="00F8100E"/>
    <w:rsid w:val="00F81FBB"/>
    <w:rsid w:val="00F83B98"/>
    <w:rsid w:val="00F85099"/>
    <w:rsid w:val="00F8652E"/>
    <w:rsid w:val="00F87724"/>
    <w:rsid w:val="00F9687A"/>
    <w:rsid w:val="00F97049"/>
    <w:rsid w:val="00FA0D5F"/>
    <w:rsid w:val="00FA0EF1"/>
    <w:rsid w:val="00FA1F6E"/>
    <w:rsid w:val="00FA1FD2"/>
    <w:rsid w:val="00FA37CE"/>
    <w:rsid w:val="00FA55BC"/>
    <w:rsid w:val="00FB1E99"/>
    <w:rsid w:val="00FB21A6"/>
    <w:rsid w:val="00FB3500"/>
    <w:rsid w:val="00FB3773"/>
    <w:rsid w:val="00FB45E3"/>
    <w:rsid w:val="00FB507B"/>
    <w:rsid w:val="00FC0904"/>
    <w:rsid w:val="00FC4C02"/>
    <w:rsid w:val="00FC60AC"/>
    <w:rsid w:val="00FC7092"/>
    <w:rsid w:val="00FD1E94"/>
    <w:rsid w:val="00FD2F5E"/>
    <w:rsid w:val="00FD61E1"/>
    <w:rsid w:val="00FE217E"/>
    <w:rsid w:val="00FE707A"/>
    <w:rsid w:val="00FF0CD7"/>
    <w:rsid w:val="00FF117C"/>
    <w:rsid w:val="00FF23F7"/>
    <w:rsid w:val="00FF458E"/>
    <w:rsid w:val="014154CA"/>
    <w:rsid w:val="0207629D"/>
    <w:rsid w:val="0267792F"/>
    <w:rsid w:val="03802A81"/>
    <w:rsid w:val="046F2A22"/>
    <w:rsid w:val="04C73E52"/>
    <w:rsid w:val="05595998"/>
    <w:rsid w:val="05E91DBC"/>
    <w:rsid w:val="08365476"/>
    <w:rsid w:val="099E0166"/>
    <w:rsid w:val="0A1A70DA"/>
    <w:rsid w:val="0A933D11"/>
    <w:rsid w:val="0C7F2568"/>
    <w:rsid w:val="0D044D9F"/>
    <w:rsid w:val="0D375BF0"/>
    <w:rsid w:val="0D584371"/>
    <w:rsid w:val="0E1C3D4F"/>
    <w:rsid w:val="0F0D7E42"/>
    <w:rsid w:val="0F1E7DB7"/>
    <w:rsid w:val="10FB6498"/>
    <w:rsid w:val="11734FEF"/>
    <w:rsid w:val="11C24C0D"/>
    <w:rsid w:val="12A84D6D"/>
    <w:rsid w:val="1368020C"/>
    <w:rsid w:val="145F6743"/>
    <w:rsid w:val="14BD7038"/>
    <w:rsid w:val="15461169"/>
    <w:rsid w:val="17082D55"/>
    <w:rsid w:val="19296653"/>
    <w:rsid w:val="1B4538EC"/>
    <w:rsid w:val="1E811663"/>
    <w:rsid w:val="1EB73E44"/>
    <w:rsid w:val="1FCB2F9D"/>
    <w:rsid w:val="1FDE05CD"/>
    <w:rsid w:val="21451E40"/>
    <w:rsid w:val="21A05BCD"/>
    <w:rsid w:val="223643AD"/>
    <w:rsid w:val="23360B5F"/>
    <w:rsid w:val="234F549A"/>
    <w:rsid w:val="2388464B"/>
    <w:rsid w:val="23FB6933"/>
    <w:rsid w:val="24FD0D5F"/>
    <w:rsid w:val="25A4418E"/>
    <w:rsid w:val="265659AC"/>
    <w:rsid w:val="29481CBB"/>
    <w:rsid w:val="2A77447B"/>
    <w:rsid w:val="2CA23219"/>
    <w:rsid w:val="2EA87FF3"/>
    <w:rsid w:val="300466C5"/>
    <w:rsid w:val="30B5360E"/>
    <w:rsid w:val="30E31097"/>
    <w:rsid w:val="318144F3"/>
    <w:rsid w:val="32EA7571"/>
    <w:rsid w:val="32FF21EA"/>
    <w:rsid w:val="33131CF1"/>
    <w:rsid w:val="33142063"/>
    <w:rsid w:val="33746185"/>
    <w:rsid w:val="352A2232"/>
    <w:rsid w:val="37205D5A"/>
    <w:rsid w:val="383B67BF"/>
    <w:rsid w:val="3AD2461D"/>
    <w:rsid w:val="3B963730"/>
    <w:rsid w:val="3C366F22"/>
    <w:rsid w:val="3C71045F"/>
    <w:rsid w:val="3CBA010B"/>
    <w:rsid w:val="3D3F019E"/>
    <w:rsid w:val="3E500714"/>
    <w:rsid w:val="3E5335A3"/>
    <w:rsid w:val="3ED731F7"/>
    <w:rsid w:val="3F2A3F96"/>
    <w:rsid w:val="3FB157F6"/>
    <w:rsid w:val="4074767D"/>
    <w:rsid w:val="414C2A91"/>
    <w:rsid w:val="41C646A4"/>
    <w:rsid w:val="43BF3A1C"/>
    <w:rsid w:val="46350A7F"/>
    <w:rsid w:val="467778D0"/>
    <w:rsid w:val="46977BE6"/>
    <w:rsid w:val="472A1960"/>
    <w:rsid w:val="47874932"/>
    <w:rsid w:val="48833564"/>
    <w:rsid w:val="48D35608"/>
    <w:rsid w:val="49B334D9"/>
    <w:rsid w:val="4A0429C8"/>
    <w:rsid w:val="4BAA655B"/>
    <w:rsid w:val="4C783EB2"/>
    <w:rsid w:val="4F3456B9"/>
    <w:rsid w:val="4FDF2822"/>
    <w:rsid w:val="509A1168"/>
    <w:rsid w:val="50B444F0"/>
    <w:rsid w:val="52442592"/>
    <w:rsid w:val="54842D39"/>
    <w:rsid w:val="54D844EF"/>
    <w:rsid w:val="54FC0ADB"/>
    <w:rsid w:val="57DF2DBA"/>
    <w:rsid w:val="588E051C"/>
    <w:rsid w:val="58FF1214"/>
    <w:rsid w:val="59A67EAC"/>
    <w:rsid w:val="59F2732D"/>
    <w:rsid w:val="5C602D4C"/>
    <w:rsid w:val="5C6942E0"/>
    <w:rsid w:val="5CAA7DB6"/>
    <w:rsid w:val="5E4C28ED"/>
    <w:rsid w:val="5FAE3089"/>
    <w:rsid w:val="603A2433"/>
    <w:rsid w:val="61613A3E"/>
    <w:rsid w:val="62437EC8"/>
    <w:rsid w:val="62B6512E"/>
    <w:rsid w:val="639B0B31"/>
    <w:rsid w:val="63EB61C2"/>
    <w:rsid w:val="678B3392"/>
    <w:rsid w:val="679C371B"/>
    <w:rsid w:val="68863414"/>
    <w:rsid w:val="68D24B7E"/>
    <w:rsid w:val="69A46A3A"/>
    <w:rsid w:val="6B145DA4"/>
    <w:rsid w:val="6B1C5696"/>
    <w:rsid w:val="6BD836BA"/>
    <w:rsid w:val="6BDB6B31"/>
    <w:rsid w:val="6C6314A1"/>
    <w:rsid w:val="6C854527"/>
    <w:rsid w:val="6CCF044F"/>
    <w:rsid w:val="6D431D08"/>
    <w:rsid w:val="6F1E3F28"/>
    <w:rsid w:val="70D852EC"/>
    <w:rsid w:val="71516E0E"/>
    <w:rsid w:val="721F0DA1"/>
    <w:rsid w:val="73322D55"/>
    <w:rsid w:val="75E55C1E"/>
    <w:rsid w:val="76922C32"/>
    <w:rsid w:val="78D765B7"/>
    <w:rsid w:val="79937DBD"/>
    <w:rsid w:val="7A061C25"/>
    <w:rsid w:val="7AA76D8E"/>
    <w:rsid w:val="7ADB11B4"/>
    <w:rsid w:val="7B2E0EA7"/>
    <w:rsid w:val="7B9854E0"/>
    <w:rsid w:val="7CC55E61"/>
    <w:rsid w:val="7E1F06AE"/>
    <w:rsid w:val="7E754DAA"/>
    <w:rsid w:val="7EC113AE"/>
    <w:rsid w:val="7F8E676F"/>
    <w:rsid w:val="7F9B10FB"/>
    <w:rsid w:val="7FF0582D"/>
  </w:rsids>
  <m:mathPr>
    <m:mathFont m:val="Cambria Math"/>
    <m:brkBin m:val="before"/>
    <m:brkBinSub m:val="--"/>
    <m:smallFrac m:val="1"/>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0" w:name="heading 3"/>
    <w:lsdException w:qFormat="1" w:uiPriority="9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35"/>
    <w:qFormat/>
    <w:uiPriority w:val="99"/>
    <w:pPr>
      <w:keepNext/>
      <w:keepLines/>
      <w:spacing w:before="340" w:after="330" w:line="578" w:lineRule="auto"/>
      <w:outlineLvl w:val="0"/>
    </w:pPr>
    <w:rPr>
      <w:rFonts w:eastAsia="黑体"/>
      <w:b/>
      <w:bCs/>
      <w:kern w:val="44"/>
      <w:szCs w:val="44"/>
    </w:rPr>
  </w:style>
  <w:style w:type="paragraph" w:styleId="5">
    <w:name w:val="heading 2"/>
    <w:basedOn w:val="1"/>
    <w:next w:val="1"/>
    <w:link w:val="36"/>
    <w:semiHidden/>
    <w:unhideWhenUsed/>
    <w:qFormat/>
    <w:uiPriority w:val="99"/>
    <w:pPr>
      <w:keepNext/>
      <w:keepLines/>
      <w:spacing w:before="260" w:after="260" w:line="416" w:lineRule="auto"/>
      <w:outlineLvl w:val="1"/>
    </w:pPr>
    <w:rPr>
      <w:rFonts w:ascii="Cambria" w:hAnsi="Cambria" w:eastAsia="宋体"/>
      <w:b/>
      <w:bCs/>
      <w:szCs w:val="32"/>
    </w:rPr>
  </w:style>
  <w:style w:type="paragraph" w:styleId="6">
    <w:name w:val="heading 3"/>
    <w:basedOn w:val="1"/>
    <w:next w:val="1"/>
    <w:link w:val="37"/>
    <w:semiHidden/>
    <w:unhideWhenUsed/>
    <w:qFormat/>
    <w:uiPriority w:val="0"/>
    <w:pPr>
      <w:keepNext/>
      <w:keepLines/>
      <w:spacing w:before="260" w:after="260" w:line="412" w:lineRule="auto"/>
      <w:outlineLvl w:val="2"/>
    </w:pPr>
    <w:rPr>
      <w:rFonts w:ascii="Calibri" w:hAnsi="Calibri" w:eastAsia="宋体" w:cs="宋体"/>
      <w:b/>
      <w:bCs/>
      <w:szCs w:val="32"/>
    </w:rPr>
  </w:style>
  <w:style w:type="paragraph" w:styleId="7">
    <w:name w:val="heading 4"/>
    <w:basedOn w:val="1"/>
    <w:next w:val="1"/>
    <w:link w:val="38"/>
    <w:semiHidden/>
    <w:unhideWhenUsed/>
    <w:qFormat/>
    <w:uiPriority w:val="99"/>
    <w:pPr>
      <w:keepNext/>
      <w:keepLines/>
      <w:spacing w:before="280" w:after="290" w:line="372" w:lineRule="auto"/>
      <w:outlineLvl w:val="3"/>
    </w:pPr>
    <w:rPr>
      <w:rFonts w:ascii="Cambria" w:hAnsi="Cambria" w:cs="Calibri"/>
      <w:b/>
      <w:bCs/>
      <w:szCs w:val="32"/>
    </w:rPr>
  </w:style>
  <w:style w:type="paragraph" w:styleId="8">
    <w:name w:val="heading 5"/>
    <w:basedOn w:val="1"/>
    <w:next w:val="1"/>
    <w:link w:val="39"/>
    <w:semiHidden/>
    <w:unhideWhenUsed/>
    <w:qFormat/>
    <w:uiPriority w:val="9"/>
    <w:pPr>
      <w:keepNext/>
      <w:keepLines/>
      <w:spacing w:before="280" w:after="290" w:line="374" w:lineRule="auto"/>
      <w:outlineLvl w:val="4"/>
    </w:pPr>
    <w:rPr>
      <w:rFonts w:ascii="Calibri" w:hAnsi="Calibri" w:eastAsia="宋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96"/>
    <w:qFormat/>
    <w:uiPriority w:val="0"/>
    <w:pPr>
      <w:ind w:left="0" w:leftChars="0" w:firstLine="420" w:firstLineChars="200"/>
    </w:pPr>
  </w:style>
  <w:style w:type="paragraph" w:styleId="3">
    <w:name w:val="Body Text Indent"/>
    <w:basedOn w:val="1"/>
    <w:link w:val="95"/>
    <w:semiHidden/>
    <w:unhideWhenUsed/>
    <w:qFormat/>
    <w:uiPriority w:val="99"/>
    <w:pPr>
      <w:spacing w:after="120"/>
      <w:ind w:left="420" w:leftChars="200"/>
    </w:pPr>
  </w:style>
  <w:style w:type="paragraph" w:styleId="9">
    <w:name w:val="annotation text"/>
    <w:basedOn w:val="1"/>
    <w:link w:val="52"/>
    <w:unhideWhenUsed/>
    <w:qFormat/>
    <w:uiPriority w:val="99"/>
    <w:pPr>
      <w:jc w:val="left"/>
    </w:pPr>
    <w:rPr>
      <w:rFonts w:ascii="Calibri" w:hAnsi="Calibri" w:eastAsia="宋体"/>
      <w:sz w:val="21"/>
      <w:szCs w:val="22"/>
    </w:rPr>
  </w:style>
  <w:style w:type="paragraph" w:styleId="10">
    <w:name w:val="toc 3"/>
    <w:basedOn w:val="1"/>
    <w:next w:val="1"/>
    <w:unhideWhenUsed/>
    <w:qFormat/>
    <w:uiPriority w:val="39"/>
    <w:pPr>
      <w:ind w:left="840" w:leftChars="400"/>
    </w:pPr>
    <w:rPr>
      <w:rFonts w:ascii="Calibri" w:hAnsi="Calibri" w:eastAsia="宋体"/>
      <w:sz w:val="21"/>
      <w:szCs w:val="22"/>
    </w:rPr>
  </w:style>
  <w:style w:type="paragraph" w:styleId="11">
    <w:name w:val="Plain Text"/>
    <w:basedOn w:val="1"/>
    <w:link w:val="92"/>
    <w:qFormat/>
    <w:uiPriority w:val="0"/>
    <w:rPr>
      <w:rFonts w:ascii="Courier New" w:hAnsi="Courier New" w:eastAsia="宋体"/>
      <w:sz w:val="21"/>
      <w:szCs w:val="20"/>
    </w:rPr>
  </w:style>
  <w:style w:type="paragraph" w:styleId="12">
    <w:name w:val="Date"/>
    <w:basedOn w:val="1"/>
    <w:next w:val="1"/>
    <w:link w:val="54"/>
    <w:unhideWhenUsed/>
    <w:qFormat/>
    <w:uiPriority w:val="99"/>
    <w:pPr>
      <w:ind w:left="100" w:leftChars="2500"/>
    </w:pPr>
    <w:rPr>
      <w:rFonts w:ascii="Calibri" w:hAnsi="Calibri" w:eastAsia="宋体"/>
      <w:sz w:val="21"/>
      <w:szCs w:val="22"/>
    </w:rPr>
  </w:style>
  <w:style w:type="paragraph" w:styleId="13">
    <w:name w:val="endnote text"/>
    <w:basedOn w:val="1"/>
    <w:link w:val="93"/>
    <w:semiHidden/>
    <w:unhideWhenUsed/>
    <w:qFormat/>
    <w:uiPriority w:val="99"/>
    <w:pPr>
      <w:snapToGrid w:val="0"/>
      <w:jc w:val="left"/>
    </w:pPr>
  </w:style>
  <w:style w:type="paragraph" w:styleId="14">
    <w:name w:val="Balloon Text"/>
    <w:basedOn w:val="1"/>
    <w:link w:val="42"/>
    <w:qFormat/>
    <w:uiPriority w:val="99"/>
    <w:rPr>
      <w:rFonts w:asciiTheme="minorHAnsi" w:hAnsiTheme="minorHAnsi" w:eastAsiaTheme="minorEastAsia" w:cstheme="minorBidi"/>
      <w:sz w:val="18"/>
      <w:szCs w:val="18"/>
    </w:rPr>
  </w:style>
  <w:style w:type="paragraph" w:styleId="15">
    <w:name w:val="footer"/>
    <w:basedOn w:val="1"/>
    <w:link w:val="40"/>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43"/>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unhideWhenUsed/>
    <w:qFormat/>
    <w:uiPriority w:val="39"/>
    <w:pPr>
      <w:tabs>
        <w:tab w:val="right" w:leader="dot" w:pos="8302"/>
      </w:tabs>
      <w:spacing w:line="360" w:lineRule="auto"/>
    </w:pPr>
    <w:rPr>
      <w:rFonts w:ascii="黑体" w:hAnsi="黑体" w:eastAsia="黑体"/>
      <w:b/>
      <w:sz w:val="24"/>
    </w:rPr>
  </w:style>
  <w:style w:type="paragraph" w:styleId="18">
    <w:name w:val="Subtitle"/>
    <w:basedOn w:val="1"/>
    <w:next w:val="1"/>
    <w:link w:val="41"/>
    <w:qFormat/>
    <w:uiPriority w:val="0"/>
    <w:pPr>
      <w:spacing w:before="240" w:after="60" w:line="312" w:lineRule="auto"/>
      <w:outlineLvl w:val="1"/>
    </w:pPr>
    <w:rPr>
      <w:rFonts w:ascii="Cambria" w:hAnsi="Cambria" w:eastAsia="楷体_GB2312" w:cstheme="minorBidi"/>
      <w:b/>
      <w:bCs/>
      <w:kern w:val="28"/>
      <w:szCs w:val="32"/>
    </w:rPr>
  </w:style>
  <w:style w:type="paragraph" w:styleId="19">
    <w:name w:val="footnote text"/>
    <w:basedOn w:val="1"/>
    <w:link w:val="51"/>
    <w:unhideWhenUsed/>
    <w:qFormat/>
    <w:uiPriority w:val="99"/>
    <w:pPr>
      <w:snapToGrid w:val="0"/>
      <w:jc w:val="left"/>
    </w:pPr>
    <w:rPr>
      <w:rFonts w:ascii="Calibri" w:hAnsi="Calibri" w:eastAsia="宋体"/>
      <w:sz w:val="18"/>
      <w:szCs w:val="18"/>
    </w:rPr>
  </w:style>
  <w:style w:type="paragraph" w:styleId="20">
    <w:name w:val="toc 2"/>
    <w:basedOn w:val="1"/>
    <w:next w:val="1"/>
    <w:unhideWhenUsed/>
    <w:qFormat/>
    <w:uiPriority w:val="39"/>
    <w:pPr>
      <w:ind w:left="420" w:leftChars="200"/>
    </w:pPr>
    <w:rPr>
      <w:rFonts w:ascii="Calibri" w:hAnsi="Calibri" w:eastAsia="宋体"/>
      <w:sz w:val="21"/>
      <w:szCs w:val="22"/>
    </w:rPr>
  </w:style>
  <w:style w:type="paragraph" w:styleId="21">
    <w:name w:val="HTML Preformatted"/>
    <w:basedOn w:val="1"/>
    <w:link w:val="5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hAnsi="PingFang SC" w:eastAsia="PingFang SC"/>
      <w:kern w:val="0"/>
      <w:sz w:val="24"/>
    </w:rPr>
  </w:style>
  <w:style w:type="paragraph" w:styleId="2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23">
    <w:name w:val="Title"/>
    <w:basedOn w:val="1"/>
    <w:next w:val="1"/>
    <w:link w:val="53"/>
    <w:qFormat/>
    <w:uiPriority w:val="10"/>
    <w:pPr>
      <w:spacing w:before="240" w:after="60"/>
      <w:jc w:val="center"/>
      <w:outlineLvl w:val="0"/>
    </w:pPr>
    <w:rPr>
      <w:rFonts w:ascii="Calibri Light" w:hAnsi="Calibri Light" w:eastAsia="宋体"/>
      <w:b/>
      <w:bCs/>
      <w:szCs w:val="32"/>
    </w:rPr>
  </w:style>
  <w:style w:type="paragraph" w:styleId="24">
    <w:name w:val="annotation subject"/>
    <w:basedOn w:val="9"/>
    <w:next w:val="9"/>
    <w:link w:val="55"/>
    <w:unhideWhenUsed/>
    <w:qFormat/>
    <w:uiPriority w:val="99"/>
    <w:rPr>
      <w:b/>
      <w:bCs/>
    </w:rPr>
  </w:style>
  <w:style w:type="table" w:styleId="26">
    <w:name w:val="Table Grid"/>
    <w:basedOn w:val="25"/>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endnote reference"/>
    <w:basedOn w:val="27"/>
    <w:semiHidden/>
    <w:unhideWhenUsed/>
    <w:qFormat/>
    <w:uiPriority w:val="99"/>
    <w:rPr>
      <w:vertAlign w:val="superscript"/>
    </w:rPr>
  </w:style>
  <w:style w:type="character" w:styleId="30">
    <w:name w:val="page number"/>
    <w:basedOn w:val="27"/>
    <w:qFormat/>
    <w:uiPriority w:val="0"/>
  </w:style>
  <w:style w:type="character" w:styleId="31">
    <w:name w:val="FollowedHyperlink"/>
    <w:qFormat/>
    <w:uiPriority w:val="0"/>
    <w:rPr>
      <w:color w:val="800080"/>
      <w:u w:val="single"/>
    </w:rPr>
  </w:style>
  <w:style w:type="character" w:styleId="32">
    <w:name w:val="Hyperlink"/>
    <w:unhideWhenUsed/>
    <w:qFormat/>
    <w:uiPriority w:val="99"/>
    <w:rPr>
      <w:color w:val="0000FF"/>
      <w:u w:val="single"/>
    </w:rPr>
  </w:style>
  <w:style w:type="character" w:styleId="33">
    <w:name w:val="annotation reference"/>
    <w:unhideWhenUsed/>
    <w:qFormat/>
    <w:uiPriority w:val="99"/>
    <w:rPr>
      <w:sz w:val="21"/>
      <w:szCs w:val="21"/>
    </w:rPr>
  </w:style>
  <w:style w:type="character" w:styleId="34">
    <w:name w:val="footnote reference"/>
    <w:unhideWhenUsed/>
    <w:qFormat/>
    <w:uiPriority w:val="0"/>
    <w:rPr>
      <w:vertAlign w:val="superscript"/>
    </w:rPr>
  </w:style>
  <w:style w:type="character" w:customStyle="1" w:styleId="35">
    <w:name w:val="标题 1 字符"/>
    <w:basedOn w:val="27"/>
    <w:link w:val="4"/>
    <w:qFormat/>
    <w:uiPriority w:val="99"/>
    <w:rPr>
      <w:rFonts w:ascii="Times New Roman" w:hAnsi="Times New Roman" w:eastAsia="黑体" w:cs="Times New Roman"/>
      <w:b/>
      <w:bCs/>
      <w:kern w:val="44"/>
      <w:sz w:val="32"/>
      <w:szCs w:val="44"/>
    </w:rPr>
  </w:style>
  <w:style w:type="character" w:customStyle="1" w:styleId="36">
    <w:name w:val="标题 2 字符"/>
    <w:basedOn w:val="27"/>
    <w:link w:val="5"/>
    <w:semiHidden/>
    <w:qFormat/>
    <w:uiPriority w:val="99"/>
    <w:rPr>
      <w:rFonts w:ascii="Cambria" w:hAnsi="Cambria" w:eastAsia="宋体" w:cs="Times New Roman"/>
      <w:b/>
      <w:bCs/>
      <w:sz w:val="32"/>
      <w:szCs w:val="32"/>
    </w:rPr>
  </w:style>
  <w:style w:type="character" w:customStyle="1" w:styleId="37">
    <w:name w:val="标题 3 字符"/>
    <w:basedOn w:val="27"/>
    <w:link w:val="6"/>
    <w:semiHidden/>
    <w:qFormat/>
    <w:uiPriority w:val="0"/>
    <w:rPr>
      <w:rFonts w:ascii="Calibri" w:hAnsi="Calibri" w:eastAsia="宋体" w:cs="宋体"/>
      <w:b/>
      <w:bCs/>
      <w:sz w:val="32"/>
      <w:szCs w:val="32"/>
    </w:rPr>
  </w:style>
  <w:style w:type="character" w:customStyle="1" w:styleId="38">
    <w:name w:val="标题 4 字符"/>
    <w:basedOn w:val="27"/>
    <w:link w:val="7"/>
    <w:semiHidden/>
    <w:qFormat/>
    <w:uiPriority w:val="99"/>
    <w:rPr>
      <w:rFonts w:ascii="Cambria" w:hAnsi="Cambria" w:eastAsia="仿宋_GB2312" w:cs="Calibri"/>
      <w:b/>
      <w:bCs/>
      <w:sz w:val="32"/>
      <w:szCs w:val="32"/>
    </w:rPr>
  </w:style>
  <w:style w:type="character" w:customStyle="1" w:styleId="39">
    <w:name w:val="标题 5 字符"/>
    <w:basedOn w:val="27"/>
    <w:link w:val="8"/>
    <w:semiHidden/>
    <w:qFormat/>
    <w:uiPriority w:val="9"/>
    <w:rPr>
      <w:rFonts w:ascii="Calibri" w:hAnsi="Calibri" w:eastAsia="宋体" w:cs="Times New Roman"/>
      <w:b/>
      <w:bCs/>
      <w:sz w:val="28"/>
      <w:szCs w:val="28"/>
    </w:rPr>
  </w:style>
  <w:style w:type="character" w:customStyle="1" w:styleId="40">
    <w:name w:val="页脚 字符"/>
    <w:link w:val="15"/>
    <w:qFormat/>
    <w:uiPriority w:val="99"/>
    <w:rPr>
      <w:sz w:val="18"/>
      <w:szCs w:val="18"/>
    </w:rPr>
  </w:style>
  <w:style w:type="character" w:customStyle="1" w:styleId="41">
    <w:name w:val="副标题 字符"/>
    <w:link w:val="18"/>
    <w:qFormat/>
    <w:uiPriority w:val="0"/>
    <w:rPr>
      <w:rFonts w:ascii="Cambria" w:hAnsi="Cambria" w:eastAsia="楷体_GB2312"/>
      <w:b/>
      <w:bCs/>
      <w:kern w:val="28"/>
      <w:sz w:val="32"/>
      <w:szCs w:val="32"/>
    </w:rPr>
  </w:style>
  <w:style w:type="character" w:customStyle="1" w:styleId="42">
    <w:name w:val="批注框文本 字符"/>
    <w:link w:val="14"/>
    <w:qFormat/>
    <w:uiPriority w:val="99"/>
    <w:rPr>
      <w:sz w:val="18"/>
      <w:szCs w:val="18"/>
    </w:rPr>
  </w:style>
  <w:style w:type="character" w:customStyle="1" w:styleId="43">
    <w:name w:val="页眉 字符"/>
    <w:link w:val="16"/>
    <w:qFormat/>
    <w:uiPriority w:val="99"/>
    <w:rPr>
      <w:sz w:val="18"/>
      <w:szCs w:val="18"/>
    </w:rPr>
  </w:style>
  <w:style w:type="character" w:customStyle="1" w:styleId="44">
    <w:name w:val="页眉 Char1"/>
    <w:basedOn w:val="27"/>
    <w:semiHidden/>
    <w:qFormat/>
    <w:uiPriority w:val="99"/>
    <w:rPr>
      <w:rFonts w:ascii="Times New Roman" w:hAnsi="Times New Roman" w:eastAsia="仿宋_GB2312" w:cs="Times New Roman"/>
      <w:sz w:val="18"/>
      <w:szCs w:val="18"/>
    </w:rPr>
  </w:style>
  <w:style w:type="character" w:customStyle="1" w:styleId="45">
    <w:name w:val="副标题 Char1"/>
    <w:basedOn w:val="27"/>
    <w:qFormat/>
    <w:uiPriority w:val="11"/>
    <w:rPr>
      <w:rFonts w:eastAsia="宋体" w:asciiTheme="majorHAnsi" w:hAnsiTheme="majorHAnsi" w:cstheme="majorBidi"/>
      <w:b/>
      <w:bCs/>
      <w:kern w:val="28"/>
      <w:sz w:val="32"/>
      <w:szCs w:val="32"/>
    </w:rPr>
  </w:style>
  <w:style w:type="character" w:customStyle="1" w:styleId="46">
    <w:name w:val="批注框文本 Char1"/>
    <w:basedOn w:val="27"/>
    <w:semiHidden/>
    <w:qFormat/>
    <w:uiPriority w:val="99"/>
    <w:rPr>
      <w:rFonts w:ascii="Times New Roman" w:hAnsi="Times New Roman" w:eastAsia="仿宋_GB2312" w:cs="Times New Roman"/>
      <w:sz w:val="18"/>
      <w:szCs w:val="18"/>
    </w:rPr>
  </w:style>
  <w:style w:type="character" w:customStyle="1" w:styleId="47">
    <w:name w:val="页脚 Char1"/>
    <w:basedOn w:val="27"/>
    <w:semiHidden/>
    <w:qFormat/>
    <w:uiPriority w:val="99"/>
    <w:rPr>
      <w:rFonts w:ascii="Times New Roman" w:hAnsi="Times New Roman" w:eastAsia="仿宋_GB2312" w:cs="Times New Roman"/>
      <w:sz w:val="18"/>
      <w:szCs w:val="18"/>
    </w:rPr>
  </w:style>
  <w:style w:type="paragraph" w:customStyle="1" w:styleId="48">
    <w:name w:val="样式1"/>
    <w:basedOn w:val="1"/>
    <w:qFormat/>
    <w:uiPriority w:val="0"/>
    <w:rPr>
      <w:rFonts w:ascii="仿宋_GB2312"/>
      <w:sz w:val="28"/>
    </w:rPr>
  </w:style>
  <w:style w:type="character" w:customStyle="1" w:styleId="49">
    <w:name w:val="访问过的超链接1"/>
    <w:semiHidden/>
    <w:unhideWhenUsed/>
    <w:qFormat/>
    <w:uiPriority w:val="99"/>
    <w:rPr>
      <w:color w:val="954F72"/>
      <w:u w:val="single"/>
    </w:rPr>
  </w:style>
  <w:style w:type="character" w:customStyle="1" w:styleId="50">
    <w:name w:val="HTML 预设格式 字符"/>
    <w:basedOn w:val="27"/>
    <w:link w:val="21"/>
    <w:qFormat/>
    <w:uiPriority w:val="99"/>
    <w:rPr>
      <w:rFonts w:ascii="PingFang SC" w:hAnsi="PingFang SC" w:eastAsia="PingFang SC" w:cs="Times New Roman"/>
      <w:kern w:val="0"/>
      <w:sz w:val="24"/>
      <w:szCs w:val="24"/>
    </w:rPr>
  </w:style>
  <w:style w:type="character" w:customStyle="1" w:styleId="51">
    <w:name w:val="脚注文本 字符1"/>
    <w:basedOn w:val="27"/>
    <w:link w:val="19"/>
    <w:qFormat/>
    <w:uiPriority w:val="99"/>
    <w:rPr>
      <w:rFonts w:ascii="Calibri" w:hAnsi="Calibri" w:eastAsia="宋体" w:cs="Times New Roman"/>
      <w:sz w:val="18"/>
      <w:szCs w:val="18"/>
    </w:rPr>
  </w:style>
  <w:style w:type="character" w:customStyle="1" w:styleId="52">
    <w:name w:val="批注文字 字符1"/>
    <w:basedOn w:val="27"/>
    <w:link w:val="9"/>
    <w:qFormat/>
    <w:uiPriority w:val="99"/>
    <w:rPr>
      <w:rFonts w:ascii="Calibri" w:hAnsi="Calibri" w:eastAsia="宋体" w:cs="Times New Roman"/>
    </w:rPr>
  </w:style>
  <w:style w:type="character" w:customStyle="1" w:styleId="53">
    <w:name w:val="标题 字符"/>
    <w:basedOn w:val="27"/>
    <w:link w:val="23"/>
    <w:qFormat/>
    <w:uiPriority w:val="10"/>
    <w:rPr>
      <w:rFonts w:ascii="Calibri Light" w:hAnsi="Calibri Light" w:eastAsia="宋体" w:cs="Times New Roman"/>
      <w:b/>
      <w:bCs/>
      <w:sz w:val="32"/>
      <w:szCs w:val="32"/>
    </w:rPr>
  </w:style>
  <w:style w:type="character" w:customStyle="1" w:styleId="54">
    <w:name w:val="日期 字符"/>
    <w:basedOn w:val="27"/>
    <w:link w:val="12"/>
    <w:qFormat/>
    <w:uiPriority w:val="99"/>
    <w:rPr>
      <w:rFonts w:ascii="Calibri" w:hAnsi="Calibri" w:eastAsia="宋体" w:cs="Times New Roman"/>
    </w:rPr>
  </w:style>
  <w:style w:type="character" w:customStyle="1" w:styleId="55">
    <w:name w:val="批注主题 字符"/>
    <w:basedOn w:val="52"/>
    <w:link w:val="24"/>
    <w:qFormat/>
    <w:uiPriority w:val="99"/>
    <w:rPr>
      <w:rFonts w:ascii="Calibri" w:hAnsi="Calibri" w:eastAsia="宋体" w:cs="Times New Roman"/>
      <w:b/>
      <w:bCs/>
    </w:rPr>
  </w:style>
  <w:style w:type="paragraph" w:customStyle="1" w:styleId="56">
    <w:name w:val="修订1"/>
    <w:semiHidden/>
    <w:qFormat/>
    <w:uiPriority w:val="99"/>
    <w:rPr>
      <w:rFonts w:ascii="Calibri" w:hAnsi="Calibri" w:eastAsia="宋体" w:cs="Times New Roman"/>
      <w:kern w:val="2"/>
      <w:sz w:val="21"/>
      <w:szCs w:val="22"/>
      <w:lang w:val="en-US" w:eastAsia="zh-CN" w:bidi="ar-SA"/>
    </w:rPr>
  </w:style>
  <w:style w:type="paragraph" w:styleId="57">
    <w:name w:val="List Paragraph"/>
    <w:basedOn w:val="1"/>
    <w:qFormat/>
    <w:uiPriority w:val="34"/>
    <w:pPr>
      <w:ind w:firstLine="420" w:firstLineChars="200"/>
    </w:pPr>
    <w:rPr>
      <w:rFonts w:ascii="Calibri" w:hAnsi="Calibri" w:eastAsia="宋体"/>
      <w:sz w:val="21"/>
      <w:szCs w:val="22"/>
    </w:rPr>
  </w:style>
  <w:style w:type="paragraph" w:customStyle="1" w:styleId="58">
    <w:name w:val="目录 21"/>
    <w:basedOn w:val="1"/>
    <w:next w:val="1"/>
    <w:qFormat/>
    <w:uiPriority w:val="39"/>
    <w:pPr>
      <w:spacing w:before="100" w:beforeAutospacing="1" w:after="100" w:afterAutospacing="1"/>
      <w:ind w:left="420" w:leftChars="200"/>
    </w:pPr>
    <w:rPr>
      <w:rFonts w:ascii="Calibri" w:hAnsi="Calibri" w:eastAsia="宋体" w:cs="宋体"/>
      <w:sz w:val="21"/>
      <w:szCs w:val="21"/>
    </w:rPr>
  </w:style>
  <w:style w:type="paragraph" w:customStyle="1" w:styleId="59">
    <w:name w:val="目录 11"/>
    <w:basedOn w:val="1"/>
    <w:next w:val="1"/>
    <w:qFormat/>
    <w:uiPriority w:val="39"/>
    <w:pPr>
      <w:spacing w:line="240" w:lineRule="atLeast"/>
    </w:pPr>
    <w:rPr>
      <w:rFonts w:ascii="Calibri" w:hAnsi="Calibri" w:eastAsia="宋体" w:cs="宋体"/>
      <w:sz w:val="21"/>
      <w:szCs w:val="21"/>
    </w:rPr>
  </w:style>
  <w:style w:type="paragraph" w:customStyle="1" w:styleId="60">
    <w:name w:val="目录 31"/>
    <w:basedOn w:val="1"/>
    <w:next w:val="1"/>
    <w:qFormat/>
    <w:uiPriority w:val="39"/>
    <w:pPr>
      <w:spacing w:before="100" w:beforeAutospacing="1" w:after="100" w:afterAutospacing="1"/>
      <w:ind w:left="840" w:leftChars="400"/>
    </w:pPr>
    <w:rPr>
      <w:rFonts w:ascii="Calibri" w:hAnsi="Calibri" w:eastAsia="宋体" w:cs="宋体"/>
      <w:sz w:val="21"/>
      <w:szCs w:val="21"/>
    </w:rPr>
  </w:style>
  <w:style w:type="paragraph" w:customStyle="1" w:styleId="61">
    <w:name w:val="TOC 标题1"/>
    <w:basedOn w:val="4"/>
    <w:next w:val="1"/>
    <w:semiHidden/>
    <w:qFormat/>
    <w:uiPriority w:val="99"/>
    <w:pPr>
      <w:widowControl/>
      <w:spacing w:before="240" w:after="0" w:line="254" w:lineRule="auto"/>
      <w:jc w:val="left"/>
      <w:outlineLvl w:val="9"/>
    </w:pPr>
    <w:rPr>
      <w:rFonts w:ascii="等线 Light" w:hAnsi="等线 Light" w:eastAsia="等线 Light"/>
      <w:b w:val="0"/>
      <w:bCs w:val="0"/>
      <w:color w:val="2E75B5"/>
      <w:kern w:val="0"/>
      <w:szCs w:val="32"/>
    </w:rPr>
  </w:style>
  <w:style w:type="paragraph" w:customStyle="1" w:styleId="62">
    <w:name w:val="正文1"/>
    <w:qFormat/>
    <w:uiPriority w:val="99"/>
    <w:pPr>
      <w:jc w:val="both"/>
    </w:pPr>
    <w:rPr>
      <w:rFonts w:ascii="Times New Roman" w:hAnsi="Times New Roman" w:eastAsia="宋体" w:cs="Calibri"/>
      <w:kern w:val="2"/>
      <w:sz w:val="21"/>
      <w:szCs w:val="21"/>
      <w:lang w:val="en-US" w:eastAsia="zh-CN" w:bidi="ar-SA"/>
    </w:rPr>
  </w:style>
  <w:style w:type="paragraph" w:customStyle="1" w:styleId="63">
    <w:name w:val="列出段落1"/>
    <w:basedOn w:val="1"/>
    <w:qFormat/>
    <w:uiPriority w:val="34"/>
    <w:pPr>
      <w:ind w:firstLine="420" w:firstLineChars="200"/>
    </w:pPr>
    <w:rPr>
      <w:rFonts w:ascii="Calibri" w:hAnsi="Calibri" w:eastAsia="宋体" w:cs="Calibri"/>
      <w:sz w:val="21"/>
      <w:szCs w:val="22"/>
    </w:rPr>
  </w:style>
  <w:style w:type="paragraph" w:customStyle="1" w:styleId="64">
    <w:name w:val="重点"/>
    <w:basedOn w:val="1"/>
    <w:next w:val="1"/>
    <w:qFormat/>
    <w:uiPriority w:val="99"/>
    <w:pPr>
      <w:widowControl/>
      <w:spacing w:beforeLines="100" w:after="100" w:afterAutospacing="1" w:line="440" w:lineRule="exact"/>
      <w:ind w:firstLine="200" w:firstLineChars="200"/>
      <w:jc w:val="left"/>
    </w:pPr>
    <w:rPr>
      <w:rFonts w:ascii="仿宋_GB2312" w:hAnsi="宋体" w:cs="Calibri"/>
      <w:b/>
      <w:bCs/>
      <w:color w:val="000000"/>
      <w:sz w:val="24"/>
    </w:rPr>
  </w:style>
  <w:style w:type="paragraph" w:customStyle="1" w:styleId="65">
    <w:name w:val="无间隔1"/>
    <w:basedOn w:val="1"/>
    <w:qFormat/>
    <w:uiPriority w:val="99"/>
    <w:pPr>
      <w:ind w:firstLine="200" w:firstLineChars="200"/>
    </w:pPr>
    <w:rPr>
      <w:rFonts w:ascii="仿宋_GB2312" w:hAnsi="宋体" w:cs="Calibri"/>
      <w:sz w:val="24"/>
    </w:rPr>
  </w:style>
  <w:style w:type="paragraph" w:customStyle="1" w:styleId="66">
    <w:name w:val="TOC 标题2"/>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7">
    <w:name w:val="列出段落11"/>
    <w:basedOn w:val="1"/>
    <w:qFormat/>
    <w:uiPriority w:val="34"/>
    <w:pPr>
      <w:ind w:firstLine="420" w:firstLineChars="200"/>
    </w:pPr>
    <w:rPr>
      <w:rFonts w:eastAsia="宋体"/>
      <w:sz w:val="21"/>
      <w:szCs w:val="22"/>
    </w:rPr>
  </w:style>
  <w:style w:type="character" w:customStyle="1" w:styleId="68">
    <w:name w:val="三级标题 Char"/>
    <w:link w:val="69"/>
    <w:qFormat/>
    <w:locked/>
    <w:uiPriority w:val="0"/>
    <w:rPr>
      <w:rFonts w:eastAsia="黑体"/>
      <w:b/>
      <w:sz w:val="28"/>
    </w:rPr>
  </w:style>
  <w:style w:type="paragraph" w:customStyle="1" w:styleId="69">
    <w:name w:val="三级标题"/>
    <w:basedOn w:val="1"/>
    <w:link w:val="68"/>
    <w:qFormat/>
    <w:uiPriority w:val="0"/>
    <w:pPr>
      <w:numPr>
        <w:ilvl w:val="0"/>
        <w:numId w:val="1"/>
      </w:numPr>
      <w:spacing w:line="360" w:lineRule="auto"/>
      <w:outlineLvl w:val="2"/>
    </w:pPr>
    <w:rPr>
      <w:rFonts w:eastAsia="黑体" w:asciiTheme="minorHAnsi" w:hAnsiTheme="minorHAnsi" w:cstheme="minorBidi"/>
      <w:b/>
      <w:sz w:val="28"/>
      <w:szCs w:val="22"/>
    </w:rPr>
  </w:style>
  <w:style w:type="paragraph" w:customStyle="1" w:styleId="70">
    <w:name w:val="w124"/>
    <w:basedOn w:val="1"/>
    <w:qFormat/>
    <w:uiPriority w:val="99"/>
    <w:pPr>
      <w:widowControl/>
      <w:spacing w:before="100" w:beforeAutospacing="1" w:after="100" w:afterAutospacing="1"/>
      <w:jc w:val="left"/>
    </w:pPr>
    <w:rPr>
      <w:rFonts w:ascii="宋体" w:hAnsi="宋体" w:eastAsia="宋体" w:cs="宋体"/>
      <w:kern w:val="0"/>
      <w:sz w:val="24"/>
    </w:rPr>
  </w:style>
  <w:style w:type="character" w:customStyle="1" w:styleId="71">
    <w:name w:val="z-窗体顶端 字符"/>
    <w:link w:val="72"/>
    <w:semiHidden/>
    <w:qFormat/>
    <w:locked/>
    <w:uiPriority w:val="99"/>
    <w:rPr>
      <w:rFonts w:ascii="Arial" w:hAnsi="Arial" w:cs="Arial"/>
      <w:vanish/>
      <w:sz w:val="16"/>
      <w:szCs w:val="16"/>
    </w:rPr>
  </w:style>
  <w:style w:type="paragraph" w:customStyle="1" w:styleId="72">
    <w:name w:val="z-窗体顶端1"/>
    <w:basedOn w:val="1"/>
    <w:next w:val="1"/>
    <w:link w:val="71"/>
    <w:semiHidden/>
    <w:qFormat/>
    <w:uiPriority w:val="99"/>
    <w:pPr>
      <w:widowControl/>
      <w:pBdr>
        <w:bottom w:val="single" w:color="auto" w:sz="6" w:space="1"/>
      </w:pBdr>
      <w:jc w:val="center"/>
    </w:pPr>
    <w:rPr>
      <w:rFonts w:ascii="Arial" w:hAnsi="Arial" w:cs="Arial" w:eastAsiaTheme="minorEastAsia"/>
      <w:vanish/>
      <w:sz w:val="16"/>
      <w:szCs w:val="16"/>
    </w:rPr>
  </w:style>
  <w:style w:type="character" w:customStyle="1" w:styleId="73">
    <w:name w:val="z-窗体底端 字符"/>
    <w:link w:val="74"/>
    <w:semiHidden/>
    <w:qFormat/>
    <w:locked/>
    <w:uiPriority w:val="99"/>
    <w:rPr>
      <w:rFonts w:ascii="Arial" w:hAnsi="Arial" w:cs="Arial"/>
      <w:vanish/>
      <w:sz w:val="16"/>
      <w:szCs w:val="16"/>
    </w:rPr>
  </w:style>
  <w:style w:type="paragraph" w:customStyle="1" w:styleId="74">
    <w:name w:val="z-窗体底端1"/>
    <w:basedOn w:val="1"/>
    <w:next w:val="1"/>
    <w:link w:val="73"/>
    <w:semiHidden/>
    <w:qFormat/>
    <w:uiPriority w:val="99"/>
    <w:pPr>
      <w:widowControl/>
      <w:pBdr>
        <w:top w:val="single" w:color="auto" w:sz="6" w:space="1"/>
      </w:pBdr>
      <w:jc w:val="center"/>
    </w:pPr>
    <w:rPr>
      <w:rFonts w:ascii="Arial" w:hAnsi="Arial" w:cs="Arial" w:eastAsiaTheme="minorEastAsia"/>
      <w:vanish/>
      <w:sz w:val="16"/>
      <w:szCs w:val="16"/>
    </w:rPr>
  </w:style>
  <w:style w:type="paragraph" w:customStyle="1" w:styleId="75">
    <w:name w:val="Default"/>
    <w:qFormat/>
    <w:uiPriority w:val="99"/>
    <w:pPr>
      <w:widowControl w:val="0"/>
      <w:autoSpaceDE w:val="0"/>
      <w:autoSpaceDN w:val="0"/>
      <w:adjustRightInd w:val="0"/>
    </w:pPr>
    <w:rPr>
      <w:rFonts w:ascii="仿宋_GB2312" w:hAnsi="Cambria" w:eastAsia="仿宋_GB2312" w:cs="仿宋_GB2312"/>
      <w:color w:val="000000"/>
      <w:sz w:val="24"/>
      <w:szCs w:val="24"/>
      <w:lang w:val="en-US" w:eastAsia="zh-CN" w:bidi="ar-SA"/>
    </w:rPr>
  </w:style>
  <w:style w:type="paragraph" w:customStyle="1" w:styleId="76">
    <w:name w:val="修订11"/>
    <w:semiHidden/>
    <w:qFormat/>
    <w:uiPriority w:val="99"/>
    <w:rPr>
      <w:rFonts w:ascii="Calibri" w:hAnsi="Calibri" w:eastAsia="宋体" w:cs="Times New Roman"/>
      <w:kern w:val="2"/>
      <w:sz w:val="21"/>
      <w:szCs w:val="22"/>
      <w:lang w:val="en-US" w:eastAsia="zh-CN" w:bidi="ar-SA"/>
    </w:rPr>
  </w:style>
  <w:style w:type="paragraph" w:customStyle="1" w:styleId="77">
    <w:name w:val="修订2"/>
    <w:semiHidden/>
    <w:qFormat/>
    <w:uiPriority w:val="99"/>
    <w:rPr>
      <w:rFonts w:ascii="Calibri" w:hAnsi="Calibri" w:eastAsia="宋体" w:cs="Times New Roman"/>
      <w:kern w:val="2"/>
      <w:sz w:val="21"/>
      <w:szCs w:val="22"/>
      <w:lang w:val="en-US" w:eastAsia="zh-CN" w:bidi="ar-SA"/>
    </w:rPr>
  </w:style>
  <w:style w:type="paragraph" w:customStyle="1" w:styleId="78">
    <w:name w:val="修订3"/>
    <w:semiHidden/>
    <w:qFormat/>
    <w:uiPriority w:val="99"/>
    <w:rPr>
      <w:rFonts w:ascii="Calibri" w:hAnsi="Calibri" w:eastAsia="宋体" w:cs="Times New Roman"/>
      <w:kern w:val="2"/>
      <w:sz w:val="21"/>
      <w:szCs w:val="22"/>
      <w:lang w:val="en-US" w:eastAsia="zh-CN" w:bidi="ar-SA"/>
    </w:rPr>
  </w:style>
  <w:style w:type="character" w:styleId="79">
    <w:name w:val="Placeholder Text"/>
    <w:semiHidden/>
    <w:qFormat/>
    <w:uiPriority w:val="99"/>
    <w:rPr>
      <w:color w:val="808080"/>
    </w:rPr>
  </w:style>
  <w:style w:type="character" w:customStyle="1" w:styleId="80">
    <w:name w:val="15"/>
    <w:qFormat/>
    <w:uiPriority w:val="0"/>
    <w:rPr>
      <w:rFonts w:hint="default" w:ascii="Times New Roman" w:hAnsi="Times New Roman" w:cs="Times New Roman"/>
      <w:color w:val="0563C1"/>
      <w:u w:val="single"/>
    </w:rPr>
  </w:style>
  <w:style w:type="character" w:customStyle="1" w:styleId="81">
    <w:name w:val="header_zfw1"/>
    <w:qFormat/>
    <w:uiPriority w:val="0"/>
    <w:rPr>
      <w:color w:val="6C6C6C"/>
      <w:sz w:val="18"/>
      <w:szCs w:val="18"/>
    </w:rPr>
  </w:style>
  <w:style w:type="character" w:customStyle="1" w:styleId="82">
    <w:name w:val="header_jbwz1"/>
    <w:qFormat/>
    <w:uiPriority w:val="0"/>
  </w:style>
  <w:style w:type="character" w:customStyle="1" w:styleId="83">
    <w:name w:val="fl"/>
    <w:qFormat/>
    <w:uiPriority w:val="0"/>
  </w:style>
  <w:style w:type="character" w:customStyle="1" w:styleId="84">
    <w:name w:val="description"/>
    <w:qFormat/>
    <w:uiPriority w:val="0"/>
  </w:style>
  <w:style w:type="character" w:customStyle="1" w:styleId="85">
    <w:name w:val="未处理的提及1"/>
    <w:semiHidden/>
    <w:qFormat/>
    <w:uiPriority w:val="99"/>
    <w:rPr>
      <w:color w:val="605E5C"/>
      <w:shd w:val="clear" w:color="auto" w:fill="E1DFDD"/>
    </w:rPr>
  </w:style>
  <w:style w:type="table" w:customStyle="1" w:styleId="86">
    <w:name w:val="网格型1"/>
    <w:basedOn w:val="2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
    <w:name w:val="网格型2"/>
    <w:basedOn w:val="2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
    <w:name w:val="网格型3"/>
    <w:basedOn w:val="2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脚注文本 字符"/>
    <w:qFormat/>
    <w:uiPriority w:val="0"/>
    <w:rPr>
      <w:rFonts w:ascii="Calibri" w:hAnsi="Calibri"/>
      <w:kern w:val="2"/>
      <w:sz w:val="18"/>
      <w:szCs w:val="18"/>
    </w:rPr>
  </w:style>
  <w:style w:type="character" w:customStyle="1" w:styleId="90">
    <w:name w:val="批注文字 字符"/>
    <w:qFormat/>
    <w:uiPriority w:val="99"/>
    <w:rPr>
      <w:rFonts w:ascii="Calibri" w:hAnsi="Calibri"/>
      <w:kern w:val="2"/>
      <w:sz w:val="21"/>
      <w:szCs w:val="22"/>
    </w:rPr>
  </w:style>
  <w:style w:type="paragraph" w:customStyle="1" w:styleId="91">
    <w:name w:val="修订4"/>
    <w:hidden/>
    <w:semiHidden/>
    <w:qFormat/>
    <w:uiPriority w:val="99"/>
    <w:rPr>
      <w:rFonts w:ascii="Times New Roman" w:hAnsi="Times New Roman" w:eastAsia="仿宋_GB2312" w:cs="Times New Roman"/>
      <w:kern w:val="2"/>
      <w:sz w:val="32"/>
      <w:szCs w:val="24"/>
      <w:lang w:val="en-US" w:eastAsia="zh-CN" w:bidi="ar-SA"/>
    </w:rPr>
  </w:style>
  <w:style w:type="character" w:customStyle="1" w:styleId="92">
    <w:name w:val="纯文本 字符"/>
    <w:basedOn w:val="27"/>
    <w:link w:val="11"/>
    <w:qFormat/>
    <w:uiPriority w:val="0"/>
    <w:rPr>
      <w:rFonts w:ascii="Courier New" w:hAnsi="Courier New"/>
      <w:kern w:val="2"/>
      <w:sz w:val="21"/>
    </w:rPr>
  </w:style>
  <w:style w:type="character" w:customStyle="1" w:styleId="93">
    <w:name w:val="尾注文本 字符"/>
    <w:basedOn w:val="27"/>
    <w:link w:val="13"/>
    <w:semiHidden/>
    <w:qFormat/>
    <w:uiPriority w:val="99"/>
    <w:rPr>
      <w:rFonts w:eastAsia="仿宋_GB2312"/>
      <w:kern w:val="2"/>
      <w:sz w:val="32"/>
      <w:szCs w:val="24"/>
    </w:rPr>
  </w:style>
  <w:style w:type="paragraph" w:customStyle="1" w:styleId="94">
    <w:name w:val="修订5"/>
    <w:hidden/>
    <w:semiHidden/>
    <w:qFormat/>
    <w:uiPriority w:val="99"/>
    <w:rPr>
      <w:rFonts w:ascii="Times New Roman" w:hAnsi="Times New Roman" w:eastAsia="仿宋_GB2312" w:cs="Times New Roman"/>
      <w:kern w:val="2"/>
      <w:sz w:val="32"/>
      <w:szCs w:val="24"/>
      <w:lang w:val="en-US" w:eastAsia="zh-CN" w:bidi="ar-SA"/>
    </w:rPr>
  </w:style>
  <w:style w:type="character" w:customStyle="1" w:styleId="95">
    <w:name w:val="正文文本缩进 字符"/>
    <w:basedOn w:val="27"/>
    <w:link w:val="3"/>
    <w:semiHidden/>
    <w:qFormat/>
    <w:uiPriority w:val="99"/>
    <w:rPr>
      <w:rFonts w:eastAsia="仿宋_GB2312"/>
      <w:kern w:val="2"/>
      <w:sz w:val="32"/>
      <w:szCs w:val="24"/>
    </w:rPr>
  </w:style>
  <w:style w:type="character" w:customStyle="1" w:styleId="96">
    <w:name w:val="正文文本首行缩进 2 字符"/>
    <w:basedOn w:val="95"/>
    <w:link w:val="2"/>
    <w:qFormat/>
    <w:uiPriority w:val="0"/>
    <w:rPr>
      <w:rFonts w:eastAsia="仿宋_GB2312"/>
      <w:kern w:val="2"/>
      <w:sz w:val="32"/>
      <w:szCs w:val="24"/>
    </w:rPr>
  </w:style>
  <w:style w:type="paragraph" w:customStyle="1" w:styleId="97">
    <w:name w:val="修订6"/>
    <w:hidden/>
    <w:semiHidden/>
    <w:qFormat/>
    <w:uiPriority w:val="99"/>
    <w:rPr>
      <w:rFonts w:ascii="Times New Roman" w:hAnsi="Times New Roman" w:eastAsia="仿宋_GB2312" w:cs="Times New Roman"/>
      <w:kern w:val="2"/>
      <w:sz w:val="32"/>
      <w:szCs w:val="24"/>
      <w:lang w:val="en-US" w:eastAsia="zh-CN" w:bidi="ar-SA"/>
    </w:rPr>
  </w:style>
  <w:style w:type="paragraph" w:customStyle="1" w:styleId="98">
    <w:name w:val="Revision"/>
    <w:hidden/>
    <w:semiHidden/>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72E8A2-36FD-4C23-8A55-6A8BE57FD1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107</Pages>
  <Words>36750</Words>
  <Characters>38510</Characters>
  <Lines>298</Lines>
  <Paragraphs>84</Paragraphs>
  <TotalTime>305</TotalTime>
  <ScaleCrop>false</ScaleCrop>
  <LinksUpToDate>false</LinksUpToDate>
  <CharactersWithSpaces>39061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2023-03-16T05:23:00Z</dcterms:created>
  <dc:creator>H</dc:creator>
  <cp:lastModifiedBy>段凤阳</cp:lastModifiedBy>
  <cp:lastPrinted>2023-04-06T08:17:00Z</cp:lastPrinted>
  <dcterms:modified xsi:type="dcterms:W3CDTF">2023-04-17T06:23:01Z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255035D183A043A9BA73389B8A486C8B</vt:lpwstr>
  </property>
</Properties>
</file>