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eastAsia="黑体" w:cs="Times New Roman"/>
          <w:b w:val="0"/>
          <w:bCs w:val="0"/>
          <w:sz w:val="32"/>
          <w:szCs w:val="32"/>
          <w:lang w:val="en-US" w:eastAsia="zh-CN"/>
        </w:rPr>
      </w:pPr>
      <w:bookmarkStart w:id="0" w:name="_GoBack"/>
      <w:r>
        <w:rPr>
          <w:rFonts w:hint="eastAsia" w:eastAsia="黑体" w:cs="Times New Roman"/>
          <w:b w:val="0"/>
          <w:bCs w:val="0"/>
          <w:sz w:val="32"/>
          <w:szCs w:val="32"/>
          <w:lang w:val="en-US" w:eastAsia="zh-CN"/>
        </w:rPr>
        <w:t>附件</w:t>
      </w:r>
    </w:p>
    <w:bookmarkEnd w:id="0"/>
    <w:p>
      <w:pPr>
        <w:snapToGrid w:val="0"/>
        <w:spacing w:line="600" w:lineRule="exact"/>
        <w:ind w:left="1440" w:hanging="1760" w:hangingChars="400"/>
        <w:jc w:val="center"/>
        <w:rPr>
          <w:rFonts w:hint="default"/>
          <w:lang w:val="en-US" w:eastAsia="zh-CN"/>
        </w:rPr>
      </w:pPr>
      <w:r>
        <w:rPr>
          <w:rFonts w:hint="eastAsia" w:ascii="Times New Roman" w:hAnsi="Times New Roman" w:eastAsia="方正小标宋简体" w:cs="Times New Roman"/>
          <w:b w:val="0"/>
          <w:bCs w:val="0"/>
          <w:sz w:val="44"/>
          <w:szCs w:val="44"/>
          <w:lang w:val="en-US" w:eastAsia="zh-CN"/>
        </w:rPr>
        <w:t>202</w:t>
      </w:r>
      <w:r>
        <w:rPr>
          <w:rFonts w:hint="eastAsia" w:eastAsia="方正小标宋简体" w:cs="Times New Roman"/>
          <w:b w:val="0"/>
          <w:bCs w:val="0"/>
          <w:sz w:val="44"/>
          <w:szCs w:val="44"/>
          <w:lang w:val="en-US" w:eastAsia="zh-CN"/>
        </w:rPr>
        <w:t>3</w:t>
      </w:r>
      <w:r>
        <w:rPr>
          <w:rFonts w:hint="eastAsia" w:ascii="Times New Roman" w:hAnsi="Times New Roman" w:eastAsia="方正小标宋简体" w:cs="Times New Roman"/>
          <w:b w:val="0"/>
          <w:bCs w:val="0"/>
          <w:sz w:val="44"/>
          <w:szCs w:val="44"/>
        </w:rPr>
        <w:t>年天津市</w:t>
      </w:r>
      <w:r>
        <w:rPr>
          <w:rFonts w:hint="eastAsia" w:ascii="Times New Roman" w:hAnsi="Times New Roman" w:eastAsia="方正小标宋简体" w:cs="Times New Roman"/>
          <w:b w:val="0"/>
          <w:bCs w:val="0"/>
          <w:sz w:val="44"/>
          <w:szCs w:val="44"/>
          <w:lang w:val="en-US" w:eastAsia="zh-CN"/>
        </w:rPr>
        <w:t>卫生健康领域</w:t>
      </w:r>
      <w:r>
        <w:rPr>
          <w:rFonts w:hint="eastAsia" w:ascii="Times New Roman" w:hAnsi="Times New Roman" w:eastAsia="方正小标宋简体" w:cs="Times New Roman"/>
          <w:b w:val="0"/>
          <w:bCs w:val="0"/>
          <w:sz w:val="44"/>
          <w:szCs w:val="44"/>
        </w:rPr>
        <w:t>“双随机、一公开”</w:t>
      </w:r>
      <w:r>
        <w:rPr>
          <w:rFonts w:hint="eastAsia" w:ascii="Times New Roman" w:hAnsi="Times New Roman" w:eastAsia="方正小标宋简体" w:cs="Times New Roman"/>
          <w:b w:val="0"/>
          <w:bCs w:val="0"/>
          <w:sz w:val="44"/>
          <w:szCs w:val="44"/>
          <w:lang w:val="en-US" w:eastAsia="zh-CN"/>
        </w:rPr>
        <w:t>日常</w:t>
      </w:r>
      <w:r>
        <w:rPr>
          <w:rFonts w:hint="eastAsia" w:ascii="Times New Roman" w:hAnsi="Times New Roman" w:eastAsia="方正小标宋简体" w:cs="Times New Roman"/>
          <w:b w:val="0"/>
          <w:bCs w:val="0"/>
          <w:sz w:val="44"/>
          <w:szCs w:val="44"/>
        </w:rPr>
        <w:t>监督检查计划</w:t>
      </w:r>
    </w:p>
    <w:tbl>
      <w:tblPr>
        <w:tblStyle w:val="3"/>
        <w:tblpPr w:leftFromText="180" w:rightFromText="180" w:vertAnchor="text" w:horzAnchor="page" w:tblpXSpec="center" w:tblpY="971"/>
        <w:tblOverlap w:val="never"/>
        <w:tblW w:w="560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1469"/>
        <w:gridCol w:w="1918"/>
        <w:gridCol w:w="3047"/>
        <w:gridCol w:w="1731"/>
        <w:gridCol w:w="1469"/>
        <w:gridCol w:w="3617"/>
        <w:gridCol w:w="19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0" w:hRule="atLeast"/>
          <w:jc w:val="center"/>
        </w:trPr>
        <w:tc>
          <w:tcPr>
            <w:tcW w:w="22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序号</w:t>
            </w:r>
          </w:p>
        </w:tc>
        <w:tc>
          <w:tcPr>
            <w:tcW w:w="462"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抽查计划名称</w:t>
            </w:r>
          </w:p>
        </w:tc>
        <w:tc>
          <w:tcPr>
            <w:tcW w:w="603"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抽查事项</w:t>
            </w:r>
          </w:p>
        </w:tc>
        <w:tc>
          <w:tcPr>
            <w:tcW w:w="959"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抽查对象</w:t>
            </w:r>
          </w:p>
        </w:tc>
        <w:tc>
          <w:tcPr>
            <w:tcW w:w="1007" w:type="pct"/>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市级抽取任务</w:t>
            </w:r>
          </w:p>
        </w:tc>
        <w:tc>
          <w:tcPr>
            <w:tcW w:w="113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抽取规则</w:t>
            </w:r>
          </w:p>
        </w:tc>
        <w:tc>
          <w:tcPr>
            <w:tcW w:w="600"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抽取比例</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 xml:space="preserve">基准值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2"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959"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市所任务</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区所任务</w:t>
            </w: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6" w:hRule="atLeast"/>
          <w:jc w:val="center"/>
        </w:trPr>
        <w:tc>
          <w:tcPr>
            <w:tcW w:w="22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w:t>
            </w:r>
          </w:p>
        </w:tc>
        <w:tc>
          <w:tcPr>
            <w:tcW w:w="462"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医疗机构执业活动监督检查</w:t>
            </w:r>
          </w:p>
        </w:tc>
        <w:tc>
          <w:tcPr>
            <w:tcW w:w="603"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医疗机构执业活动监督检查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诊所（除中医备案诊所）</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30户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28%</w:t>
            </w:r>
          </w:p>
        </w:tc>
        <w:tc>
          <w:tcPr>
            <w:tcW w:w="113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不重复抽取国抽，优先抽取上一年度被处罚的医疗机构及未监督覆盖的医疗机构；诊所优先抽取诊疗科目中无中医科的诊所</w:t>
            </w:r>
          </w:p>
        </w:tc>
        <w:tc>
          <w:tcPr>
            <w:tcW w:w="600"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诊所100%</w:t>
            </w:r>
            <w:r>
              <w:rPr>
                <w:rFonts w:hint="eastAsia" w:ascii="仿宋_GB2312" w:hAnsi="仿宋_GB2312" w:eastAsia="仿宋_GB2312" w:cs="仿宋_GB2312"/>
                <w:b w:val="0"/>
                <w:bCs w:val="0"/>
                <w:i w:val="0"/>
                <w:iCs w:val="0"/>
                <w:color w:val="000000"/>
                <w:kern w:val="0"/>
                <w:sz w:val="24"/>
                <w:szCs w:val="24"/>
                <w:u w:val="none"/>
                <w:lang w:val="en-US" w:eastAsia="zh-CN" w:bidi="ar"/>
              </w:rPr>
              <w:br w:type="textWrapping"/>
            </w:r>
            <w:r>
              <w:rPr>
                <w:rFonts w:hint="eastAsia" w:ascii="仿宋_GB2312" w:hAnsi="仿宋_GB2312" w:eastAsia="仿宋_GB2312" w:cs="仿宋_GB2312"/>
                <w:b w:val="0"/>
                <w:bCs w:val="0"/>
                <w:i w:val="0"/>
                <w:iCs w:val="0"/>
                <w:color w:val="000000"/>
                <w:kern w:val="0"/>
                <w:sz w:val="24"/>
                <w:szCs w:val="24"/>
                <w:u w:val="none"/>
                <w:lang w:val="en-US" w:eastAsia="zh-CN" w:bidi="ar"/>
              </w:rPr>
              <w:t>村卫生室≥20%</w:t>
            </w:r>
            <w:r>
              <w:rPr>
                <w:rFonts w:hint="eastAsia" w:ascii="仿宋_GB2312" w:hAnsi="仿宋_GB2312" w:eastAsia="仿宋_GB2312" w:cs="仿宋_GB2312"/>
                <w:b w:val="0"/>
                <w:bCs w:val="0"/>
                <w:i w:val="0"/>
                <w:iCs w:val="0"/>
                <w:color w:val="000000"/>
                <w:kern w:val="0"/>
                <w:sz w:val="24"/>
                <w:szCs w:val="24"/>
                <w:u w:val="none"/>
                <w:lang w:val="en-US" w:eastAsia="zh-CN" w:bidi="ar"/>
              </w:rPr>
              <w:br w:type="textWrapping"/>
            </w:r>
            <w:r>
              <w:rPr>
                <w:rFonts w:hint="eastAsia" w:ascii="仿宋_GB2312" w:hAnsi="仿宋_GB2312" w:eastAsia="仿宋_GB2312" w:cs="仿宋_GB2312"/>
                <w:b w:val="0"/>
                <w:bCs w:val="0"/>
                <w:i w:val="0"/>
                <w:iCs w:val="0"/>
                <w:color w:val="000000"/>
                <w:kern w:val="0"/>
                <w:sz w:val="24"/>
                <w:szCs w:val="24"/>
                <w:u w:val="none"/>
                <w:lang w:val="en-US" w:eastAsia="zh-CN" w:bidi="ar"/>
              </w:rPr>
              <w:t>除诊所、村卫生室外的其他类型医疗机构≥50%。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5"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门诊部</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18户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18%</w:t>
            </w: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医院</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5户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20%</w:t>
            </w: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4"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其它各类医疗卫生机构</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2户，急救中心（站）、村卫生室各1户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5%</w:t>
            </w: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8" w:hRule="atLeast"/>
          <w:jc w:val="center"/>
        </w:trPr>
        <w:tc>
          <w:tcPr>
            <w:tcW w:w="22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2</w:t>
            </w:r>
          </w:p>
        </w:tc>
        <w:tc>
          <w:tcPr>
            <w:tcW w:w="462"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传染病防治工作监督检查</w:t>
            </w:r>
          </w:p>
        </w:tc>
        <w:tc>
          <w:tcPr>
            <w:tcW w:w="603"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疫情报告、疫情控制、消毒隔离、病原微生物实验室生物安全管理、医疗废物处置的检查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医学检验实验室</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5户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市所任务外100%</w:t>
            </w:r>
          </w:p>
        </w:tc>
        <w:tc>
          <w:tcPr>
            <w:tcW w:w="1138"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sz w:val="24"/>
                <w:szCs w:val="24"/>
                <w:u w:val="none"/>
                <w:lang w:val="en-US" w:eastAsia="zh-CN"/>
              </w:rPr>
              <w:t>不重复抽取国抽</w:t>
            </w:r>
          </w:p>
        </w:tc>
        <w:tc>
          <w:tcPr>
            <w:tcW w:w="600"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整体≥30%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2"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门诊部、诊所</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15户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15%</w:t>
            </w:r>
          </w:p>
        </w:tc>
        <w:tc>
          <w:tcPr>
            <w:tcW w:w="1138" w:type="pct"/>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不重复抽取国抽，优先抽取社会办口腔门诊部、诊所</w:t>
            </w:r>
          </w:p>
        </w:tc>
        <w:tc>
          <w:tcPr>
            <w:tcW w:w="60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5"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医院、社区卫生服务中心、乡镇卫生院</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5户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40%</w:t>
            </w:r>
          </w:p>
        </w:tc>
        <w:tc>
          <w:tcPr>
            <w:tcW w:w="113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不重复抽取国抽，优先抽取近两年新审批（备案）单位、近两年被处罚单位</w:t>
            </w:r>
          </w:p>
        </w:tc>
        <w:tc>
          <w:tcPr>
            <w:tcW w:w="60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5"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其他各类医疗机构</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5户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5%</w:t>
            </w: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2"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疾病预防控制机构</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市所任务外100%</w:t>
            </w:r>
          </w:p>
        </w:tc>
        <w:tc>
          <w:tcPr>
            <w:tcW w:w="1138"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sz w:val="24"/>
                <w:szCs w:val="24"/>
                <w:u w:val="none"/>
                <w:lang w:val="en-US" w:eastAsia="zh-CN"/>
              </w:rPr>
              <w:t>不重复抽取国抽</w:t>
            </w:r>
          </w:p>
        </w:tc>
        <w:tc>
          <w:tcPr>
            <w:tcW w:w="60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采供血机构</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市所任务外100%</w:t>
            </w: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医疗废物集中处置单位</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100%</w:t>
            </w: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5" w:hRule="atLeast"/>
          <w:jc w:val="center"/>
        </w:trPr>
        <w:tc>
          <w:tcPr>
            <w:tcW w:w="22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3</w:t>
            </w:r>
          </w:p>
        </w:tc>
        <w:tc>
          <w:tcPr>
            <w:tcW w:w="462"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消毒产品监督检查</w:t>
            </w: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消毒产品生产企业监督检查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消毒产品生产企业</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10户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市所任务外100%</w:t>
            </w:r>
          </w:p>
        </w:tc>
        <w:tc>
          <w:tcPr>
            <w:tcW w:w="113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不重复抽取国抽，优先抽取近两年被处罚单位</w:t>
            </w:r>
          </w:p>
        </w:tc>
        <w:tc>
          <w:tcPr>
            <w:tcW w:w="600"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消毒产品生产企业100%</w:t>
            </w:r>
            <w:r>
              <w:rPr>
                <w:rFonts w:hint="eastAsia" w:ascii="仿宋_GB2312" w:hAnsi="仿宋_GB2312" w:eastAsia="仿宋_GB2312" w:cs="仿宋_GB2312"/>
                <w:b w:val="0"/>
                <w:bCs w:val="0"/>
                <w:i w:val="0"/>
                <w:iCs w:val="0"/>
                <w:color w:val="000000"/>
                <w:kern w:val="0"/>
                <w:sz w:val="24"/>
                <w:szCs w:val="24"/>
                <w:u w:val="none"/>
                <w:lang w:val="en-US" w:eastAsia="zh-CN" w:bidi="ar"/>
              </w:rPr>
              <w:br w:type="textWrapping"/>
            </w:r>
            <w:r>
              <w:rPr>
                <w:rFonts w:hint="eastAsia" w:ascii="仿宋_GB2312" w:hAnsi="仿宋_GB2312" w:eastAsia="仿宋_GB2312" w:cs="仿宋_GB2312"/>
                <w:b w:val="0"/>
                <w:bCs w:val="0"/>
                <w:i w:val="0"/>
                <w:iCs w:val="0"/>
                <w:color w:val="000000"/>
                <w:kern w:val="0"/>
                <w:sz w:val="24"/>
                <w:szCs w:val="24"/>
                <w:u w:val="none"/>
                <w:lang w:val="en-US" w:eastAsia="zh-CN" w:bidi="ar"/>
              </w:rPr>
              <w:t>消毒产品在华责任单位100%</w:t>
            </w:r>
            <w:r>
              <w:rPr>
                <w:rFonts w:hint="eastAsia" w:ascii="仿宋_GB2312" w:hAnsi="仿宋_GB2312" w:eastAsia="仿宋_GB2312" w:cs="仿宋_GB2312"/>
                <w:b w:val="0"/>
                <w:bCs w:val="0"/>
                <w:i w:val="0"/>
                <w:iCs w:val="0"/>
                <w:color w:val="000000"/>
                <w:kern w:val="0"/>
                <w:sz w:val="24"/>
                <w:szCs w:val="24"/>
                <w:u w:val="none"/>
                <w:lang w:val="en-US" w:eastAsia="zh-CN" w:bidi="ar"/>
              </w:rPr>
              <w:br w:type="textWrapping"/>
            </w:r>
            <w:r>
              <w:rPr>
                <w:rFonts w:hint="eastAsia" w:ascii="仿宋_GB2312" w:hAnsi="仿宋_GB2312" w:eastAsia="仿宋_GB2312" w:cs="仿宋_GB2312"/>
                <w:b w:val="0"/>
                <w:bCs w:val="0"/>
                <w:i w:val="0"/>
                <w:iCs w:val="0"/>
                <w:color w:val="000000"/>
                <w:kern w:val="0"/>
                <w:sz w:val="24"/>
                <w:szCs w:val="24"/>
                <w:u w:val="none"/>
                <w:lang w:val="en-US" w:eastAsia="zh-CN" w:bidi="ar"/>
              </w:rPr>
              <w:t>消毒产品经营单位≥30%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5"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进口消毒产品在华责任单位监督检查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进口消毒产品在华责任单位</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100%</w:t>
            </w: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5"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消毒产品经营单位监督检查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消毒产品经营单位</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10户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20%</w:t>
            </w: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0" w:hRule="atLeast"/>
          <w:jc w:val="center"/>
        </w:trPr>
        <w:tc>
          <w:tcPr>
            <w:tcW w:w="22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4</w:t>
            </w:r>
          </w:p>
        </w:tc>
        <w:tc>
          <w:tcPr>
            <w:tcW w:w="462"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中医药服务监督检查</w:t>
            </w:r>
          </w:p>
        </w:tc>
        <w:tc>
          <w:tcPr>
            <w:tcW w:w="603"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中医药服务监督检查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开展中医药服务的诊所（诊疗科目登记有“中医科”的诊所）</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100%</w:t>
            </w:r>
          </w:p>
        </w:tc>
        <w:tc>
          <w:tcPr>
            <w:tcW w:w="113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优先抽取上一年度被处罚的单位</w:t>
            </w:r>
          </w:p>
        </w:tc>
        <w:tc>
          <w:tcPr>
            <w:tcW w:w="600" w:type="pct"/>
            <w:vMerge w:val="restart"/>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整体≥50%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0"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上一年度有涉及中医药专业卫生行政处罚记录的医疗机构</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20户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市所任务外100%</w:t>
            </w: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5"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开展中医药服务的医院、门诊部</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20户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48%</w:t>
            </w: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32"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开展中医药服务的社区卫生服务机构、卫生院、村卫生室、妇幼保健院、妇幼保健计划生育服务中心、专科疾病防治机构、护理院、疗养院</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20%</w:t>
            </w: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5" w:hRule="atLeast"/>
          <w:jc w:val="center"/>
        </w:trPr>
        <w:tc>
          <w:tcPr>
            <w:tcW w:w="22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5</w:t>
            </w:r>
          </w:p>
        </w:tc>
        <w:tc>
          <w:tcPr>
            <w:tcW w:w="462"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妇幼健康抽查计划</w:t>
            </w: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对计划生育技术服务的监督检查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从事计划生育技术服务的医疗机构</w:t>
            </w:r>
          </w:p>
        </w:tc>
        <w:tc>
          <w:tcPr>
            <w:tcW w:w="544"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50户，每区至少抽取2户</w:t>
            </w:r>
          </w:p>
        </w:tc>
        <w:tc>
          <w:tcPr>
            <w:tcW w:w="462"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市所任务外100%</w:t>
            </w:r>
          </w:p>
        </w:tc>
        <w:tc>
          <w:tcPr>
            <w:tcW w:w="113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lang w:val="en-US" w:eastAsia="zh-CN"/>
              </w:rPr>
            </w:pPr>
            <w:r>
              <w:rPr>
                <w:rFonts w:hint="eastAsia" w:ascii="仿宋_GB2312" w:hAnsi="仿宋_GB2312" w:eastAsia="仿宋_GB2312" w:cs="仿宋_GB2312"/>
                <w:b w:val="0"/>
                <w:bCs w:val="0"/>
                <w:i w:val="0"/>
                <w:iCs w:val="0"/>
                <w:color w:val="000000"/>
                <w:sz w:val="24"/>
                <w:szCs w:val="24"/>
                <w:u w:val="none"/>
                <w:lang w:val="en-US" w:eastAsia="zh-CN"/>
              </w:rPr>
              <w:t>不重复抽取国抽</w:t>
            </w:r>
          </w:p>
        </w:tc>
        <w:tc>
          <w:tcPr>
            <w:tcW w:w="600" w:type="pct"/>
            <w:vMerge w:val="restart"/>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整体100%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5"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对母婴保健技术服务的监督检查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从事母婴保健技术服务的医疗机构</w:t>
            </w:r>
          </w:p>
        </w:tc>
        <w:tc>
          <w:tcPr>
            <w:tcW w:w="544"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5"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对人类辅助生殖技术的监督检查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从事人类辅助生殖技术的医疗机构</w:t>
            </w:r>
          </w:p>
        </w:tc>
        <w:tc>
          <w:tcPr>
            <w:tcW w:w="544"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72"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对非医学需要的胎儿性别鉴定和选择性别的人工终止妊娠的监督检查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从事计划生育技术服务的医疗机构；从事母婴保健技术服务的医疗机构；从事人类辅助生殖技术的医疗机构</w:t>
            </w:r>
          </w:p>
        </w:tc>
        <w:tc>
          <w:tcPr>
            <w:tcW w:w="544"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2" w:hRule="atLeast"/>
          <w:jc w:val="center"/>
        </w:trPr>
        <w:tc>
          <w:tcPr>
            <w:tcW w:w="22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6</w:t>
            </w:r>
          </w:p>
        </w:tc>
        <w:tc>
          <w:tcPr>
            <w:tcW w:w="462"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公共场所抽查计划</w:t>
            </w: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游泳场所卫生监督检查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游泳场所</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lang w:eastAsia="zh-CN"/>
              </w:rPr>
            </w:pPr>
            <w:r>
              <w:rPr>
                <w:rFonts w:hint="eastAsia" w:ascii="仿宋_GB2312" w:hAnsi="仿宋_GB2312" w:eastAsia="仿宋_GB2312" w:cs="仿宋_GB2312"/>
                <w:b w:val="0"/>
                <w:bCs w:val="0"/>
                <w:i w:val="0"/>
                <w:iCs w:val="0"/>
                <w:color w:val="000000"/>
                <w:sz w:val="24"/>
                <w:szCs w:val="24"/>
                <w:u w:val="none"/>
                <w:lang w:eastAsia="zh-CN"/>
              </w:rPr>
              <w:t>—</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lang w:val="en-US"/>
              </w:rPr>
            </w:pPr>
            <w:r>
              <w:rPr>
                <w:rFonts w:hint="eastAsia" w:ascii="仿宋_GB2312" w:hAnsi="仿宋_GB2312" w:eastAsia="仿宋_GB2312" w:cs="仿宋_GB2312"/>
                <w:b w:val="0"/>
                <w:bCs w:val="0"/>
                <w:i w:val="0"/>
                <w:iCs w:val="0"/>
                <w:color w:val="000000"/>
                <w:kern w:val="0"/>
                <w:sz w:val="24"/>
                <w:szCs w:val="24"/>
                <w:u w:val="none"/>
                <w:lang w:val="en-US" w:eastAsia="zh-CN" w:bidi="ar"/>
              </w:rPr>
              <w:t>国抽任务外100%抽取</w:t>
            </w:r>
          </w:p>
        </w:tc>
        <w:tc>
          <w:tcPr>
            <w:tcW w:w="113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不重复抽取国抽，优先抽取使用集中空调通风系统的单位</w:t>
            </w:r>
          </w:p>
        </w:tc>
        <w:tc>
          <w:tcPr>
            <w:tcW w:w="600"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Style w:val="6"/>
                <w:rFonts w:hint="eastAsia" w:ascii="仿宋_GB2312" w:hAnsi="仿宋_GB2312" w:eastAsia="仿宋_GB2312" w:cs="仿宋_GB2312"/>
                <w:b w:val="0"/>
                <w:bCs w:val="0"/>
                <w:sz w:val="24"/>
                <w:szCs w:val="24"/>
                <w:lang w:val="en-US" w:eastAsia="zh-CN" w:bidi="ar"/>
              </w:rPr>
              <w:t>整体≥42%</w:t>
            </w:r>
            <w:r>
              <w:rPr>
                <w:rStyle w:val="6"/>
                <w:rFonts w:hint="eastAsia" w:ascii="仿宋_GB2312" w:hAnsi="仿宋_GB2312" w:eastAsia="仿宋_GB2312" w:cs="仿宋_GB2312"/>
                <w:b w:val="0"/>
                <w:bCs w:val="0"/>
                <w:sz w:val="24"/>
                <w:szCs w:val="24"/>
                <w:lang w:val="en-US" w:eastAsia="zh-CN" w:bidi="ar"/>
              </w:rPr>
              <w:br w:type="textWrapping"/>
            </w:r>
            <w:r>
              <w:rPr>
                <w:rStyle w:val="6"/>
                <w:rFonts w:hint="eastAsia" w:ascii="仿宋_GB2312" w:hAnsi="仿宋_GB2312" w:eastAsia="仿宋_GB2312" w:cs="仿宋_GB2312"/>
                <w:b w:val="0"/>
                <w:bCs w:val="0"/>
                <w:sz w:val="24"/>
                <w:szCs w:val="24"/>
                <w:lang w:val="en-US" w:eastAsia="zh-CN" w:bidi="ar"/>
              </w:rPr>
              <w:t>集中空调通风系统</w:t>
            </w:r>
            <w:r>
              <w:rPr>
                <w:rStyle w:val="7"/>
                <w:rFonts w:hint="eastAsia" w:ascii="仿宋_GB2312" w:hAnsi="仿宋_GB2312" w:eastAsia="仿宋_GB2312" w:cs="仿宋_GB2312"/>
                <w:b w:val="0"/>
                <w:bCs w:val="0"/>
                <w:sz w:val="24"/>
                <w:szCs w:val="24"/>
                <w:lang w:val="en-US" w:eastAsia="zh-CN" w:bidi="ar"/>
              </w:rPr>
              <w:t>公共场所单位</w:t>
            </w:r>
            <w:r>
              <w:rPr>
                <w:rStyle w:val="6"/>
                <w:rFonts w:hint="eastAsia" w:ascii="仿宋_GB2312" w:hAnsi="仿宋_GB2312" w:eastAsia="仿宋_GB2312" w:cs="仿宋_GB2312"/>
                <w:b w:val="0"/>
                <w:bCs w:val="0"/>
                <w:sz w:val="24"/>
                <w:szCs w:val="24"/>
                <w:lang w:val="en-US" w:eastAsia="zh-CN" w:bidi="ar"/>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5"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住宿场所卫生监督检查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住宿场所</w:t>
            </w:r>
          </w:p>
        </w:tc>
        <w:tc>
          <w:tcPr>
            <w:tcW w:w="544"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48户，每区抽取3户，市内六区每区抽取住宿场所、沐浴场所、其他类公共场所各1户；其他区每区抽取住宿场所、美容美发场所、其他类公共场所各1户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35%</w:t>
            </w: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5"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沐浴场所卫生监督检查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沐浴场所</w:t>
            </w:r>
          </w:p>
        </w:tc>
        <w:tc>
          <w:tcPr>
            <w:tcW w:w="544"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10%</w:t>
            </w: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5"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美容美发场所卫生监督检查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美容美发场所</w:t>
            </w:r>
          </w:p>
        </w:tc>
        <w:tc>
          <w:tcPr>
            <w:tcW w:w="544"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3%</w:t>
            </w: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00"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其他类公共场所卫生监督检查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影剧院、录像厅(室)、游艺厅(室)、舞厅、音乐厅、体育场(馆)、展览馆、博物馆、美术馆、图书馆、商场(店)，书店、候诊室、候车(机、船)室等公共场所</w:t>
            </w:r>
          </w:p>
        </w:tc>
        <w:tc>
          <w:tcPr>
            <w:tcW w:w="544"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30%</w:t>
            </w: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jc w:val="center"/>
        </w:trPr>
        <w:tc>
          <w:tcPr>
            <w:tcW w:w="2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7</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餐具、饮具集中消毒服务单位卫生监督检查</w:t>
            </w: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餐具、饮具集中消毒服务单位卫生监督检查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餐具、饮具集中消毒服务单位</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100%</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100%</w:t>
            </w:r>
          </w:p>
        </w:tc>
        <w:tc>
          <w:tcPr>
            <w:tcW w:w="1138"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sz w:val="24"/>
                <w:szCs w:val="24"/>
                <w:u w:val="none"/>
                <w:lang w:val="en-US" w:eastAsia="zh-CN"/>
              </w:rPr>
              <w:t>不重复抽取国抽</w:t>
            </w:r>
          </w:p>
        </w:tc>
        <w:tc>
          <w:tcPr>
            <w:tcW w:w="6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整体100%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0" w:hRule="atLeast"/>
          <w:jc w:val="center"/>
        </w:trPr>
        <w:tc>
          <w:tcPr>
            <w:tcW w:w="2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8</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学校卫生监督检查</w:t>
            </w: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学校卫生监督检查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全市普通中小学和高校</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16户，每区抽取1所中学或小学</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6%</w:t>
            </w:r>
          </w:p>
        </w:tc>
        <w:tc>
          <w:tcPr>
            <w:tcW w:w="113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不重复抽取国抽，优先抽取上一年度市抽未抽取的学校</w:t>
            </w:r>
          </w:p>
        </w:tc>
        <w:tc>
          <w:tcPr>
            <w:tcW w:w="600" w:type="pct"/>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整体≥33%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5" w:hRule="atLeast"/>
          <w:jc w:val="center"/>
        </w:trPr>
        <w:tc>
          <w:tcPr>
            <w:tcW w:w="22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9</w:t>
            </w:r>
          </w:p>
        </w:tc>
        <w:tc>
          <w:tcPr>
            <w:tcW w:w="462"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对饮用水供水单位从事生产或者供应活动以及涉及饮用水卫生安全的产品的监督检查</w:t>
            </w: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集中式供水单位检查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持证集中式供水单位</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2户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市所任务外100%</w:t>
            </w:r>
          </w:p>
        </w:tc>
        <w:tc>
          <w:tcPr>
            <w:tcW w:w="113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不重复抽取国抽，优先抽取上一年度新取得卫生许可证或卫生许可批件及上一年度被处罚单位</w:t>
            </w:r>
          </w:p>
        </w:tc>
        <w:tc>
          <w:tcPr>
            <w:tcW w:w="600" w:type="pct"/>
            <w:vMerge w:val="restart"/>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整体≥35%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5"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二次供水单位检查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二次供水单位</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32户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20%</w:t>
            </w: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5"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涉及饮用水卫生安全产品生产单位检查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涉及饮用水卫生安全产品生产单位</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6户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25%</w:t>
            </w: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0"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涉及饮用水卫生安全产品在华责任单位检查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涉及饮用水卫生安全产品在华责任单位</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lang w:val="en-US"/>
              </w:rPr>
            </w:pPr>
            <w:r>
              <w:rPr>
                <w:rFonts w:hint="eastAsia" w:ascii="仿宋_GB2312" w:hAnsi="仿宋_GB2312" w:eastAsia="仿宋_GB2312" w:cs="仿宋_GB2312"/>
                <w:b w:val="0"/>
                <w:bCs w:val="0"/>
                <w:i w:val="0"/>
                <w:iCs w:val="0"/>
                <w:color w:val="000000"/>
                <w:kern w:val="0"/>
                <w:sz w:val="24"/>
                <w:szCs w:val="24"/>
                <w:u w:val="none"/>
                <w:lang w:val="en-US" w:eastAsia="zh-CN" w:bidi="ar"/>
              </w:rPr>
              <w:t>国抽任务外100%抽取</w:t>
            </w: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94" w:hRule="atLeast"/>
          <w:jc w:val="center"/>
        </w:trPr>
        <w:tc>
          <w:tcPr>
            <w:tcW w:w="2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10</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对放射诊疗机构的监督检查</w:t>
            </w: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放射诊疗工作监督检查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放射诊疗机构</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16户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9%</w:t>
            </w:r>
          </w:p>
        </w:tc>
        <w:tc>
          <w:tcPr>
            <w:tcW w:w="113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lang w:val="en-US" w:eastAsia="zh-CN"/>
              </w:rPr>
            </w:pPr>
            <w:r>
              <w:rPr>
                <w:rFonts w:hint="eastAsia" w:ascii="仿宋_GB2312" w:hAnsi="仿宋_GB2312" w:eastAsia="仿宋_GB2312" w:cs="仿宋_GB2312"/>
                <w:b w:val="0"/>
                <w:bCs w:val="0"/>
                <w:i w:val="0"/>
                <w:iCs w:val="0"/>
                <w:color w:val="000000"/>
                <w:sz w:val="24"/>
                <w:szCs w:val="24"/>
                <w:u w:val="none"/>
                <w:lang w:val="en-US" w:eastAsia="zh-CN"/>
              </w:rPr>
              <w:t>不重复抽取国抽，优先抽取二级、一级社会办医疗机构</w:t>
            </w:r>
          </w:p>
        </w:tc>
        <w:tc>
          <w:tcPr>
            <w:tcW w:w="6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整体≥40%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05" w:hRule="atLeast"/>
          <w:jc w:val="center"/>
        </w:trPr>
        <w:tc>
          <w:tcPr>
            <w:tcW w:w="22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11</w:t>
            </w:r>
          </w:p>
        </w:tc>
        <w:tc>
          <w:tcPr>
            <w:tcW w:w="462"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职业卫生监督检查</w:t>
            </w: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用人单位职业卫生工作监督检查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用人单位</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24户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3%</w:t>
            </w:r>
          </w:p>
        </w:tc>
        <w:tc>
          <w:tcPr>
            <w:tcW w:w="113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b w:val="0"/>
                <w:bCs w:val="0"/>
                <w:i w:val="0"/>
                <w:iCs w:val="0"/>
                <w:color w:val="000000"/>
                <w:sz w:val="24"/>
                <w:szCs w:val="24"/>
                <w:u w:val="none"/>
                <w:lang w:val="en-US"/>
              </w:rPr>
            </w:pPr>
            <w:r>
              <w:rPr>
                <w:rFonts w:hint="eastAsia" w:ascii="仿宋_GB2312" w:hAnsi="仿宋_GB2312" w:eastAsia="仿宋_GB2312" w:cs="仿宋_GB2312"/>
                <w:b w:val="0"/>
                <w:bCs w:val="0"/>
                <w:i w:val="0"/>
                <w:iCs w:val="0"/>
                <w:color w:val="000000"/>
                <w:kern w:val="0"/>
                <w:sz w:val="24"/>
                <w:szCs w:val="24"/>
                <w:u w:val="none"/>
                <w:lang w:val="en-US" w:eastAsia="zh-CN" w:bidi="ar"/>
              </w:rPr>
              <w:t>以市卫生健康委《关于2023年2月全市职业病危害项目申报工作进展情况的通报》中的职业病危害项目申报总数（6426户）为本底，优先抽取冶金、建材、非医疗放射等职业病危害严重的用人单位，市级抽取任务一并纳入国家抽取任务统计</w:t>
            </w:r>
          </w:p>
        </w:tc>
        <w:tc>
          <w:tcPr>
            <w:tcW w:w="600"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用人单位整体≥28.8%</w:t>
            </w:r>
            <w:r>
              <w:rPr>
                <w:rFonts w:hint="eastAsia" w:ascii="仿宋_GB2312" w:hAnsi="仿宋_GB2312" w:eastAsia="仿宋_GB2312" w:cs="仿宋_GB2312"/>
                <w:b w:val="0"/>
                <w:bCs w:val="0"/>
                <w:i w:val="0"/>
                <w:iCs w:val="0"/>
                <w:color w:val="000000"/>
                <w:kern w:val="0"/>
                <w:sz w:val="24"/>
                <w:szCs w:val="24"/>
                <w:u w:val="none"/>
                <w:lang w:val="en-US" w:eastAsia="zh-CN" w:bidi="ar"/>
              </w:rPr>
              <w:br w:type="textWrapping"/>
            </w:r>
            <w:r>
              <w:rPr>
                <w:rFonts w:hint="eastAsia" w:ascii="仿宋_GB2312" w:hAnsi="仿宋_GB2312" w:eastAsia="仿宋_GB2312" w:cs="仿宋_GB2312"/>
                <w:b w:val="0"/>
                <w:bCs w:val="0"/>
                <w:i w:val="0"/>
                <w:iCs w:val="0"/>
                <w:color w:val="000000"/>
                <w:kern w:val="0"/>
                <w:sz w:val="24"/>
                <w:szCs w:val="24"/>
                <w:u w:val="none"/>
                <w:lang w:val="en-US" w:eastAsia="zh-CN" w:bidi="ar"/>
              </w:rPr>
              <w:t>其余各类100%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5"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职业健康检查工作监督检查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职业健康检查机构</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4户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市所任务外100%</w:t>
            </w:r>
          </w:p>
        </w:tc>
        <w:tc>
          <w:tcPr>
            <w:tcW w:w="1138"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sz w:val="24"/>
                <w:szCs w:val="24"/>
                <w:u w:val="none"/>
                <w:lang w:val="en-US" w:eastAsia="zh-CN"/>
              </w:rPr>
              <w:t>不重复抽取国抽</w:t>
            </w:r>
          </w:p>
        </w:tc>
        <w:tc>
          <w:tcPr>
            <w:tcW w:w="60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5"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职业病诊断工作监督检查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职业病诊断机构</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市所任务外100%</w:t>
            </w: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5"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职业病鉴定工作监督检查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职业病鉴定办事机构</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市所任务外100%</w:t>
            </w: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5"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放射卫生技术服务机构监督检查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放射卫生技术服务机构</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1户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市所任务外100%</w:t>
            </w: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5" w:hRule="atLeast"/>
          <w:jc w:val="center"/>
        </w:trPr>
        <w:tc>
          <w:tcPr>
            <w:tcW w:w="22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46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职业卫生技术服务机构工作监督检查</w:t>
            </w:r>
          </w:p>
        </w:tc>
        <w:tc>
          <w:tcPr>
            <w:tcW w:w="95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职业卫生技术服务机构</w:t>
            </w:r>
          </w:p>
        </w:tc>
        <w:tc>
          <w:tcPr>
            <w:tcW w:w="5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2户</w:t>
            </w:r>
          </w:p>
        </w:tc>
        <w:tc>
          <w:tcPr>
            <w:tcW w:w="4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val="0"/>
                <w:bCs w:val="0"/>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市所任务外100%</w:t>
            </w:r>
          </w:p>
        </w:tc>
        <w:tc>
          <w:tcPr>
            <w:tcW w:w="11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c>
          <w:tcPr>
            <w:tcW w:w="600"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b w:val="0"/>
                <w:bCs w:val="0"/>
                <w:i w:val="0"/>
                <w:iCs w:val="0"/>
                <w:color w:val="000000"/>
                <w:sz w:val="24"/>
                <w:szCs w:val="24"/>
                <w:u w:val="none"/>
              </w:rPr>
            </w:pPr>
          </w:p>
        </w:tc>
      </w:tr>
    </w:tbl>
    <w:p>
      <w:pPr>
        <w:rPr>
          <w:b w:val="0"/>
          <w:bCs w:val="0"/>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仿宋">
    <w:altName w:val="方正仿宋_GBK"/>
    <w:panose1 w:val="02010609060101010101"/>
    <w:charset w:val="00"/>
    <w:family w:val="modern"/>
    <w:pitch w:val="default"/>
    <w:sig w:usb0="00000000" w:usb1="00000000" w:usb2="00000016" w:usb3="00000000" w:csb0="00040001" w:csb1="00000000"/>
  </w:font>
  <w:font w:name="方正小标宋简体">
    <w:altName w:val="汉仪书宋二KW"/>
    <w:panose1 w:val="02000000000000000000"/>
    <w:charset w:val="00"/>
    <w:family w:val="script"/>
    <w:pitch w:val="default"/>
    <w:sig w:usb0="00000000" w:usb1="00000000" w:usb2="00000012" w:usb3="00000000" w:csb0="00040001" w:csb1="00000000"/>
  </w:font>
  <w:font w:name="仿宋_GB2312">
    <w:altName w:val="方正仿宋_GBK"/>
    <w:panose1 w:val="02010609030101010101"/>
    <w:charset w:val="00"/>
    <w:family w:val="modern"/>
    <w:pitch w:val="default"/>
    <w:sig w:usb0="00000000" w:usb1="00000000" w:usb2="00000000" w:usb3="00000000" w:csb0="00040000" w:csb1="00000000"/>
  </w:font>
  <w:font w:name="汉仪中黑KW">
    <w:panose1 w:val="00020600040101010101"/>
    <w:charset w:val="86"/>
    <w:family w:val="auto"/>
    <w:pitch w:val="default"/>
    <w:sig w:usb0="00000000" w:usb1="00000000" w:usb2="00000000" w:usb3="00000000" w:csb0="00160000" w:csb1="00000000"/>
  </w:font>
  <w:font w:name="方正仿宋_GBK">
    <w:panose1 w:val="02000000000000000000"/>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74FC35B"/>
    <w:rsid w:val="974FC3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character" w:customStyle="1" w:styleId="6">
    <w:name w:val="font01"/>
    <w:basedOn w:val="4"/>
    <w:qFormat/>
    <w:uiPriority w:val="0"/>
    <w:rPr>
      <w:rFonts w:hint="eastAsia" w:ascii="仿宋" w:hAnsi="仿宋" w:eastAsia="仿宋" w:cs="仿宋"/>
      <w:color w:val="000000"/>
      <w:sz w:val="24"/>
      <w:szCs w:val="24"/>
      <w:u w:val="none"/>
    </w:rPr>
  </w:style>
  <w:style w:type="character" w:customStyle="1" w:styleId="7">
    <w:name w:val="font51"/>
    <w:basedOn w:val="4"/>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Office_5.2.1.7798_F1E327BC-269C-435d-A152-05C5408002CA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2023-04-01T10:18:00Z</dcterms:created>
  <dc:creator>雨熹 Cisia</dc:creator>
  <cp:lastModifiedBy>雨熹 Cisia</cp:lastModifiedBy>
  <dcterms:modified xsi:type="dcterms:W3CDTF">2023-04-01T10:20:14Z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2052-5.2.1.7798</vt:lpwstr>
  </property>
  <property fmtid="{D5CDD505-2E9C-101B-9397-08002B2CF9AE}" pid="3" name="ICV">
    <vt:lpwstr>C8AF433F82AD005F71942764908E450F_41</vt:lpwstr>
  </property>
</Properties>
</file>