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黑体" w:hAnsi="黑体" w:eastAsia="黑体" w:cs="黑体"/>
          <w:sz w:val="32"/>
          <w:szCs w:val="32"/>
        </w:rPr>
      </w:pPr>
      <w:r>
        <w:rPr>
          <w:rFonts w:hint="eastAsia" w:ascii="黑体" w:hAnsi="黑体" w:eastAsia="黑体" w:cs="黑体"/>
          <w:sz w:val="32"/>
          <w:szCs w:val="32"/>
        </w:rPr>
        <w:t>附件1</w:t>
      </w:r>
    </w:p>
    <w:p>
      <w:pPr>
        <w:spacing w:line="560" w:lineRule="exact"/>
        <w:rPr>
          <w:rFonts w:ascii="宋体" w:hAnsi="宋体" w:eastAsia="FangSong_GB2312" w:cs="FangSong_GB2312"/>
          <w:sz w:val="32"/>
          <w:szCs w:val="32"/>
        </w:rPr>
      </w:pPr>
    </w:p>
    <w:p>
      <w:pPr>
        <w:spacing w:line="560" w:lineRule="exact"/>
        <w:ind w:firstLine="880" w:firstLineChars="200"/>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目标人群的定义</w:t>
      </w:r>
    </w:p>
    <w:p>
      <w:pPr>
        <w:spacing w:line="560" w:lineRule="exact"/>
        <w:ind w:firstLine="640" w:firstLineChars="200"/>
        <w:jc w:val="left"/>
        <w:rPr>
          <w:rFonts w:ascii="宋体" w:hAnsi="宋体" w:eastAsia="FangSong_GB2312" w:cs="FangSong_GB2312"/>
          <w:sz w:val="32"/>
          <w:szCs w:val="32"/>
        </w:rPr>
      </w:pPr>
    </w:p>
    <w:p>
      <w:pPr>
        <w:numPr>
          <w:ilvl w:val="0"/>
          <w:numId w:val="1"/>
        </w:numPr>
        <w:spacing w:line="560" w:lineRule="exact"/>
        <w:ind w:firstLine="640" w:firstLineChars="200"/>
        <w:jc w:val="left"/>
        <w:rPr>
          <w:rFonts w:ascii="黑体" w:hAnsi="黑体" w:eastAsia="黑体" w:cs="黑体"/>
          <w:sz w:val="32"/>
          <w:szCs w:val="32"/>
        </w:rPr>
      </w:pPr>
      <w:r>
        <w:rPr>
          <w:rFonts w:hint="eastAsia" w:ascii="黑体" w:hAnsi="黑体" w:eastAsia="黑体" w:cs="黑体"/>
          <w:sz w:val="32"/>
          <w:szCs w:val="32"/>
        </w:rPr>
        <w:t>目标人群的定义</w:t>
      </w:r>
    </w:p>
    <w:p>
      <w:pPr>
        <w:spacing w:line="560" w:lineRule="exact"/>
        <w:ind w:firstLine="640"/>
        <w:jc w:val="left"/>
        <w:rPr>
          <w:rFonts w:ascii="宋体" w:hAnsi="宋体" w:eastAsia="FangSong_GB2312" w:cs="FangSong_GB2312"/>
          <w:sz w:val="32"/>
          <w:szCs w:val="32"/>
        </w:rPr>
      </w:pPr>
      <w:r>
        <w:rPr>
          <w:rFonts w:hint="eastAsia" w:ascii="宋体" w:hAnsi="宋体" w:eastAsia="FangSong_GB2312" w:cs="FangSong_GB2312"/>
          <w:sz w:val="32"/>
          <w:szCs w:val="32"/>
        </w:rPr>
        <w:t>目标人群即有健康管理需求，通过进行早癌筛查体检可以实现有效评估患癌风险、进行自我健康管理、对各类癌症高危因素或癌前病变进行及时、有效干预等目的的人群。</w:t>
      </w:r>
    </w:p>
    <w:p>
      <w:pPr>
        <w:spacing w:line="560" w:lineRule="exact"/>
        <w:ind w:firstLine="640"/>
        <w:jc w:val="left"/>
        <w:rPr>
          <w:rFonts w:ascii="宋体" w:hAnsi="宋体" w:eastAsia="FangSong_GB2312" w:cs="FangSong_GB2312"/>
          <w:sz w:val="32"/>
          <w:szCs w:val="32"/>
        </w:rPr>
      </w:pPr>
      <w:r>
        <w:rPr>
          <w:rFonts w:hint="eastAsia" w:ascii="宋体" w:hAnsi="宋体" w:eastAsia="FangSong_GB2312" w:cs="FangSong_GB2312"/>
          <w:sz w:val="32"/>
          <w:szCs w:val="32"/>
        </w:rPr>
        <w:t>包括但不限于：</w:t>
      </w:r>
    </w:p>
    <w:p>
      <w:pPr>
        <w:numPr>
          <w:ilvl w:val="0"/>
          <w:numId w:val="2"/>
        </w:numPr>
        <w:spacing w:line="560" w:lineRule="exact"/>
        <w:ind w:firstLine="640"/>
        <w:jc w:val="left"/>
        <w:rPr>
          <w:rFonts w:ascii="宋体" w:hAnsi="宋体" w:eastAsia="FangSong_GB2312" w:cs="FangSong_GB2312"/>
          <w:sz w:val="32"/>
          <w:szCs w:val="32"/>
        </w:rPr>
      </w:pPr>
      <w:r>
        <w:rPr>
          <w:rFonts w:hint="eastAsia" w:ascii="宋体" w:hAnsi="宋体" w:eastAsia="FangSong_GB2312" w:cs="FangSong_GB2312"/>
          <w:sz w:val="32"/>
          <w:szCs w:val="32"/>
        </w:rPr>
        <w:t>符合以下任意一条或几条特征的个人：1.年龄35岁～75岁；2.有肿瘤家族史；3.有癌症高危因素接触史或职业暴露史；4.患有高血压、糖尿病、高脂血症等多项基础性疾病；5.超过3年以上未进行过全身性基础性体检；6.亚健康人群。</w:t>
      </w:r>
    </w:p>
    <w:p>
      <w:pPr>
        <w:spacing w:line="560" w:lineRule="exact"/>
        <w:ind w:firstLine="640" w:firstLineChars="200"/>
        <w:jc w:val="left"/>
        <w:rPr>
          <w:rFonts w:ascii="宋体" w:hAnsi="宋体" w:eastAsia="FangSong_GB2312" w:cs="FangSong_GB2312"/>
          <w:sz w:val="32"/>
          <w:szCs w:val="32"/>
        </w:rPr>
      </w:pPr>
      <w:r>
        <w:rPr>
          <w:rFonts w:hint="eastAsia" w:ascii="宋体" w:hAnsi="宋体" w:eastAsia="FangSong_GB2312" w:cs="FangSong_GB2312"/>
          <w:sz w:val="32"/>
          <w:szCs w:val="32"/>
        </w:rPr>
        <w:t>（二）不符合（一）所述条件，但有强烈健康保健意识，自主要求进行早癌筛查体检的个人。</w:t>
      </w:r>
    </w:p>
    <w:p>
      <w:pPr>
        <w:spacing w:line="560" w:lineRule="exact"/>
        <w:ind w:firstLine="640" w:firstLineChars="200"/>
        <w:jc w:val="left"/>
        <w:rPr>
          <w:rFonts w:ascii="宋体" w:hAnsi="宋体" w:eastAsia="FangSong_GB2312" w:cs="FangSong_GB2312"/>
          <w:sz w:val="32"/>
          <w:szCs w:val="32"/>
        </w:rPr>
      </w:pPr>
      <w:r>
        <w:rPr>
          <w:rFonts w:hint="eastAsia" w:ascii="宋体" w:hAnsi="宋体" w:eastAsia="FangSong_GB2312" w:cs="FangSong_GB2312"/>
          <w:sz w:val="32"/>
          <w:szCs w:val="32"/>
        </w:rPr>
        <w:t>（三）自愿将早癌筛查体检项目纳入到职工入职体检、职工年度体检等体检项目中的</w:t>
      </w:r>
      <w:r>
        <w:fldChar w:fldCharType="begin"/>
      </w:r>
      <w:r>
        <w:instrText xml:space="preserve"> HYPERLINK "https://www.baidu.com/link?url=HmnPJxcDOokhaVuE5Cb9qECqPDtOVuoWfAtDwfq1SRJzmC98Fk8OiKPT9QPiTsBS9UlJKzdGnlKHjFj50Q5x890zQGfSIORyxhk8K-7E-6IOl9WlXe6z5BCRRegCfNZu&amp;wd=&amp;eqid=cf56802b000da4650000000662ac58aa" \t "https://www.baidu.com/_blank" </w:instrText>
      </w:r>
      <w:r>
        <w:fldChar w:fldCharType="separate"/>
      </w:r>
      <w:r>
        <w:rPr>
          <w:rFonts w:hint="eastAsia" w:ascii="宋体" w:hAnsi="宋体" w:eastAsia="FangSong_GB2312" w:cs="FangSong_GB2312"/>
          <w:sz w:val="32"/>
          <w:szCs w:val="32"/>
        </w:rPr>
        <w:t>企事业单位、社会团体及其他社会组织</w:t>
      </w:r>
      <w:r>
        <w:rPr>
          <w:rFonts w:hint="eastAsia" w:ascii="宋体" w:hAnsi="宋体" w:eastAsia="FangSong_GB2312" w:cs="FangSong_GB2312"/>
          <w:sz w:val="32"/>
          <w:szCs w:val="32"/>
        </w:rPr>
        <w:fldChar w:fldCharType="end"/>
      </w:r>
      <w:r>
        <w:rPr>
          <w:rFonts w:hint="eastAsia" w:ascii="宋体" w:hAnsi="宋体" w:eastAsia="FangSong_GB2312" w:cs="FangSong_GB2312"/>
          <w:sz w:val="32"/>
          <w:szCs w:val="32"/>
        </w:rPr>
        <w:t>。</w:t>
      </w:r>
    </w:p>
    <w:p>
      <w:pPr>
        <w:spacing w:line="560" w:lineRule="exact"/>
        <w:ind w:firstLine="640"/>
        <w:jc w:val="left"/>
        <w:rPr>
          <w:rFonts w:ascii="黑体" w:hAnsi="黑体" w:eastAsia="黑体" w:cs="黑体"/>
          <w:sz w:val="32"/>
          <w:szCs w:val="32"/>
        </w:rPr>
      </w:pPr>
      <w:r>
        <w:rPr>
          <w:rFonts w:hint="eastAsia" w:ascii="黑体" w:hAnsi="黑体" w:eastAsia="黑体" w:cs="黑体"/>
          <w:sz w:val="32"/>
          <w:szCs w:val="32"/>
        </w:rPr>
        <w:t>二、目标人群剔除标准</w:t>
      </w:r>
    </w:p>
    <w:p>
      <w:pPr>
        <w:adjustRightInd w:val="0"/>
        <w:snapToGrid w:val="0"/>
        <w:spacing w:line="560" w:lineRule="exact"/>
        <w:ind w:firstLine="640" w:firstLineChars="200"/>
        <w:rPr>
          <w:rFonts w:ascii="宋体" w:hAnsi="宋体" w:eastAsia="FangSong_GB2312" w:cs="FangSong_GB2312"/>
          <w:sz w:val="32"/>
          <w:szCs w:val="32"/>
        </w:rPr>
      </w:pPr>
      <w:r>
        <w:rPr>
          <w:rFonts w:hint="eastAsia" w:ascii="宋体" w:hAnsi="宋体" w:eastAsia="FangSong_GB2312" w:cs="FangSong_GB2312"/>
          <w:sz w:val="32"/>
          <w:szCs w:val="32"/>
        </w:rPr>
        <w:t>符合以下任意一项条件者，即便符合目标人群的定义，仍不建议进行早癌筛查体检:</w:t>
      </w:r>
    </w:p>
    <w:p>
      <w:pPr>
        <w:pStyle w:val="3"/>
        <w:widowControl/>
        <w:wordWrap w:val="0"/>
        <w:spacing w:beforeAutospacing="0" w:afterAutospacing="0" w:line="560" w:lineRule="exact"/>
        <w:ind w:firstLine="640" w:firstLineChars="200"/>
        <w:rPr>
          <w:rFonts w:hint="default" w:eastAsia="FangSong_GB2312" w:cs="FangSong_GB2312"/>
          <w:b w:val="0"/>
          <w:bCs w:val="0"/>
          <w:sz w:val="32"/>
          <w:szCs w:val="32"/>
        </w:rPr>
      </w:pPr>
      <w:r>
        <w:rPr>
          <w:rFonts w:eastAsia="FangSong_GB2312" w:cs="FangSong_GB2312"/>
          <w:b w:val="0"/>
          <w:bCs w:val="0"/>
          <w:sz w:val="32"/>
          <w:szCs w:val="32"/>
        </w:rPr>
        <w:t>（一）不具备完全民事行为能力的人；</w:t>
      </w:r>
    </w:p>
    <w:p>
      <w:pPr>
        <w:adjustRightInd w:val="0"/>
        <w:snapToGrid w:val="0"/>
        <w:spacing w:line="560" w:lineRule="exact"/>
        <w:ind w:firstLine="640" w:firstLineChars="200"/>
        <w:rPr>
          <w:rFonts w:ascii="宋体" w:hAnsi="宋体" w:eastAsia="FangSong_GB2312" w:cs="FangSong_GB2312"/>
          <w:sz w:val="32"/>
          <w:szCs w:val="32"/>
        </w:rPr>
      </w:pPr>
      <w:r>
        <w:rPr>
          <w:rFonts w:hint="eastAsia" w:ascii="宋体" w:hAnsi="宋体" w:eastAsia="FangSong_GB2312" w:cs="FangSong_GB2312"/>
          <w:sz w:val="32"/>
          <w:szCs w:val="32"/>
        </w:rPr>
        <w:t>（二）无法完全理解早癌筛查过程中存在的风险或虽然理解风险但拒绝签署知情同意书者；</w:t>
      </w:r>
    </w:p>
    <w:p>
      <w:pPr>
        <w:adjustRightInd w:val="0"/>
        <w:snapToGrid w:val="0"/>
        <w:spacing w:line="560" w:lineRule="exact"/>
        <w:ind w:firstLine="640" w:firstLineChars="200"/>
        <w:rPr>
          <w:rFonts w:ascii="宋体" w:hAnsi="宋体" w:eastAsia="FangSong_GB2312" w:cs="FangSong_GB2312"/>
          <w:sz w:val="32"/>
          <w:szCs w:val="32"/>
        </w:rPr>
      </w:pPr>
      <w:r>
        <w:rPr>
          <w:rFonts w:hint="eastAsia" w:ascii="宋体" w:hAnsi="宋体" w:eastAsia="FangSong_GB2312" w:cs="FangSong_GB2312"/>
          <w:sz w:val="32"/>
          <w:szCs w:val="32"/>
        </w:rPr>
        <w:t>（三）年龄＞75岁，或患有严重心、脑、肺疾病或肝肾功能障碍，预计癌症筛查风险大于获益的人群；</w:t>
      </w:r>
    </w:p>
    <w:p>
      <w:pPr>
        <w:spacing w:line="560" w:lineRule="exact"/>
        <w:ind w:firstLine="640" w:firstLineChars="200"/>
        <w:jc w:val="left"/>
        <w:rPr>
          <w:rFonts w:ascii="宋体" w:hAnsi="宋体" w:eastAsia="FangSong_GB2312" w:cs="FangSong_GB2312"/>
          <w:sz w:val="32"/>
          <w:szCs w:val="32"/>
        </w:rPr>
      </w:pPr>
      <w:r>
        <w:rPr>
          <w:rFonts w:hint="eastAsia" w:ascii="宋体" w:hAnsi="宋体" w:eastAsia="FangSong_GB2312" w:cs="FangSong_GB2312"/>
          <w:sz w:val="32"/>
          <w:szCs w:val="32"/>
        </w:rPr>
        <w:t>（四）高度疑诊为恶性肿瘤者。</w:t>
      </w:r>
    </w:p>
    <w:p>
      <w:pPr>
        <w:tabs>
          <w:tab w:val="left" w:pos="547"/>
        </w:tabs>
        <w:spacing w:line="360" w:lineRule="auto"/>
        <w:rPr>
          <w:rFonts w:ascii="FangSong_GB2312" w:eastAsia="FangSong_GB2312" w:hAnsiTheme="minorEastAsia"/>
          <w:b/>
          <w:bCs/>
          <w:sz w:val="36"/>
          <w:szCs w:val="30"/>
        </w:rPr>
      </w:pPr>
    </w:p>
    <w:p>
      <w:pPr>
        <w:tabs>
          <w:tab w:val="left" w:pos="547"/>
        </w:tabs>
        <w:spacing w:line="360" w:lineRule="auto"/>
        <w:rPr>
          <w:rFonts w:ascii="FangSong_GB2312" w:eastAsia="FangSong_GB2312" w:hAnsiTheme="minorEastAsia"/>
          <w:b/>
          <w:bCs/>
          <w:sz w:val="36"/>
          <w:szCs w:val="30"/>
        </w:rPr>
      </w:pPr>
    </w:p>
    <w:p>
      <w:pPr>
        <w:tabs>
          <w:tab w:val="left" w:pos="547"/>
        </w:tabs>
        <w:spacing w:line="360" w:lineRule="auto"/>
        <w:rPr>
          <w:rFonts w:ascii="FangSong_GB2312" w:eastAsia="FangSong_GB2312" w:hAnsiTheme="minorEastAsia"/>
          <w:b/>
          <w:bCs/>
          <w:sz w:val="36"/>
          <w:szCs w:val="30"/>
        </w:rPr>
      </w:pPr>
    </w:p>
    <w:p>
      <w:pPr>
        <w:tabs>
          <w:tab w:val="left" w:pos="547"/>
        </w:tabs>
        <w:spacing w:line="360" w:lineRule="auto"/>
        <w:rPr>
          <w:rFonts w:ascii="FangSong_GB2312" w:eastAsia="FangSong_GB2312" w:hAnsiTheme="minorEastAsia"/>
          <w:b/>
          <w:bCs/>
          <w:sz w:val="36"/>
          <w:szCs w:val="30"/>
        </w:rPr>
      </w:pPr>
    </w:p>
    <w:p>
      <w:pPr>
        <w:tabs>
          <w:tab w:val="left" w:pos="547"/>
        </w:tabs>
        <w:spacing w:line="360" w:lineRule="auto"/>
        <w:rPr>
          <w:rFonts w:ascii="FangSong_GB2312" w:eastAsia="FangSong_GB2312" w:hAnsiTheme="minorEastAsia"/>
          <w:b/>
          <w:bCs/>
          <w:sz w:val="36"/>
          <w:szCs w:val="30"/>
        </w:rPr>
      </w:pPr>
    </w:p>
    <w:p>
      <w:pPr>
        <w:tabs>
          <w:tab w:val="left" w:pos="547"/>
        </w:tabs>
        <w:spacing w:line="360" w:lineRule="auto"/>
        <w:rPr>
          <w:rFonts w:ascii="FangSong_GB2312" w:eastAsia="FangSong_GB2312" w:hAnsiTheme="minorEastAsia"/>
          <w:b/>
          <w:bCs/>
          <w:sz w:val="36"/>
          <w:szCs w:val="30"/>
        </w:rPr>
        <w:sectPr>
          <w:pgSz w:w="11906" w:h="16838"/>
          <w:pgMar w:top="2098" w:right="1474" w:bottom="1701" w:left="1587" w:header="851" w:footer="992" w:gutter="0"/>
          <w:pgNumType w:fmt="decimal"/>
          <w:cols w:space="425" w:num="1"/>
          <w:docGrid w:type="lines" w:linePitch="312" w:charSpace="0"/>
        </w:sectPr>
      </w:pPr>
      <w:bookmarkStart w:id="0" w:name="_GoBack"/>
      <w:bookmarkEnd w:id="0"/>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FangSong_GB2312">
    <w:altName w:val="仿宋_GB2312"/>
    <w:panose1 w:val="02010609030101010101"/>
    <w:charset w:val="86"/>
    <w:family w:val="auto"/>
    <w:pitch w:val="default"/>
    <w:sig w:usb0="00000000" w:usb1="00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E8E467"/>
    <w:multiLevelType w:val="singleLevel"/>
    <w:tmpl w:val="C2E8E467"/>
    <w:lvl w:ilvl="0" w:tentative="0">
      <w:start w:val="1"/>
      <w:numFmt w:val="chineseCounting"/>
      <w:suff w:val="nothing"/>
      <w:lvlText w:val="%1、"/>
      <w:lvlJc w:val="left"/>
      <w:rPr>
        <w:rFonts w:hint="eastAsia"/>
      </w:rPr>
    </w:lvl>
  </w:abstractNum>
  <w:abstractNum w:abstractNumId="1">
    <w:nsid w:val="F6A58A25"/>
    <w:multiLevelType w:val="singleLevel"/>
    <w:tmpl w:val="F6A58A25"/>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JlNzdiMDg4Yjc3ZGQ4NGYxNzJmYmUxMjZkNTQyMjEifQ=="/>
  </w:docVars>
  <w:rsids>
    <w:rsidRoot w:val="00000000"/>
    <w:rsid w:val="17A90B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1"/>
    <w:unhideWhenUsed/>
    <w:qFormat/>
    <w:uiPriority w:val="99"/>
    <w:pPr>
      <w:ind w:firstLine="420" w:firstLineChars="200"/>
    </w:pPr>
    <w:rPr>
      <w:rFonts w:ascii="Calibri" w:hAnsi="Calibri" w:eastAsia="仿宋_GB2312" w:cs="Times New Roman"/>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2022-08-22T09:20:24Z</dcterms:created>
  <dc:creator>Administrator</dc:creator>
  <cp:lastModifiedBy>德芬郡奶油</cp:lastModifiedBy>
  <dcterms:modified xsi:type="dcterms:W3CDTF">2022-08-22T09:20:33Z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3B99CDBBEB93447DBAC9CA6C97DAA64F</vt:lpwstr>
  </property>
</Properties>
</file>