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0" w:beforeAutospacing="0" w:after="0" w:afterAutospacing="0" w:line="580" w:lineRule="exact"/>
        <w:rPr>
          <w:rFonts w:hint="default" w:ascii="黑体" w:hAnsi="黑体" w:eastAsia="黑体"/>
          <w:b w:val="0"/>
          <w:bCs/>
          <w:sz w:val="32"/>
          <w:szCs w:val="32"/>
        </w:rPr>
      </w:pPr>
      <w:r>
        <w:rPr>
          <w:rFonts w:ascii="黑体" w:hAnsi="黑体" w:eastAsia="黑体"/>
          <w:b w:val="0"/>
          <w:bCs/>
          <w:sz w:val="32"/>
          <w:szCs w:val="32"/>
        </w:rPr>
        <w:t>附件</w:t>
      </w:r>
    </w:p>
    <w:p>
      <w:pPr>
        <w:pStyle w:val="4"/>
        <w:widowControl/>
        <w:spacing w:before="0" w:beforeAutospacing="0" w:after="0" w:afterAutospacing="0" w:line="580" w:lineRule="exact"/>
        <w:rPr>
          <w:rFonts w:hint="default" w:ascii="黑体" w:hAnsi="黑体" w:eastAsia="黑体"/>
          <w:sz w:val="28"/>
          <w:szCs w:val="28"/>
        </w:rPr>
      </w:pPr>
    </w:p>
    <w:p>
      <w:pPr>
        <w:pStyle w:val="5"/>
        <w:spacing w:before="0" w:after="0" w:line="580" w:lineRule="exact"/>
        <w:rPr>
          <w:rFonts w:ascii="方正小标宋简体" w:hAnsi="方正小标宋简体" w:cs="方正小标宋简体"/>
          <w:sz w:val="40"/>
        </w:rPr>
      </w:pPr>
      <w:bookmarkStart w:id="0" w:name="_GoBack"/>
      <w:r>
        <w:rPr>
          <w:rFonts w:hint="eastAsia" w:ascii="方正小标宋简体" w:hAnsi="方正小标宋简体" w:cs="方正小标宋简体"/>
          <w:sz w:val="40"/>
        </w:rPr>
        <w:t>自治区医保局关于做好医用耗材产品(含检测试剂)挂网有关工作的通知（征求意见稿）</w:t>
      </w:r>
      <w:bookmarkEnd w:id="0"/>
    </w:p>
    <w:p>
      <w:pPr>
        <w:spacing w:line="580" w:lineRule="exact"/>
      </w:pPr>
    </w:p>
    <w:p>
      <w:pPr>
        <w:pStyle w:val="3"/>
        <w:spacing w:line="580" w:lineRule="exact"/>
        <w:ind w:firstLine="0" w:firstLineChars="0"/>
        <w:rPr>
          <w:rFonts w:hint="eastAsia" w:ascii="仿宋_GB2312"/>
        </w:rPr>
      </w:pPr>
      <w:r>
        <w:rPr>
          <w:rFonts w:hint="eastAsia" w:ascii="仿宋_GB2312"/>
        </w:rPr>
        <w:t>各市医疗保障局，自治区公共资源交易中心，数字广西集团有限公司，区直及解放军、武警部队驻桂医疗机构，各有关企业：</w:t>
      </w:r>
    </w:p>
    <w:p>
      <w:pPr>
        <w:pStyle w:val="3"/>
        <w:spacing w:line="580" w:lineRule="exact"/>
        <w:ind w:firstLine="640"/>
        <w:rPr>
          <w:rFonts w:hint="eastAsia" w:ascii="仿宋_GB2312"/>
        </w:rPr>
      </w:pPr>
      <w:r>
        <w:rPr>
          <w:rFonts w:hint="eastAsia" w:ascii="仿宋_GB2312"/>
        </w:rPr>
        <w:t>根据中共中央、国务院和自治区党委、自治区人民政府关于深化医疗保障制度改革的意见精神，按照国家医保局等六部门《关于开展国家组织高值医用耗材带量采购和使用的指导意见》（医保发〔2021〕31号）要求，为进一步优化营商环境，规范医用耗材采购行为，降低医用耗材虚高价格，创新平台服务方式，现将医用耗材产品挂网有关工作通知如下：</w:t>
      </w:r>
    </w:p>
    <w:p>
      <w:pPr>
        <w:pStyle w:val="2"/>
        <w:numPr>
          <w:ilvl w:val="0"/>
          <w:numId w:val="1"/>
        </w:numPr>
        <w:spacing w:line="580" w:lineRule="exact"/>
        <w:ind w:left="1567" w:hanging="720" w:firstLineChars="0"/>
      </w:pPr>
      <w:r>
        <w:rPr>
          <w:rFonts w:hint="eastAsia"/>
        </w:rPr>
        <w:t>挂网</w:t>
      </w:r>
      <w:r>
        <w:t>范围</w:t>
      </w:r>
    </w:p>
    <w:p>
      <w:pPr>
        <w:pStyle w:val="3"/>
        <w:spacing w:line="580" w:lineRule="exact"/>
        <w:ind w:firstLine="640"/>
        <w:rPr>
          <w:rFonts w:hint="eastAsia" w:ascii="仿宋_GB2312"/>
        </w:rPr>
      </w:pPr>
      <w:r>
        <w:rPr>
          <w:rFonts w:hint="eastAsia" w:ascii="仿宋_GB2312"/>
        </w:rPr>
        <w:t>获得药品监督管理部门注册批准，医疗机构临床所需的医用耗材。医用耗材按照国家医疗保障局发布的《医保医用耗材分类与代码》管理，挂网医用耗材（含检测试剂，下同）申报主体以国家医保医用耗材编码申报企业为准，挂网产品需有五个省级挂网价格或省级招标价格。</w:t>
      </w:r>
    </w:p>
    <w:p>
      <w:pPr>
        <w:pStyle w:val="3"/>
        <w:spacing w:line="580" w:lineRule="exact"/>
        <w:ind w:firstLine="640"/>
        <w:rPr>
          <w:rFonts w:hint="eastAsia" w:ascii="仿宋_GB2312"/>
        </w:rPr>
      </w:pPr>
      <w:r>
        <w:rPr>
          <w:rFonts w:hint="eastAsia" w:ascii="仿宋_GB2312"/>
        </w:rPr>
        <w:t>存在以下情形的医用耗材不得挂网：</w:t>
      </w:r>
    </w:p>
    <w:p>
      <w:pPr>
        <w:pStyle w:val="3"/>
        <w:spacing w:line="580" w:lineRule="exact"/>
        <w:ind w:firstLine="640"/>
        <w:rPr>
          <w:rFonts w:hint="eastAsia" w:ascii="仿宋_GB2312"/>
        </w:rPr>
      </w:pPr>
      <w:r>
        <w:rPr>
          <w:rFonts w:hint="eastAsia" w:ascii="仿宋_GB2312"/>
        </w:rPr>
        <w:t>1.截止申请之日，前两年内因质量等问题被省级及以上药品监督管理部门处罚或被国家药品监督管理部门抽检出现质量检验不合格的医用耗材；</w:t>
      </w:r>
    </w:p>
    <w:p>
      <w:pPr>
        <w:pStyle w:val="3"/>
        <w:spacing w:line="580" w:lineRule="exact"/>
        <w:ind w:firstLine="640"/>
        <w:rPr>
          <w:rFonts w:hint="eastAsia" w:ascii="仿宋_GB2312"/>
        </w:rPr>
      </w:pPr>
      <w:r>
        <w:rPr>
          <w:rFonts w:hint="eastAsia" w:ascii="仿宋_GB2312"/>
        </w:rPr>
        <w:t>2.按照现行医药价格和招采信用评价制度规定不得挂网的医用耗材；</w:t>
      </w:r>
    </w:p>
    <w:p>
      <w:pPr>
        <w:pStyle w:val="3"/>
        <w:spacing w:line="580" w:lineRule="exact"/>
        <w:ind w:firstLine="640"/>
        <w:rPr>
          <w:rFonts w:hint="eastAsia" w:ascii="仿宋_GB2312"/>
        </w:rPr>
      </w:pPr>
      <w:r>
        <w:rPr>
          <w:rFonts w:hint="eastAsia" w:ascii="仿宋_GB2312"/>
        </w:rPr>
        <w:t>3.按照相关法律法规或政策规定，不得参与医用耗材集中采购的医用耗材；</w:t>
      </w:r>
    </w:p>
    <w:p>
      <w:pPr>
        <w:pStyle w:val="3"/>
        <w:spacing w:line="580" w:lineRule="exact"/>
        <w:ind w:firstLine="640"/>
        <w:rPr>
          <w:rFonts w:hint="eastAsia" w:ascii="仿宋_GB2312"/>
        </w:rPr>
      </w:pPr>
      <w:r>
        <w:rPr>
          <w:rFonts w:hint="eastAsia" w:ascii="仿宋_GB2312"/>
        </w:rPr>
        <w:t>4.国家或自治区医保局认定的其他不符合规定的医用耗材。</w:t>
      </w:r>
    </w:p>
    <w:p>
      <w:pPr>
        <w:pStyle w:val="2"/>
        <w:spacing w:line="580" w:lineRule="exact"/>
        <w:ind w:firstLine="640"/>
      </w:pPr>
      <w:r>
        <w:rPr>
          <w:rFonts w:hint="eastAsia"/>
        </w:rPr>
        <w:t>二、价格管理</w:t>
      </w:r>
    </w:p>
    <w:p>
      <w:pPr>
        <w:pStyle w:val="3"/>
        <w:spacing w:line="580" w:lineRule="exact"/>
        <w:ind w:firstLine="640"/>
      </w:pPr>
      <w:r>
        <w:rPr>
          <w:rFonts w:hint="eastAsia"/>
        </w:rPr>
        <w:t>（一）国家、广西（含省际联盟）组织带量采购的医用耗材（含检测试剂），以中选广西价格挂网；</w:t>
      </w:r>
    </w:p>
    <w:p>
      <w:pPr>
        <w:pStyle w:val="3"/>
        <w:spacing w:line="580" w:lineRule="exact"/>
        <w:ind w:firstLine="640"/>
      </w:pPr>
      <w:r>
        <w:rPr>
          <w:rFonts w:hint="eastAsia"/>
        </w:rPr>
        <w:t>（二）其他医用耗材的挂网价格由企业承诺，按不高于该企业产品其他五个省级挂网最低价挂网；</w:t>
      </w:r>
      <w:r>
        <w:rPr>
          <w:rFonts w:hint="eastAsia" w:ascii="仿宋_GB2312" w:hAnsi="仿宋_GB2312" w:cs="仿宋_GB2312"/>
          <w:bCs/>
          <w:szCs w:val="32"/>
        </w:rPr>
        <w:t>挂网后，</w:t>
      </w:r>
      <w:r>
        <w:rPr>
          <w:rFonts w:hint="eastAsia"/>
        </w:rPr>
        <w:t>医疗机构按不高于挂网价格进行议价采购。不能提供其他五省最低挂挂网价格的其他医用耗材，由企业承诺，按不高于该企业产品国内最低价挂网。</w:t>
      </w:r>
    </w:p>
    <w:p>
      <w:pPr>
        <w:pStyle w:val="3"/>
        <w:spacing w:line="580" w:lineRule="exact"/>
        <w:ind w:firstLine="640"/>
        <w:rPr>
          <w:rFonts w:ascii="仿宋_GB2312" w:hAnsi="仿宋_GB2312" w:cs="仿宋_GB2312"/>
          <w:bCs/>
          <w:szCs w:val="32"/>
        </w:rPr>
      </w:pPr>
      <w:r>
        <w:rPr>
          <w:rFonts w:hint="eastAsia"/>
        </w:rPr>
        <w:t>（三）</w:t>
      </w:r>
      <w:r>
        <w:rPr>
          <w:rFonts w:hint="eastAsia" w:ascii="仿宋_GB2312" w:hAnsi="仿宋_GB2312" w:cs="仿宋_GB2312"/>
          <w:bCs/>
          <w:szCs w:val="32"/>
        </w:rPr>
        <w:t>企业在外省省级挂网价低于在我区挂网价的，应于30日内提出价格调整申请。</w:t>
      </w:r>
    </w:p>
    <w:p>
      <w:pPr>
        <w:pStyle w:val="2"/>
        <w:spacing w:line="580" w:lineRule="exact"/>
        <w:ind w:firstLine="640"/>
      </w:pPr>
      <w:r>
        <w:rPr>
          <w:rFonts w:hint="eastAsia"/>
        </w:rPr>
        <w:t>三、创新医用耗材的采购</w:t>
      </w:r>
    </w:p>
    <w:p>
      <w:pPr>
        <w:pStyle w:val="3"/>
        <w:spacing w:line="580" w:lineRule="exact"/>
        <w:ind w:firstLine="640"/>
      </w:pPr>
      <w:r>
        <w:rPr>
          <w:rFonts w:hint="eastAsia"/>
        </w:rPr>
        <w:t>临床急需高值医用耗材原则上由区内三级公立医疗卫生机构申请；低值医用耗材和体外诊断试剂原则上由区内二级及以上公立医疗卫生机构申请，实行备案采购。</w:t>
      </w:r>
    </w:p>
    <w:p>
      <w:pPr>
        <w:pStyle w:val="3"/>
        <w:spacing w:line="580" w:lineRule="exact"/>
        <w:ind w:firstLine="640"/>
      </w:pPr>
      <w:r>
        <w:rPr>
          <w:rFonts w:hint="eastAsia"/>
        </w:rPr>
        <w:t>申报企业应填报截至价格申报之日的外省最低集中采购挂网价或中标价（若无外省集中采购挂网价或中标价的可不提供）。</w:t>
      </w:r>
    </w:p>
    <w:p>
      <w:pPr>
        <w:pStyle w:val="2"/>
        <w:spacing w:line="580" w:lineRule="exact"/>
        <w:ind w:firstLine="640"/>
      </w:pPr>
      <w:r>
        <w:rPr>
          <w:rFonts w:hint="eastAsia"/>
        </w:rPr>
        <w:t>四、挂网平台</w:t>
      </w:r>
    </w:p>
    <w:p>
      <w:pPr>
        <w:pStyle w:val="3"/>
        <w:spacing w:line="580" w:lineRule="exact"/>
        <w:ind w:firstLine="640"/>
      </w:pPr>
      <w:r>
        <w:rPr>
          <w:rFonts w:hint="eastAsia"/>
        </w:rPr>
        <w:t>逐步推进实现所有医用耗材在国家医保局部署的全国医保信息平台（广西）挂网。在未实现之前，国家、广西（含省际联盟）组织带量采购的医用耗材，在广西药品集团采购服务平台挂网；其他医用耗材，在广西药械</w:t>
      </w:r>
      <w:r>
        <w:rPr>
          <w:rFonts w:hint="eastAsia"/>
          <w:lang w:eastAsia="zh-CN"/>
        </w:rPr>
        <w:t>集中采购</w:t>
      </w:r>
      <w:r>
        <w:rPr>
          <w:rFonts w:hint="eastAsia"/>
        </w:rPr>
        <w:t>网挂网。</w:t>
      </w:r>
    </w:p>
    <w:p>
      <w:pPr>
        <w:pStyle w:val="2"/>
        <w:spacing w:line="580" w:lineRule="exact"/>
        <w:ind w:firstLine="640"/>
      </w:pPr>
      <w:r>
        <w:rPr>
          <w:rFonts w:hint="eastAsia"/>
        </w:rPr>
        <w:t>五、工作要求</w:t>
      </w:r>
    </w:p>
    <w:p>
      <w:pPr>
        <w:pStyle w:val="3"/>
        <w:spacing w:line="580" w:lineRule="exact"/>
        <w:ind w:firstLine="640"/>
      </w:pPr>
      <w:r>
        <w:rPr>
          <w:rFonts w:hint="eastAsia"/>
        </w:rPr>
        <w:t>（一）全区所有定点医疗机构必须参加医用耗材挂网采购，通过平台网上采购。鼓励其他医疗机构参与。</w:t>
      </w:r>
    </w:p>
    <w:p>
      <w:pPr>
        <w:pStyle w:val="3"/>
        <w:spacing w:line="580" w:lineRule="exact"/>
        <w:ind w:firstLine="640"/>
      </w:pPr>
      <w:r>
        <w:rPr>
          <w:rFonts w:hint="eastAsia"/>
        </w:rPr>
        <w:t>（二）企业要履行承诺，做到诚信经营，如实填报，积极响应。出现在申报、采购和配送各环节弄虚作假或违法违规的，按照医药价格和招采信用评价制度相关规定处理。</w:t>
      </w:r>
    </w:p>
    <w:p>
      <w:pPr>
        <w:pStyle w:val="3"/>
        <w:spacing w:line="580" w:lineRule="exact"/>
        <w:ind w:firstLine="640"/>
      </w:pPr>
      <w:r>
        <w:rPr>
          <w:rFonts w:hint="eastAsia"/>
        </w:rPr>
        <w:t>（三）认真做好资质材料审核、公示工作，并及时受理和处理企业申投诉，定期开展议价、采购情况统计分析，收集、汇总、反馈信用评价制度相关信息。</w:t>
      </w:r>
    </w:p>
    <w:p>
      <w:pPr>
        <w:pStyle w:val="3"/>
        <w:spacing w:line="580" w:lineRule="exact"/>
        <w:ind w:firstLine="640"/>
        <w:rPr>
          <w:rFonts w:hint="eastAsia" w:ascii="仿宋_GB2312"/>
          <w:szCs w:val="32"/>
        </w:rPr>
      </w:pPr>
      <w:r>
        <w:rPr>
          <w:rFonts w:hint="eastAsia" w:ascii="仿宋_GB2312"/>
          <w:szCs w:val="32"/>
        </w:rPr>
        <w:t>（四）各级医疗保障部门要加强医用耗材采购供应情况的日常监测，强化监督指导。充分发挥集中带量采购在深化医疗服务供给侧改革中的引领作用，对条件成熟的医用耗材品种开展带量采购。</w:t>
      </w:r>
    </w:p>
    <w:p>
      <w:pPr>
        <w:pStyle w:val="3"/>
        <w:spacing w:line="580" w:lineRule="exact"/>
        <w:ind w:firstLine="640"/>
        <w:rPr>
          <w:rFonts w:hint="eastAsia" w:ascii="仿宋_GB2312"/>
          <w:szCs w:val="32"/>
        </w:rPr>
      </w:pPr>
      <w:r>
        <w:rPr>
          <w:rFonts w:hint="eastAsia" w:ascii="仿宋_GB2312"/>
          <w:szCs w:val="32"/>
        </w:rPr>
        <w:t>本通知自2022年1月1日起执行。</w:t>
      </w:r>
    </w:p>
    <w:p>
      <w:pPr>
        <w:pStyle w:val="3"/>
        <w:wordWrap/>
        <w:spacing w:line="580" w:lineRule="exact"/>
        <w:ind w:firstLine="640"/>
        <w:jc w:val="both"/>
        <w:rPr>
          <w:rFonts w:hint="eastAsia" w:ascii="仿宋_GB2312"/>
          <w:szCs w:val="32"/>
        </w:rPr>
      </w:pPr>
    </w:p>
    <w:p>
      <w:pPr>
        <w:pStyle w:val="3"/>
        <w:wordWrap/>
        <w:spacing w:line="580" w:lineRule="exact"/>
        <w:ind w:firstLine="640"/>
        <w:jc w:val="both"/>
        <w:rPr>
          <w:rFonts w:hint="eastAsia" w:ascii="仿宋_GB2312"/>
          <w:szCs w:val="32"/>
        </w:rPr>
      </w:pPr>
    </w:p>
    <w:p>
      <w:pPr>
        <w:pStyle w:val="3"/>
        <w:wordWrap/>
        <w:spacing w:line="580" w:lineRule="exact"/>
        <w:ind w:firstLine="640"/>
        <w:jc w:val="both"/>
        <w:rPr>
          <w:rFonts w:hint="eastAsia" w:ascii="仿宋_GB2312"/>
          <w:szCs w:val="32"/>
        </w:rPr>
      </w:pPr>
    </w:p>
    <w:p>
      <w:pPr>
        <w:pStyle w:val="3"/>
        <w:wordWrap/>
        <w:spacing w:line="580" w:lineRule="exact"/>
        <w:ind w:firstLine="4480" w:firstLineChars="1400"/>
        <w:jc w:val="both"/>
        <w:rPr>
          <w:rFonts w:hint="eastAsia" w:ascii="仿宋_GB2312"/>
          <w:szCs w:val="32"/>
        </w:rPr>
      </w:pPr>
      <w:r>
        <w:rPr>
          <w:rFonts w:hint="eastAsia" w:ascii="仿宋_GB2312"/>
          <w:szCs w:val="32"/>
        </w:rPr>
        <w:t>广西壮族自治区医疗保障局</w:t>
      </w:r>
    </w:p>
    <w:p>
      <w:pPr>
        <w:spacing w:line="580" w:lineRule="exact"/>
        <w:ind w:left="-63" w:leftChars="-30" w:firstLine="5280" w:firstLineChars="1650"/>
      </w:pPr>
      <w:r>
        <w:rPr>
          <w:rFonts w:hint="eastAsia" w:ascii="仿宋_GB2312" w:eastAsia="仿宋_GB2312"/>
          <w:sz w:val="32"/>
          <w:szCs w:val="32"/>
        </w:rPr>
        <w:t>2021年12月</w:t>
      </w:r>
      <w:r>
        <w:rPr>
          <w:rFonts w:hint="eastAsia" w:ascii="仿宋_GB2312" w:eastAsia="仿宋_GB2312"/>
          <w:sz w:val="32"/>
          <w:szCs w:val="32"/>
          <w:lang w:val="en-US" w:eastAsia="zh-CN"/>
        </w:rPr>
        <w:t xml:space="preserve"> </w:t>
      </w:r>
      <w:r>
        <w:rPr>
          <w:rFonts w:hint="eastAsia" w:ascii="仿宋_GB2312" w:eastAsia="仿宋_GB2312"/>
          <w:sz w:val="32"/>
          <w:szCs w:val="32"/>
        </w:rPr>
        <w:t>日</w:t>
      </w:r>
    </w:p>
    <w:sectPr>
      <w:pgSz w:w="11906" w:h="16838"/>
      <w:pgMar w:top="1928" w:right="1417" w:bottom="1814" w:left="1417" w:header="851" w:footer="1134" w:gutter="0"/>
      <w:cols w:space="0" w:num="1"/>
      <w:rtlGutter w:val="0"/>
      <w:docGrid w:type="lines" w:linePitch="4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9F79CF"/>
    <w:multiLevelType w:val="multilevel"/>
    <w:tmpl w:val="679F79CF"/>
    <w:lvl w:ilvl="0" w:tentative="0">
      <w:start w:val="1"/>
      <w:numFmt w:val="japaneseCounting"/>
      <w:lvlText w:val="%1、"/>
      <w:lvlJc w:val="left"/>
      <w:pPr>
        <w:ind w:left="1567" w:hanging="720"/>
      </w:pPr>
      <w:rPr>
        <w:rFonts w:hint="default"/>
      </w:rPr>
    </w:lvl>
    <w:lvl w:ilvl="1" w:tentative="0">
      <w:start w:val="1"/>
      <w:numFmt w:val="lowerLetter"/>
      <w:lvlText w:val="%2)"/>
      <w:lvlJc w:val="left"/>
      <w:pPr>
        <w:ind w:left="1687" w:hanging="420"/>
      </w:pPr>
    </w:lvl>
    <w:lvl w:ilvl="2" w:tentative="0">
      <w:start w:val="1"/>
      <w:numFmt w:val="lowerRoman"/>
      <w:lvlText w:val="%3."/>
      <w:lvlJc w:val="right"/>
      <w:pPr>
        <w:ind w:left="2107" w:hanging="420"/>
      </w:pPr>
    </w:lvl>
    <w:lvl w:ilvl="3" w:tentative="0">
      <w:start w:val="1"/>
      <w:numFmt w:val="decimal"/>
      <w:lvlText w:val="%4."/>
      <w:lvlJc w:val="left"/>
      <w:pPr>
        <w:ind w:left="2527" w:hanging="420"/>
      </w:pPr>
    </w:lvl>
    <w:lvl w:ilvl="4" w:tentative="0">
      <w:start w:val="1"/>
      <w:numFmt w:val="lowerLetter"/>
      <w:lvlText w:val="%5)"/>
      <w:lvlJc w:val="left"/>
      <w:pPr>
        <w:ind w:left="2947" w:hanging="420"/>
      </w:pPr>
    </w:lvl>
    <w:lvl w:ilvl="5" w:tentative="0">
      <w:start w:val="1"/>
      <w:numFmt w:val="lowerRoman"/>
      <w:lvlText w:val="%6."/>
      <w:lvlJc w:val="right"/>
      <w:pPr>
        <w:ind w:left="3367" w:hanging="420"/>
      </w:pPr>
    </w:lvl>
    <w:lvl w:ilvl="6" w:tentative="0">
      <w:start w:val="1"/>
      <w:numFmt w:val="decimal"/>
      <w:lvlText w:val="%7."/>
      <w:lvlJc w:val="left"/>
      <w:pPr>
        <w:ind w:left="3787" w:hanging="420"/>
      </w:pPr>
    </w:lvl>
    <w:lvl w:ilvl="7" w:tentative="0">
      <w:start w:val="1"/>
      <w:numFmt w:val="lowerLetter"/>
      <w:lvlText w:val="%8)"/>
      <w:lvlJc w:val="left"/>
      <w:pPr>
        <w:ind w:left="4207" w:hanging="420"/>
      </w:pPr>
    </w:lvl>
    <w:lvl w:ilvl="8" w:tentative="0">
      <w:start w:val="1"/>
      <w:numFmt w:val="lowerRoman"/>
      <w:lvlText w:val="%9."/>
      <w:lvlJc w:val="right"/>
      <w:pPr>
        <w:ind w:left="462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9F5A63"/>
    <w:rsid w:val="24171F74"/>
    <w:rsid w:val="7E9F5A6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3"/>
    <w:qFormat/>
    <w:uiPriority w:val="0"/>
    <w:pPr>
      <w:spacing w:line="560" w:lineRule="exact"/>
      <w:ind w:firstLine="200" w:firstLineChars="200"/>
      <w:outlineLvl w:val="0"/>
    </w:pPr>
    <w:rPr>
      <w:rFonts w:eastAsia="黑体"/>
      <w:sz w:val="32"/>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b/>
      <w:kern w:val="0"/>
      <w:sz w:val="36"/>
      <w:szCs w:val="36"/>
    </w:rPr>
  </w:style>
  <w:style w:type="character" w:default="1" w:styleId="6">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customStyle="1" w:styleId="3">
    <w:name w:val="正文内容"/>
    <w:basedOn w:val="1"/>
    <w:qFormat/>
    <w:uiPriority w:val="0"/>
    <w:pPr>
      <w:spacing w:line="560" w:lineRule="exact"/>
      <w:ind w:firstLine="200" w:firstLineChars="200"/>
    </w:pPr>
    <w:rPr>
      <w:rFonts w:ascii="Times New Roman" w:hAnsi="Times New Roman" w:eastAsia="仿宋_GB2312"/>
      <w:sz w:val="32"/>
    </w:rPr>
  </w:style>
  <w:style w:type="paragraph" w:styleId="5">
    <w:name w:val="Title"/>
    <w:basedOn w:val="1"/>
    <w:next w:val="1"/>
    <w:qFormat/>
    <w:uiPriority w:val="0"/>
    <w:pPr>
      <w:spacing w:before="240" w:after="240" w:line="660" w:lineRule="exact"/>
      <w:jc w:val="center"/>
      <w:outlineLvl w:val="0"/>
    </w:pPr>
    <w:rPr>
      <w:rFonts w:ascii="Times New Roman" w:hAnsi="Times New Roman" w:eastAsia="方正小标宋简体" w:cstheme="majorBidi"/>
      <w:bCs/>
      <w:sz w:val="44"/>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gxnews</Company>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2021-12-08T07:23:00Z</dcterms:created>
  <dc:creator>dengd</dc:creator>
  <cp:lastModifiedBy>dengd</cp:lastModifiedBy>
  <dcterms:modified xsi:type="dcterms:W3CDTF">2021-12-08T07:24:10Z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