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r>
        <w:rPr>
          <w:rFonts w:hint="eastAsia" w:ascii="微软雅黑" w:hAnsi="微软雅黑" w:eastAsia="微软雅黑" w:cs="微软雅黑"/>
          <w:color w:val="000000"/>
          <w:kern w:val="0"/>
          <w:sz w:val="48"/>
          <w:szCs w:val="48"/>
          <w:lang w:val="en-US" w:eastAsia="zh-CN" w:bidi="ar"/>
        </w:rPr>
        <w:t>十二省（区、市）骨科创伤类医用耗材医院需求量填报系统</w:t>
      </w: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r>
        <w:rPr>
          <w:rFonts w:hint="eastAsia" w:ascii="微软雅黑" w:hAnsi="微软雅黑" w:eastAsia="微软雅黑" w:cs="微软雅黑"/>
          <w:color w:val="000000"/>
          <w:kern w:val="0"/>
          <w:sz w:val="48"/>
          <w:szCs w:val="48"/>
          <w:lang w:val="en-US" w:eastAsia="zh-CN" w:bidi="ar"/>
        </w:rPr>
        <w:t>医疗机构操作手册</w:t>
      </w: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3"/>
          <w:szCs w:val="43"/>
          <w:lang w:val="en-US" w:eastAsia="zh-CN" w:bidi="ar"/>
        </w:rPr>
      </w:pPr>
      <w:r>
        <w:rPr>
          <w:rFonts w:hint="default" w:ascii="Times New Roman" w:hAnsi="Times New Roman" w:eastAsia="宋体" w:cs="Times New Roman"/>
          <w:color w:val="000000"/>
          <w:kern w:val="0"/>
          <w:sz w:val="43"/>
          <w:szCs w:val="43"/>
          <w:lang w:val="en-US" w:eastAsia="zh-CN" w:bidi="ar"/>
        </w:rPr>
        <w:t>202</w:t>
      </w:r>
      <w:r>
        <w:rPr>
          <w:rFonts w:hint="eastAsia" w:ascii="Times New Roman" w:hAnsi="Times New Roman" w:eastAsia="宋体" w:cs="Times New Roman"/>
          <w:color w:val="000000"/>
          <w:kern w:val="0"/>
          <w:sz w:val="43"/>
          <w:szCs w:val="43"/>
          <w:lang w:val="en-US" w:eastAsia="zh-CN" w:bidi="ar"/>
        </w:rPr>
        <w:t>1</w:t>
      </w:r>
      <w:r>
        <w:rPr>
          <w:rFonts w:ascii="微软雅黑" w:hAnsi="微软雅黑" w:eastAsia="微软雅黑" w:cs="微软雅黑"/>
          <w:color w:val="000000"/>
          <w:kern w:val="0"/>
          <w:sz w:val="43"/>
          <w:szCs w:val="43"/>
          <w:lang w:val="en-US" w:eastAsia="zh-CN" w:bidi="ar"/>
        </w:rPr>
        <w:t>年</w:t>
      </w:r>
      <w:r>
        <w:rPr>
          <w:rFonts w:hint="eastAsia" w:ascii="Times New Roman" w:hAnsi="Times New Roman" w:eastAsia="宋体" w:cs="Times New Roman"/>
          <w:color w:val="000000"/>
          <w:kern w:val="0"/>
          <w:sz w:val="43"/>
          <w:szCs w:val="43"/>
          <w:lang w:val="en-US" w:eastAsia="zh-CN" w:bidi="ar"/>
        </w:rPr>
        <w:t>6</w:t>
      </w:r>
      <w:r>
        <w:rPr>
          <w:rFonts w:hint="eastAsia" w:ascii="微软雅黑" w:hAnsi="微软雅黑" w:eastAsia="微软雅黑" w:cs="微软雅黑"/>
          <w:color w:val="000000"/>
          <w:kern w:val="0"/>
          <w:sz w:val="43"/>
          <w:szCs w:val="43"/>
          <w:lang w:val="en-US" w:eastAsia="zh-CN" w:bidi="ar"/>
        </w:rPr>
        <w:t>月</w:t>
      </w: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4"/>
          <w:lang w:val="en-US" w:eastAsia="zh-CN" w:bidi="ar-SA"/>
        </w:rPr>
        <w:id w:val="147468980"/>
        <w15:color w:val="DBDBDB"/>
        <w:docPartObj>
          <w:docPartGallery w:val="Table of Contents"/>
          <w:docPartUnique/>
        </w:docPartObj>
      </w:sdtPr>
      <w:sdtEndPr>
        <w:rPr>
          <w:rFonts w:hint="eastAsia" w:ascii="仿宋" w:hAnsi="仿宋" w:eastAsia="仿宋" w:cstheme="minorBidi"/>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sz w:val="28"/>
              <w:szCs w:val="28"/>
            </w:rPr>
          </w:pPr>
          <w:r>
            <w:rPr>
              <w:rFonts w:hint="eastAsia" w:ascii="仿宋" w:hAnsi="仿宋" w:eastAsia="仿宋" w:cs="仿宋"/>
              <w:sz w:val="28"/>
              <w:szCs w:val="28"/>
            </w:rPr>
            <w:t>目录</w:t>
          </w:r>
        </w:p>
        <w:p>
          <w:pPr>
            <w:pStyle w:val="4"/>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"1-3" \h \u </w:instrText>
          </w:r>
          <w:r>
            <w:rPr>
              <w:rFonts w:hint="eastAsia" w:ascii="仿宋" w:hAnsi="仿宋" w:eastAsia="仿宋" w:cs="仿宋"/>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_Toc6622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28"/>
              <w:lang w:val="en-US" w:eastAsia="zh-CN"/>
            </w:rPr>
            <w:t>使用须知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_Toc6622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_Toc25600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1.1操作手册内容简介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_Toc25600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_Toc1833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1.2操作系统相关需求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_Toc1833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4"/>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_Toc8050 </w:instrText>
          </w:r>
          <w:r>
            <w:rPr>
              <w:rFonts w:hint="eastAsia" w:ascii="仿宋" w:hAnsi="仿宋" w:eastAsia="仿宋" w:cs="仿宋"/>
              <w:sz w:val="28"/>
              <w:szCs w:val="28"/>
            </w:rPr>
            <w:fldChar w:fldCharType="separate"/>
          </w:r>
          <w:r>
            <w:rPr>
              <w:rFonts w:hint="eastAsia" w:ascii="仿宋" w:hAnsi="仿宋" w:eastAsia="仿宋" w:cs="仿宋"/>
              <w:sz w:val="28"/>
              <w:szCs w:val="28"/>
              <w:lang w:val="en-US" w:eastAsia="zh-CN"/>
            </w:rPr>
            <w:t>二、 系统角色介绍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_Toc8050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_Toc32253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2.1医疗机构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_Toc32253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_Toc9754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2.2.地市级医保局</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_Toc9754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_Toc29880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2.3.省级医保局</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_Toc29880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_Toc15731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2.4.十二省（区、市）联采办</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_Toc15731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4"/>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_Toc26929 </w:instrText>
          </w:r>
          <w:r>
            <w:rPr>
              <w:rFonts w:hint="eastAsia" w:ascii="仿宋" w:hAnsi="仿宋" w:eastAsia="仿宋" w:cs="仿宋"/>
              <w:sz w:val="28"/>
              <w:szCs w:val="28"/>
            </w:rPr>
            <w:fldChar w:fldCharType="separate"/>
          </w:r>
          <w:r>
            <w:rPr>
              <w:rFonts w:hint="eastAsia" w:ascii="仿宋" w:hAnsi="仿宋" w:eastAsia="仿宋" w:cs="仿宋"/>
              <w:sz w:val="28"/>
              <w:szCs w:val="28"/>
              <w:lang w:val="en-US" w:eastAsia="zh-CN"/>
            </w:rPr>
            <w:t>三、 系统操作介绍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_Toc26929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_Toc10517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3.1系统操作流程图</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_Toc10517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_Toc24894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3.2.系统登录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_Toc24894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_Toc19894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3.3用户管理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_Toc19894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_Toc5157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3.4.产品管理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_Toc5157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_Toc32067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3.5.上报管理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_Toc32067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spacing w:line="600" w:lineRule="exact"/>
            <w:ind w:firstLine="560" w:firstLineChars="200"/>
            <w:rPr>
              <w:rFonts w:hint="eastAsia" w:ascii="仿宋" w:hAnsi="仿宋" w:eastAsia="仿宋"/>
              <w:sz w:val="32"/>
              <w:szCs w:val="32"/>
              <w:lang w:val="en-US" w:eastAsia="zh-CN"/>
            </w:rPr>
          </w:pPr>
          <w:r>
            <w:rPr>
              <w:rFonts w:hint="eastAsia" w:ascii="仿宋" w:hAnsi="仿宋" w:eastAsia="仿宋" w:cs="仿宋"/>
              <w:sz w:val="28"/>
              <w:szCs w:val="28"/>
            </w:rPr>
            <w:fldChar w:fldCharType="end"/>
          </w:r>
        </w:p>
      </w:sdtContent>
    </w:sdt>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rPr>
          <w:rFonts w:hint="eastAsia" w:ascii="仿宋" w:hAnsi="仿宋" w:eastAsia="仿宋"/>
          <w:sz w:val="32"/>
          <w:szCs w:val="32"/>
          <w:lang w:val="en-US" w:eastAsia="zh-CN"/>
        </w:rPr>
      </w:pPr>
    </w:p>
    <w:p>
      <w:pPr>
        <w:numPr>
          <w:ilvl w:val="0"/>
          <w:numId w:val="1"/>
        </w:numPr>
        <w:spacing w:line="600" w:lineRule="exact"/>
        <w:ind w:left="0" w:leftChars="0" w:firstLine="420" w:firstLineChars="0"/>
        <w:outlineLvl w:val="0"/>
        <w:rPr>
          <w:rFonts w:hint="eastAsia" w:ascii="黑体" w:hAnsi="黑体" w:eastAsia="黑体"/>
          <w:b/>
          <w:sz w:val="32"/>
          <w:szCs w:val="32"/>
        </w:rPr>
        <w:sectPr>
          <w:footerReference r:id="rId3" w:type="default"/>
          <w:pgSz w:w="11906" w:h="16838"/>
          <w:pgMar w:top="1440" w:right="1800" w:bottom="1440" w:left="1800" w:header="851" w:footer="992" w:gutter="0"/>
          <w:pgNumType w:fmt="decimal" w:start="1"/>
          <w:cols w:space="425" w:num="1"/>
          <w:docGrid w:type="lines" w:linePitch="312" w:charSpace="0"/>
        </w:sectPr>
      </w:pPr>
      <w:bookmarkStart w:id="0" w:name="_Toc6622"/>
    </w:p>
    <w:p>
      <w:pPr>
        <w:numPr>
          <w:ilvl w:val="0"/>
          <w:numId w:val="1"/>
        </w:numPr>
        <w:spacing w:line="600" w:lineRule="exact"/>
        <w:ind w:left="0" w:leftChars="0" w:firstLine="420" w:firstLineChars="0"/>
        <w:outlineLvl w:val="0"/>
        <w:rPr>
          <w:rFonts w:hint="eastAsia" w:ascii="黑体" w:hAnsi="黑体" w:eastAsia="黑体"/>
          <w:b/>
          <w:sz w:val="32"/>
          <w:szCs w:val="32"/>
        </w:rPr>
      </w:pPr>
      <w:r>
        <w:rPr>
          <w:rFonts w:hint="eastAsia" w:ascii="黑体" w:hAnsi="黑体" w:eastAsia="黑体"/>
          <w:b/>
          <w:sz w:val="32"/>
          <w:szCs w:val="32"/>
          <w:lang w:val="en-US" w:eastAsia="zh-CN"/>
        </w:rPr>
        <w:t>使用须知</w:t>
      </w:r>
      <w:bookmarkEnd w:id="0"/>
    </w:p>
    <w:p>
      <w:pPr>
        <w:numPr>
          <w:ilvl w:val="0"/>
          <w:numId w:val="0"/>
        </w:numPr>
        <w:spacing w:line="600" w:lineRule="exact"/>
        <w:ind w:leftChars="0"/>
        <w:outlineLvl w:val="1"/>
        <w:rPr>
          <w:rFonts w:hint="eastAsia" w:ascii="楷体" w:hAnsi="楷体" w:eastAsia="楷体" w:cs="楷体_GB2312"/>
          <w:b/>
          <w:bCs/>
          <w:sz w:val="32"/>
          <w:szCs w:val="32"/>
        </w:rPr>
      </w:pPr>
      <w:bookmarkStart w:id="1" w:name="_Toc25600"/>
      <w:r>
        <w:rPr>
          <w:rFonts w:hint="eastAsia" w:ascii="楷体" w:hAnsi="楷体" w:eastAsia="楷体" w:cs="楷体_GB2312"/>
          <w:b/>
          <w:bCs/>
          <w:sz w:val="32"/>
          <w:szCs w:val="32"/>
          <w:lang w:val="en-US" w:eastAsia="zh-CN"/>
        </w:rPr>
        <w:t>1.1操作手册内容简介</w:t>
      </w:r>
      <w:bookmarkEnd w:id="1"/>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该操作手册主要介绍医疗机构在使用十二省（区、市）骨科创伤类医用耗材医院需求量填报系统进行“十二省（区、市）骨科创伤医用耗材采购需求量填报工作”时需完成的操作事项，主要是医疗机构采购周期总需求量填报。</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该操作手册对应的用户主体为医疗机构用户，医疗机构用户在系统内完成本医疗机构采购周期总需求量数据上报等相关操作。</w:t>
      </w:r>
    </w:p>
    <w:p>
      <w:pPr>
        <w:spacing w:line="600" w:lineRule="exact"/>
        <w:ind w:firstLine="640" w:firstLineChars="200"/>
        <w:rPr>
          <w:rFonts w:hint="eastAsia" w:ascii="楷体" w:hAnsi="楷体" w:eastAsia="楷体" w:cs="楷体_GB2312"/>
          <w:b/>
          <w:bCs/>
          <w:sz w:val="32"/>
          <w:szCs w:val="32"/>
          <w:lang w:val="en-US" w:eastAsia="zh-CN"/>
        </w:rPr>
      </w:pPr>
      <w:r>
        <w:rPr>
          <w:rFonts w:hint="eastAsia" w:ascii="仿宋" w:hAnsi="仿宋" w:eastAsia="仿宋"/>
          <w:sz w:val="32"/>
          <w:szCs w:val="32"/>
          <w:lang w:val="en-US" w:eastAsia="zh-CN"/>
        </w:rPr>
        <w:t>本手册中出现的用户信息、相关数据均为系统测试数据，不作为任何正式的使用依据。</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2" w:name="_Toc1833"/>
      <w:r>
        <w:rPr>
          <w:rFonts w:hint="eastAsia" w:ascii="楷体" w:hAnsi="楷体" w:eastAsia="楷体" w:cs="楷体_GB2312"/>
          <w:b/>
          <w:bCs/>
          <w:sz w:val="32"/>
          <w:szCs w:val="32"/>
          <w:lang w:val="en-US" w:eastAsia="zh-CN"/>
        </w:rPr>
        <w:t>1.2操作系统相关需求</w:t>
      </w:r>
      <w:bookmarkEnd w:id="2"/>
    </w:p>
    <w:tbl>
      <w:tblPr>
        <w:tblStyle w:val="6"/>
        <w:tblW w:w="4999" w:type="pct"/>
        <w:tblInd w:w="0" w:type="dxa"/>
        <w:shd w:val="clear" w:color="auto" w:fill="auto"/>
        <w:tblLayout w:type="autofit"/>
        <w:tblCellMar>
          <w:top w:w="0" w:type="dxa"/>
          <w:left w:w="108" w:type="dxa"/>
          <w:bottom w:w="0" w:type="dxa"/>
          <w:right w:w="108" w:type="dxa"/>
        </w:tblCellMar>
      </w:tblPr>
      <w:tblGrid>
        <w:gridCol w:w="960"/>
        <w:gridCol w:w="1626"/>
        <w:gridCol w:w="5934"/>
      </w:tblGrid>
      <w:tr>
        <w:tblPrEx>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硬件或软件</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客户端推荐配置</w:t>
            </w:r>
          </w:p>
        </w:tc>
      </w:tr>
      <w:tr>
        <w:tblPrEx>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CPU</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1.70GHz</w:t>
            </w:r>
          </w:p>
        </w:tc>
      </w:tr>
      <w:tr>
        <w:tblPrEx>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内存</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4GB</w:t>
            </w:r>
          </w:p>
        </w:tc>
      </w:tr>
      <w:tr>
        <w:tblPrEx>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显示器</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1366*768/256色分辨率</w:t>
            </w:r>
          </w:p>
        </w:tc>
      </w:tr>
      <w:tr>
        <w:tblPrEx>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网络</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10M带宽</w:t>
            </w:r>
          </w:p>
        </w:tc>
      </w:tr>
      <w:tr>
        <w:tblPrEx>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浏览器</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谷歌、360极速浏览器、搜狗极速浏览器</w:t>
            </w:r>
          </w:p>
        </w:tc>
      </w:tr>
    </w:tbl>
    <w:p>
      <w:pPr>
        <w:numPr>
          <w:ilvl w:val="0"/>
          <w:numId w:val="1"/>
        </w:numPr>
        <w:spacing w:line="600" w:lineRule="exact"/>
        <w:ind w:left="0" w:leftChars="0" w:firstLine="420" w:firstLineChars="0"/>
        <w:outlineLvl w:val="0"/>
        <w:rPr>
          <w:rFonts w:hint="eastAsia" w:ascii="黑体" w:hAnsi="黑体" w:eastAsia="黑体"/>
          <w:b/>
          <w:sz w:val="32"/>
          <w:szCs w:val="32"/>
          <w:lang w:val="en-US" w:eastAsia="zh-CN"/>
        </w:rPr>
      </w:pPr>
      <w:bookmarkStart w:id="3" w:name="_Toc8050"/>
      <w:r>
        <w:rPr>
          <w:rFonts w:hint="eastAsia" w:ascii="黑体" w:hAnsi="黑体" w:eastAsia="黑体"/>
          <w:b/>
          <w:sz w:val="32"/>
          <w:szCs w:val="32"/>
          <w:lang w:val="en-US" w:eastAsia="zh-CN"/>
        </w:rPr>
        <w:t>系统角色介绍</w:t>
      </w:r>
      <w:bookmarkEnd w:id="3"/>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整个系统由四个角色构成：医疗机构、地市级医保局、省级医保局和十二省（区、市）联采办。</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4" w:name="_Toc32253"/>
      <w:r>
        <w:rPr>
          <w:rFonts w:hint="eastAsia" w:ascii="楷体" w:hAnsi="楷体" w:eastAsia="楷体" w:cs="楷体_GB2312"/>
          <w:b/>
          <w:bCs/>
          <w:sz w:val="32"/>
          <w:szCs w:val="32"/>
          <w:lang w:val="en-US" w:eastAsia="zh-CN"/>
        </w:rPr>
        <w:t>2.1医疗机构</w:t>
      </w:r>
      <w:bookmarkEnd w:id="4"/>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职责：通过“十二省（区、市）骨科创伤类医用耗材医院需求量填报系统”对骨科创伤类耗材产品的采购周期内总需求量数据进行上报、核实并提交。</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权限：查询权限、维护权限、上报权限、导出权限。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账号申请：医疗机构账号由各省级医保局在系统内进行统一发放。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5" w:name="_Toc9754"/>
      <w:r>
        <w:rPr>
          <w:rFonts w:hint="eastAsia" w:ascii="楷体" w:hAnsi="楷体" w:eastAsia="楷体" w:cs="楷体_GB2312"/>
          <w:b/>
          <w:bCs/>
          <w:sz w:val="32"/>
          <w:szCs w:val="32"/>
          <w:lang w:val="en-US" w:eastAsia="zh-CN"/>
        </w:rPr>
        <w:t>2.2.地市级医保局</w:t>
      </w:r>
      <w:bookmarkEnd w:id="5"/>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查看、审核医疗机构上报的骨科创伤类耗材产品采购周期内总需求量数据并将其提交省级医保局，掌握医疗机构的填报进度，及时督促医疗机构完成填报工作。</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权限：查询权限、审核权限、上报权限、导出权限、管理医疗机构账号密码权限。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账号申请：地市级医保局账号由各省级医保局在系统内进行统一发放。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6" w:name="_Toc29880"/>
      <w:r>
        <w:rPr>
          <w:rFonts w:hint="eastAsia" w:ascii="楷体" w:hAnsi="楷体" w:eastAsia="楷体" w:cs="楷体_GB2312"/>
          <w:b/>
          <w:bCs/>
          <w:sz w:val="32"/>
          <w:szCs w:val="32"/>
          <w:lang w:val="en-US" w:eastAsia="zh-CN"/>
        </w:rPr>
        <w:t>2.3.省级医保局</w:t>
      </w:r>
      <w:bookmarkEnd w:id="6"/>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职责：(1)发放医疗机构账号；(2)需求量阈值设置；（3）查看、审核地市医保局提交的各医疗机构骨科创伤类耗材产品采购周期内总需求量数据并将其上报至十二省（区、市）联采办。</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权限：查询权限、审核权限、上报权限、导入导出权限、管理医疗机构账号密码权限。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账号申请：省级医保局账号由国家联采办统一发放。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7" w:name="_Toc15731"/>
      <w:r>
        <w:rPr>
          <w:rFonts w:hint="eastAsia" w:ascii="楷体" w:hAnsi="楷体" w:eastAsia="楷体" w:cs="楷体_GB2312"/>
          <w:b/>
          <w:bCs/>
          <w:sz w:val="32"/>
          <w:szCs w:val="32"/>
          <w:lang w:val="en-US" w:eastAsia="zh-CN"/>
        </w:rPr>
        <w:t>2.4.十二省（区、市）联采办</w:t>
      </w:r>
      <w:bookmarkEnd w:id="7"/>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职责：通过“十二省（区、市）骨科创伤类医用耗材医院需求量填报系统”多维度查看各地上报的集采目录需求量，审核各省医保局的上报数据。</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权限：查询权限、审核权限、导出权限、管理权限。</w:t>
      </w:r>
    </w:p>
    <w:p>
      <w:pPr>
        <w:numPr>
          <w:ilvl w:val="0"/>
          <w:numId w:val="1"/>
        </w:numPr>
        <w:spacing w:line="600" w:lineRule="exact"/>
        <w:ind w:left="0" w:leftChars="0" w:firstLine="420" w:firstLineChars="0"/>
        <w:outlineLvl w:val="0"/>
        <w:rPr>
          <w:rFonts w:hint="eastAsia" w:ascii="楷体" w:hAnsi="楷体" w:eastAsia="楷体" w:cs="楷体_GB2312"/>
          <w:b/>
          <w:bCs/>
          <w:sz w:val="32"/>
          <w:szCs w:val="32"/>
          <w:lang w:val="en-US" w:eastAsia="zh-CN"/>
        </w:rPr>
      </w:pPr>
      <w:bookmarkStart w:id="8" w:name="_Toc26929"/>
      <w:r>
        <w:rPr>
          <w:rFonts w:hint="eastAsia" w:ascii="黑体" w:hAnsi="黑体" w:eastAsia="黑体"/>
          <w:b/>
          <w:sz w:val="32"/>
          <w:szCs w:val="32"/>
          <w:lang w:val="en-US" w:eastAsia="zh-CN"/>
        </w:rPr>
        <w:t>系统操作介绍</w:t>
      </w:r>
      <w:bookmarkEnd w:id="8"/>
      <w:bookmarkStart w:id="9" w:name="_Toc10517"/>
    </w:p>
    <w:p>
      <w:pPr>
        <w:numPr>
          <w:ilvl w:val="0"/>
          <w:numId w:val="0"/>
        </w:numPr>
        <w:spacing w:line="600" w:lineRule="exact"/>
        <w:ind w:leftChars="0"/>
        <w:outlineLvl w:val="1"/>
        <w:rPr>
          <w:rFonts w:hint="eastAsia" w:ascii="楷体" w:hAnsi="楷体" w:eastAsia="楷体" w:cs="楷体_GB2312"/>
          <w:b/>
          <w:bCs/>
          <w:sz w:val="32"/>
          <w:szCs w:val="32"/>
          <w:lang w:val="en-US" w:eastAsia="zh-CN"/>
        </w:rPr>
      </w:pPr>
      <w:r>
        <w:rPr>
          <w:rFonts w:hint="eastAsia" w:ascii="楷体" w:hAnsi="楷体" w:eastAsia="楷体" w:cs="楷体_GB2312"/>
          <w:b/>
          <w:bCs/>
          <w:sz w:val="32"/>
          <w:szCs w:val="32"/>
          <w:lang w:val="en-US" w:eastAsia="zh-CN"/>
        </w:rPr>
        <w:t>3.1系统操作流程图</w:t>
      </w:r>
      <w:bookmarkEnd w:id="9"/>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省级医保部门设置“需求量阈值”后，省内各医疗机构按照流程完成采购需求量上报，并将相应数据提交地市医保部门审核。</w:t>
      </w:r>
    </w:p>
    <w:p>
      <w:pPr>
        <w:spacing w:line="600" w:lineRule="exact"/>
        <w:ind w:firstLine="420" w:firstLineChars="200"/>
        <w:jc w:val="center"/>
        <w:rPr>
          <w:rFonts w:hint="eastAsia" w:ascii="仿宋" w:hAnsi="仿宋" w:eastAsia="仿宋"/>
          <w:sz w:val="32"/>
          <w:szCs w:val="32"/>
          <w:lang w:val="en-US" w:eastAsia="zh-CN"/>
        </w:rPr>
      </w:pPr>
      <w:r>
        <w:rPr>
          <w:rFonts w:hint="eastAsia" w:ascii="仿宋" w:hAnsi="仿宋" w:eastAsia="仿宋" w:cs="仿宋"/>
          <w:lang w:eastAsia="zh-CN"/>
        </w:rPr>
        <w:t>平台操作流程图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0" w:name="_Toc24894"/>
      <w:r>
        <w:drawing>
          <wp:anchor distT="0" distB="0" distL="114300" distR="114300" simplePos="0" relativeHeight="251659264" behindDoc="0" locked="0" layoutInCell="1" allowOverlap="1">
            <wp:simplePos x="0" y="0"/>
            <wp:positionH relativeFrom="column">
              <wp:posOffset>31115</wp:posOffset>
            </wp:positionH>
            <wp:positionV relativeFrom="page">
              <wp:posOffset>5628005</wp:posOffset>
            </wp:positionV>
            <wp:extent cx="5264785" cy="2582545"/>
            <wp:effectExtent l="0" t="0" r="12065" b="825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4785" cy="2582545"/>
                    </a:xfrm>
                    <a:prstGeom prst="rect">
                      <a:avLst/>
                    </a:prstGeom>
                    <a:noFill/>
                    <a:ln>
                      <a:noFill/>
                    </a:ln>
                  </pic:spPr>
                </pic:pic>
              </a:graphicData>
            </a:graphic>
          </wp:anchor>
        </w:drawing>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r>
        <w:rPr>
          <w:rFonts w:hint="eastAsia" w:ascii="楷体" w:hAnsi="楷体" w:eastAsia="楷体" w:cs="楷体_GB2312"/>
          <w:b/>
          <w:bCs/>
          <w:sz w:val="32"/>
          <w:szCs w:val="32"/>
          <w:lang w:val="en-US" w:eastAsia="zh-CN"/>
        </w:rPr>
        <w:t>3.2.系统登录</w:t>
      </w:r>
      <w:bookmarkEnd w:id="10"/>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1.打开浏览器，输入平台网址：</w:t>
      </w:r>
      <w:r>
        <w:rPr>
          <w:rFonts w:hint="eastAsia" w:ascii="仿宋" w:hAnsi="仿宋" w:eastAsia="仿宋"/>
          <w:sz w:val="32"/>
          <w:szCs w:val="32"/>
          <w:lang w:val="en-US" w:eastAsia="zh-CN"/>
        </w:rPr>
        <w:fldChar w:fldCharType="begin"/>
      </w:r>
      <w:r>
        <w:rPr>
          <w:rFonts w:hint="eastAsia" w:ascii="仿宋" w:hAnsi="仿宋" w:eastAsia="仿宋"/>
          <w:sz w:val="32"/>
          <w:szCs w:val="32"/>
          <w:lang w:val="en-US" w:eastAsia="zh-CN"/>
        </w:rPr>
        <w:instrText xml:space="preserve"> HYPERLINK "https://hc.tjmpc.cn:10128/，展示国家组织高值医用耗材联合采购平台登录页面。" </w:instrText>
      </w:r>
      <w:r>
        <w:rPr>
          <w:rFonts w:hint="eastAsia" w:ascii="仿宋" w:hAnsi="仿宋" w:eastAsia="仿宋"/>
          <w:sz w:val="32"/>
          <w:szCs w:val="32"/>
          <w:lang w:val="en-US" w:eastAsia="zh-CN"/>
        </w:rPr>
        <w:fldChar w:fldCharType="separate"/>
      </w:r>
      <w:r>
        <w:rPr>
          <w:rFonts w:hint="eastAsia" w:ascii="仿宋" w:hAnsi="仿宋" w:eastAsia="仿宋"/>
          <w:sz w:val="32"/>
          <w:szCs w:val="32"/>
          <w:lang w:val="en-US" w:eastAsia="zh-CN"/>
        </w:rPr>
        <w:t>http://hc.tjmpc.cn:14206/，展示十二省（区、市）骨科创伤类医用耗材医院需求量填报系统登录页面。</w:t>
      </w:r>
      <w:r>
        <w:rPr>
          <w:rFonts w:hint="eastAsia" w:ascii="仿宋" w:hAnsi="仿宋" w:eastAsia="仿宋"/>
          <w:sz w:val="32"/>
          <w:szCs w:val="32"/>
          <w:lang w:val="en-US" w:eastAsia="zh-CN"/>
        </w:rPr>
        <w:fldChar w:fldCharType="end"/>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5408" behindDoc="0" locked="0" layoutInCell="1" allowOverlap="1">
            <wp:simplePos x="0" y="0"/>
            <wp:positionH relativeFrom="column">
              <wp:posOffset>9525</wp:posOffset>
            </wp:positionH>
            <wp:positionV relativeFrom="paragraph">
              <wp:posOffset>180975</wp:posOffset>
            </wp:positionV>
            <wp:extent cx="5269230" cy="2303145"/>
            <wp:effectExtent l="0" t="0" r="7620" b="1905"/>
            <wp:wrapTopAndBottom/>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a:stretch>
                      <a:fillRect/>
                    </a:stretch>
                  </pic:blipFill>
                  <pic:spPr>
                    <a:xfrm>
                      <a:off x="0" y="0"/>
                      <a:ext cx="5269230" cy="2303145"/>
                    </a:xfrm>
                    <a:prstGeom prst="rect">
                      <a:avLst/>
                    </a:prstGeom>
                    <a:noFill/>
                    <a:ln>
                      <a:noFill/>
                    </a:ln>
                  </pic:spPr>
                </pic:pic>
              </a:graphicData>
            </a:graphic>
          </wp:anchor>
        </w:drawing>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2.在“普通登录”栏目下，输入医疗机构账号用户名、初始密码，录入验证码，点击登录进入系统。</w:t>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0288" behindDoc="0" locked="0" layoutInCell="1" allowOverlap="1">
            <wp:simplePos x="0" y="0"/>
            <wp:positionH relativeFrom="column">
              <wp:posOffset>-1905</wp:posOffset>
            </wp:positionH>
            <wp:positionV relativeFrom="paragraph">
              <wp:posOffset>90805</wp:posOffset>
            </wp:positionV>
            <wp:extent cx="5269230" cy="2519045"/>
            <wp:effectExtent l="0" t="0" r="7620" b="1460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69230" cy="2519045"/>
                    </a:xfrm>
                    <a:prstGeom prst="rect">
                      <a:avLst/>
                    </a:prstGeom>
                    <a:noFill/>
                    <a:ln>
                      <a:noFill/>
                    </a:ln>
                  </pic:spPr>
                </pic:pic>
              </a:graphicData>
            </a:graphic>
          </wp:anchor>
        </w:drawing>
      </w:r>
      <w:r>
        <w:rPr>
          <w:rFonts w:hint="eastAsia" w:ascii="仿宋" w:hAnsi="仿宋" w:eastAsia="仿宋"/>
          <w:sz w:val="32"/>
          <w:szCs w:val="32"/>
          <w:lang w:val="en-US" w:eastAsia="zh-CN"/>
        </w:rPr>
        <w:t>3.点击【退出】按钮，系统自动清除当前用户登录信息，并返回系统登录页面。</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1" w:name="_Toc19894"/>
      <w:r>
        <w:drawing>
          <wp:anchor distT="0" distB="0" distL="114935" distR="114935" simplePos="0" relativeHeight="251661312" behindDoc="0" locked="0" layoutInCell="1" allowOverlap="1">
            <wp:simplePos x="0" y="0"/>
            <wp:positionH relativeFrom="column">
              <wp:posOffset>-77470</wp:posOffset>
            </wp:positionH>
            <wp:positionV relativeFrom="paragraph">
              <wp:posOffset>180975</wp:posOffset>
            </wp:positionV>
            <wp:extent cx="5269230" cy="2519045"/>
            <wp:effectExtent l="0" t="0" r="7620" b="1460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5269230" cy="251904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3.3用户管理</w:t>
      </w:r>
      <w:bookmarkEnd w:id="11"/>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各医疗机构可以通过医疗机构管理账号，为本院工作人员制作医疗机构子账号。点击左侧菜单栏“用户管理”－“子用户管理”，在该页面完成医疗机构子账号的创建、管理。</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2" w:name="_Toc5157"/>
      <w:r>
        <w:rPr>
          <w:rFonts w:hint="eastAsia" w:ascii="楷体" w:hAnsi="楷体" w:eastAsia="楷体" w:cs="楷体_GB2312"/>
          <w:b/>
          <w:bCs/>
          <w:sz w:val="32"/>
          <w:szCs w:val="32"/>
          <w:lang w:val="en-US" w:eastAsia="zh-CN"/>
        </w:rPr>
        <w:drawing>
          <wp:anchor distT="0" distB="0" distL="114935" distR="114935" simplePos="0" relativeHeight="251662336" behindDoc="0" locked="0" layoutInCell="1" allowOverlap="1">
            <wp:simplePos x="0" y="0"/>
            <wp:positionH relativeFrom="column">
              <wp:posOffset>-52070</wp:posOffset>
            </wp:positionH>
            <wp:positionV relativeFrom="paragraph">
              <wp:posOffset>51435</wp:posOffset>
            </wp:positionV>
            <wp:extent cx="5269230" cy="2511425"/>
            <wp:effectExtent l="0" t="0" r="7620" b="3175"/>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269230" cy="251142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3.4.产品管理</w:t>
      </w:r>
      <w:bookmarkEnd w:id="12"/>
    </w:p>
    <w:p>
      <w:pPr>
        <w:spacing w:line="60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医疗机构</w:t>
      </w:r>
      <w:r>
        <w:rPr>
          <w:rFonts w:hint="default" w:ascii="仿宋" w:hAnsi="仿宋" w:eastAsia="仿宋"/>
          <w:sz w:val="32"/>
          <w:szCs w:val="32"/>
          <w:lang w:val="en-US" w:eastAsia="zh-CN"/>
        </w:rPr>
        <w:t>登录平台后，在左侧菜单栏点击“产品管理”－“</w:t>
      </w:r>
      <w:r>
        <w:rPr>
          <w:rFonts w:hint="eastAsia" w:ascii="仿宋" w:hAnsi="仿宋" w:eastAsia="仿宋"/>
          <w:sz w:val="32"/>
          <w:szCs w:val="32"/>
          <w:lang w:val="en-US" w:eastAsia="zh-CN"/>
        </w:rPr>
        <w:t>供应产品清单查看</w:t>
      </w:r>
      <w:r>
        <w:rPr>
          <w:rFonts w:hint="default" w:ascii="仿宋" w:hAnsi="仿宋" w:eastAsia="仿宋"/>
          <w:sz w:val="32"/>
          <w:szCs w:val="32"/>
          <w:lang w:val="en-US" w:eastAsia="zh-CN"/>
        </w:rPr>
        <w:t>”页面，可以查看系统内</w:t>
      </w:r>
      <w:r>
        <w:rPr>
          <w:rFonts w:hint="eastAsia" w:ascii="仿宋" w:hAnsi="仿宋" w:eastAsia="仿宋"/>
          <w:sz w:val="32"/>
          <w:szCs w:val="32"/>
          <w:lang w:val="en-US" w:eastAsia="zh-CN"/>
        </w:rPr>
        <w:t>骨科创伤</w:t>
      </w:r>
      <w:r>
        <w:rPr>
          <w:rFonts w:hint="default" w:ascii="仿宋" w:hAnsi="仿宋" w:eastAsia="仿宋"/>
          <w:sz w:val="32"/>
          <w:szCs w:val="32"/>
          <w:lang w:val="en-US" w:eastAsia="zh-CN"/>
        </w:rPr>
        <w:t>类产品详细信息。</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3" w:name="_Toc32067"/>
      <w:r>
        <w:drawing>
          <wp:anchor distT="0" distB="0" distL="114935" distR="114935" simplePos="0" relativeHeight="251666432" behindDoc="0" locked="0" layoutInCell="1" allowOverlap="1">
            <wp:simplePos x="0" y="0"/>
            <wp:positionH relativeFrom="column">
              <wp:posOffset>66675</wp:posOffset>
            </wp:positionH>
            <wp:positionV relativeFrom="paragraph">
              <wp:posOffset>76200</wp:posOffset>
            </wp:positionV>
            <wp:extent cx="5269230" cy="2414905"/>
            <wp:effectExtent l="0" t="0" r="7620" b="4445"/>
            <wp:wrapTopAndBottom/>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1"/>
                    <a:stretch>
                      <a:fillRect/>
                    </a:stretch>
                  </pic:blipFill>
                  <pic:spPr>
                    <a:xfrm>
                      <a:off x="0" y="0"/>
                      <a:ext cx="5269230" cy="241490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3.5.上报管理</w:t>
      </w:r>
      <w:bookmarkEnd w:id="13"/>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医疗机构点击左侧“上报管理-需求量上报”菜单。填报本医疗机构骨科创伤类耗材产品每一个目录下各企业的采购周期内需求总量。</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（1）在需求量填报页面，参照本医疗机构 2019 年及 2020 年各一级目录的历史采购量，填报每个目录下各企业的需求量。点击产品列表左侧的“编辑需求量”后，在右侧“需求量”一列，填写本医疗机构该目录该企业采购周期内需求量，完成数量填写后，点击“保存”。</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drawing>
          <wp:anchor distT="0" distB="0" distL="114935" distR="114935" simplePos="0" relativeHeight="251668480" behindDoc="0" locked="0" layoutInCell="1" allowOverlap="1">
            <wp:simplePos x="0" y="0"/>
            <wp:positionH relativeFrom="column">
              <wp:posOffset>130175</wp:posOffset>
            </wp:positionH>
            <wp:positionV relativeFrom="paragraph">
              <wp:posOffset>38100</wp:posOffset>
            </wp:positionV>
            <wp:extent cx="5269230" cy="2511425"/>
            <wp:effectExtent l="0" t="0" r="7620" b="3175"/>
            <wp:wrapTopAndBottom/>
            <wp:docPr id="14" name="图片 14" descr="1624000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24000915(1)"/>
                    <pic:cNvPicPr>
                      <a:picLocks noChangeAspect="1"/>
                    </pic:cNvPicPr>
                  </pic:nvPicPr>
                  <pic:blipFill>
                    <a:blip r:embed="rId12"/>
                    <a:stretch>
                      <a:fillRect/>
                    </a:stretch>
                  </pic:blipFill>
                  <pic:spPr>
                    <a:xfrm>
                      <a:off x="0" y="0"/>
                      <a:ext cx="5269230" cy="2511425"/>
                    </a:xfrm>
                    <a:prstGeom prst="rect">
                      <a:avLst/>
                    </a:prstGeom>
                  </pic:spPr>
                </pic:pic>
              </a:graphicData>
            </a:graphic>
          </wp:anchor>
        </w:drawing>
      </w:r>
      <w:r>
        <w:rPr>
          <w:rFonts w:hint="eastAsia" w:ascii="仿宋" w:hAnsi="仿宋" w:eastAsia="仿宋"/>
          <w:sz w:val="32"/>
          <w:szCs w:val="32"/>
          <w:lang w:val="en-US" w:eastAsia="zh-CN"/>
        </w:rPr>
        <w:t>（2）在产品列表上方，系统展示了本医疗机构 2019 年及 2020 年各一级目录的历史采购量，同时显示医疗机构已保存的一级目录报量及涨幅/降幅，以供医疗机构合理填报采购需求量。</w:t>
      </w:r>
    </w:p>
    <w:p>
      <w:pPr>
        <w:spacing w:line="600" w:lineRule="exact"/>
        <w:ind w:firstLine="640" w:firstLineChars="200"/>
        <w:rPr>
          <w:rFonts w:hint="eastAsia" w:ascii="仿宋" w:hAnsi="仿宋" w:eastAsia="仿宋"/>
          <w:sz w:val="32"/>
          <w:szCs w:val="32"/>
          <w:lang w:val="en-US" w:eastAsia="zh-CN"/>
        </w:rPr>
      </w:pPr>
      <w:r>
        <w:rPr>
          <w:rFonts w:hint="default" w:ascii="仿宋" w:hAnsi="仿宋" w:eastAsia="仿宋"/>
          <w:sz w:val="32"/>
          <w:szCs w:val="32"/>
          <w:lang w:val="en-US" w:eastAsia="zh-CN"/>
        </w:rPr>
        <w:drawing>
          <wp:anchor distT="0" distB="0" distL="114935" distR="114935" simplePos="0" relativeHeight="251669504" behindDoc="0" locked="0" layoutInCell="1" allowOverlap="1">
            <wp:simplePos x="0" y="0"/>
            <wp:positionH relativeFrom="column">
              <wp:posOffset>73025</wp:posOffset>
            </wp:positionH>
            <wp:positionV relativeFrom="paragraph">
              <wp:posOffset>76200</wp:posOffset>
            </wp:positionV>
            <wp:extent cx="5269230" cy="2673350"/>
            <wp:effectExtent l="0" t="0" r="7620" b="12700"/>
            <wp:wrapTopAndBottom/>
            <wp:docPr id="17" name="图片 17" descr="1624000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24000991(1)"/>
                    <pic:cNvPicPr>
                      <a:picLocks noChangeAspect="1"/>
                    </pic:cNvPicPr>
                  </pic:nvPicPr>
                  <pic:blipFill>
                    <a:blip r:embed="rId13"/>
                    <a:stretch>
                      <a:fillRect/>
                    </a:stretch>
                  </pic:blipFill>
                  <pic:spPr>
                    <a:xfrm>
                      <a:off x="0" y="0"/>
                      <a:ext cx="5269230" cy="2673350"/>
                    </a:xfrm>
                    <a:prstGeom prst="rect">
                      <a:avLst/>
                    </a:prstGeom>
                  </pic:spPr>
                </pic:pic>
              </a:graphicData>
            </a:graphic>
          </wp:anchor>
        </w:drawing>
      </w:r>
      <w:r>
        <w:rPr>
          <w:rFonts w:hint="default" w:ascii="仿宋" w:hAnsi="仿宋" w:eastAsia="仿宋"/>
          <w:sz w:val="32"/>
          <w:szCs w:val="32"/>
          <w:lang w:val="en-US" w:eastAsia="zh-CN"/>
        </w:rPr>
        <w:t>(3)完成全部产品注册证的采购需求量填写后，医疗机构确认无误，</w:t>
      </w:r>
      <w:r>
        <w:rPr>
          <w:rFonts w:hint="eastAsia" w:ascii="仿宋" w:hAnsi="仿宋" w:eastAsia="仿宋"/>
          <w:sz w:val="32"/>
          <w:szCs w:val="32"/>
          <w:lang w:val="en-US" w:eastAsia="zh-CN"/>
        </w:rPr>
        <w:t>点击“下载承诺书”，签字盖章后，</w:t>
      </w:r>
      <w:r>
        <w:rPr>
          <w:rFonts w:hint="default" w:ascii="仿宋" w:hAnsi="仿宋" w:eastAsia="仿宋"/>
          <w:sz w:val="32"/>
          <w:szCs w:val="32"/>
          <w:lang w:val="en-US" w:eastAsia="zh-CN"/>
        </w:rPr>
        <w:t>点击页面最下方的“提交”</w:t>
      </w:r>
      <w:r>
        <w:rPr>
          <w:rFonts w:hint="eastAsia" w:ascii="仿宋" w:hAnsi="仿宋" w:eastAsia="仿宋"/>
          <w:sz w:val="32"/>
          <w:szCs w:val="32"/>
          <w:lang w:val="en-US" w:eastAsia="zh-CN"/>
        </w:rPr>
        <w:t>，页面跳转至“十二省（区、市）骨科创伤类医用耗材医院需求量填报系统产品需求量数据收集 ”界面，上传签字盖章的承诺书，点击“提交”，完成填报。</w:t>
      </w: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420" w:firstLineChars="200"/>
        <w:rPr>
          <w:rFonts w:hint="default" w:ascii="仿宋" w:hAnsi="仿宋" w:eastAsia="仿宋"/>
          <w:sz w:val="32"/>
          <w:szCs w:val="32"/>
          <w:lang w:val="en-US" w:eastAsia="zh-CN"/>
        </w:rPr>
      </w:pPr>
      <w:r>
        <w:drawing>
          <wp:anchor distT="0" distB="0" distL="114935" distR="114935" simplePos="0" relativeHeight="251664384" behindDoc="0" locked="0" layoutInCell="1" allowOverlap="1">
            <wp:simplePos x="0" y="0"/>
            <wp:positionH relativeFrom="column">
              <wp:posOffset>267970</wp:posOffset>
            </wp:positionH>
            <wp:positionV relativeFrom="paragraph">
              <wp:posOffset>2819400</wp:posOffset>
            </wp:positionV>
            <wp:extent cx="5269230" cy="2496185"/>
            <wp:effectExtent l="0" t="0" r="7620" b="18415"/>
            <wp:wrapTopAndBottom/>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4"/>
                    <a:stretch>
                      <a:fillRect/>
                    </a:stretch>
                  </pic:blipFill>
                  <pic:spPr>
                    <a:xfrm>
                      <a:off x="0" y="0"/>
                      <a:ext cx="5269230" cy="2496185"/>
                    </a:xfrm>
                    <a:prstGeom prst="rect">
                      <a:avLst/>
                    </a:prstGeom>
                    <a:noFill/>
                    <a:ln>
                      <a:noFill/>
                    </a:ln>
                  </pic:spPr>
                </pic:pic>
              </a:graphicData>
            </a:graphic>
          </wp:anchor>
        </w:drawing>
      </w:r>
      <w:r>
        <w:drawing>
          <wp:anchor distT="0" distB="0" distL="114935" distR="114935" simplePos="0" relativeHeight="251670528" behindDoc="0" locked="0" layoutInCell="1" allowOverlap="0">
            <wp:simplePos x="0" y="0"/>
            <wp:positionH relativeFrom="column">
              <wp:posOffset>276225</wp:posOffset>
            </wp:positionH>
            <wp:positionV relativeFrom="paragraph">
              <wp:posOffset>200025</wp:posOffset>
            </wp:positionV>
            <wp:extent cx="5269230" cy="2507615"/>
            <wp:effectExtent l="0" t="0" r="7620" b="6985"/>
            <wp:wrapTopAndBottom/>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5"/>
                    <a:stretch>
                      <a:fillRect/>
                    </a:stretch>
                  </pic:blipFill>
                  <pic:spPr>
                    <a:xfrm>
                      <a:off x="0" y="0"/>
                      <a:ext cx="5269230" cy="2507615"/>
                    </a:xfrm>
                    <a:prstGeom prst="rect">
                      <a:avLst/>
                    </a:prstGeom>
                    <a:noFill/>
                    <a:ln>
                      <a:noFill/>
                    </a:ln>
                  </pic:spPr>
                </pic:pic>
              </a:graphicData>
            </a:graphic>
          </wp:anchor>
        </w:drawing>
      </w:r>
      <w:r>
        <w:rPr>
          <w:rFonts w:hint="eastAsia" w:ascii="仿宋" w:hAnsi="仿宋" w:eastAsia="仿宋"/>
          <w:sz w:val="32"/>
          <w:szCs w:val="32"/>
          <w:lang w:val="en-US" w:eastAsia="zh-CN"/>
        </w:rPr>
        <w:t>（4）</w:t>
      </w:r>
      <w:r>
        <w:rPr>
          <w:rFonts w:hint="default" w:ascii="仿宋" w:hAnsi="仿宋" w:eastAsia="仿宋"/>
          <w:sz w:val="32"/>
          <w:szCs w:val="32"/>
          <w:lang w:val="en-US" w:eastAsia="zh-CN"/>
        </w:rPr>
        <w:t>省级医保部门在启动采购需求填报工作时，会设定“需求量阈值提醒设置”的数值范围，以免医疗机构因操作失误造成填写的采购需求量过多或过少。当医疗机构填写的</w:t>
      </w:r>
      <w:r>
        <w:rPr>
          <w:rFonts w:hint="eastAsia" w:ascii="仿宋" w:hAnsi="仿宋" w:eastAsia="仿宋"/>
          <w:sz w:val="32"/>
          <w:szCs w:val="32"/>
          <w:lang w:val="en-US" w:eastAsia="zh-CN"/>
        </w:rPr>
        <w:t>一级目录</w:t>
      </w:r>
      <w:r>
        <w:rPr>
          <w:rFonts w:hint="default" w:ascii="仿宋" w:hAnsi="仿宋" w:eastAsia="仿宋"/>
          <w:sz w:val="32"/>
          <w:szCs w:val="32"/>
          <w:lang w:val="en-US" w:eastAsia="zh-CN"/>
        </w:rPr>
        <w:t>需求量</w:t>
      </w:r>
      <w:r>
        <w:rPr>
          <w:rFonts w:hint="eastAsia" w:ascii="仿宋" w:hAnsi="仿宋" w:eastAsia="仿宋"/>
          <w:sz w:val="32"/>
          <w:szCs w:val="32"/>
          <w:lang w:val="en-US" w:eastAsia="zh-CN"/>
        </w:rPr>
        <w:t>与</w:t>
      </w:r>
      <w:r>
        <w:rPr>
          <w:rFonts w:hint="default" w:ascii="仿宋" w:hAnsi="仿宋" w:eastAsia="仿宋"/>
          <w:sz w:val="32"/>
          <w:szCs w:val="32"/>
          <w:lang w:val="en-US" w:eastAsia="zh-CN"/>
        </w:rPr>
        <w:t xml:space="preserve"> 20</w:t>
      </w:r>
      <w:r>
        <w:rPr>
          <w:rFonts w:hint="eastAsia" w:ascii="仿宋" w:hAnsi="仿宋" w:eastAsia="仿宋"/>
          <w:sz w:val="32"/>
          <w:szCs w:val="32"/>
          <w:lang w:val="en-US" w:eastAsia="zh-CN"/>
        </w:rPr>
        <w:t>20</w:t>
      </w:r>
      <w:r>
        <w:rPr>
          <w:rFonts w:hint="default" w:ascii="仿宋" w:hAnsi="仿宋" w:eastAsia="仿宋"/>
          <w:sz w:val="32"/>
          <w:szCs w:val="32"/>
          <w:lang w:val="en-US" w:eastAsia="zh-CN"/>
        </w:rPr>
        <w:t xml:space="preserve"> 年该</w:t>
      </w:r>
      <w:r>
        <w:rPr>
          <w:rFonts w:hint="eastAsia" w:ascii="仿宋" w:hAnsi="仿宋" w:eastAsia="仿宋"/>
          <w:sz w:val="32"/>
          <w:szCs w:val="32"/>
          <w:lang w:val="en-US" w:eastAsia="zh-CN"/>
        </w:rPr>
        <w:t>一级目录</w:t>
      </w:r>
      <w:r>
        <w:rPr>
          <w:rFonts w:hint="default" w:ascii="仿宋" w:hAnsi="仿宋" w:eastAsia="仿宋"/>
          <w:sz w:val="32"/>
          <w:szCs w:val="32"/>
          <w:lang w:val="en-US" w:eastAsia="zh-CN"/>
        </w:rPr>
        <w:t>历史采购量的比值，超过了省级医保部门设定的“需求量阈值提醒范围”（填报量小于阈值下限,或大于阈值上限），医疗机构在点击“</w:t>
      </w:r>
      <w:r>
        <w:rPr>
          <w:rFonts w:hint="eastAsia" w:ascii="仿宋" w:hAnsi="仿宋" w:eastAsia="仿宋"/>
          <w:sz w:val="32"/>
          <w:szCs w:val="32"/>
          <w:lang w:val="en-US" w:eastAsia="zh-CN"/>
        </w:rPr>
        <w:t>提交</w:t>
      </w:r>
      <w:r>
        <w:rPr>
          <w:rFonts w:hint="default" w:ascii="仿宋" w:hAnsi="仿宋" w:eastAsia="仿宋"/>
          <w:sz w:val="32"/>
          <w:szCs w:val="32"/>
          <w:lang w:val="en-US" w:eastAsia="zh-CN"/>
        </w:rPr>
        <w:t>”时，系统将提示医疗机构填写理由</w:t>
      </w:r>
      <w:r>
        <w:rPr>
          <w:rFonts w:hint="eastAsia" w:ascii="仿宋" w:hAnsi="仿宋" w:eastAsia="仿宋"/>
          <w:sz w:val="32"/>
          <w:szCs w:val="32"/>
          <w:lang w:val="en-US" w:eastAsia="zh-CN"/>
        </w:rPr>
        <w:t>，点击“确定”填写相关理由</w:t>
      </w:r>
      <w:r>
        <w:rPr>
          <w:rFonts w:hint="default" w:ascii="仿宋" w:hAnsi="仿宋" w:eastAsia="仿宋"/>
          <w:sz w:val="32"/>
          <w:szCs w:val="32"/>
          <w:lang w:val="en-US" w:eastAsia="zh-CN"/>
        </w:rPr>
        <w:t>。（该功能不对医疗机构实际填写提交的数量做限制）</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drawing>
          <wp:anchor distT="0" distB="0" distL="114935" distR="114935" simplePos="0" relativeHeight="251667456" behindDoc="0" locked="0" layoutInCell="1" allowOverlap="1">
            <wp:simplePos x="0" y="0"/>
            <wp:positionH relativeFrom="column">
              <wp:posOffset>31115</wp:posOffset>
            </wp:positionH>
            <wp:positionV relativeFrom="paragraph">
              <wp:posOffset>2607945</wp:posOffset>
            </wp:positionV>
            <wp:extent cx="5269230" cy="2673350"/>
            <wp:effectExtent l="0" t="0" r="7620" b="12700"/>
            <wp:wrapTopAndBottom/>
            <wp:docPr id="8" name="图片 8" descr="1623999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23999144(1)"/>
                    <pic:cNvPicPr>
                      <a:picLocks noChangeAspect="1"/>
                    </pic:cNvPicPr>
                  </pic:nvPicPr>
                  <pic:blipFill>
                    <a:blip r:embed="rId16"/>
                    <a:stretch>
                      <a:fillRect/>
                    </a:stretch>
                  </pic:blipFill>
                  <pic:spPr>
                    <a:xfrm>
                      <a:off x="0" y="0"/>
                      <a:ext cx="5269230" cy="2673350"/>
                    </a:xfrm>
                    <a:prstGeom prst="rect">
                      <a:avLst/>
                    </a:prstGeom>
                  </pic:spPr>
                </pic:pic>
              </a:graphicData>
            </a:graphic>
          </wp:anchor>
        </w:drawing>
      </w:r>
      <w:r>
        <w:rPr>
          <w:rFonts w:hint="eastAsia" w:ascii="仿宋" w:hAnsi="仿宋" w:eastAsia="仿宋"/>
          <w:sz w:val="32"/>
          <w:szCs w:val="32"/>
          <w:lang w:val="en-US" w:eastAsia="zh-CN"/>
        </w:rPr>
        <w:drawing>
          <wp:anchor distT="0" distB="0" distL="114935" distR="114935" simplePos="0" relativeHeight="251663360" behindDoc="0" locked="0" layoutInCell="1" allowOverlap="1">
            <wp:simplePos x="0" y="0"/>
            <wp:positionH relativeFrom="column">
              <wp:posOffset>-10795</wp:posOffset>
            </wp:positionH>
            <wp:positionV relativeFrom="paragraph">
              <wp:posOffset>39370</wp:posOffset>
            </wp:positionV>
            <wp:extent cx="5269230" cy="2522855"/>
            <wp:effectExtent l="0" t="0" r="7620" b="10795"/>
            <wp:wrapTopAndBottom/>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7"/>
                    <a:stretch>
                      <a:fillRect/>
                    </a:stretch>
                  </pic:blipFill>
                  <pic:spPr>
                    <a:xfrm>
                      <a:off x="0" y="0"/>
                      <a:ext cx="5269230" cy="2522855"/>
                    </a:xfrm>
                    <a:prstGeom prst="rect">
                      <a:avLst/>
                    </a:prstGeom>
                    <a:noFill/>
                    <a:ln>
                      <a:noFill/>
                    </a:ln>
                  </pic:spPr>
                </pic:pic>
              </a:graphicData>
            </a:graphic>
          </wp:anchor>
        </w:drawing>
      </w:r>
      <w:r>
        <w:rPr>
          <w:rFonts w:hint="eastAsia" w:ascii="仿宋" w:hAnsi="仿宋" w:eastAsia="仿宋"/>
          <w:sz w:val="32"/>
          <w:szCs w:val="32"/>
          <w:lang w:val="en-US" w:eastAsia="zh-CN"/>
        </w:rPr>
        <w:t>（5）医疗机构在完成采购需求数据提交操作后，均无法在原页面做任何修改操作。如发现已提交数据存在有误，在所属地市医保部门提交省级医保部门前，可在“需求量上报”页面，点击页面下方“申请撤回”来撤回相应的数据。地市医保部门操作同意后，重新修正数据后再提交。</w:t>
      </w: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rPr>
          <w:rFonts w:hint="eastAsia" w:ascii="仿宋" w:hAnsi="仿宋" w:eastAsia="仿宋"/>
          <w:sz w:val="32"/>
          <w:szCs w:val="32"/>
          <w:lang w:val="en-US" w:eastAsia="zh-CN"/>
        </w:rPr>
      </w:pPr>
    </w:p>
    <w:p>
      <w:pPr>
        <w:spacing w:line="600" w:lineRule="exact"/>
        <w:rPr>
          <w:rFonts w:hint="default" w:ascii="仿宋" w:hAnsi="仿宋" w:eastAsia="仿宋"/>
          <w:sz w:val="32"/>
          <w:szCs w:val="32"/>
          <w:lang w:val="en-US" w:eastAsia="zh-CN"/>
        </w:rPr>
      </w:pPr>
      <w:bookmarkStart w:id="14" w:name="_GoBack"/>
      <w:r>
        <w:rPr>
          <w:rFonts w:hint="default" w:ascii="仿宋" w:hAnsi="仿宋" w:eastAsia="仿宋"/>
          <w:sz w:val="32"/>
          <w:szCs w:val="32"/>
          <w:lang w:val="en-US" w:eastAsia="zh-CN"/>
        </w:rPr>
        <w:drawing>
          <wp:anchor distT="0" distB="0" distL="114935" distR="114935" simplePos="0" relativeHeight="251671552" behindDoc="0" locked="0" layoutInCell="1" allowOverlap="1">
            <wp:simplePos x="0" y="0"/>
            <wp:positionH relativeFrom="column">
              <wp:posOffset>38100</wp:posOffset>
            </wp:positionH>
            <wp:positionV relativeFrom="paragraph">
              <wp:posOffset>57150</wp:posOffset>
            </wp:positionV>
            <wp:extent cx="5269230" cy="2511425"/>
            <wp:effectExtent l="0" t="0" r="7620" b="3175"/>
            <wp:wrapTopAndBottom/>
            <wp:docPr id="19" name="图片 19" descr="1624001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24001223(1)"/>
                    <pic:cNvPicPr>
                      <a:picLocks noChangeAspect="1"/>
                    </pic:cNvPicPr>
                  </pic:nvPicPr>
                  <pic:blipFill>
                    <a:blip r:embed="rId18"/>
                    <a:stretch>
                      <a:fillRect/>
                    </a:stretch>
                  </pic:blipFill>
                  <pic:spPr>
                    <a:xfrm>
                      <a:off x="0" y="0"/>
                      <a:ext cx="5269230" cy="2511425"/>
                    </a:xfrm>
                    <a:prstGeom prst="rect">
                      <a:avLst/>
                    </a:prstGeom>
                  </pic:spPr>
                </pic:pic>
              </a:graphicData>
            </a:graphic>
          </wp:anchor>
        </w:drawing>
      </w:r>
      <w:bookmarkEnd w:id="14"/>
    </w:p>
    <w:p>
      <w:pPr>
        <w:spacing w:line="600" w:lineRule="exact"/>
        <w:rPr>
          <w:rFonts w:hint="default" w:ascii="仿宋" w:hAnsi="仿宋" w:eastAsia="仿宋"/>
          <w:sz w:val="32"/>
          <w:szCs w:val="32"/>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54765"/>
    <w:multiLevelType w:val="singleLevel"/>
    <w:tmpl w:val="1835476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DD00F2"/>
    <w:rsid w:val="15A963B0"/>
    <w:rsid w:val="1B4C0F01"/>
    <w:rsid w:val="1F1A3FB9"/>
    <w:rsid w:val="1F9A37C8"/>
    <w:rsid w:val="239C3967"/>
    <w:rsid w:val="257712FC"/>
    <w:rsid w:val="25F70BB5"/>
    <w:rsid w:val="2B445BA5"/>
    <w:rsid w:val="2CFA2361"/>
    <w:rsid w:val="2DDD74C3"/>
    <w:rsid w:val="32BB4DD1"/>
    <w:rsid w:val="417079B6"/>
    <w:rsid w:val="43CD0DA8"/>
    <w:rsid w:val="54944F65"/>
    <w:rsid w:val="5CAA2F0C"/>
    <w:rsid w:val="5E882B48"/>
    <w:rsid w:val="60A83760"/>
    <w:rsid w:val="6BC771DC"/>
    <w:rsid w:val="73D6460E"/>
    <w:rsid w:val="775960D6"/>
    <w:rsid w:val="78222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toc 2"/>
    <w:basedOn w:val="1"/>
    <w:next w:val="1"/>
    <w:qFormat/>
    <w:uiPriority w:val="0"/>
    <w:pPr>
      <w:ind w:left="420" w:leftChars="200"/>
    </w:pPr>
  </w:style>
  <w:style w:type="character" w:styleId="8">
    <w:name w:val="Hyperlink"/>
    <w:basedOn w:val="7"/>
    <w:qFormat/>
    <w:uiPriority w:val="0"/>
    <w:rPr>
      <w:color w:val="333333"/>
      <w:u w:val="none"/>
    </w:rPr>
  </w:style>
  <w:style w:type="paragraph" w:customStyle="1" w:styleId="9">
    <w:name w:val="WPSOffice手动目录 1"/>
    <w:qFormat/>
    <w:uiPriority w:val="0"/>
    <w:pPr>
      <w:ind w:leftChars="0"/>
    </w:pPr>
    <w:rPr>
      <w:rFonts w:ascii="Times New Roman" w:hAnsi="Times New Roman" w:eastAsia="宋体" w:cs="Times New Roman"/>
      <w:sz w:val="20"/>
      <w:szCs w:val="20"/>
    </w:rPr>
  </w:style>
  <w:style w:type="paragraph" w:customStyle="1" w:styleId="10">
    <w:name w:val="WPSOffice手动目录 2"/>
    <w:qFormat/>
    <w:uiPriority w:val="0"/>
    <w:pPr>
      <w:ind w:leftChars="200"/>
    </w:pPr>
    <w:rPr>
      <w:rFonts w:ascii="Times New Roman" w:hAnsi="Times New Roman" w:eastAsia="宋体" w:cs="Times New Roman"/>
      <w:sz w:val="20"/>
      <w:szCs w:val="20"/>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2021-06-08T10:34:00Z</dcterms:created>
  <dc:creator>ELIAN-FM-JSJ240</dc:creator>
  <cp:lastModifiedBy>啸</cp:lastModifiedBy>
  <dcterms:modified xsi:type="dcterms:W3CDTF">2021-06-18T07:27:32Z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27F8D1C1368446059E15A49FD1DF97E9</vt:lpwstr>
  </property>
</Properties>
</file>