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r>
        <w:rPr>
          <w:rFonts w:hint="eastAsia" w:ascii="微软雅黑" w:hAnsi="微软雅黑" w:eastAsia="微软雅黑" w:cs="微软雅黑"/>
          <w:color w:val="000000"/>
          <w:kern w:val="0"/>
          <w:sz w:val="48"/>
          <w:szCs w:val="48"/>
          <w:lang w:val="en-US" w:eastAsia="zh-CN" w:bidi="ar"/>
        </w:rPr>
        <w:t>十二省（区、市）骨科创伤类医用耗材医院需求量填报系统</w:t>
      </w: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r>
        <w:rPr>
          <w:rFonts w:hint="eastAsia" w:ascii="微软雅黑" w:hAnsi="微软雅黑" w:eastAsia="微软雅黑" w:cs="微软雅黑"/>
          <w:color w:val="000000"/>
          <w:kern w:val="0"/>
          <w:sz w:val="48"/>
          <w:szCs w:val="48"/>
          <w:lang w:val="en-US" w:eastAsia="zh-CN" w:bidi="ar"/>
        </w:rPr>
        <w:t>（地市医保部门）操作手册</w:t>
      </w: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8"/>
          <w:szCs w:val="48"/>
          <w:lang w:val="en-US" w:eastAsia="zh-CN" w:bidi="ar"/>
        </w:rPr>
      </w:pPr>
    </w:p>
    <w:p>
      <w:pPr>
        <w:keepNext w:val="0"/>
        <w:keepLines w:val="0"/>
        <w:widowControl/>
        <w:suppressLineNumbers w:val="0"/>
        <w:jc w:val="center"/>
        <w:rPr>
          <w:rFonts w:hint="eastAsia" w:ascii="微软雅黑" w:hAnsi="微软雅黑" w:eastAsia="微软雅黑" w:cs="微软雅黑"/>
          <w:color w:val="000000"/>
          <w:kern w:val="0"/>
          <w:sz w:val="43"/>
          <w:szCs w:val="43"/>
          <w:lang w:val="en-US" w:eastAsia="zh-CN" w:bidi="ar"/>
        </w:rPr>
      </w:pPr>
      <w:r>
        <w:rPr>
          <w:rFonts w:hint="default" w:ascii="Times New Roman" w:hAnsi="Times New Roman" w:eastAsia="宋体" w:cs="Times New Roman"/>
          <w:color w:val="000000"/>
          <w:kern w:val="0"/>
          <w:sz w:val="43"/>
          <w:szCs w:val="43"/>
          <w:lang w:val="en-US" w:eastAsia="zh-CN" w:bidi="ar"/>
        </w:rPr>
        <w:t>202</w:t>
      </w:r>
      <w:r>
        <w:rPr>
          <w:rFonts w:hint="eastAsia" w:ascii="Times New Roman" w:hAnsi="Times New Roman" w:eastAsia="宋体" w:cs="Times New Roman"/>
          <w:color w:val="000000"/>
          <w:kern w:val="0"/>
          <w:sz w:val="43"/>
          <w:szCs w:val="43"/>
          <w:lang w:val="en-US" w:eastAsia="zh-CN" w:bidi="ar"/>
        </w:rPr>
        <w:t>1</w:t>
      </w:r>
      <w:r>
        <w:rPr>
          <w:rFonts w:ascii="微软雅黑" w:hAnsi="微软雅黑" w:eastAsia="微软雅黑" w:cs="微软雅黑"/>
          <w:color w:val="000000"/>
          <w:kern w:val="0"/>
          <w:sz w:val="43"/>
          <w:szCs w:val="43"/>
          <w:lang w:val="en-US" w:eastAsia="zh-CN" w:bidi="ar"/>
        </w:rPr>
        <w:t>年</w:t>
      </w:r>
      <w:r>
        <w:rPr>
          <w:rFonts w:hint="eastAsia" w:ascii="Times New Roman" w:hAnsi="Times New Roman" w:eastAsia="宋体" w:cs="Times New Roman"/>
          <w:color w:val="000000"/>
          <w:kern w:val="0"/>
          <w:sz w:val="43"/>
          <w:szCs w:val="43"/>
          <w:lang w:val="en-US" w:eastAsia="zh-CN" w:bidi="ar"/>
        </w:rPr>
        <w:t>6</w:t>
      </w:r>
      <w:r>
        <w:rPr>
          <w:rFonts w:hint="eastAsia" w:ascii="微软雅黑" w:hAnsi="微软雅黑" w:eastAsia="微软雅黑" w:cs="微软雅黑"/>
          <w:color w:val="000000"/>
          <w:kern w:val="0"/>
          <w:sz w:val="43"/>
          <w:szCs w:val="43"/>
          <w:lang w:val="en-US" w:eastAsia="zh-CN" w:bidi="ar"/>
        </w:rPr>
        <w:t>月</w:t>
      </w: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21"/>
          <w:szCs w:val="24"/>
          <w:lang w:val="en-US" w:eastAsia="zh-CN" w:bidi="ar-SA"/>
        </w:rPr>
        <w:id w:val="14746898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sz w:val="28"/>
              <w:szCs w:val="28"/>
            </w:rPr>
          </w:pPr>
          <w:r>
            <w:rPr>
              <w:rFonts w:hint="eastAsia" w:ascii="仿宋" w:hAnsi="仿宋" w:eastAsia="仿宋" w:cs="仿宋"/>
              <w:sz w:val="28"/>
              <w:szCs w:val="28"/>
            </w:rPr>
            <w:t>目录</w:t>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"1-3" \h \u </w:instrText>
          </w:r>
          <w:r>
            <w:rPr>
              <w:rFonts w:hint="eastAsia" w:ascii="仿宋" w:hAnsi="仿宋" w:eastAsia="仿宋" w:cs="仿宋"/>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_Toc2320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一、 </w:t>
          </w:r>
          <w:r>
            <w:rPr>
              <w:rFonts w:hint="eastAsia" w:ascii="仿宋" w:hAnsi="仿宋" w:eastAsia="仿宋" w:cs="仿宋"/>
              <w:sz w:val="28"/>
              <w:szCs w:val="28"/>
              <w:lang w:val="en-US" w:eastAsia="zh-CN"/>
            </w:rPr>
            <w:t>使用须知</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_Toc2320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_Toc9157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1.1操作手册内容简介</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_Toc9157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_Toc22059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1.2操作系统相关需求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_Toc22059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_Toc25686 </w:instrText>
          </w:r>
          <w:r>
            <w:rPr>
              <w:rFonts w:hint="eastAsia" w:ascii="仿宋" w:hAnsi="仿宋" w:eastAsia="仿宋" w:cs="仿宋"/>
              <w:sz w:val="28"/>
              <w:szCs w:val="28"/>
            </w:rPr>
            <w:fldChar w:fldCharType="separate"/>
          </w:r>
          <w:r>
            <w:rPr>
              <w:rFonts w:hint="eastAsia" w:ascii="仿宋" w:hAnsi="仿宋" w:eastAsia="仿宋" w:cs="仿宋"/>
              <w:sz w:val="28"/>
              <w:szCs w:val="28"/>
              <w:lang w:val="en-US" w:eastAsia="zh-CN"/>
            </w:rPr>
            <w:t>二、 系统角色介绍</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_Toc25686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_Toc750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2.1医疗机构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_Toc750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_Toc24647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2.2.地市级医保局</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_Toc24647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_Toc8075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2.3.省级医保局</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_Toc8075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_Toc5065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2.4.十二省（区、市）联采办</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_Toc5065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6"/>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_Toc14630 </w:instrText>
          </w:r>
          <w:r>
            <w:rPr>
              <w:rFonts w:hint="eastAsia" w:ascii="仿宋" w:hAnsi="仿宋" w:eastAsia="仿宋" w:cs="仿宋"/>
              <w:sz w:val="28"/>
              <w:szCs w:val="28"/>
            </w:rPr>
            <w:fldChar w:fldCharType="separate"/>
          </w:r>
          <w:r>
            <w:rPr>
              <w:rFonts w:hint="eastAsia" w:ascii="仿宋" w:hAnsi="仿宋" w:eastAsia="仿宋" w:cs="仿宋"/>
              <w:sz w:val="28"/>
              <w:szCs w:val="28"/>
              <w:lang w:val="en-US" w:eastAsia="zh-CN"/>
            </w:rPr>
            <w:t>三、 系统操作介绍</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_Toc14630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_Toc14905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3.1系统操作流程图</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_Toc14905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_Toc15663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3.2.系统登录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_Toc15663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_Toc21678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3.3用户管理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_Toc21678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_Toc21568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3.3.1医疗机构用户管理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_Toc21568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_Toc19914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3.3.2.地市医保部门子账号管理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_Toc19914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_Toc22812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3.4.产品管理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_Toc22812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7"/>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_Toc27976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3.5.上报管理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_Toc27976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_Toc29834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3.5.1.需求量信息审核</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_Toc29834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_Toc8422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3.5.2.确认提交医疗机构采购需求量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_Toc8422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3"/>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_Toc27930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3.5.3医疗机构撤回申请处理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_Toc27930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r>
            <w:rPr>
              <w:rFonts w:hint="eastAsia" w:ascii="仿宋" w:hAnsi="仿宋" w:eastAsia="仿宋" w:cs="仿宋"/>
              <w:sz w:val="28"/>
              <w:szCs w:val="28"/>
            </w:rPr>
            <w:fldChar w:fldCharType="end"/>
          </w:r>
        </w:p>
      </w:sdtContent>
    </w:sdt>
    <w:p>
      <w:pPr>
        <w:numPr>
          <w:ilvl w:val="0"/>
          <w:numId w:val="0"/>
        </w:numPr>
        <w:spacing w:line="600" w:lineRule="exact"/>
        <w:ind w:left="420" w:leftChars="0"/>
        <w:outlineLvl w:val="0"/>
        <w:rPr>
          <w:rFonts w:hint="eastAsia" w:ascii="黑体" w:hAnsi="黑体" w:eastAsia="黑体"/>
          <w:b/>
          <w:sz w:val="32"/>
          <w:szCs w:val="32"/>
        </w:rPr>
      </w:pPr>
    </w:p>
    <w:p>
      <w:pPr>
        <w:numPr>
          <w:ilvl w:val="0"/>
          <w:numId w:val="1"/>
        </w:numPr>
        <w:spacing w:line="600" w:lineRule="exact"/>
        <w:ind w:left="0" w:leftChars="0" w:firstLine="420" w:firstLineChars="0"/>
        <w:outlineLvl w:val="0"/>
        <w:rPr>
          <w:rFonts w:hint="eastAsia" w:ascii="黑体" w:hAnsi="黑体" w:eastAsia="黑体"/>
          <w:b/>
          <w:sz w:val="32"/>
          <w:szCs w:val="32"/>
        </w:rPr>
        <w:sectPr>
          <w:footerReference r:id="rId3" w:type="default"/>
          <w:pgSz w:w="11906" w:h="16838"/>
          <w:pgMar w:top="1440" w:right="1800" w:bottom="1440" w:left="1800" w:header="851" w:footer="992" w:gutter="0"/>
          <w:pgNumType w:start="1"/>
          <w:cols w:space="425" w:num="1"/>
          <w:docGrid w:type="lines" w:linePitch="312" w:charSpace="0"/>
        </w:sectPr>
      </w:pPr>
      <w:bookmarkStart w:id="0" w:name="_Toc2320"/>
    </w:p>
    <w:p>
      <w:pPr>
        <w:numPr>
          <w:ilvl w:val="0"/>
          <w:numId w:val="1"/>
        </w:numPr>
        <w:spacing w:line="600" w:lineRule="exact"/>
        <w:ind w:left="0" w:leftChars="0" w:firstLine="420" w:firstLineChars="0"/>
        <w:outlineLvl w:val="0"/>
        <w:rPr>
          <w:rFonts w:hint="eastAsia" w:ascii="黑体" w:hAnsi="黑体" w:eastAsia="黑体"/>
          <w:b/>
          <w:sz w:val="32"/>
          <w:szCs w:val="32"/>
        </w:rPr>
      </w:pPr>
      <w:r>
        <w:rPr>
          <w:rFonts w:hint="eastAsia" w:ascii="黑体" w:hAnsi="黑体" w:eastAsia="黑体"/>
          <w:b/>
          <w:sz w:val="32"/>
          <w:szCs w:val="32"/>
          <w:lang w:val="en-US" w:eastAsia="zh-CN"/>
        </w:rPr>
        <w:t>使用须知</w:t>
      </w:r>
      <w:bookmarkEnd w:id="0"/>
    </w:p>
    <w:p>
      <w:pPr>
        <w:numPr>
          <w:ilvl w:val="0"/>
          <w:numId w:val="0"/>
        </w:numPr>
        <w:spacing w:line="600" w:lineRule="exact"/>
        <w:ind w:leftChars="0"/>
        <w:outlineLvl w:val="1"/>
        <w:rPr>
          <w:rFonts w:hint="eastAsia" w:ascii="楷体" w:hAnsi="楷体" w:eastAsia="楷体" w:cs="楷体_GB2312"/>
          <w:b/>
          <w:bCs/>
          <w:sz w:val="32"/>
          <w:szCs w:val="32"/>
        </w:rPr>
      </w:pPr>
      <w:bookmarkStart w:id="1" w:name="_Toc9157"/>
      <w:r>
        <w:rPr>
          <w:rFonts w:hint="eastAsia" w:ascii="楷体" w:hAnsi="楷体" w:eastAsia="楷体" w:cs="楷体_GB2312"/>
          <w:b/>
          <w:bCs/>
          <w:sz w:val="32"/>
          <w:szCs w:val="32"/>
          <w:lang w:val="en-US" w:eastAsia="zh-CN"/>
        </w:rPr>
        <w:t>1.1操作手册内容简介</w:t>
      </w:r>
      <w:bookmarkEnd w:id="1"/>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该操作手册主要介绍地市医保部门在使用十二省（区、市）骨科创伤类医用耗材医院需求量填报系统进行“十二省（区、市）骨科创伤医用耗材采购需求量填报工作”时需完成的操作事项，包含（</w:t>
      </w:r>
      <w:r>
        <w:rPr>
          <w:rFonts w:hint="default" w:ascii="仿宋" w:hAnsi="仿宋" w:eastAsia="仿宋"/>
          <w:sz w:val="32"/>
          <w:szCs w:val="32"/>
          <w:lang w:val="en-US" w:eastAsia="zh-CN"/>
        </w:rPr>
        <w:t>1</w:t>
      </w:r>
      <w:r>
        <w:rPr>
          <w:rFonts w:hint="eastAsia" w:ascii="仿宋" w:hAnsi="仿宋" w:eastAsia="仿宋"/>
          <w:sz w:val="32"/>
          <w:szCs w:val="32"/>
          <w:lang w:val="en-US" w:eastAsia="zh-CN"/>
        </w:rPr>
        <w:t>）辖区医疗机构账号管理；（</w:t>
      </w:r>
      <w:r>
        <w:rPr>
          <w:rFonts w:hint="default" w:ascii="仿宋" w:hAnsi="仿宋" w:eastAsia="仿宋"/>
          <w:sz w:val="32"/>
          <w:szCs w:val="32"/>
          <w:lang w:val="en-US" w:eastAsia="zh-CN"/>
        </w:rPr>
        <w:t>2</w:t>
      </w:r>
      <w:r>
        <w:rPr>
          <w:rFonts w:hint="eastAsia" w:ascii="仿宋" w:hAnsi="仿宋" w:eastAsia="仿宋"/>
          <w:sz w:val="32"/>
          <w:szCs w:val="32"/>
          <w:lang w:val="en-US" w:eastAsia="zh-CN"/>
        </w:rPr>
        <w:t>）医疗机构采购周期内总需求量填报管理。</w:t>
      </w:r>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该操作手册对应的用户主体为地市医保部门用户，地市医保部门用户在系统内完成本地市下辖医疗机构采购周期内总需求量数据的审核、上报等相关操作。</w:t>
      </w:r>
    </w:p>
    <w:p>
      <w:pPr>
        <w:spacing w:line="600" w:lineRule="exact"/>
        <w:ind w:firstLine="640" w:firstLineChars="200"/>
        <w:rPr>
          <w:rFonts w:hint="eastAsia" w:ascii="楷体" w:hAnsi="楷体" w:eastAsia="楷体" w:cs="楷体_GB2312"/>
          <w:b/>
          <w:bCs/>
          <w:sz w:val="32"/>
          <w:szCs w:val="32"/>
          <w:lang w:val="en-US" w:eastAsia="zh-CN"/>
        </w:rPr>
      </w:pPr>
      <w:r>
        <w:rPr>
          <w:rFonts w:hint="eastAsia" w:ascii="仿宋" w:hAnsi="仿宋" w:eastAsia="仿宋"/>
          <w:sz w:val="32"/>
          <w:szCs w:val="32"/>
          <w:lang w:val="en-US" w:eastAsia="zh-CN"/>
        </w:rPr>
        <w:t>本手册中出现的用户信息、相关数据均为系统测试数据，不作为任何正式的使用依据。</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2" w:name="_Toc22059"/>
      <w:r>
        <w:rPr>
          <w:rFonts w:hint="eastAsia" w:ascii="楷体" w:hAnsi="楷体" w:eastAsia="楷体" w:cs="楷体_GB2312"/>
          <w:b/>
          <w:bCs/>
          <w:sz w:val="32"/>
          <w:szCs w:val="32"/>
          <w:lang w:val="en-US" w:eastAsia="zh-CN"/>
        </w:rPr>
        <w:t>1.2操作系统相关需求</w:t>
      </w:r>
      <w:bookmarkEnd w:id="2"/>
    </w:p>
    <w:tbl>
      <w:tblPr>
        <w:tblStyle w:val="8"/>
        <w:tblW w:w="4999" w:type="pct"/>
        <w:tblInd w:w="0" w:type="dxa"/>
        <w:shd w:val="clear" w:color="auto" w:fill="auto"/>
        <w:tblLayout w:type="autofit"/>
        <w:tblCellMar>
          <w:top w:w="0" w:type="dxa"/>
          <w:left w:w="108" w:type="dxa"/>
          <w:bottom w:w="0" w:type="dxa"/>
          <w:right w:w="108" w:type="dxa"/>
        </w:tblCellMar>
      </w:tblPr>
      <w:tblGrid>
        <w:gridCol w:w="960"/>
        <w:gridCol w:w="1626"/>
        <w:gridCol w:w="5934"/>
      </w:tblGrid>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硬件或软件</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客户端推荐配置</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CPU</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1.70GHz</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内存</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4GB</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显示器</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1366*768/256色分辨率</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网络</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10M带宽</w:t>
            </w:r>
          </w:p>
        </w:tc>
      </w:tr>
      <w:tr>
        <w:tblPrEx>
          <w:shd w:val="clear" w:color="auto" w:fill="auto"/>
          <w:tblCellMar>
            <w:top w:w="0" w:type="dxa"/>
            <w:left w:w="108" w:type="dxa"/>
            <w:bottom w:w="0" w:type="dxa"/>
            <w:right w:w="108" w:type="dxa"/>
          </w:tblCellMar>
        </w:tblPrEx>
        <w:trPr>
          <w:trHeight w:val="375" w:hRule="atLeast"/>
        </w:trPr>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浏览器</w:t>
            </w:r>
          </w:p>
        </w:tc>
        <w:tc>
          <w:tcPr>
            <w:tcW w:w="34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谷歌、360极速浏览器、搜狗极速浏览器</w:t>
            </w:r>
          </w:p>
        </w:tc>
      </w:tr>
    </w:tbl>
    <w:p>
      <w:pPr>
        <w:numPr>
          <w:ilvl w:val="0"/>
          <w:numId w:val="1"/>
        </w:numPr>
        <w:spacing w:line="600" w:lineRule="exact"/>
        <w:ind w:left="0" w:leftChars="0" w:firstLine="420" w:firstLineChars="0"/>
        <w:outlineLvl w:val="0"/>
        <w:rPr>
          <w:rFonts w:hint="eastAsia" w:ascii="黑体" w:hAnsi="黑体" w:eastAsia="黑体"/>
          <w:b/>
          <w:sz w:val="32"/>
          <w:szCs w:val="32"/>
          <w:lang w:val="en-US" w:eastAsia="zh-CN"/>
        </w:rPr>
      </w:pPr>
      <w:bookmarkStart w:id="3" w:name="_Toc25686"/>
      <w:r>
        <w:rPr>
          <w:rFonts w:hint="eastAsia" w:ascii="黑体" w:hAnsi="黑体" w:eastAsia="黑体"/>
          <w:b/>
          <w:sz w:val="32"/>
          <w:szCs w:val="32"/>
          <w:lang w:val="en-US" w:eastAsia="zh-CN"/>
        </w:rPr>
        <w:t>系统角色介绍</w:t>
      </w:r>
      <w:bookmarkEnd w:id="3"/>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整个系统由四个角色构成：医疗机构、地市级医保局、省级医保局和十二省（区、市）联采办。</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4" w:name="_Toc750"/>
      <w:r>
        <w:rPr>
          <w:rFonts w:hint="eastAsia" w:ascii="楷体" w:hAnsi="楷体" w:eastAsia="楷体" w:cs="楷体_GB2312"/>
          <w:b/>
          <w:bCs/>
          <w:sz w:val="32"/>
          <w:szCs w:val="32"/>
          <w:lang w:val="en-US" w:eastAsia="zh-CN"/>
        </w:rPr>
        <w:t>2.1医疗机构</w:t>
      </w:r>
      <w:bookmarkEnd w:id="4"/>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职责：通过“十二省（区、市）骨科创伤类医用耗材医院需求量填报系统”对骨科创伤类耗材产品的采购周期内总需求量数据进行上报、核实并提交。</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权限：查询权限、维护权限、上报权限、导出权限。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账号申请：医疗机构账号由各省级医保局在系统内进行统一发放。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5" w:name="_Toc24647"/>
      <w:r>
        <w:rPr>
          <w:rFonts w:hint="eastAsia" w:ascii="楷体" w:hAnsi="楷体" w:eastAsia="楷体" w:cs="楷体_GB2312"/>
          <w:b/>
          <w:bCs/>
          <w:sz w:val="32"/>
          <w:szCs w:val="32"/>
          <w:lang w:val="en-US" w:eastAsia="zh-CN"/>
        </w:rPr>
        <w:t>2.2.地市级医保局</w:t>
      </w:r>
      <w:bookmarkEnd w:id="5"/>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查看、审核医疗机构上报的骨科创伤类耗材产品采购周期内总需求量数据并将其提交省级医保局，掌握医疗机构的填报进度，及时督促医疗机构完成填报工作。</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权限：查询权限、审核权限、上报权限、导出权限、管理医疗机构账号密码权限。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账号申请：地市级医保局账号由各省级医保局在系统内进行统一发放。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6" w:name="_Toc8075"/>
      <w:r>
        <w:rPr>
          <w:rFonts w:hint="eastAsia" w:ascii="楷体" w:hAnsi="楷体" w:eastAsia="楷体" w:cs="楷体_GB2312"/>
          <w:b/>
          <w:bCs/>
          <w:sz w:val="32"/>
          <w:szCs w:val="32"/>
          <w:lang w:val="en-US" w:eastAsia="zh-CN"/>
        </w:rPr>
        <w:t>2.3.省级医保局</w:t>
      </w:r>
      <w:bookmarkEnd w:id="6"/>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职责：(1)发放医疗机构账号；(2)需求量阈值设置；（3）查看、审核地市医保局提交的各医疗机构骨科创伤类耗材产品采购周期内总需求量数据并将其上报至十二省（区、市）联采办。</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权限：查询权限、审核权限、上报权限、导入导出权限、管理医疗机构账号密码权限。</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账号申请：省级医保局账号由国家联采办统一发放。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7" w:name="_Toc5065"/>
      <w:r>
        <w:rPr>
          <w:rFonts w:hint="eastAsia" w:ascii="楷体" w:hAnsi="楷体" w:eastAsia="楷体" w:cs="楷体_GB2312"/>
          <w:b/>
          <w:bCs/>
          <w:sz w:val="32"/>
          <w:szCs w:val="32"/>
          <w:lang w:val="en-US" w:eastAsia="zh-CN"/>
        </w:rPr>
        <w:t>2.4.十二省（区、市）联采办</w:t>
      </w:r>
      <w:bookmarkEnd w:id="7"/>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职责：通过“十二省（区、市）骨科创伤类医用耗材医院需求量填报系统”多维度查看各地上报的集采目录需求量，审核各省医保局的上报数据。</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权限：查询权限、审核权限、导出权限、管理权限。</w:t>
      </w:r>
    </w:p>
    <w:p>
      <w:pPr>
        <w:numPr>
          <w:ilvl w:val="0"/>
          <w:numId w:val="1"/>
        </w:numPr>
        <w:spacing w:line="600" w:lineRule="exact"/>
        <w:ind w:left="0" w:leftChars="0" w:firstLine="420" w:firstLineChars="0"/>
        <w:outlineLvl w:val="0"/>
        <w:rPr>
          <w:rFonts w:hint="eastAsia" w:ascii="黑体" w:hAnsi="黑体" w:eastAsia="黑体"/>
          <w:b/>
          <w:sz w:val="32"/>
          <w:szCs w:val="32"/>
          <w:lang w:val="en-US" w:eastAsia="zh-CN"/>
        </w:rPr>
      </w:pPr>
      <w:bookmarkStart w:id="8" w:name="_Toc14630"/>
      <w:r>
        <w:rPr>
          <w:rFonts w:hint="eastAsia" w:ascii="黑体" w:hAnsi="黑体" w:eastAsia="黑体"/>
          <w:b/>
          <w:sz w:val="32"/>
          <w:szCs w:val="32"/>
          <w:lang w:val="en-US" w:eastAsia="zh-CN"/>
        </w:rPr>
        <w:t>系统操作介绍</w:t>
      </w:r>
      <w:bookmarkEnd w:id="8"/>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9" w:name="_Toc14905"/>
      <w:r>
        <w:rPr>
          <w:rFonts w:hint="eastAsia" w:ascii="楷体" w:hAnsi="楷体" w:eastAsia="楷体" w:cs="楷体_GB2312"/>
          <w:b/>
          <w:bCs/>
          <w:sz w:val="32"/>
          <w:szCs w:val="32"/>
          <w:lang w:val="en-US" w:eastAsia="zh-CN"/>
        </w:rPr>
        <w:t>3.1系统操作流程图</w:t>
      </w:r>
      <w:bookmarkEnd w:id="9"/>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省级医保局通过平台完成账号发放，本省采购需求量阈值设置，查看审核地市医保局提交的各医疗机构填报数据，并上报至国家联采办等操作。</w:t>
      </w:r>
    </w:p>
    <w:p>
      <w:pPr>
        <w:spacing w:line="600" w:lineRule="exact"/>
        <w:ind w:firstLine="420" w:firstLineChars="200"/>
        <w:jc w:val="center"/>
        <w:rPr>
          <w:rFonts w:hint="eastAsia" w:ascii="仿宋" w:hAnsi="仿宋" w:eastAsia="仿宋"/>
          <w:sz w:val="32"/>
          <w:szCs w:val="32"/>
          <w:lang w:val="en-US" w:eastAsia="zh-CN"/>
        </w:rPr>
      </w:pPr>
      <w:r>
        <w:rPr>
          <w:rFonts w:hint="eastAsia" w:ascii="仿宋" w:hAnsi="仿宋" w:eastAsia="仿宋" w:cs="仿宋"/>
          <w:lang w:eastAsia="zh-CN"/>
        </w:rPr>
        <w:t>平台操作流程图</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0" w:name="_Toc15663"/>
      <w:r>
        <w:drawing>
          <wp:anchor distT="0" distB="0" distL="114300" distR="114300" simplePos="0" relativeHeight="251659264" behindDoc="0" locked="0" layoutInCell="1" allowOverlap="1">
            <wp:simplePos x="0" y="0"/>
            <wp:positionH relativeFrom="column">
              <wp:posOffset>189230</wp:posOffset>
            </wp:positionH>
            <wp:positionV relativeFrom="page">
              <wp:posOffset>5938520</wp:posOffset>
            </wp:positionV>
            <wp:extent cx="5264785" cy="2582545"/>
            <wp:effectExtent l="0" t="0" r="12065" b="825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4785" cy="258254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3.2.系统登录</w:t>
      </w:r>
      <w:bookmarkEnd w:id="10"/>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1.打开浏览器，输入平台网址：</w:t>
      </w:r>
      <w:r>
        <w:rPr>
          <w:rFonts w:hint="eastAsia" w:ascii="仿宋" w:hAnsi="仿宋" w:eastAsia="仿宋"/>
          <w:sz w:val="32"/>
          <w:szCs w:val="32"/>
          <w:lang w:val="en-US" w:eastAsia="zh-CN"/>
        </w:rPr>
        <w:fldChar w:fldCharType="begin"/>
      </w:r>
      <w:r>
        <w:rPr>
          <w:rFonts w:hint="eastAsia" w:ascii="仿宋" w:hAnsi="仿宋" w:eastAsia="仿宋"/>
          <w:sz w:val="32"/>
          <w:szCs w:val="32"/>
          <w:lang w:val="en-US" w:eastAsia="zh-CN"/>
        </w:rPr>
        <w:instrText xml:space="preserve"> HYPERLINK "https://hc.tjmpc.cn:10128/，展示国家组织高值医用耗材联合采购平台登录页面。" </w:instrText>
      </w:r>
      <w:r>
        <w:rPr>
          <w:rFonts w:hint="eastAsia" w:ascii="仿宋" w:hAnsi="仿宋" w:eastAsia="仿宋"/>
          <w:sz w:val="32"/>
          <w:szCs w:val="32"/>
          <w:lang w:val="en-US" w:eastAsia="zh-CN"/>
        </w:rPr>
        <w:fldChar w:fldCharType="separate"/>
      </w:r>
      <w:r>
        <w:rPr>
          <w:rFonts w:hint="eastAsia" w:ascii="仿宋" w:hAnsi="仿宋" w:eastAsia="仿宋"/>
          <w:sz w:val="32"/>
          <w:szCs w:val="32"/>
          <w:lang w:val="en-US" w:eastAsia="zh-CN"/>
        </w:rPr>
        <w:t>http://hc.tjmpc.cn:14206/，展示十二省（区、市）骨科创伤类医用耗材医院需求量填报系统登录页面。</w:t>
      </w:r>
      <w:r>
        <w:rPr>
          <w:rFonts w:hint="eastAsia" w:ascii="仿宋" w:hAnsi="仿宋" w:eastAsia="仿宋"/>
          <w:sz w:val="32"/>
          <w:szCs w:val="32"/>
          <w:lang w:val="en-US" w:eastAsia="zh-CN"/>
        </w:rPr>
        <w:fldChar w:fldCharType="end"/>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6432" behindDoc="0" locked="0" layoutInCell="1" allowOverlap="1">
            <wp:simplePos x="0" y="0"/>
            <wp:positionH relativeFrom="column">
              <wp:posOffset>57150</wp:posOffset>
            </wp:positionH>
            <wp:positionV relativeFrom="paragraph">
              <wp:posOffset>97155</wp:posOffset>
            </wp:positionV>
            <wp:extent cx="5269230" cy="2303145"/>
            <wp:effectExtent l="0" t="0" r="7620" b="1905"/>
            <wp:wrapTopAndBottom/>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7"/>
                    <a:stretch>
                      <a:fillRect/>
                    </a:stretch>
                  </pic:blipFill>
                  <pic:spPr>
                    <a:xfrm>
                      <a:off x="0" y="0"/>
                      <a:ext cx="5269230" cy="2303145"/>
                    </a:xfrm>
                    <a:prstGeom prst="rect">
                      <a:avLst/>
                    </a:prstGeom>
                    <a:noFill/>
                    <a:ln>
                      <a:noFill/>
                    </a:ln>
                  </pic:spPr>
                </pic:pic>
              </a:graphicData>
            </a:graphic>
          </wp:anchor>
        </w:drawing>
      </w:r>
      <w:r>
        <w:rPr>
          <w:rFonts w:hint="eastAsia" w:ascii="仿宋" w:hAnsi="仿宋" w:eastAsia="仿宋"/>
          <w:sz w:val="32"/>
          <w:szCs w:val="32"/>
          <w:lang w:val="en-US" w:eastAsia="zh-CN"/>
        </w:rPr>
        <w:t>2.在“普通登录”栏目下，输入地市医保部门管理账号用户名、初始密码，录入验证码，点击登录进入系统。</w:t>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0288" behindDoc="0" locked="0" layoutInCell="1" allowOverlap="1">
            <wp:simplePos x="0" y="0"/>
            <wp:positionH relativeFrom="column">
              <wp:posOffset>67310</wp:posOffset>
            </wp:positionH>
            <wp:positionV relativeFrom="paragraph">
              <wp:posOffset>59690</wp:posOffset>
            </wp:positionV>
            <wp:extent cx="5269230" cy="2414905"/>
            <wp:effectExtent l="0" t="0" r="7620" b="444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5269230" cy="2414905"/>
                    </a:xfrm>
                    <a:prstGeom prst="rect">
                      <a:avLst/>
                    </a:prstGeom>
                    <a:noFill/>
                    <a:ln>
                      <a:noFill/>
                    </a:ln>
                  </pic:spPr>
                </pic:pic>
              </a:graphicData>
            </a:graphic>
          </wp:anchor>
        </w:drawing>
      </w:r>
      <w:r>
        <w:rPr>
          <w:rFonts w:hint="eastAsia" w:ascii="仿宋" w:hAnsi="仿宋" w:eastAsia="仿宋"/>
          <w:sz w:val="32"/>
          <w:szCs w:val="32"/>
          <w:lang w:val="en-US" w:eastAsia="zh-CN"/>
        </w:rPr>
        <w:t>3.点击【退出】按钮，系统自动清除当前用户登录信息，并返回系统登录页面。</w:t>
      </w: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spacing w:line="600" w:lineRule="exact"/>
        <w:ind w:firstLine="640" w:firstLineChars="200"/>
        <w:rPr>
          <w:rFonts w:hint="eastAsia" w:ascii="仿宋" w:hAnsi="仿宋" w:eastAsia="仿宋"/>
          <w:sz w:val="32"/>
          <w:szCs w:val="32"/>
          <w:lang w:val="en-US" w:eastAsia="zh-CN"/>
        </w:rPr>
      </w:pP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1" w:name="_Toc21678"/>
      <w:r>
        <w:drawing>
          <wp:anchor distT="0" distB="0" distL="114935" distR="114935" simplePos="0" relativeHeight="251661312" behindDoc="0" locked="0" layoutInCell="1" allowOverlap="1">
            <wp:simplePos x="0" y="0"/>
            <wp:positionH relativeFrom="column">
              <wp:posOffset>12700</wp:posOffset>
            </wp:positionH>
            <wp:positionV relativeFrom="paragraph">
              <wp:posOffset>111125</wp:posOffset>
            </wp:positionV>
            <wp:extent cx="5269230" cy="2414905"/>
            <wp:effectExtent l="0" t="0" r="7620" b="4445"/>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5269230" cy="241490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3.3用户管理</w:t>
      </w:r>
      <w:bookmarkEnd w:id="11"/>
    </w:p>
    <w:p>
      <w:pPr>
        <w:numPr>
          <w:ilvl w:val="0"/>
          <w:numId w:val="0"/>
        </w:numPr>
        <w:spacing w:line="600" w:lineRule="exact"/>
        <w:ind w:leftChars="0"/>
        <w:outlineLvl w:val="2"/>
        <w:rPr>
          <w:rFonts w:hint="eastAsia" w:ascii="楷体" w:hAnsi="楷体" w:eastAsia="楷体" w:cs="楷体_GB2312"/>
          <w:b/>
          <w:bCs/>
          <w:sz w:val="32"/>
          <w:szCs w:val="32"/>
          <w:lang w:val="en-US" w:eastAsia="zh-CN"/>
        </w:rPr>
      </w:pPr>
      <w:bookmarkStart w:id="12" w:name="_Toc21568"/>
      <w:r>
        <w:rPr>
          <w:rFonts w:hint="eastAsia" w:ascii="楷体" w:hAnsi="楷体" w:eastAsia="楷体" w:cs="楷体_GB2312"/>
          <w:b/>
          <w:bCs/>
          <w:sz w:val="32"/>
          <w:szCs w:val="32"/>
          <w:lang w:val="en-US" w:eastAsia="zh-CN"/>
        </w:rPr>
        <w:t>3.3.1医疗机构用户管理</w:t>
      </w:r>
      <w:bookmarkEnd w:id="12"/>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1.点击左侧菜单栏“用户管理”－“本地市医疗机构管理”，在该页面查看下辖全部医疗机构管理用户信息。如医疗机构申请重置管理账号密码，在本页面为相应医疗机构用户完成密码重置操作。</w:t>
      </w:r>
    </w:p>
    <w:p>
      <w:pPr>
        <w:spacing w:line="600" w:lineRule="exact"/>
        <w:ind w:firstLine="420" w:firstLineChars="200"/>
        <w:rPr>
          <w:rFonts w:hint="eastAsia" w:ascii="仿宋" w:hAnsi="仿宋" w:eastAsia="仿宋"/>
          <w:sz w:val="32"/>
          <w:szCs w:val="32"/>
          <w:lang w:val="en-US" w:eastAsia="zh-CN"/>
        </w:rPr>
      </w:pPr>
      <w:r>
        <w:drawing>
          <wp:anchor distT="0" distB="0" distL="114935" distR="114935" simplePos="0" relativeHeight="251663360" behindDoc="0" locked="0" layoutInCell="1" allowOverlap="1">
            <wp:simplePos x="0" y="0"/>
            <wp:positionH relativeFrom="column">
              <wp:posOffset>68580</wp:posOffset>
            </wp:positionH>
            <wp:positionV relativeFrom="paragraph">
              <wp:posOffset>13335</wp:posOffset>
            </wp:positionV>
            <wp:extent cx="5269230" cy="2414905"/>
            <wp:effectExtent l="0" t="0" r="7620" b="4445"/>
            <wp:wrapTopAndBottom/>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5269230" cy="2414905"/>
                    </a:xfrm>
                    <a:prstGeom prst="rect">
                      <a:avLst/>
                    </a:prstGeom>
                    <a:noFill/>
                    <a:ln>
                      <a:noFill/>
                    </a:ln>
                  </pic:spPr>
                </pic:pic>
              </a:graphicData>
            </a:graphic>
          </wp:anchor>
        </w:drawing>
      </w:r>
      <w:r>
        <w:rPr>
          <w:rFonts w:hint="eastAsia" w:ascii="仿宋" w:hAnsi="仿宋" w:eastAsia="仿宋"/>
          <w:sz w:val="32"/>
          <w:szCs w:val="32"/>
          <w:lang w:val="en-US" w:eastAsia="zh-CN"/>
        </w:rPr>
        <w:t>2.对于医疗机构在提交历史采购数据页面上传的本医疗机构《十二省（区、市）骨科创伤类医用耗材联盟采购医疗机构授权承诺书》，所属地市医保部门可以在此页面查看各医院上传的承诺书电子版。</w:t>
      </w:r>
    </w:p>
    <w:p>
      <w:pPr>
        <w:numPr>
          <w:ilvl w:val="0"/>
          <w:numId w:val="0"/>
        </w:numPr>
        <w:spacing w:line="600" w:lineRule="exact"/>
        <w:ind w:leftChars="0"/>
        <w:outlineLvl w:val="2"/>
        <w:rPr>
          <w:rFonts w:hint="eastAsia" w:ascii="楷体" w:hAnsi="楷体" w:eastAsia="楷体" w:cs="楷体_GB2312"/>
          <w:b/>
          <w:bCs/>
          <w:sz w:val="32"/>
          <w:szCs w:val="32"/>
          <w:lang w:val="en-US" w:eastAsia="zh-CN"/>
        </w:rPr>
      </w:pPr>
      <w:bookmarkStart w:id="13" w:name="_Toc19914"/>
      <w:r>
        <w:rPr>
          <w:rFonts w:hint="eastAsia" w:ascii="楷体" w:hAnsi="楷体" w:eastAsia="楷体" w:cs="楷体_GB2312"/>
          <w:b/>
          <w:bCs/>
          <w:sz w:val="32"/>
          <w:szCs w:val="32"/>
          <w:lang w:val="en-US" w:eastAsia="zh-CN"/>
        </w:rPr>
        <w:drawing>
          <wp:anchor distT="0" distB="0" distL="114935" distR="114935" simplePos="0" relativeHeight="251664384" behindDoc="0" locked="0" layoutInCell="1" allowOverlap="1">
            <wp:simplePos x="0" y="0"/>
            <wp:positionH relativeFrom="column">
              <wp:posOffset>-19050</wp:posOffset>
            </wp:positionH>
            <wp:positionV relativeFrom="paragraph">
              <wp:posOffset>80645</wp:posOffset>
            </wp:positionV>
            <wp:extent cx="5269230" cy="2414905"/>
            <wp:effectExtent l="0" t="0" r="7620" b="4445"/>
            <wp:wrapTopAndBottom/>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1"/>
                    <a:stretch>
                      <a:fillRect/>
                    </a:stretch>
                  </pic:blipFill>
                  <pic:spPr>
                    <a:xfrm>
                      <a:off x="0" y="0"/>
                      <a:ext cx="5269230" cy="241490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3.3.2.地市医保部门子账号管理</w:t>
      </w:r>
      <w:bookmarkEnd w:id="13"/>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各</w:t>
      </w:r>
      <w:r>
        <w:rPr>
          <w:rFonts w:hint="eastAsia" w:ascii="仿宋" w:hAnsi="仿宋" w:eastAsia="仿宋"/>
          <w:sz w:val="32"/>
          <w:szCs w:val="32"/>
          <w:lang w:val="en-US" w:eastAsia="zh-CN"/>
        </w:rPr>
        <w:t>地市</w:t>
      </w:r>
      <w:r>
        <w:rPr>
          <w:rFonts w:hint="default" w:ascii="仿宋" w:hAnsi="仿宋" w:eastAsia="仿宋"/>
          <w:sz w:val="32"/>
          <w:szCs w:val="32"/>
          <w:lang w:val="en-US" w:eastAsia="zh-CN"/>
        </w:rPr>
        <w:t>医保部门可以通过</w:t>
      </w:r>
      <w:r>
        <w:rPr>
          <w:rFonts w:hint="eastAsia" w:ascii="仿宋" w:hAnsi="仿宋" w:eastAsia="仿宋"/>
          <w:sz w:val="32"/>
          <w:szCs w:val="32"/>
          <w:lang w:val="en-US" w:eastAsia="zh-CN"/>
        </w:rPr>
        <w:t>地市</w:t>
      </w:r>
      <w:r>
        <w:rPr>
          <w:rFonts w:hint="default" w:ascii="仿宋" w:hAnsi="仿宋" w:eastAsia="仿宋"/>
          <w:sz w:val="32"/>
          <w:szCs w:val="32"/>
          <w:lang w:val="en-US" w:eastAsia="zh-CN"/>
        </w:rPr>
        <w:t>管理账号为</w:t>
      </w:r>
      <w:r>
        <w:rPr>
          <w:rFonts w:hint="eastAsia" w:ascii="仿宋" w:hAnsi="仿宋" w:eastAsia="仿宋"/>
          <w:sz w:val="32"/>
          <w:szCs w:val="32"/>
          <w:lang w:val="en-US" w:eastAsia="zh-CN"/>
        </w:rPr>
        <w:t>地市</w:t>
      </w:r>
      <w:r>
        <w:rPr>
          <w:rFonts w:hint="default" w:ascii="仿宋" w:hAnsi="仿宋" w:eastAsia="仿宋"/>
          <w:sz w:val="32"/>
          <w:szCs w:val="32"/>
          <w:lang w:val="en-US" w:eastAsia="zh-CN"/>
        </w:rPr>
        <w:t>医保部门工作人员制作</w:t>
      </w:r>
      <w:r>
        <w:rPr>
          <w:rFonts w:hint="eastAsia" w:ascii="仿宋" w:hAnsi="仿宋" w:eastAsia="仿宋"/>
          <w:sz w:val="32"/>
          <w:szCs w:val="32"/>
          <w:lang w:val="en-US" w:eastAsia="zh-CN"/>
        </w:rPr>
        <w:t>地市</w:t>
      </w:r>
      <w:r>
        <w:rPr>
          <w:rFonts w:hint="default" w:ascii="仿宋" w:hAnsi="仿宋" w:eastAsia="仿宋"/>
          <w:sz w:val="32"/>
          <w:szCs w:val="32"/>
          <w:lang w:val="en-US" w:eastAsia="zh-CN"/>
        </w:rPr>
        <w:t>子账号。点击左侧菜单栏“用户管理”－“子账号管理”，在该页面完成</w:t>
      </w:r>
      <w:r>
        <w:rPr>
          <w:rFonts w:hint="eastAsia" w:ascii="仿宋" w:hAnsi="仿宋" w:eastAsia="仿宋"/>
          <w:sz w:val="32"/>
          <w:szCs w:val="32"/>
          <w:lang w:val="en-US" w:eastAsia="zh-CN"/>
        </w:rPr>
        <w:t>地市</w:t>
      </w:r>
      <w:r>
        <w:rPr>
          <w:rFonts w:hint="default" w:ascii="仿宋" w:hAnsi="仿宋" w:eastAsia="仿宋"/>
          <w:sz w:val="32"/>
          <w:szCs w:val="32"/>
          <w:lang w:val="en-US" w:eastAsia="zh-CN"/>
        </w:rPr>
        <w:t>子账号的创建、管理。</w:t>
      </w: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4" w:name="_Toc22812"/>
      <w:r>
        <w:rPr>
          <w:rFonts w:hint="eastAsia" w:ascii="楷体" w:hAnsi="楷体" w:eastAsia="楷体" w:cs="楷体_GB2312"/>
          <w:b/>
          <w:bCs/>
          <w:sz w:val="32"/>
          <w:szCs w:val="32"/>
          <w:lang w:val="en-US" w:eastAsia="zh-CN"/>
        </w:rPr>
        <w:drawing>
          <wp:anchor distT="0" distB="0" distL="114935" distR="114935" simplePos="0" relativeHeight="251662336" behindDoc="0" locked="0" layoutInCell="1" allowOverlap="1">
            <wp:simplePos x="0" y="0"/>
            <wp:positionH relativeFrom="column">
              <wp:posOffset>-8255</wp:posOffset>
            </wp:positionH>
            <wp:positionV relativeFrom="paragraph">
              <wp:posOffset>140970</wp:posOffset>
            </wp:positionV>
            <wp:extent cx="5269230" cy="2414905"/>
            <wp:effectExtent l="0" t="0" r="7620" b="4445"/>
            <wp:wrapTopAndBottom/>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2"/>
                    <a:stretch>
                      <a:fillRect/>
                    </a:stretch>
                  </pic:blipFill>
                  <pic:spPr>
                    <a:xfrm>
                      <a:off x="0" y="0"/>
                      <a:ext cx="5269230" cy="241490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3.4.产品管理</w:t>
      </w:r>
      <w:bookmarkEnd w:id="14"/>
    </w:p>
    <w:p>
      <w:pPr>
        <w:spacing w:line="600" w:lineRule="exact"/>
        <w:ind w:firstLine="640" w:firstLineChars="200"/>
        <w:rPr>
          <w:rFonts w:hint="default" w:ascii="仿宋" w:hAnsi="仿宋" w:eastAsia="仿宋"/>
          <w:sz w:val="32"/>
          <w:szCs w:val="32"/>
          <w:lang w:val="en-US" w:eastAsia="zh-CN"/>
        </w:rPr>
      </w:pPr>
      <w:r>
        <w:rPr>
          <w:rFonts w:hint="default" w:ascii="仿宋" w:hAnsi="仿宋" w:eastAsia="仿宋"/>
          <w:sz w:val="32"/>
          <w:szCs w:val="32"/>
          <w:lang w:val="en-US" w:eastAsia="zh-CN"/>
        </w:rPr>
        <w:t>省级医保部门登录平台后，在左侧菜单栏点击“产品管理”－“</w:t>
      </w:r>
      <w:r>
        <w:rPr>
          <w:rFonts w:hint="eastAsia" w:ascii="仿宋" w:hAnsi="仿宋" w:eastAsia="仿宋"/>
          <w:sz w:val="32"/>
          <w:szCs w:val="32"/>
          <w:lang w:val="en-US" w:eastAsia="zh-CN"/>
        </w:rPr>
        <w:t>供应产品清单</w:t>
      </w:r>
      <w:r>
        <w:rPr>
          <w:rFonts w:hint="default" w:ascii="仿宋" w:hAnsi="仿宋" w:eastAsia="仿宋"/>
          <w:sz w:val="32"/>
          <w:szCs w:val="32"/>
          <w:lang w:val="en-US" w:eastAsia="zh-CN"/>
        </w:rPr>
        <w:t>查看”页面，可以查看系统内</w:t>
      </w:r>
      <w:r>
        <w:rPr>
          <w:rFonts w:hint="eastAsia" w:ascii="仿宋" w:hAnsi="仿宋" w:eastAsia="仿宋"/>
          <w:sz w:val="32"/>
          <w:szCs w:val="32"/>
          <w:lang w:val="en-US" w:eastAsia="zh-CN"/>
        </w:rPr>
        <w:t>骨科创伤</w:t>
      </w:r>
      <w:r>
        <w:rPr>
          <w:rFonts w:hint="default" w:ascii="仿宋" w:hAnsi="仿宋" w:eastAsia="仿宋"/>
          <w:sz w:val="32"/>
          <w:szCs w:val="32"/>
          <w:lang w:val="en-US" w:eastAsia="zh-CN"/>
        </w:rPr>
        <w:t>类产品详细信息。</w:t>
      </w:r>
    </w:p>
    <w:p>
      <w:pPr>
        <w:spacing w:line="600" w:lineRule="exact"/>
        <w:ind w:firstLine="640" w:firstLineChars="200"/>
        <w:rPr>
          <w:rFonts w:hint="default" w:ascii="仿宋" w:hAnsi="仿宋" w:eastAsia="仿宋"/>
          <w:sz w:val="32"/>
          <w:szCs w:val="32"/>
          <w:lang w:val="en-US" w:eastAsia="zh-CN"/>
        </w:rPr>
      </w:pPr>
    </w:p>
    <w:p>
      <w:pPr>
        <w:numPr>
          <w:ilvl w:val="0"/>
          <w:numId w:val="0"/>
        </w:numPr>
        <w:spacing w:line="600" w:lineRule="exact"/>
        <w:ind w:leftChars="0"/>
        <w:outlineLvl w:val="1"/>
        <w:rPr>
          <w:rFonts w:hint="eastAsia" w:ascii="楷体" w:hAnsi="楷体" w:eastAsia="楷体" w:cs="楷体_GB2312"/>
          <w:b/>
          <w:bCs/>
          <w:sz w:val="32"/>
          <w:szCs w:val="32"/>
          <w:lang w:val="en-US" w:eastAsia="zh-CN"/>
        </w:rPr>
      </w:pPr>
      <w:bookmarkStart w:id="15" w:name="_Toc27976"/>
      <w:r>
        <w:drawing>
          <wp:anchor distT="0" distB="0" distL="114935" distR="114935" simplePos="0" relativeHeight="251667456" behindDoc="0" locked="0" layoutInCell="1" allowOverlap="1">
            <wp:simplePos x="0" y="0"/>
            <wp:positionH relativeFrom="column">
              <wp:posOffset>0</wp:posOffset>
            </wp:positionH>
            <wp:positionV relativeFrom="paragraph">
              <wp:posOffset>161925</wp:posOffset>
            </wp:positionV>
            <wp:extent cx="5269230" cy="2414905"/>
            <wp:effectExtent l="0" t="0" r="7620" b="4445"/>
            <wp:wrapTopAndBottom/>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3"/>
                    <a:stretch>
                      <a:fillRect/>
                    </a:stretch>
                  </pic:blipFill>
                  <pic:spPr>
                    <a:xfrm>
                      <a:off x="0" y="0"/>
                      <a:ext cx="5269230" cy="2414905"/>
                    </a:xfrm>
                    <a:prstGeom prst="rect">
                      <a:avLst/>
                    </a:prstGeom>
                    <a:noFill/>
                    <a:ln>
                      <a:noFill/>
                    </a:ln>
                  </pic:spPr>
                </pic:pic>
              </a:graphicData>
            </a:graphic>
          </wp:anchor>
        </w:drawing>
      </w:r>
      <w:r>
        <w:rPr>
          <w:rFonts w:hint="eastAsia" w:ascii="楷体" w:hAnsi="楷体" w:eastAsia="楷体" w:cs="楷体_GB2312"/>
          <w:b/>
          <w:bCs/>
          <w:sz w:val="32"/>
          <w:szCs w:val="32"/>
          <w:lang w:val="en-US" w:eastAsia="zh-CN"/>
        </w:rPr>
        <w:t>3.5.上报管理</w:t>
      </w:r>
      <w:bookmarkEnd w:id="15"/>
    </w:p>
    <w:p>
      <w:pPr>
        <w:numPr>
          <w:ilvl w:val="0"/>
          <w:numId w:val="0"/>
        </w:numPr>
        <w:spacing w:line="600" w:lineRule="exact"/>
        <w:ind w:leftChars="0"/>
        <w:outlineLvl w:val="2"/>
        <w:rPr>
          <w:rFonts w:hint="default" w:ascii="楷体" w:hAnsi="楷体" w:eastAsia="楷体" w:cs="楷体_GB2312"/>
          <w:b/>
          <w:bCs/>
          <w:sz w:val="32"/>
          <w:szCs w:val="32"/>
          <w:lang w:val="en-US" w:eastAsia="zh-CN"/>
        </w:rPr>
      </w:pPr>
      <w:bookmarkStart w:id="16" w:name="_Toc29834"/>
      <w:r>
        <w:rPr>
          <w:rFonts w:hint="eastAsia" w:ascii="楷体" w:hAnsi="楷体" w:eastAsia="楷体" w:cs="楷体_GB2312"/>
          <w:b/>
          <w:bCs/>
          <w:sz w:val="32"/>
          <w:szCs w:val="32"/>
          <w:lang w:val="en-US" w:eastAsia="zh-CN"/>
        </w:rPr>
        <w:t>3.5.1.需求量信息审核</w:t>
      </w:r>
      <w:bookmarkEnd w:id="16"/>
    </w:p>
    <w:p>
      <w:pPr>
        <w:spacing w:line="60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地市</w:t>
      </w:r>
      <w:r>
        <w:rPr>
          <w:rFonts w:hint="default" w:ascii="仿宋" w:hAnsi="仿宋" w:eastAsia="仿宋"/>
          <w:sz w:val="32"/>
          <w:szCs w:val="32"/>
          <w:lang w:val="en-US" w:eastAsia="zh-CN"/>
        </w:rPr>
        <w:t>医保部门可通过点击左侧“需求量信息审核”菜单，审核辖</w:t>
      </w:r>
      <w:r>
        <w:rPr>
          <w:rFonts w:hint="eastAsia" w:ascii="仿宋" w:hAnsi="仿宋" w:eastAsia="仿宋"/>
          <w:sz w:val="32"/>
          <w:szCs w:val="32"/>
          <w:lang w:val="en-US" w:eastAsia="zh-CN"/>
        </w:rPr>
        <w:t>区</w:t>
      </w:r>
      <w:r>
        <w:rPr>
          <w:rFonts w:hint="default" w:ascii="仿宋" w:hAnsi="仿宋" w:eastAsia="仿宋"/>
          <w:sz w:val="32"/>
          <w:szCs w:val="32"/>
          <w:lang w:val="en-US" w:eastAsia="zh-CN"/>
        </w:rPr>
        <w:t>医疗机构提交的</w:t>
      </w:r>
      <w:r>
        <w:rPr>
          <w:rFonts w:hint="eastAsia" w:ascii="仿宋" w:hAnsi="仿宋" w:eastAsia="仿宋"/>
          <w:sz w:val="32"/>
          <w:szCs w:val="32"/>
          <w:lang w:val="en-US" w:eastAsia="zh-CN"/>
        </w:rPr>
        <w:t>骨科创伤</w:t>
      </w:r>
      <w:r>
        <w:rPr>
          <w:rFonts w:hint="default" w:ascii="仿宋" w:hAnsi="仿宋" w:eastAsia="仿宋"/>
          <w:sz w:val="32"/>
          <w:szCs w:val="32"/>
          <w:lang w:val="en-US" w:eastAsia="zh-CN"/>
        </w:rPr>
        <w:t>类耗材产品</w:t>
      </w:r>
      <w:r>
        <w:rPr>
          <w:rFonts w:hint="eastAsia" w:ascii="仿宋" w:hAnsi="仿宋" w:eastAsia="仿宋"/>
          <w:sz w:val="32"/>
          <w:szCs w:val="32"/>
          <w:lang w:val="en-US" w:eastAsia="zh-CN"/>
        </w:rPr>
        <w:t>每个目录</w:t>
      </w:r>
      <w:r>
        <w:rPr>
          <w:rFonts w:hint="default" w:ascii="仿宋" w:hAnsi="仿宋" w:eastAsia="仿宋"/>
          <w:sz w:val="32"/>
          <w:szCs w:val="32"/>
          <w:lang w:val="en-US" w:eastAsia="zh-CN"/>
        </w:rPr>
        <w:t>每一个</w:t>
      </w:r>
      <w:r>
        <w:rPr>
          <w:rFonts w:hint="eastAsia" w:ascii="仿宋" w:hAnsi="仿宋" w:eastAsia="仿宋"/>
          <w:sz w:val="32"/>
          <w:szCs w:val="32"/>
          <w:lang w:val="en-US" w:eastAsia="zh-CN"/>
        </w:rPr>
        <w:t>企业</w:t>
      </w:r>
      <w:r>
        <w:rPr>
          <w:rFonts w:hint="default" w:ascii="仿宋" w:hAnsi="仿宋" w:eastAsia="仿宋"/>
          <w:sz w:val="32"/>
          <w:szCs w:val="32"/>
          <w:lang w:val="en-US" w:eastAsia="zh-CN"/>
        </w:rPr>
        <w:t>的</w:t>
      </w:r>
      <w:r>
        <w:rPr>
          <w:rFonts w:hint="eastAsia" w:ascii="仿宋" w:hAnsi="仿宋" w:eastAsia="仿宋"/>
          <w:sz w:val="32"/>
          <w:szCs w:val="32"/>
          <w:lang w:val="en-US" w:eastAsia="zh-CN"/>
        </w:rPr>
        <w:t>采购周期内</w:t>
      </w:r>
      <w:r>
        <w:rPr>
          <w:rFonts w:hint="default" w:ascii="仿宋" w:hAnsi="仿宋" w:eastAsia="仿宋"/>
          <w:sz w:val="32"/>
          <w:szCs w:val="32"/>
          <w:lang w:val="en-US" w:eastAsia="zh-CN"/>
        </w:rPr>
        <w:t>需求总量。</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w:t>
      </w:r>
      <w:r>
        <w:rPr>
          <w:rFonts w:hint="default" w:ascii="仿宋" w:hAnsi="仿宋" w:eastAsia="仿宋"/>
          <w:sz w:val="32"/>
          <w:szCs w:val="32"/>
          <w:lang w:val="en-US" w:eastAsia="zh-CN"/>
        </w:rPr>
        <w:t>点击“</w:t>
      </w:r>
      <w:r>
        <w:rPr>
          <w:rFonts w:hint="eastAsia" w:ascii="仿宋" w:hAnsi="仿宋" w:eastAsia="仿宋"/>
          <w:sz w:val="32"/>
          <w:szCs w:val="32"/>
          <w:lang w:val="en-US" w:eastAsia="zh-CN"/>
        </w:rPr>
        <w:t>审核</w:t>
      </w:r>
      <w:r>
        <w:rPr>
          <w:rFonts w:hint="default" w:ascii="仿宋" w:hAnsi="仿宋" w:eastAsia="仿宋"/>
          <w:sz w:val="32"/>
          <w:szCs w:val="32"/>
          <w:lang w:val="en-US" w:eastAsia="zh-CN"/>
        </w:rPr>
        <w:t>”，</w:t>
      </w:r>
      <w:r>
        <w:rPr>
          <w:rFonts w:hint="eastAsia" w:ascii="仿宋" w:hAnsi="仿宋" w:eastAsia="仿宋"/>
          <w:sz w:val="32"/>
          <w:szCs w:val="32"/>
          <w:lang w:val="en-US" w:eastAsia="zh-CN"/>
        </w:rPr>
        <w:t>进入医疗机构填报详情界面，详细查看填报数据，</w:t>
      </w:r>
      <w:r>
        <w:rPr>
          <w:rFonts w:hint="default" w:ascii="仿宋" w:hAnsi="仿宋" w:eastAsia="仿宋"/>
          <w:sz w:val="32"/>
          <w:szCs w:val="32"/>
          <w:lang w:val="en-US" w:eastAsia="zh-CN"/>
        </w:rPr>
        <w:t>确认无误点击“审核通过”</w:t>
      </w:r>
      <w:r>
        <w:rPr>
          <w:rFonts w:hint="eastAsia" w:ascii="仿宋" w:hAnsi="仿宋" w:eastAsia="仿宋"/>
          <w:sz w:val="32"/>
          <w:szCs w:val="32"/>
          <w:lang w:val="en-US" w:eastAsia="zh-CN"/>
        </w:rPr>
        <w:t>，提交省级医保部门。</w:t>
      </w:r>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2、省级医保部门在启动采购需求填报工作时，会设定“需求量阈值提醒设置”的数值范围，以免医疗机构因操作失误造成填写的采购需求量过多或过少。当医疗机构填写的一级目录需求量与2020 年该一级目录历史采购量的比值，超过了省级医保部门设定的“需求量阈值提醒范围”（填报量小于阈值下限,或大于阈值上限），医疗机构提交地市审核时，须填写填报理由。地市医保部门可参照医疗机构填写的理由完成数据审核。</w:t>
      </w:r>
    </w:p>
    <w:p>
      <w:pPr>
        <w:spacing w:line="600" w:lineRule="exact"/>
        <w:ind w:firstLine="643" w:firstLineChars="200"/>
        <w:rPr>
          <w:rFonts w:hint="eastAsia" w:ascii="仿宋" w:hAnsi="仿宋" w:eastAsia="仿宋"/>
          <w:sz w:val="32"/>
          <w:szCs w:val="32"/>
          <w:lang w:val="en-US" w:eastAsia="zh-CN"/>
        </w:rPr>
      </w:pPr>
      <w:r>
        <w:rPr>
          <w:rFonts w:hint="eastAsia" w:ascii="楷体" w:hAnsi="楷体" w:eastAsia="楷体" w:cs="楷体_GB2312"/>
          <w:b/>
          <w:bCs/>
          <w:sz w:val="32"/>
          <w:szCs w:val="32"/>
          <w:lang w:val="en-US" w:eastAsia="zh-CN"/>
        </w:rPr>
        <w:drawing>
          <wp:anchor distT="0" distB="0" distL="114935" distR="114935" simplePos="0" relativeHeight="251668480" behindDoc="0" locked="0" layoutInCell="1" allowOverlap="1">
            <wp:simplePos x="0" y="0"/>
            <wp:positionH relativeFrom="column">
              <wp:posOffset>73025</wp:posOffset>
            </wp:positionH>
            <wp:positionV relativeFrom="paragraph">
              <wp:posOffset>162560</wp:posOffset>
            </wp:positionV>
            <wp:extent cx="5269230" cy="2534285"/>
            <wp:effectExtent l="0" t="0" r="7620" b="18415"/>
            <wp:wrapTopAndBottom/>
            <wp:docPr id="10" name="图片 10" descr="1624001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24001330(1)"/>
                    <pic:cNvPicPr>
                      <a:picLocks noChangeAspect="1"/>
                    </pic:cNvPicPr>
                  </pic:nvPicPr>
                  <pic:blipFill>
                    <a:blip r:embed="rId14"/>
                    <a:stretch>
                      <a:fillRect/>
                    </a:stretch>
                  </pic:blipFill>
                  <pic:spPr>
                    <a:xfrm>
                      <a:off x="0" y="0"/>
                      <a:ext cx="5269230" cy="2534285"/>
                    </a:xfrm>
                    <a:prstGeom prst="rect">
                      <a:avLst/>
                    </a:prstGeom>
                  </pic:spPr>
                </pic:pic>
              </a:graphicData>
            </a:graphic>
          </wp:anchor>
        </w:drawing>
      </w:r>
      <w:r>
        <w:rPr>
          <w:rFonts w:hint="eastAsia" w:ascii="仿宋" w:hAnsi="仿宋" w:eastAsia="仿宋"/>
          <w:sz w:val="32"/>
          <w:szCs w:val="32"/>
          <w:lang w:val="en-US" w:eastAsia="zh-CN"/>
        </w:rPr>
        <w:t>3、如存在异议，点击“退回修改”，并填写审核不通过原因后退回医疗机构。待医疗机构核实修正后再重新提交地市医保部门审核。</w:t>
      </w:r>
    </w:p>
    <w:p>
      <w:pPr>
        <w:numPr>
          <w:ilvl w:val="0"/>
          <w:numId w:val="0"/>
        </w:numPr>
        <w:spacing w:line="600" w:lineRule="exact"/>
        <w:ind w:leftChars="0"/>
        <w:outlineLvl w:val="2"/>
        <w:rPr>
          <w:rFonts w:hint="default" w:ascii="楷体" w:hAnsi="楷体" w:eastAsia="楷体" w:cs="楷体_GB2312"/>
          <w:b/>
          <w:bCs/>
          <w:sz w:val="32"/>
          <w:szCs w:val="32"/>
          <w:lang w:val="en-US" w:eastAsia="zh-CN"/>
        </w:rPr>
      </w:pPr>
      <w:bookmarkStart w:id="17" w:name="_Toc8422"/>
      <w:r>
        <w:rPr>
          <w:rFonts w:hint="eastAsia" w:ascii="楷体" w:hAnsi="楷体" w:eastAsia="楷体" w:cs="楷体_GB2312"/>
          <w:b/>
          <w:bCs/>
          <w:sz w:val="32"/>
          <w:szCs w:val="32"/>
          <w:lang w:val="en-US" w:eastAsia="zh-CN"/>
        </w:rPr>
        <w:t>3.5.2.确认提交医疗机构采购需求量</w:t>
      </w:r>
      <w:bookmarkEnd w:id="17"/>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地市医保部门完成各医疗机构采购需求数据审核后，进入“需求量信息确认”页面，对地市医保部门审核通过的全部辖区医疗机构采购需求数据进行复核，核实无误后点击“确认无误，提交省医保局”审核。</w:t>
      </w:r>
    </w:p>
    <w:p>
      <w:pPr>
        <w:numPr>
          <w:ilvl w:val="0"/>
          <w:numId w:val="0"/>
        </w:numPr>
        <w:spacing w:line="600" w:lineRule="exact"/>
        <w:ind w:leftChars="0"/>
        <w:outlineLvl w:val="2"/>
        <w:rPr>
          <w:rFonts w:hint="eastAsia" w:ascii="楷体" w:hAnsi="楷体" w:eastAsia="楷体" w:cs="楷体_GB2312"/>
          <w:b/>
          <w:bCs/>
          <w:sz w:val="32"/>
          <w:szCs w:val="32"/>
          <w:lang w:val="en-US" w:eastAsia="zh-CN"/>
        </w:rPr>
      </w:pPr>
      <w:bookmarkStart w:id="18" w:name="_Toc27930"/>
      <w:bookmarkStart w:id="19" w:name="_GoBack"/>
      <w:r>
        <w:rPr>
          <w:rFonts w:hint="eastAsia" w:ascii="仿宋" w:hAnsi="仿宋" w:eastAsia="仿宋"/>
          <w:sz w:val="32"/>
          <w:szCs w:val="32"/>
          <w:lang w:val="en-US" w:eastAsia="zh-CN"/>
        </w:rPr>
        <w:drawing>
          <wp:anchor distT="0" distB="0" distL="114935" distR="114935" simplePos="0" relativeHeight="251669504" behindDoc="0" locked="0" layoutInCell="1" allowOverlap="1">
            <wp:simplePos x="0" y="0"/>
            <wp:positionH relativeFrom="column">
              <wp:posOffset>82550</wp:posOffset>
            </wp:positionH>
            <wp:positionV relativeFrom="paragraph">
              <wp:posOffset>51435</wp:posOffset>
            </wp:positionV>
            <wp:extent cx="5269230" cy="2414905"/>
            <wp:effectExtent l="0" t="0" r="7620" b="4445"/>
            <wp:wrapTopAndBottom/>
            <wp:docPr id="12" name="图片 12" descr="1624001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24001413(1)"/>
                    <pic:cNvPicPr>
                      <a:picLocks noChangeAspect="1"/>
                    </pic:cNvPicPr>
                  </pic:nvPicPr>
                  <pic:blipFill>
                    <a:blip r:embed="rId15"/>
                    <a:stretch>
                      <a:fillRect/>
                    </a:stretch>
                  </pic:blipFill>
                  <pic:spPr>
                    <a:xfrm>
                      <a:off x="0" y="0"/>
                      <a:ext cx="5269230" cy="2414905"/>
                    </a:xfrm>
                    <a:prstGeom prst="rect">
                      <a:avLst/>
                    </a:prstGeom>
                  </pic:spPr>
                </pic:pic>
              </a:graphicData>
            </a:graphic>
          </wp:anchor>
        </w:drawing>
      </w:r>
      <w:bookmarkEnd w:id="19"/>
      <w:r>
        <w:rPr>
          <w:rFonts w:hint="eastAsia" w:ascii="楷体" w:hAnsi="楷体" w:eastAsia="楷体" w:cs="楷体_GB2312"/>
          <w:b/>
          <w:bCs/>
          <w:sz w:val="32"/>
          <w:szCs w:val="32"/>
          <w:lang w:val="en-US" w:eastAsia="zh-CN"/>
        </w:rPr>
        <w:t>3.5.3医疗机构撤回申请处理</w:t>
      </w:r>
      <w:bookmarkEnd w:id="18"/>
    </w:p>
    <w:p>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医疗机构在完成历史采购数据、采购需求数据提交操作后，如发现已提交数据存在有误，在所属地市医保部门未提交省级医保部门前，可分别申请撤回医疗机构修改。所属地市医保部门在“医疗机构撤回处理”页面，对医疗机构提出的撤回申请进行处理。</w:t>
      </w:r>
    </w:p>
    <w:p>
      <w:pPr>
        <w:spacing w:line="600" w:lineRule="exact"/>
        <w:rPr>
          <w:rFonts w:hint="eastAsia" w:ascii="仿宋" w:hAnsi="仿宋" w:eastAsia="仿宋"/>
          <w:sz w:val="32"/>
          <w:szCs w:val="32"/>
          <w:lang w:val="en-US" w:eastAsia="zh-CN"/>
        </w:rPr>
      </w:pPr>
      <w:r>
        <w:drawing>
          <wp:anchor distT="0" distB="0" distL="114935" distR="114935" simplePos="0" relativeHeight="251665408" behindDoc="0" locked="0" layoutInCell="1" allowOverlap="1">
            <wp:simplePos x="0" y="0"/>
            <wp:positionH relativeFrom="column">
              <wp:posOffset>-8255</wp:posOffset>
            </wp:positionH>
            <wp:positionV relativeFrom="paragraph">
              <wp:posOffset>102235</wp:posOffset>
            </wp:positionV>
            <wp:extent cx="5269230" cy="2507615"/>
            <wp:effectExtent l="0" t="0" r="7620" b="6985"/>
            <wp:wrapTopAndBottom/>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16"/>
                    <a:stretch>
                      <a:fillRect/>
                    </a:stretch>
                  </pic:blipFill>
                  <pic:spPr>
                    <a:xfrm>
                      <a:off x="0" y="0"/>
                      <a:ext cx="5269230" cy="2507615"/>
                    </a:xfrm>
                    <a:prstGeom prst="rect">
                      <a:avLst/>
                    </a:prstGeom>
                    <a:noFill/>
                    <a:ln>
                      <a:noFill/>
                    </a:ln>
                  </pic:spPr>
                </pic:pic>
              </a:graphicData>
            </a:graphic>
          </wp:anchor>
        </w:drawing>
      </w:r>
    </w:p>
    <w:p>
      <w:pPr>
        <w:spacing w:line="600" w:lineRule="exact"/>
        <w:ind w:firstLine="640" w:firstLineChars="200"/>
        <w:rPr>
          <w:rFonts w:hint="default" w:ascii="仿宋" w:hAnsi="仿宋" w:eastAsia="仿宋"/>
          <w:sz w:val="32"/>
          <w:szCs w:val="32"/>
          <w:lang w:val="en-US" w:eastAsia="zh-CN"/>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354765"/>
    <w:multiLevelType w:val="singleLevel"/>
    <w:tmpl w:val="1835476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56DB5"/>
    <w:rsid w:val="02D728B3"/>
    <w:rsid w:val="04264669"/>
    <w:rsid w:val="1F480A61"/>
    <w:rsid w:val="230922F4"/>
    <w:rsid w:val="271E2556"/>
    <w:rsid w:val="2B445BA5"/>
    <w:rsid w:val="359512DD"/>
    <w:rsid w:val="35B95697"/>
    <w:rsid w:val="366D6C82"/>
    <w:rsid w:val="4B9B6835"/>
    <w:rsid w:val="4FF97203"/>
    <w:rsid w:val="5B1767FF"/>
    <w:rsid w:val="5CA81B22"/>
    <w:rsid w:val="5CAA2F0C"/>
    <w:rsid w:val="5E882B48"/>
    <w:rsid w:val="60A83760"/>
    <w:rsid w:val="671D1445"/>
    <w:rsid w:val="7321476E"/>
    <w:rsid w:val="7D1E0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character" w:styleId="10">
    <w:name w:val="Hyperlink"/>
    <w:basedOn w:val="9"/>
    <w:qFormat/>
    <w:uiPriority w:val="0"/>
    <w:rPr>
      <w:color w:val="333333"/>
      <w:u w:val="none"/>
    </w:rPr>
  </w:style>
  <w:style w:type="paragraph" w:customStyle="1" w:styleId="11">
    <w:name w:val="WPSOffice手动目录 1"/>
    <w:qFormat/>
    <w:uiPriority w:val="0"/>
    <w:pPr>
      <w:ind w:leftChars="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2021-06-08T10:34:00Z</dcterms:created>
  <dc:creator>ELIAN-FM-JSJ240</dc:creator>
  <cp:lastModifiedBy>啸</cp:lastModifiedBy>
  <dcterms:modified xsi:type="dcterms:W3CDTF">2021-06-18T07:31:12Z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27F8D1C1368446059E15A49FD1DF97E9</vt:lpwstr>
  </property>
</Properties>
</file>