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r>
        <w:rPr>
          <w:rFonts w:hint="eastAsia" w:ascii="微软雅黑" w:hAnsi="微软雅黑" w:eastAsia="微软雅黑" w:cs="微软雅黑"/>
          <w:color w:val="000000"/>
          <w:kern w:val="0"/>
          <w:sz w:val="48"/>
          <w:szCs w:val="48"/>
          <w:lang w:val="en-US" w:eastAsia="zh-CN" w:bidi="ar"/>
        </w:rPr>
        <w:t>十二省（区、市）骨科创伤类医用耗材医院需求量填报系统</w:t>
      </w: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r>
        <w:rPr>
          <w:rFonts w:hint="eastAsia" w:ascii="微软雅黑" w:hAnsi="微软雅黑" w:eastAsia="微软雅黑" w:cs="微软雅黑"/>
          <w:color w:val="000000"/>
          <w:kern w:val="0"/>
          <w:sz w:val="48"/>
          <w:szCs w:val="48"/>
          <w:lang w:val="en-US" w:eastAsia="zh-CN" w:bidi="ar"/>
        </w:rPr>
        <w:t>（省级医保部门）操作手册</w:t>
      </w: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3"/>
          <w:szCs w:val="43"/>
          <w:lang w:val="en-US" w:eastAsia="zh-CN" w:bidi="ar"/>
        </w:rPr>
      </w:pPr>
      <w:r>
        <w:rPr>
          <w:rFonts w:hint="default" w:ascii="Times New Roman" w:hAnsi="Times New Roman" w:eastAsia="宋体" w:cs="Times New Roman"/>
          <w:color w:val="000000"/>
          <w:kern w:val="0"/>
          <w:sz w:val="43"/>
          <w:szCs w:val="43"/>
          <w:lang w:val="en-US" w:eastAsia="zh-CN" w:bidi="ar"/>
        </w:rPr>
        <w:t>202</w:t>
      </w:r>
      <w:r>
        <w:rPr>
          <w:rFonts w:hint="eastAsia" w:ascii="Times New Roman" w:hAnsi="Times New Roman" w:eastAsia="宋体" w:cs="Times New Roman"/>
          <w:color w:val="000000"/>
          <w:kern w:val="0"/>
          <w:sz w:val="43"/>
          <w:szCs w:val="43"/>
          <w:lang w:val="en-US" w:eastAsia="zh-CN" w:bidi="ar"/>
        </w:rPr>
        <w:t>1</w:t>
      </w:r>
      <w:r>
        <w:rPr>
          <w:rFonts w:ascii="微软雅黑" w:hAnsi="微软雅黑" w:eastAsia="微软雅黑" w:cs="微软雅黑"/>
          <w:color w:val="000000"/>
          <w:kern w:val="0"/>
          <w:sz w:val="43"/>
          <w:szCs w:val="43"/>
          <w:lang w:val="en-US" w:eastAsia="zh-CN" w:bidi="ar"/>
        </w:rPr>
        <w:t>年</w:t>
      </w:r>
      <w:r>
        <w:rPr>
          <w:rFonts w:hint="eastAsia" w:ascii="Times New Roman" w:hAnsi="Times New Roman" w:eastAsia="宋体" w:cs="Times New Roman"/>
          <w:color w:val="000000"/>
          <w:kern w:val="0"/>
          <w:sz w:val="43"/>
          <w:szCs w:val="43"/>
          <w:lang w:val="en-US" w:eastAsia="zh-CN" w:bidi="ar"/>
        </w:rPr>
        <w:t>6</w:t>
      </w:r>
      <w:r>
        <w:rPr>
          <w:rFonts w:hint="eastAsia" w:ascii="微软雅黑" w:hAnsi="微软雅黑" w:eastAsia="微软雅黑" w:cs="微软雅黑"/>
          <w:color w:val="000000"/>
          <w:kern w:val="0"/>
          <w:sz w:val="43"/>
          <w:szCs w:val="43"/>
          <w:lang w:val="en-US" w:eastAsia="zh-CN" w:bidi="ar"/>
        </w:rPr>
        <w:t>月</w:t>
      </w:r>
    </w:p>
    <w:sdt>
      <w:sdtPr>
        <w:rPr>
          <w:rFonts w:ascii="宋体" w:hAnsi="宋体" w:eastAsia="宋体" w:cstheme="minorBidi"/>
          <w:kern w:val="2"/>
          <w:sz w:val="21"/>
          <w:szCs w:val="24"/>
          <w:lang w:val="en-US" w:eastAsia="zh-CN" w:bidi="ar-SA"/>
        </w:rPr>
        <w:id w:val="147468980"/>
        <w15:color w:val="DBDBDB"/>
        <w:docPartObj>
          <w:docPartGallery w:val="Table of Contents"/>
          <w:docPartUnique/>
        </w:docPartObj>
      </w:sdtPr>
      <w:sdtEndPr>
        <w:rPr>
          <w:rFonts w:ascii="宋体" w:hAnsi="宋体" w:eastAsia="宋体" w:cstheme="minorBidi"/>
          <w:kern w:val="2"/>
          <w:sz w:val="21"/>
          <w:szCs w:val="24"/>
          <w:lang w:val="en-US" w:eastAsia="zh-CN" w:bidi="ar-SA"/>
        </w:rPr>
      </w:sdtEndPr>
      <w:sdtContent>
        <w:p>
          <w:pPr>
            <w:spacing w:before="0" w:beforeLines="0" w:after="0" w:afterLines="0" w:line="240" w:lineRule="auto"/>
            <w:ind w:left="0" w:leftChars="0" w:right="0" w:rightChars="0" w:firstLine="0" w:firstLineChars="0"/>
            <w:jc w:val="center"/>
            <w:rPr>
              <w:rFonts w:hint="eastAsia" w:ascii="仿宋" w:hAnsi="仿宋" w:eastAsia="仿宋" w:cs="仿宋"/>
              <w:sz w:val="28"/>
              <w:szCs w:val="28"/>
            </w:rPr>
          </w:pPr>
          <w:r>
            <w:rPr>
              <w:rFonts w:hint="eastAsia" w:ascii="仿宋" w:hAnsi="仿宋" w:eastAsia="仿宋" w:cs="仿宋"/>
              <w:sz w:val="28"/>
              <w:szCs w:val="28"/>
            </w:rPr>
            <w:t>目录</w:t>
          </w:r>
        </w:p>
        <w:p>
          <w:pPr>
            <w:pStyle w:val="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TOC \o "1-3" \h \u </w:instrText>
          </w:r>
          <w:r>
            <w:rPr>
              <w:rFonts w:hint="eastAsia" w:ascii="仿宋" w:hAnsi="仿宋" w:eastAsia="仿宋" w:cs="仿宋"/>
              <w:sz w:val="28"/>
              <w:szCs w:val="28"/>
            </w:rPr>
            <w:fldChar w:fldCharType="separate"/>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_Toc23945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一、 </w:t>
          </w:r>
          <w:r>
            <w:rPr>
              <w:rFonts w:hint="eastAsia" w:ascii="仿宋" w:hAnsi="仿宋" w:eastAsia="仿宋" w:cs="仿宋"/>
              <w:sz w:val="28"/>
              <w:szCs w:val="28"/>
              <w:lang w:val="en-US" w:eastAsia="zh-CN"/>
            </w:rPr>
            <w:t>使用须知</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_Toc23945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_Toc26615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1.1操作手册内容简介</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_Toc26615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_Toc4199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1.2操作系统相关需求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_Toc4199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_Toc32284 </w:instrText>
          </w:r>
          <w:r>
            <w:rPr>
              <w:rFonts w:hint="eastAsia" w:ascii="仿宋" w:hAnsi="仿宋" w:eastAsia="仿宋" w:cs="仿宋"/>
              <w:sz w:val="28"/>
              <w:szCs w:val="28"/>
            </w:rPr>
            <w:fldChar w:fldCharType="separate"/>
          </w:r>
          <w:r>
            <w:rPr>
              <w:rFonts w:hint="eastAsia" w:ascii="仿宋" w:hAnsi="仿宋" w:eastAsia="仿宋" w:cs="仿宋"/>
              <w:sz w:val="28"/>
              <w:szCs w:val="28"/>
              <w:lang w:val="en-US" w:eastAsia="zh-CN"/>
            </w:rPr>
            <w:t>二、 系统角色介绍</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_Toc32284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_Toc1381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2.1医疗机构</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_Toc1381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_Toc11775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2.2.地市级医保局</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_Toc11775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_Toc10683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2.3.省级医保局</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_Toc10683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_Toc795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2.4.十二省（区、市）联采办</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_Toc795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_Toc18866 </w:instrText>
          </w:r>
          <w:r>
            <w:rPr>
              <w:rFonts w:hint="eastAsia" w:ascii="仿宋" w:hAnsi="仿宋" w:eastAsia="仿宋" w:cs="仿宋"/>
              <w:sz w:val="28"/>
              <w:szCs w:val="28"/>
            </w:rPr>
            <w:fldChar w:fldCharType="separate"/>
          </w:r>
          <w:r>
            <w:rPr>
              <w:rFonts w:hint="eastAsia" w:ascii="仿宋" w:hAnsi="仿宋" w:eastAsia="仿宋" w:cs="仿宋"/>
              <w:sz w:val="28"/>
              <w:szCs w:val="28"/>
              <w:lang w:val="en-US" w:eastAsia="zh-CN"/>
            </w:rPr>
            <w:t>三、 系统操作介绍</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_Toc18866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_Toc5242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3.1系统操作流程图</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_Toc5242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_Toc21608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3.2.系统登录</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_Toc21608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_Toc32767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3.3用户管理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_Toc32767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2"/>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_Toc5770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3.3.1医疗机构用户管理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_Toc5770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2"/>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_Toc13481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3.3.2.省级医保部门子账号管理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_Toc13481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_Toc27640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3.4.产品管理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_Toc27640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_Toc11317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3.5.上报管理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_Toc11317 \h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2"/>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_Toc10098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3.5.1.需求量阈值设置</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_Toc10098 \h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2"/>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_Toc30349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3.5.2.需求量信息审核</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_Toc30349 \h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2"/>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_Toc10427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3.5.3.确认提交医疗机构采购需求量</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_Toc10427 \h </w:instrText>
          </w:r>
          <w:r>
            <w:rPr>
              <w:rFonts w:hint="eastAsia" w:ascii="仿宋" w:hAnsi="仿宋" w:eastAsia="仿宋" w:cs="仿宋"/>
              <w:sz w:val="28"/>
              <w:szCs w:val="28"/>
            </w:rPr>
            <w:fldChar w:fldCharType="separate"/>
          </w:r>
          <w:r>
            <w:rPr>
              <w:rFonts w:hint="eastAsia" w:ascii="仿宋" w:hAnsi="仿宋" w:eastAsia="仿宋" w:cs="仿宋"/>
              <w:sz w:val="28"/>
              <w:szCs w:val="28"/>
            </w:rPr>
            <w:t>12</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r>
            <w:rPr>
              <w:rFonts w:hint="eastAsia" w:ascii="仿宋" w:hAnsi="仿宋" w:eastAsia="仿宋" w:cs="仿宋"/>
              <w:sz w:val="28"/>
              <w:szCs w:val="28"/>
            </w:rPr>
            <w:fldChar w:fldCharType="end"/>
          </w:r>
        </w:p>
      </w:sdtContent>
    </w:sdt>
    <w:p>
      <w:pPr>
        <w:numPr>
          <w:ilvl w:val="0"/>
          <w:numId w:val="0"/>
        </w:numPr>
        <w:spacing w:line="600" w:lineRule="exact"/>
        <w:ind w:left="420" w:leftChars="0"/>
        <w:outlineLvl w:val="0"/>
        <w:rPr>
          <w:rFonts w:hint="eastAsia" w:ascii="黑体" w:hAnsi="黑体" w:eastAsia="黑体"/>
          <w:b/>
          <w:sz w:val="32"/>
          <w:szCs w:val="32"/>
        </w:rPr>
      </w:pPr>
    </w:p>
    <w:p>
      <w:pPr>
        <w:numPr>
          <w:ilvl w:val="0"/>
          <w:numId w:val="1"/>
        </w:numPr>
        <w:spacing w:line="600" w:lineRule="exact"/>
        <w:ind w:left="0" w:leftChars="0" w:firstLine="420" w:firstLineChars="0"/>
        <w:outlineLvl w:val="0"/>
        <w:rPr>
          <w:rFonts w:hint="eastAsia" w:ascii="黑体" w:hAnsi="黑体" w:eastAsia="黑体"/>
          <w:b/>
          <w:sz w:val="32"/>
          <w:szCs w:val="32"/>
        </w:rPr>
        <w:sectPr>
          <w:pgSz w:w="11906" w:h="16838"/>
          <w:pgMar w:top="1440" w:right="1800" w:bottom="1440" w:left="1800" w:header="851" w:footer="992" w:gutter="0"/>
          <w:cols w:space="425" w:num="1"/>
          <w:docGrid w:type="lines" w:linePitch="312" w:charSpace="0"/>
        </w:sectPr>
      </w:pPr>
      <w:bookmarkStart w:id="0" w:name="_Toc23945"/>
    </w:p>
    <w:p>
      <w:pPr>
        <w:numPr>
          <w:ilvl w:val="0"/>
          <w:numId w:val="1"/>
        </w:numPr>
        <w:spacing w:line="600" w:lineRule="exact"/>
        <w:ind w:left="0" w:leftChars="0" w:firstLine="420" w:firstLineChars="0"/>
        <w:outlineLvl w:val="0"/>
        <w:rPr>
          <w:rFonts w:hint="eastAsia" w:ascii="黑体" w:hAnsi="黑体" w:eastAsia="黑体"/>
          <w:b/>
          <w:sz w:val="32"/>
          <w:szCs w:val="32"/>
        </w:rPr>
      </w:pPr>
      <w:r>
        <w:rPr>
          <w:rFonts w:hint="eastAsia" w:ascii="黑体" w:hAnsi="黑体" w:eastAsia="黑体"/>
          <w:b/>
          <w:sz w:val="32"/>
          <w:szCs w:val="32"/>
          <w:lang w:val="en-US" w:eastAsia="zh-CN"/>
        </w:rPr>
        <w:t>使用须知</w:t>
      </w:r>
      <w:bookmarkEnd w:id="0"/>
    </w:p>
    <w:p>
      <w:pPr>
        <w:numPr>
          <w:ilvl w:val="0"/>
          <w:numId w:val="0"/>
        </w:numPr>
        <w:spacing w:line="600" w:lineRule="exact"/>
        <w:ind w:leftChars="0"/>
        <w:outlineLvl w:val="1"/>
        <w:rPr>
          <w:rFonts w:hint="eastAsia" w:ascii="楷体" w:hAnsi="楷体" w:eastAsia="楷体" w:cs="楷体_GB2312"/>
          <w:b/>
          <w:bCs/>
          <w:sz w:val="32"/>
          <w:szCs w:val="32"/>
        </w:rPr>
      </w:pPr>
      <w:bookmarkStart w:id="1" w:name="_Toc26615"/>
      <w:r>
        <w:rPr>
          <w:rFonts w:hint="eastAsia" w:ascii="楷体" w:hAnsi="楷体" w:eastAsia="楷体" w:cs="楷体_GB2312"/>
          <w:b/>
          <w:bCs/>
          <w:sz w:val="32"/>
          <w:szCs w:val="32"/>
          <w:lang w:val="en-US" w:eastAsia="zh-CN"/>
        </w:rPr>
        <w:t>1.1操作手册内容简介</w:t>
      </w:r>
      <w:bookmarkEnd w:id="1"/>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该操作手册主要介绍省级医保部门在使用十二省（区、市）骨科创伤类医用耗材医院需求量填报系统进行“十二省（区、市）骨科创伤医用耗材采购需求量填报工作”时需完成的操作事项，包含（</w:t>
      </w:r>
      <w:r>
        <w:rPr>
          <w:rFonts w:hint="default" w:ascii="仿宋" w:hAnsi="仿宋" w:eastAsia="仿宋"/>
          <w:sz w:val="32"/>
          <w:szCs w:val="32"/>
          <w:lang w:val="en-US" w:eastAsia="zh-CN"/>
        </w:rPr>
        <w:t>1</w:t>
      </w:r>
      <w:r>
        <w:rPr>
          <w:rFonts w:hint="eastAsia" w:ascii="仿宋" w:hAnsi="仿宋" w:eastAsia="仿宋"/>
          <w:sz w:val="32"/>
          <w:szCs w:val="32"/>
          <w:lang w:val="en-US" w:eastAsia="zh-CN"/>
        </w:rPr>
        <w:t>）医疗机构账号发放；（</w:t>
      </w:r>
      <w:r>
        <w:rPr>
          <w:rFonts w:hint="default" w:ascii="仿宋" w:hAnsi="仿宋" w:eastAsia="仿宋"/>
          <w:sz w:val="32"/>
          <w:szCs w:val="32"/>
          <w:lang w:val="en-US" w:eastAsia="zh-CN"/>
        </w:rPr>
        <w:t>2</w:t>
      </w:r>
      <w:r>
        <w:rPr>
          <w:rFonts w:hint="eastAsia" w:ascii="仿宋" w:hAnsi="仿宋" w:eastAsia="仿宋"/>
          <w:sz w:val="32"/>
          <w:szCs w:val="32"/>
          <w:lang w:val="en-US" w:eastAsia="zh-CN"/>
        </w:rPr>
        <w:t>）医疗机构采购周期内总需求量填报管理。</w:t>
      </w:r>
    </w:p>
    <w:p>
      <w:pP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该操作手册对应的用户主体为省级医保部门用户，省级用户在系统内完成本省医疗机构采购周期内总需求量数据的审核、汇总、上报等相关操作。</w:t>
      </w:r>
    </w:p>
    <w:p>
      <w:pPr>
        <w:spacing w:line="600" w:lineRule="exact"/>
        <w:ind w:firstLine="640" w:firstLineChars="200"/>
        <w:rPr>
          <w:rFonts w:hint="eastAsia" w:ascii="楷体" w:hAnsi="楷体" w:eastAsia="楷体" w:cs="楷体_GB2312"/>
          <w:b/>
          <w:bCs/>
          <w:sz w:val="32"/>
          <w:szCs w:val="32"/>
          <w:lang w:val="en-US" w:eastAsia="zh-CN"/>
        </w:rPr>
      </w:pPr>
      <w:r>
        <w:rPr>
          <w:rFonts w:hint="eastAsia" w:ascii="仿宋" w:hAnsi="仿宋" w:eastAsia="仿宋"/>
          <w:sz w:val="32"/>
          <w:szCs w:val="32"/>
          <w:lang w:val="en-US" w:eastAsia="zh-CN"/>
        </w:rPr>
        <w:t>本手册中出现的用户信息、相关数据均为系统测试数据，不作为任何正式的使用依据。</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2" w:name="_Toc4199"/>
      <w:r>
        <w:rPr>
          <w:rFonts w:hint="eastAsia" w:ascii="楷体" w:hAnsi="楷体" w:eastAsia="楷体" w:cs="楷体_GB2312"/>
          <w:b/>
          <w:bCs/>
          <w:sz w:val="32"/>
          <w:szCs w:val="32"/>
          <w:lang w:val="en-US" w:eastAsia="zh-CN"/>
        </w:rPr>
        <w:t>1.2操作系统相关需求</w:t>
      </w:r>
      <w:bookmarkEnd w:id="2"/>
    </w:p>
    <w:tbl>
      <w:tblPr>
        <w:tblStyle w:val="7"/>
        <w:tblW w:w="4999" w:type="pct"/>
        <w:tblInd w:w="0" w:type="dxa"/>
        <w:shd w:val="clear" w:color="auto" w:fill="auto"/>
        <w:tblLayout w:type="autofit"/>
        <w:tblCellMar>
          <w:top w:w="0" w:type="dxa"/>
          <w:left w:w="108" w:type="dxa"/>
          <w:bottom w:w="0" w:type="dxa"/>
          <w:right w:w="108" w:type="dxa"/>
        </w:tblCellMar>
      </w:tblPr>
      <w:tblGrid>
        <w:gridCol w:w="960"/>
        <w:gridCol w:w="1626"/>
        <w:gridCol w:w="5934"/>
      </w:tblGrid>
      <w:tr>
        <w:tblPrEx>
          <w:shd w:val="clear" w:color="auto" w:fill="auto"/>
          <w:tblCellMar>
            <w:top w:w="0" w:type="dxa"/>
            <w:left w:w="108" w:type="dxa"/>
            <w:bottom w:w="0" w:type="dxa"/>
            <w:right w:w="108" w:type="dxa"/>
          </w:tblCellMar>
        </w:tblPrEx>
        <w:trPr>
          <w:trHeight w:val="375" w:hRule="atLeast"/>
        </w:trPr>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硬件或软件</w:t>
            </w:r>
          </w:p>
        </w:tc>
        <w:tc>
          <w:tcPr>
            <w:tcW w:w="34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客户端推荐配置</w:t>
            </w:r>
          </w:p>
        </w:tc>
      </w:tr>
      <w:tr>
        <w:tblPrEx>
          <w:shd w:val="clear" w:color="auto" w:fill="auto"/>
          <w:tblCellMar>
            <w:top w:w="0" w:type="dxa"/>
            <w:left w:w="108" w:type="dxa"/>
            <w:bottom w:w="0" w:type="dxa"/>
            <w:right w:w="108" w:type="dxa"/>
          </w:tblCellMar>
        </w:tblPrEx>
        <w:trPr>
          <w:trHeight w:val="375" w:hRule="atLeast"/>
        </w:trPr>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CPU</w:t>
            </w:r>
          </w:p>
        </w:tc>
        <w:tc>
          <w:tcPr>
            <w:tcW w:w="34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1.70GHz</w:t>
            </w:r>
          </w:p>
        </w:tc>
      </w:tr>
      <w:tr>
        <w:tblPrEx>
          <w:shd w:val="clear" w:color="auto" w:fill="auto"/>
          <w:tblCellMar>
            <w:top w:w="0" w:type="dxa"/>
            <w:left w:w="108" w:type="dxa"/>
            <w:bottom w:w="0" w:type="dxa"/>
            <w:right w:w="108" w:type="dxa"/>
          </w:tblCellMar>
        </w:tblPrEx>
        <w:trPr>
          <w:trHeight w:val="375" w:hRule="atLeast"/>
        </w:trPr>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内存</w:t>
            </w:r>
          </w:p>
        </w:tc>
        <w:tc>
          <w:tcPr>
            <w:tcW w:w="34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4GB</w:t>
            </w:r>
          </w:p>
        </w:tc>
      </w:tr>
      <w:tr>
        <w:tblPrEx>
          <w:shd w:val="clear" w:color="auto" w:fill="auto"/>
          <w:tblCellMar>
            <w:top w:w="0" w:type="dxa"/>
            <w:left w:w="108" w:type="dxa"/>
            <w:bottom w:w="0" w:type="dxa"/>
            <w:right w:w="108" w:type="dxa"/>
          </w:tblCellMar>
        </w:tblPrEx>
        <w:trPr>
          <w:trHeight w:val="375" w:hRule="atLeast"/>
        </w:trPr>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显示器</w:t>
            </w:r>
          </w:p>
        </w:tc>
        <w:tc>
          <w:tcPr>
            <w:tcW w:w="34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1366*768/256色分辨率</w:t>
            </w:r>
          </w:p>
        </w:tc>
      </w:tr>
      <w:tr>
        <w:tblPrEx>
          <w:shd w:val="clear" w:color="auto" w:fill="auto"/>
          <w:tblCellMar>
            <w:top w:w="0" w:type="dxa"/>
            <w:left w:w="108" w:type="dxa"/>
            <w:bottom w:w="0" w:type="dxa"/>
            <w:right w:w="108" w:type="dxa"/>
          </w:tblCellMar>
        </w:tblPrEx>
        <w:trPr>
          <w:trHeight w:val="375" w:hRule="atLeast"/>
        </w:trPr>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网络</w:t>
            </w:r>
          </w:p>
        </w:tc>
        <w:tc>
          <w:tcPr>
            <w:tcW w:w="34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10M带宽</w:t>
            </w:r>
          </w:p>
        </w:tc>
      </w:tr>
      <w:tr>
        <w:tblPrEx>
          <w:shd w:val="clear" w:color="auto" w:fill="auto"/>
          <w:tblCellMar>
            <w:top w:w="0" w:type="dxa"/>
            <w:left w:w="108" w:type="dxa"/>
            <w:bottom w:w="0" w:type="dxa"/>
            <w:right w:w="108" w:type="dxa"/>
          </w:tblCellMar>
        </w:tblPrEx>
        <w:trPr>
          <w:trHeight w:val="375" w:hRule="atLeast"/>
        </w:trPr>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浏览器</w:t>
            </w:r>
          </w:p>
        </w:tc>
        <w:tc>
          <w:tcPr>
            <w:tcW w:w="34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谷歌、360极速浏览器、搜狗极速浏览器</w:t>
            </w:r>
          </w:p>
        </w:tc>
      </w:tr>
    </w:tbl>
    <w:p>
      <w:pPr>
        <w:numPr>
          <w:ilvl w:val="0"/>
          <w:numId w:val="1"/>
        </w:numPr>
        <w:spacing w:line="600" w:lineRule="exact"/>
        <w:ind w:left="0" w:leftChars="0" w:firstLine="420" w:firstLineChars="0"/>
        <w:outlineLvl w:val="0"/>
        <w:rPr>
          <w:rFonts w:hint="eastAsia" w:ascii="黑体" w:hAnsi="黑体" w:eastAsia="黑体"/>
          <w:b/>
          <w:sz w:val="32"/>
          <w:szCs w:val="32"/>
          <w:lang w:val="en-US" w:eastAsia="zh-CN"/>
        </w:rPr>
      </w:pPr>
      <w:bookmarkStart w:id="3" w:name="_Toc32284"/>
      <w:r>
        <w:rPr>
          <w:rFonts w:hint="eastAsia" w:ascii="黑体" w:hAnsi="黑体" w:eastAsia="黑体"/>
          <w:b/>
          <w:sz w:val="32"/>
          <w:szCs w:val="32"/>
          <w:lang w:val="en-US" w:eastAsia="zh-CN"/>
        </w:rPr>
        <w:t>系统角色介绍</w:t>
      </w:r>
      <w:bookmarkEnd w:id="3"/>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整个系统由四个角色构成：医疗机构、地市级医保局、省级医保局和十二省（区、市）联采办。</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4" w:name="_Toc1381"/>
      <w:r>
        <w:rPr>
          <w:rFonts w:hint="eastAsia" w:ascii="楷体" w:hAnsi="楷体" w:eastAsia="楷体" w:cs="楷体_GB2312"/>
          <w:b/>
          <w:bCs/>
          <w:sz w:val="32"/>
          <w:szCs w:val="32"/>
          <w:lang w:val="en-US" w:eastAsia="zh-CN"/>
        </w:rPr>
        <w:t>2.1医疗机构</w:t>
      </w:r>
      <w:bookmarkEnd w:id="4"/>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职责：通过“十二省（区、市）骨科创伤类医用耗材医院需求量填报系统”对骨科创伤类耗材产品的采购周期内总需求量数据进行上报、核实并提交。</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权限：查询权限、维护权限、上报权限、导出权限。</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账号申请：医疗机构账号由各省级医保局在系统内进行统一发放。</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5" w:name="_Toc11775"/>
      <w:r>
        <w:rPr>
          <w:rFonts w:hint="eastAsia" w:ascii="楷体" w:hAnsi="楷体" w:eastAsia="楷体" w:cs="楷体_GB2312"/>
          <w:b/>
          <w:bCs/>
          <w:sz w:val="32"/>
          <w:szCs w:val="32"/>
          <w:lang w:val="en-US" w:eastAsia="zh-CN"/>
        </w:rPr>
        <w:t>2.2.地市级医保局</w:t>
      </w:r>
      <w:bookmarkEnd w:id="5"/>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职责：通过“十二省（区、市）骨科创伤类医用耗材医院需求量填报系统”查看、审核医疗机构上报的骨科创伤类耗材产品采购周期内总需求量数据并将其提交省级医保局，掌握医疗机构的填报进度，及时督促医疗机构完成填报工作。</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权限：查询权限、审核权限、上报权限、导出权限、管理医疗机构账号密码权限。</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账号申请：地市级医保局账号由各省级医保局在系统内进行统一发放。</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6" w:name="_Toc10683"/>
      <w:r>
        <w:rPr>
          <w:rFonts w:hint="eastAsia" w:ascii="楷体" w:hAnsi="楷体" w:eastAsia="楷体" w:cs="楷体_GB2312"/>
          <w:b/>
          <w:bCs/>
          <w:sz w:val="32"/>
          <w:szCs w:val="32"/>
          <w:lang w:val="en-US" w:eastAsia="zh-CN"/>
        </w:rPr>
        <w:t>2.3.省级医保局</w:t>
      </w:r>
      <w:bookmarkEnd w:id="6"/>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职责：(1)发放医疗机构账号；(2)需求量阈值设置；（3）查看、审核地市医保局提交的各医疗机构骨科创伤类耗材产品采购周期内总需求量数据并将其上报至十二省（区、市）联采办。</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权限：查询权限、审核权限、上报权限、导入导出权限、管理医疗机构账号密码权限。</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账号申请：省级医保局账号由国家联采办统一发放。</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7" w:name="_Toc795"/>
      <w:r>
        <w:rPr>
          <w:rFonts w:hint="eastAsia" w:ascii="楷体" w:hAnsi="楷体" w:eastAsia="楷体" w:cs="楷体_GB2312"/>
          <w:b/>
          <w:bCs/>
          <w:sz w:val="32"/>
          <w:szCs w:val="32"/>
          <w:lang w:val="en-US" w:eastAsia="zh-CN"/>
        </w:rPr>
        <w:t>2.4.十二省（区、市）联采办</w:t>
      </w:r>
      <w:bookmarkEnd w:id="7"/>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职责：通过“十二省（区、市）骨科创伤类医用耗材医院需求量填报系统”多维度查看各地上报的集采目录需求量，审核各省医保局的上报数据。</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权限：查询权限、审核权限、导出权限、管理权限。</w:t>
      </w:r>
    </w:p>
    <w:p>
      <w:pPr>
        <w:numPr>
          <w:ilvl w:val="0"/>
          <w:numId w:val="1"/>
        </w:numPr>
        <w:spacing w:line="600" w:lineRule="exact"/>
        <w:ind w:left="0" w:leftChars="0" w:firstLine="420" w:firstLineChars="0"/>
        <w:outlineLvl w:val="0"/>
        <w:rPr>
          <w:rFonts w:hint="eastAsia" w:ascii="黑体" w:hAnsi="黑体" w:eastAsia="黑体"/>
          <w:b/>
          <w:sz w:val="32"/>
          <w:szCs w:val="32"/>
          <w:lang w:val="en-US" w:eastAsia="zh-CN"/>
        </w:rPr>
      </w:pPr>
      <w:bookmarkStart w:id="8" w:name="_Toc18866"/>
      <w:r>
        <w:rPr>
          <w:rFonts w:hint="eastAsia" w:ascii="黑体" w:hAnsi="黑体" w:eastAsia="黑体"/>
          <w:b/>
          <w:sz w:val="32"/>
          <w:szCs w:val="32"/>
          <w:lang w:val="en-US" w:eastAsia="zh-CN"/>
        </w:rPr>
        <w:t>系统操作介绍</w:t>
      </w:r>
      <w:bookmarkEnd w:id="8"/>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9" w:name="_Toc5242"/>
      <w:r>
        <w:rPr>
          <w:rFonts w:hint="eastAsia" w:ascii="楷体" w:hAnsi="楷体" w:eastAsia="楷体" w:cs="楷体_GB2312"/>
          <w:b/>
          <w:bCs/>
          <w:sz w:val="32"/>
          <w:szCs w:val="32"/>
          <w:lang w:val="en-US" w:eastAsia="zh-CN"/>
        </w:rPr>
        <w:t>3.1系统操作流程图</w:t>
      </w:r>
      <w:bookmarkEnd w:id="9"/>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省级医保局通过平台完成账号发放，本省采购需求量阈值设置，查看审核地市医保局提交的各医疗机构填报数据，并上报至国家联采办等操作。</w:t>
      </w:r>
    </w:p>
    <w:p>
      <w:pPr>
        <w:spacing w:line="600" w:lineRule="exact"/>
        <w:ind w:firstLine="420" w:firstLineChars="200"/>
        <w:jc w:val="center"/>
        <w:rPr>
          <w:rFonts w:hint="eastAsia" w:ascii="仿宋" w:hAnsi="仿宋" w:eastAsia="仿宋"/>
          <w:sz w:val="32"/>
          <w:szCs w:val="32"/>
          <w:lang w:val="en-US" w:eastAsia="zh-CN"/>
        </w:rPr>
      </w:pPr>
      <w:r>
        <w:drawing>
          <wp:anchor distT="0" distB="0" distL="114300" distR="114300" simplePos="0" relativeHeight="251660288" behindDoc="0" locked="0" layoutInCell="1" allowOverlap="1">
            <wp:simplePos x="0" y="0"/>
            <wp:positionH relativeFrom="column">
              <wp:posOffset>31115</wp:posOffset>
            </wp:positionH>
            <wp:positionV relativeFrom="page">
              <wp:posOffset>5948045</wp:posOffset>
            </wp:positionV>
            <wp:extent cx="5264785" cy="2582545"/>
            <wp:effectExtent l="0" t="0" r="12065" b="825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64785" cy="2582545"/>
                    </a:xfrm>
                    <a:prstGeom prst="rect">
                      <a:avLst/>
                    </a:prstGeom>
                    <a:noFill/>
                    <a:ln>
                      <a:noFill/>
                    </a:ln>
                  </pic:spPr>
                </pic:pic>
              </a:graphicData>
            </a:graphic>
          </wp:anchor>
        </w:drawing>
      </w:r>
      <w:r>
        <w:rPr>
          <w:rFonts w:hint="eastAsia" w:ascii="仿宋" w:hAnsi="仿宋" w:eastAsia="仿宋" w:cs="仿宋"/>
          <w:lang w:eastAsia="zh-CN"/>
        </w:rPr>
        <w:t>平台操作流程图</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10" w:name="_Toc21608"/>
      <w:r>
        <w:rPr>
          <w:rFonts w:hint="eastAsia" w:ascii="楷体" w:hAnsi="楷体" w:eastAsia="楷体" w:cs="楷体_GB2312"/>
          <w:b/>
          <w:bCs/>
          <w:sz w:val="32"/>
          <w:szCs w:val="32"/>
          <w:lang w:val="en-US" w:eastAsia="zh-CN"/>
        </w:rPr>
        <w:t>3.2.系统登录</w:t>
      </w:r>
      <w:bookmarkEnd w:id="10"/>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1.打开浏览器，输入平台网址：</w:t>
      </w:r>
      <w:r>
        <w:rPr>
          <w:rFonts w:hint="eastAsia" w:ascii="仿宋" w:hAnsi="仿宋" w:eastAsia="仿宋"/>
          <w:sz w:val="32"/>
          <w:szCs w:val="32"/>
          <w:lang w:val="en-US" w:eastAsia="zh-CN"/>
        </w:rPr>
        <w:fldChar w:fldCharType="begin"/>
      </w:r>
      <w:r>
        <w:rPr>
          <w:rFonts w:hint="eastAsia" w:ascii="仿宋" w:hAnsi="仿宋" w:eastAsia="仿宋"/>
          <w:sz w:val="32"/>
          <w:szCs w:val="32"/>
          <w:lang w:val="en-US" w:eastAsia="zh-CN"/>
        </w:rPr>
        <w:instrText xml:space="preserve"> HYPERLINK "https://hc.tjmpc.cn:10128/，展示国家组织高值医用耗材联合采购平台登录页面。" </w:instrText>
      </w:r>
      <w:r>
        <w:rPr>
          <w:rFonts w:hint="eastAsia" w:ascii="仿宋" w:hAnsi="仿宋" w:eastAsia="仿宋"/>
          <w:sz w:val="32"/>
          <w:szCs w:val="32"/>
          <w:lang w:val="en-US" w:eastAsia="zh-CN"/>
        </w:rPr>
        <w:fldChar w:fldCharType="separate"/>
      </w:r>
      <w:r>
        <w:rPr>
          <w:rFonts w:hint="eastAsia" w:ascii="仿宋" w:hAnsi="仿宋" w:eastAsia="仿宋"/>
          <w:sz w:val="32"/>
          <w:szCs w:val="32"/>
          <w:lang w:val="en-US" w:eastAsia="zh-CN"/>
        </w:rPr>
        <w:t>http://hc.tjmpc.cn:14206/，展示十二省（区、市）骨科创伤类医用耗材医院需求量填报系统登录页面。</w:t>
      </w:r>
      <w:r>
        <w:rPr>
          <w:rFonts w:hint="eastAsia" w:ascii="仿宋" w:hAnsi="仿宋" w:eastAsia="仿宋"/>
          <w:sz w:val="32"/>
          <w:szCs w:val="32"/>
          <w:lang w:val="en-US" w:eastAsia="zh-CN"/>
        </w:rPr>
        <w:fldChar w:fldCharType="end"/>
      </w:r>
    </w:p>
    <w:p>
      <w:pPr>
        <w:spacing w:line="600" w:lineRule="exact"/>
        <w:ind w:firstLine="420" w:firstLineChars="200"/>
        <w:rPr>
          <w:rFonts w:hint="eastAsia" w:ascii="仿宋" w:hAnsi="仿宋" w:eastAsia="仿宋"/>
          <w:sz w:val="32"/>
          <w:szCs w:val="32"/>
          <w:lang w:val="en-US" w:eastAsia="zh-CN"/>
        </w:rPr>
      </w:pPr>
      <w:r>
        <w:drawing>
          <wp:anchor distT="0" distB="0" distL="114935" distR="114935" simplePos="0" relativeHeight="251673600" behindDoc="0" locked="0" layoutInCell="1" allowOverlap="1">
            <wp:simplePos x="0" y="0"/>
            <wp:positionH relativeFrom="column">
              <wp:posOffset>95250</wp:posOffset>
            </wp:positionH>
            <wp:positionV relativeFrom="paragraph">
              <wp:posOffset>182880</wp:posOffset>
            </wp:positionV>
            <wp:extent cx="5269230" cy="2303145"/>
            <wp:effectExtent l="0" t="0" r="7620" b="1905"/>
            <wp:wrapTopAndBottom/>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a:stretch>
                      <a:fillRect/>
                    </a:stretch>
                  </pic:blipFill>
                  <pic:spPr>
                    <a:xfrm>
                      <a:off x="0" y="0"/>
                      <a:ext cx="5269230" cy="2303145"/>
                    </a:xfrm>
                    <a:prstGeom prst="rect">
                      <a:avLst/>
                    </a:prstGeom>
                    <a:noFill/>
                    <a:ln>
                      <a:noFill/>
                    </a:ln>
                  </pic:spPr>
                </pic:pic>
              </a:graphicData>
            </a:graphic>
          </wp:anchor>
        </w:drawing>
      </w:r>
      <w:r>
        <w:rPr>
          <w:rFonts w:hint="eastAsia" w:ascii="仿宋" w:hAnsi="仿宋" w:eastAsia="仿宋"/>
          <w:sz w:val="32"/>
          <w:szCs w:val="32"/>
          <w:lang w:val="en-US" w:eastAsia="zh-CN"/>
        </w:rPr>
        <w:t>2.在“普通登录”栏目下，输入省级管理账号用户名、初始密码，录入验证码，点击登录进入系统。</w:t>
      </w:r>
    </w:p>
    <w:p>
      <w:pPr>
        <w:spacing w:line="600" w:lineRule="exact"/>
        <w:ind w:firstLine="420" w:firstLineChars="200"/>
        <w:rPr>
          <w:rFonts w:hint="eastAsia" w:ascii="仿宋" w:hAnsi="仿宋" w:eastAsia="仿宋"/>
          <w:sz w:val="32"/>
          <w:szCs w:val="32"/>
          <w:lang w:val="en-US" w:eastAsia="zh-CN"/>
        </w:rPr>
      </w:pPr>
      <w:r>
        <w:drawing>
          <wp:anchor distT="0" distB="0" distL="114935" distR="114935" simplePos="0" relativeHeight="251662336" behindDoc="0" locked="0" layoutInCell="1" allowOverlap="0">
            <wp:simplePos x="0" y="0"/>
            <wp:positionH relativeFrom="column">
              <wp:posOffset>45720</wp:posOffset>
            </wp:positionH>
            <wp:positionV relativeFrom="paragraph">
              <wp:posOffset>88900</wp:posOffset>
            </wp:positionV>
            <wp:extent cx="5269230" cy="2534285"/>
            <wp:effectExtent l="0" t="0" r="7620" b="18415"/>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5269230" cy="2534285"/>
                    </a:xfrm>
                    <a:prstGeom prst="rect">
                      <a:avLst/>
                    </a:prstGeom>
                    <a:noFill/>
                    <a:ln>
                      <a:noFill/>
                    </a:ln>
                  </pic:spPr>
                </pic:pic>
              </a:graphicData>
            </a:graphic>
          </wp:anchor>
        </w:drawing>
      </w:r>
      <w:r>
        <w:rPr>
          <w:rFonts w:hint="eastAsia" w:ascii="仿宋" w:hAnsi="仿宋" w:eastAsia="仿宋"/>
          <w:sz w:val="32"/>
          <w:szCs w:val="32"/>
          <w:lang w:val="en-US" w:eastAsia="zh-CN"/>
        </w:rPr>
        <w:t>3.点击【退出】按钮，系统自动清除当前用户登录信息，并返回系统登录页面。</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11" w:name="_Toc32767"/>
      <w:r>
        <w:rPr>
          <w:rFonts w:hint="eastAsia" w:ascii="楷体" w:hAnsi="楷体" w:eastAsia="楷体" w:cs="楷体_GB2312"/>
          <w:b/>
          <w:bCs/>
          <w:sz w:val="32"/>
          <w:szCs w:val="32"/>
          <w:lang w:val="en-US" w:eastAsia="zh-CN"/>
        </w:rPr>
        <w:drawing>
          <wp:anchor distT="0" distB="0" distL="114935" distR="114935" simplePos="0" relativeHeight="251661312" behindDoc="0" locked="0" layoutInCell="1" allowOverlap="1">
            <wp:simplePos x="0" y="0"/>
            <wp:positionH relativeFrom="column">
              <wp:posOffset>146685</wp:posOffset>
            </wp:positionH>
            <wp:positionV relativeFrom="paragraph">
              <wp:posOffset>146050</wp:posOffset>
            </wp:positionV>
            <wp:extent cx="5271770" cy="2540635"/>
            <wp:effectExtent l="0" t="0" r="5080" b="12065"/>
            <wp:wrapTopAndBottom/>
            <wp:docPr id="5" name="图片 5" descr="16231487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623148735(1)"/>
                    <pic:cNvPicPr>
                      <a:picLocks noChangeAspect="1"/>
                    </pic:cNvPicPr>
                  </pic:nvPicPr>
                  <pic:blipFill>
                    <a:blip r:embed="rId8"/>
                    <a:stretch>
                      <a:fillRect/>
                    </a:stretch>
                  </pic:blipFill>
                  <pic:spPr>
                    <a:xfrm>
                      <a:off x="0" y="0"/>
                      <a:ext cx="5271770" cy="2540635"/>
                    </a:xfrm>
                    <a:prstGeom prst="rect">
                      <a:avLst/>
                    </a:prstGeom>
                  </pic:spPr>
                </pic:pic>
              </a:graphicData>
            </a:graphic>
          </wp:anchor>
        </w:drawing>
      </w:r>
      <w:r>
        <w:rPr>
          <w:rFonts w:hint="eastAsia" w:ascii="楷体" w:hAnsi="楷体" w:eastAsia="楷体" w:cs="楷体_GB2312"/>
          <w:b/>
          <w:bCs/>
          <w:sz w:val="32"/>
          <w:szCs w:val="32"/>
          <w:lang w:val="en-US" w:eastAsia="zh-CN"/>
        </w:rPr>
        <w:t>3.3用户管理</w:t>
      </w:r>
      <w:bookmarkEnd w:id="11"/>
    </w:p>
    <w:p>
      <w:pPr>
        <w:numPr>
          <w:ilvl w:val="0"/>
          <w:numId w:val="0"/>
        </w:numPr>
        <w:spacing w:line="600" w:lineRule="exact"/>
        <w:ind w:leftChars="0"/>
        <w:outlineLvl w:val="2"/>
        <w:rPr>
          <w:rFonts w:hint="eastAsia" w:ascii="楷体" w:hAnsi="楷体" w:eastAsia="楷体" w:cs="楷体_GB2312"/>
          <w:b/>
          <w:bCs/>
          <w:sz w:val="32"/>
          <w:szCs w:val="32"/>
          <w:lang w:val="en-US" w:eastAsia="zh-CN"/>
        </w:rPr>
      </w:pPr>
      <w:bookmarkStart w:id="12" w:name="_Toc5770"/>
      <w:r>
        <w:rPr>
          <w:rFonts w:hint="eastAsia" w:ascii="楷体" w:hAnsi="楷体" w:eastAsia="楷体" w:cs="楷体_GB2312"/>
          <w:b/>
          <w:bCs/>
          <w:sz w:val="32"/>
          <w:szCs w:val="32"/>
          <w:lang w:val="en-US" w:eastAsia="zh-CN"/>
        </w:rPr>
        <w:t>3.3.1医疗机构用户管理</w:t>
      </w:r>
      <w:bookmarkEnd w:id="12"/>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点击左侧菜单栏“用户管理”－“医疗机构管理”，在该页面完成本省各医疗机构系统账号的创建、管理。各省级医保部门可通过“账号添加”逐一创建本省各医疗机构账号，也可通过“模板下载→导入”的形式批量创建。</w:t>
      </w:r>
    </w:p>
    <w:p>
      <w:pPr>
        <w:spacing w:line="600" w:lineRule="exact"/>
        <w:ind w:firstLine="420" w:firstLineChars="200"/>
        <w:rPr>
          <w:rFonts w:hint="eastAsia" w:ascii="仿宋" w:hAnsi="仿宋" w:eastAsia="仿宋"/>
          <w:sz w:val="32"/>
          <w:szCs w:val="32"/>
          <w:lang w:val="en-US" w:eastAsia="zh-CN"/>
        </w:rPr>
      </w:pPr>
      <w:r>
        <w:drawing>
          <wp:anchor distT="0" distB="0" distL="114935" distR="114935" simplePos="0" relativeHeight="251663360" behindDoc="0" locked="0" layoutInCell="1" allowOverlap="1">
            <wp:simplePos x="0" y="0"/>
            <wp:positionH relativeFrom="column">
              <wp:posOffset>48895</wp:posOffset>
            </wp:positionH>
            <wp:positionV relativeFrom="paragraph">
              <wp:posOffset>172720</wp:posOffset>
            </wp:positionV>
            <wp:extent cx="5269230" cy="2534285"/>
            <wp:effectExtent l="0" t="0" r="7620" b="18415"/>
            <wp:wrapTopAndBottom/>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9"/>
                    <a:stretch>
                      <a:fillRect/>
                    </a:stretch>
                  </pic:blipFill>
                  <pic:spPr>
                    <a:xfrm>
                      <a:off x="0" y="0"/>
                      <a:ext cx="5269230" cy="2534285"/>
                    </a:xfrm>
                    <a:prstGeom prst="rect">
                      <a:avLst/>
                    </a:prstGeom>
                    <a:noFill/>
                    <a:ln>
                      <a:noFill/>
                    </a:ln>
                  </pic:spPr>
                </pic:pic>
              </a:graphicData>
            </a:graphic>
          </wp:anchor>
        </w:drawing>
      </w:r>
      <w:r>
        <w:rPr>
          <w:rFonts w:hint="eastAsia" w:ascii="仿宋" w:hAnsi="仿宋" w:eastAsia="仿宋"/>
          <w:sz w:val="32"/>
          <w:szCs w:val="32"/>
          <w:lang w:val="en-US" w:eastAsia="zh-CN"/>
        </w:rPr>
        <w:t>2.点击页面下方“账号添加”，创建本省医疗机构的账号。在“所在区域”选择具体地市名称、区县名称，准确填写“医疗机构名称”和“统一社会信用代码”，选择机构类型、机构等级，填写联系人和联系方式，确认填写无误，点击“保存”。</w:t>
      </w:r>
    </w:p>
    <w:p>
      <w:pPr>
        <w:spacing w:line="600" w:lineRule="exact"/>
        <w:ind w:firstLine="420" w:firstLineChars="200"/>
        <w:rPr>
          <w:rFonts w:hint="eastAsia" w:ascii="仿宋" w:hAnsi="仿宋" w:eastAsia="仿宋"/>
          <w:sz w:val="32"/>
          <w:szCs w:val="32"/>
          <w:lang w:val="en-US" w:eastAsia="zh-CN"/>
        </w:rPr>
      </w:pPr>
      <w:r>
        <w:drawing>
          <wp:anchor distT="0" distB="0" distL="114935" distR="114935" simplePos="0" relativeHeight="251664384" behindDoc="0" locked="0" layoutInCell="1" allowOverlap="1">
            <wp:simplePos x="0" y="0"/>
            <wp:positionH relativeFrom="column">
              <wp:posOffset>59055</wp:posOffset>
            </wp:positionH>
            <wp:positionV relativeFrom="paragraph">
              <wp:posOffset>29210</wp:posOffset>
            </wp:positionV>
            <wp:extent cx="5269230" cy="2534285"/>
            <wp:effectExtent l="0" t="0" r="7620" b="18415"/>
            <wp:wrapTopAndBottom/>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0"/>
                    <a:stretch>
                      <a:fillRect/>
                    </a:stretch>
                  </pic:blipFill>
                  <pic:spPr>
                    <a:xfrm>
                      <a:off x="0" y="0"/>
                      <a:ext cx="5269230" cy="2534285"/>
                    </a:xfrm>
                    <a:prstGeom prst="rect">
                      <a:avLst/>
                    </a:prstGeom>
                    <a:noFill/>
                    <a:ln>
                      <a:noFill/>
                    </a:ln>
                  </pic:spPr>
                </pic:pic>
              </a:graphicData>
            </a:graphic>
          </wp:anchor>
        </w:drawing>
      </w:r>
      <w:r>
        <w:rPr>
          <w:rFonts w:hint="eastAsia" w:ascii="仿宋" w:hAnsi="仿宋" w:eastAsia="仿宋"/>
          <w:sz w:val="32"/>
          <w:szCs w:val="32"/>
          <w:lang w:val="en-US" w:eastAsia="zh-CN"/>
        </w:rPr>
        <w:t>备注：</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(1)如拟添加的医疗机构属于省级直属管理的医疗机构，需在“所在区域”选择“省（区）直属”，并新建医疗机构账号；</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如拟添加的医疗机构具备省级耗材网采用户名，在“选择”栏目点击“具备省级耗材网采用户名”，并在“省平台账号”内填写该医疗机构省级耗材采购平台的采购管理员账号。生成本系统医疗机构用户名的规则为在各省导入的账号前默认加“H”和六位行政区划的前两位；</w:t>
      </w:r>
    </w:p>
    <w:p>
      <w:pPr>
        <w:spacing w:line="600" w:lineRule="exact"/>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(3)如拟添加的医疗机构不具备省级耗材网采用户名，生成本系统医疗机构用户名的规则为H+六位行政区划的前两位+五位顺序码；</w:t>
      </w:r>
    </w:p>
    <w:p>
      <w:pPr>
        <w:spacing w:line="600" w:lineRule="exact"/>
        <w:ind w:firstLine="640" w:firstLineChars="200"/>
        <w:rPr>
          <w:rFonts w:hint="eastAsia" w:ascii="仿宋" w:hAnsi="仿宋" w:eastAsia="仿宋"/>
          <w:sz w:val="32"/>
          <w:szCs w:val="32"/>
          <w:lang w:val="en-US" w:eastAsia="zh-CN"/>
        </w:rPr>
      </w:pPr>
      <w:r>
        <w:rPr>
          <w:rFonts w:hint="default" w:ascii="仿宋" w:hAnsi="仿宋" w:eastAsia="仿宋"/>
          <w:sz w:val="32"/>
          <w:szCs w:val="32"/>
          <w:lang w:val="en-US" w:eastAsia="zh-CN"/>
        </w:rPr>
        <w:t>(4)新创建的系统账号，初始密码与省医保局系统管理员账号初始密码一致</w:t>
      </w:r>
      <w:r>
        <w:rPr>
          <w:rFonts w:hint="eastAsia" w:ascii="仿宋" w:hAnsi="仿宋" w:eastAsia="仿宋"/>
          <w:sz w:val="32"/>
          <w:szCs w:val="32"/>
          <w:lang w:val="en-US" w:eastAsia="zh-CN"/>
        </w:rPr>
        <w:t>；</w:t>
      </w:r>
    </w:p>
    <w:p>
      <w:pPr>
        <w:spacing w:line="600" w:lineRule="exact"/>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(5)各医疗机构仅可以创建一个医疗机构管理账号，系统内自动按照“医疗机构名称+统一社会信用代码”组合判断是否存在重复。</w:t>
      </w:r>
    </w:p>
    <w:p>
      <w:pPr>
        <w:spacing w:line="600" w:lineRule="exact"/>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3.完成医疗机构用户信息添加并核对确认信息无误后，须点击“操作”列中的“发放”，正式生成医疗机构。</w:t>
      </w:r>
    </w:p>
    <w:p>
      <w:pPr>
        <w:spacing w:line="600" w:lineRule="exact"/>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4.对于创建后的医疗机构账号，省级医保部门可以进行编辑、重置密码、启用/禁用。</w:t>
      </w:r>
    </w:p>
    <w:p>
      <w:pPr>
        <w:numPr>
          <w:ilvl w:val="0"/>
          <w:numId w:val="0"/>
        </w:numPr>
        <w:spacing w:line="600" w:lineRule="exact"/>
        <w:ind w:leftChars="0"/>
        <w:outlineLvl w:val="2"/>
        <w:rPr>
          <w:rFonts w:hint="eastAsia" w:ascii="楷体" w:hAnsi="楷体" w:eastAsia="楷体" w:cs="楷体_GB2312"/>
          <w:b/>
          <w:bCs/>
          <w:sz w:val="32"/>
          <w:szCs w:val="32"/>
          <w:lang w:val="en-US" w:eastAsia="zh-CN"/>
        </w:rPr>
      </w:pPr>
      <w:bookmarkStart w:id="13" w:name="_Toc13481"/>
      <w:r>
        <w:rPr>
          <w:rFonts w:hint="eastAsia" w:ascii="楷体" w:hAnsi="楷体" w:eastAsia="楷体" w:cs="楷体_GB2312"/>
          <w:b/>
          <w:bCs/>
          <w:sz w:val="32"/>
          <w:szCs w:val="32"/>
          <w:lang w:val="en-US" w:eastAsia="zh-CN"/>
        </w:rPr>
        <w:t>3.3.2.省级医保部门子账号管理</w:t>
      </w:r>
      <w:bookmarkEnd w:id="13"/>
    </w:p>
    <w:p>
      <w:pPr>
        <w:spacing w:line="600" w:lineRule="exact"/>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各省级医保部门可以通过联采办发放的省级管理账号为省级医保部门工作人员制作省级子账号。点击左侧菜单栏“用户管理”－“子账号管理”，在该页面完成省级子账号的创建、管理。</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14" w:name="_Toc27640"/>
      <w:r>
        <w:rPr>
          <w:rFonts w:hint="eastAsia" w:ascii="楷体" w:hAnsi="楷体" w:eastAsia="楷体" w:cs="楷体_GB2312"/>
          <w:b/>
          <w:bCs/>
          <w:sz w:val="32"/>
          <w:szCs w:val="32"/>
          <w:lang w:val="en-US" w:eastAsia="zh-CN"/>
        </w:rPr>
        <w:drawing>
          <wp:anchor distT="0" distB="0" distL="114935" distR="114935" simplePos="0" relativeHeight="251665408" behindDoc="0" locked="0" layoutInCell="1" allowOverlap="1">
            <wp:simplePos x="0" y="0"/>
            <wp:positionH relativeFrom="column">
              <wp:posOffset>42545</wp:posOffset>
            </wp:positionH>
            <wp:positionV relativeFrom="paragraph">
              <wp:posOffset>54610</wp:posOffset>
            </wp:positionV>
            <wp:extent cx="5269230" cy="2534285"/>
            <wp:effectExtent l="0" t="0" r="7620" b="18415"/>
            <wp:wrapTopAndBottom/>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pic:cNvPicPr>
                      <a:picLocks noChangeAspect="1"/>
                    </pic:cNvPicPr>
                  </pic:nvPicPr>
                  <pic:blipFill>
                    <a:blip r:embed="rId11"/>
                    <a:stretch>
                      <a:fillRect/>
                    </a:stretch>
                  </pic:blipFill>
                  <pic:spPr>
                    <a:xfrm>
                      <a:off x="0" y="0"/>
                      <a:ext cx="5269230" cy="2534285"/>
                    </a:xfrm>
                    <a:prstGeom prst="rect">
                      <a:avLst/>
                    </a:prstGeom>
                    <a:noFill/>
                    <a:ln>
                      <a:noFill/>
                    </a:ln>
                  </pic:spPr>
                </pic:pic>
              </a:graphicData>
            </a:graphic>
          </wp:anchor>
        </w:drawing>
      </w:r>
      <w:r>
        <w:rPr>
          <w:rFonts w:hint="eastAsia" w:ascii="楷体" w:hAnsi="楷体" w:eastAsia="楷体" w:cs="楷体_GB2312"/>
          <w:b/>
          <w:bCs/>
          <w:sz w:val="32"/>
          <w:szCs w:val="32"/>
          <w:lang w:val="en-US" w:eastAsia="zh-CN"/>
        </w:rPr>
        <w:t>3.4.产品管理</w:t>
      </w:r>
      <w:bookmarkEnd w:id="14"/>
    </w:p>
    <w:p>
      <w:pPr>
        <w:spacing w:line="600" w:lineRule="exact"/>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省级医保部门登录平台后，在左侧菜单栏点击“产品管理”－“</w:t>
      </w:r>
      <w:r>
        <w:rPr>
          <w:rFonts w:hint="eastAsia" w:ascii="仿宋" w:hAnsi="仿宋" w:eastAsia="仿宋"/>
          <w:sz w:val="32"/>
          <w:szCs w:val="32"/>
          <w:lang w:val="en-US" w:eastAsia="zh-CN"/>
        </w:rPr>
        <w:t>供应产品清单</w:t>
      </w:r>
      <w:r>
        <w:rPr>
          <w:rFonts w:hint="default" w:ascii="仿宋" w:hAnsi="仿宋" w:eastAsia="仿宋"/>
          <w:sz w:val="32"/>
          <w:szCs w:val="32"/>
          <w:lang w:val="en-US" w:eastAsia="zh-CN"/>
        </w:rPr>
        <w:t>查看”页面，可以查看系统内</w:t>
      </w:r>
      <w:r>
        <w:rPr>
          <w:rFonts w:hint="eastAsia" w:ascii="仿宋" w:hAnsi="仿宋" w:eastAsia="仿宋"/>
          <w:sz w:val="32"/>
          <w:szCs w:val="32"/>
          <w:lang w:val="en-US" w:eastAsia="zh-CN"/>
        </w:rPr>
        <w:t>骨科创伤</w:t>
      </w:r>
      <w:r>
        <w:rPr>
          <w:rFonts w:hint="default" w:ascii="仿宋" w:hAnsi="仿宋" w:eastAsia="仿宋"/>
          <w:sz w:val="32"/>
          <w:szCs w:val="32"/>
          <w:lang w:val="en-US" w:eastAsia="zh-CN"/>
        </w:rPr>
        <w:t>类产品详细信息。</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15" w:name="_Toc11317"/>
      <w:r>
        <w:drawing>
          <wp:anchor distT="0" distB="0" distL="114935" distR="114935" simplePos="0" relativeHeight="251672576" behindDoc="0" locked="0" layoutInCell="1" allowOverlap="1">
            <wp:simplePos x="0" y="0"/>
            <wp:positionH relativeFrom="column">
              <wp:posOffset>38100</wp:posOffset>
            </wp:positionH>
            <wp:positionV relativeFrom="paragraph">
              <wp:posOffset>152400</wp:posOffset>
            </wp:positionV>
            <wp:extent cx="5269230" cy="2414905"/>
            <wp:effectExtent l="0" t="0" r="7620" b="4445"/>
            <wp:wrapTopAndBottom/>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2"/>
                    <a:stretch>
                      <a:fillRect/>
                    </a:stretch>
                  </pic:blipFill>
                  <pic:spPr>
                    <a:xfrm>
                      <a:off x="0" y="0"/>
                      <a:ext cx="5269230" cy="2414905"/>
                    </a:xfrm>
                    <a:prstGeom prst="rect">
                      <a:avLst/>
                    </a:prstGeom>
                    <a:noFill/>
                    <a:ln>
                      <a:noFill/>
                    </a:ln>
                  </pic:spPr>
                </pic:pic>
              </a:graphicData>
            </a:graphic>
          </wp:anchor>
        </w:drawing>
      </w:r>
      <w:r>
        <w:rPr>
          <w:rFonts w:hint="eastAsia" w:ascii="楷体" w:hAnsi="楷体" w:eastAsia="楷体" w:cs="楷体_GB2312"/>
          <w:b/>
          <w:bCs/>
          <w:sz w:val="32"/>
          <w:szCs w:val="32"/>
          <w:lang w:val="en-US" w:eastAsia="zh-CN"/>
        </w:rPr>
        <w:t>3.5.上报管理</w:t>
      </w:r>
      <w:bookmarkEnd w:id="15"/>
    </w:p>
    <w:p>
      <w:pPr>
        <w:numPr>
          <w:ilvl w:val="0"/>
          <w:numId w:val="0"/>
        </w:numPr>
        <w:spacing w:line="600" w:lineRule="exact"/>
        <w:ind w:leftChars="0"/>
        <w:outlineLvl w:val="2"/>
        <w:rPr>
          <w:rFonts w:hint="default" w:ascii="楷体" w:hAnsi="楷体" w:eastAsia="楷体" w:cs="楷体_GB2312"/>
          <w:b/>
          <w:bCs/>
          <w:sz w:val="32"/>
          <w:szCs w:val="32"/>
          <w:lang w:val="en-US" w:eastAsia="zh-CN"/>
        </w:rPr>
      </w:pPr>
      <w:bookmarkStart w:id="16" w:name="_Toc10098"/>
      <w:r>
        <w:rPr>
          <w:rFonts w:hint="eastAsia" w:ascii="楷体" w:hAnsi="楷体" w:eastAsia="楷体" w:cs="楷体_GB2312"/>
          <w:b/>
          <w:bCs/>
          <w:sz w:val="32"/>
          <w:szCs w:val="32"/>
          <w:lang w:val="en-US" w:eastAsia="zh-CN"/>
        </w:rPr>
        <w:t>3.5.1.需求量阈值设置</w:t>
      </w:r>
      <w:bookmarkEnd w:id="16"/>
    </w:p>
    <w:p>
      <w:pPr>
        <w:spacing w:line="600" w:lineRule="exact"/>
        <w:ind w:firstLine="420" w:firstLineChars="200"/>
        <w:rPr>
          <w:rFonts w:hint="eastAsia" w:ascii="仿宋" w:hAnsi="仿宋" w:eastAsia="仿宋"/>
          <w:sz w:val="32"/>
          <w:szCs w:val="32"/>
          <w:lang w:val="en-US" w:eastAsia="zh-CN"/>
        </w:rPr>
      </w:pPr>
      <w:r>
        <w:drawing>
          <wp:anchor distT="0" distB="0" distL="114935" distR="114935" simplePos="0" relativeHeight="251666432" behindDoc="0" locked="0" layoutInCell="1" allowOverlap="1">
            <wp:simplePos x="0" y="0"/>
            <wp:positionH relativeFrom="column">
              <wp:posOffset>75565</wp:posOffset>
            </wp:positionH>
            <wp:positionV relativeFrom="paragraph">
              <wp:posOffset>3602990</wp:posOffset>
            </wp:positionV>
            <wp:extent cx="4905375" cy="1019175"/>
            <wp:effectExtent l="0" t="0" r="9525" b="9525"/>
            <wp:wrapTopAndBottom/>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13"/>
                    <a:stretch>
                      <a:fillRect/>
                    </a:stretch>
                  </pic:blipFill>
                  <pic:spPr>
                    <a:xfrm>
                      <a:off x="0" y="0"/>
                      <a:ext cx="4905375" cy="1019175"/>
                    </a:xfrm>
                    <a:prstGeom prst="rect">
                      <a:avLst/>
                    </a:prstGeom>
                    <a:noFill/>
                    <a:ln>
                      <a:noFill/>
                    </a:ln>
                  </pic:spPr>
                </pic:pic>
              </a:graphicData>
            </a:graphic>
          </wp:anchor>
        </w:drawing>
      </w:r>
      <w:r>
        <w:rPr>
          <w:rFonts w:hint="default" w:ascii="仿宋" w:hAnsi="仿宋" w:eastAsia="仿宋"/>
          <w:sz w:val="32"/>
          <w:szCs w:val="32"/>
          <w:lang w:val="en-US" w:eastAsia="zh-CN"/>
        </w:rPr>
        <w:t>省级医保部门</w:t>
      </w:r>
      <w:r>
        <w:rPr>
          <w:rFonts w:hint="eastAsia" w:ascii="仿宋" w:hAnsi="仿宋" w:eastAsia="仿宋"/>
          <w:sz w:val="32"/>
          <w:szCs w:val="32"/>
          <w:lang w:val="en-US" w:eastAsia="zh-CN"/>
        </w:rPr>
        <w:t>须</w:t>
      </w:r>
      <w:r>
        <w:rPr>
          <w:rFonts w:hint="default" w:ascii="仿宋" w:hAnsi="仿宋" w:eastAsia="仿宋"/>
          <w:sz w:val="32"/>
          <w:szCs w:val="32"/>
          <w:lang w:val="en-US" w:eastAsia="zh-CN"/>
        </w:rPr>
        <w:t>设定“需求量阈值提醒设置”的数值范围</w:t>
      </w:r>
      <w:r>
        <w:rPr>
          <w:rFonts w:hint="eastAsia" w:ascii="仿宋" w:hAnsi="仿宋" w:eastAsia="仿宋"/>
          <w:sz w:val="32"/>
          <w:szCs w:val="32"/>
          <w:lang w:val="en-US" w:eastAsia="zh-CN"/>
        </w:rPr>
        <w:t>。</w:t>
      </w:r>
      <w:r>
        <w:rPr>
          <w:rFonts w:hint="default" w:ascii="仿宋" w:hAnsi="仿宋" w:eastAsia="仿宋"/>
          <w:sz w:val="32"/>
          <w:szCs w:val="32"/>
          <w:lang w:val="en-US" w:eastAsia="zh-CN"/>
        </w:rPr>
        <w:t>由省级医保局按管理要求设定需要由医疗机构填写理由的需求量占2020年历史采购量的比值区间</w:t>
      </w:r>
      <w:r>
        <w:rPr>
          <w:rFonts w:hint="eastAsia" w:ascii="仿宋" w:hAnsi="仿宋" w:eastAsia="仿宋"/>
          <w:sz w:val="32"/>
          <w:szCs w:val="32"/>
          <w:lang w:val="en-US" w:eastAsia="zh-CN"/>
        </w:rPr>
        <w:t>。医疗机构填报需求量时,系统根据省级医保局设定的“需求量阈值提醒范围”，对医疗机构填报的各产品需求量与本医疗机构2020年度历史采购量比较,如填报量小于阈值下限,或大于阈值上限,系统将提示由医疗机构填写理由。如果医疗机构确认填报的需求量无误，并完成理由填写，可继续进行后续操作（该功能不对医疗机构实际填写提交的数量做限制）。</w:t>
      </w:r>
    </w:p>
    <w:p>
      <w:pPr>
        <w:spacing w:line="600" w:lineRule="exact"/>
        <w:ind w:firstLine="640" w:firstLineChars="200"/>
        <w:rPr>
          <w:rFonts w:hint="default" w:ascii="仿宋" w:hAnsi="仿宋" w:eastAsia="仿宋"/>
          <w:sz w:val="32"/>
          <w:szCs w:val="32"/>
          <w:lang w:val="en-US" w:eastAsia="zh-CN"/>
        </w:rPr>
      </w:pPr>
    </w:p>
    <w:p>
      <w:pPr>
        <w:numPr>
          <w:ilvl w:val="0"/>
          <w:numId w:val="0"/>
        </w:numPr>
        <w:spacing w:line="600" w:lineRule="exact"/>
        <w:ind w:leftChars="0"/>
        <w:outlineLvl w:val="2"/>
        <w:rPr>
          <w:rFonts w:hint="default" w:ascii="楷体" w:hAnsi="楷体" w:eastAsia="楷体" w:cs="楷体_GB2312"/>
          <w:b/>
          <w:bCs/>
          <w:sz w:val="32"/>
          <w:szCs w:val="32"/>
          <w:lang w:val="en-US" w:eastAsia="zh-CN"/>
        </w:rPr>
      </w:pPr>
      <w:bookmarkStart w:id="17" w:name="_Toc30349"/>
      <w:r>
        <w:rPr>
          <w:rFonts w:hint="eastAsia" w:ascii="楷体" w:hAnsi="楷体" w:eastAsia="楷体" w:cs="楷体_GB2312"/>
          <w:b/>
          <w:bCs/>
          <w:sz w:val="32"/>
          <w:szCs w:val="32"/>
          <w:lang w:val="en-US" w:eastAsia="zh-CN"/>
        </w:rPr>
        <w:t>3.5.2.需求量信息审核</w:t>
      </w:r>
      <w:bookmarkEnd w:id="17"/>
    </w:p>
    <w:p>
      <w:pPr>
        <w:spacing w:line="600" w:lineRule="exact"/>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省级医保部门可通过点击左侧“需求量信息审核”菜单，审核各地市下辖医疗机构提交的</w:t>
      </w:r>
      <w:r>
        <w:rPr>
          <w:rFonts w:hint="eastAsia" w:ascii="仿宋" w:hAnsi="仿宋" w:eastAsia="仿宋"/>
          <w:sz w:val="32"/>
          <w:szCs w:val="32"/>
          <w:lang w:val="en-US" w:eastAsia="zh-CN"/>
        </w:rPr>
        <w:t>骨科创伤</w:t>
      </w:r>
      <w:r>
        <w:rPr>
          <w:rFonts w:hint="default" w:ascii="仿宋" w:hAnsi="仿宋" w:eastAsia="仿宋"/>
          <w:sz w:val="32"/>
          <w:szCs w:val="32"/>
          <w:lang w:val="en-US" w:eastAsia="zh-CN"/>
        </w:rPr>
        <w:t>类耗材产品</w:t>
      </w:r>
      <w:r>
        <w:rPr>
          <w:rFonts w:hint="eastAsia" w:ascii="仿宋" w:hAnsi="仿宋" w:eastAsia="仿宋"/>
          <w:sz w:val="32"/>
          <w:szCs w:val="32"/>
          <w:lang w:val="en-US" w:eastAsia="zh-CN"/>
        </w:rPr>
        <w:t>每个目录</w:t>
      </w:r>
      <w:r>
        <w:rPr>
          <w:rFonts w:hint="default" w:ascii="仿宋" w:hAnsi="仿宋" w:eastAsia="仿宋"/>
          <w:sz w:val="32"/>
          <w:szCs w:val="32"/>
          <w:lang w:val="en-US" w:eastAsia="zh-CN"/>
        </w:rPr>
        <w:t>每一个</w:t>
      </w:r>
      <w:r>
        <w:rPr>
          <w:rFonts w:hint="eastAsia" w:ascii="仿宋" w:hAnsi="仿宋" w:eastAsia="仿宋"/>
          <w:sz w:val="32"/>
          <w:szCs w:val="32"/>
          <w:lang w:val="en-US" w:eastAsia="zh-CN"/>
        </w:rPr>
        <w:t>企业</w:t>
      </w:r>
      <w:r>
        <w:rPr>
          <w:rFonts w:hint="default" w:ascii="仿宋" w:hAnsi="仿宋" w:eastAsia="仿宋"/>
          <w:sz w:val="32"/>
          <w:szCs w:val="32"/>
          <w:lang w:val="en-US" w:eastAsia="zh-CN"/>
        </w:rPr>
        <w:t>的</w:t>
      </w:r>
      <w:r>
        <w:rPr>
          <w:rFonts w:hint="eastAsia" w:ascii="仿宋" w:hAnsi="仿宋" w:eastAsia="仿宋"/>
          <w:sz w:val="32"/>
          <w:szCs w:val="32"/>
          <w:lang w:val="en-US" w:eastAsia="zh-CN"/>
        </w:rPr>
        <w:t>采购周期内</w:t>
      </w:r>
      <w:r>
        <w:rPr>
          <w:rFonts w:hint="default" w:ascii="仿宋" w:hAnsi="仿宋" w:eastAsia="仿宋"/>
          <w:sz w:val="32"/>
          <w:szCs w:val="32"/>
          <w:lang w:val="en-US" w:eastAsia="zh-CN"/>
        </w:rPr>
        <w:t>需求总量。</w:t>
      </w:r>
    </w:p>
    <w:p>
      <w:pPr>
        <w:spacing w:line="600" w:lineRule="exact"/>
        <w:ind w:firstLine="640" w:firstLineChars="200"/>
        <w:rPr>
          <w:rFonts w:hint="eastAsia" w:ascii="仿宋" w:hAnsi="仿宋" w:eastAsia="仿宋"/>
          <w:sz w:val="32"/>
          <w:szCs w:val="32"/>
          <w:lang w:val="en-US" w:eastAsia="zh-CN"/>
        </w:rPr>
      </w:pPr>
      <w:r>
        <w:rPr>
          <w:rFonts w:hint="default" w:ascii="仿宋" w:hAnsi="仿宋" w:eastAsia="仿宋"/>
          <w:sz w:val="32"/>
          <w:szCs w:val="32"/>
          <w:lang w:val="en-US" w:eastAsia="zh-CN"/>
        </w:rPr>
        <w:t>在该页面查看各地市下提交的采购需求</w:t>
      </w:r>
      <w:r>
        <w:rPr>
          <w:rFonts w:hint="eastAsia" w:ascii="仿宋" w:hAnsi="仿宋" w:eastAsia="仿宋"/>
          <w:sz w:val="32"/>
          <w:szCs w:val="32"/>
          <w:lang w:val="en-US" w:eastAsia="zh-CN"/>
        </w:rPr>
        <w:t>总量</w:t>
      </w:r>
      <w:r>
        <w:rPr>
          <w:rFonts w:hint="default" w:ascii="仿宋" w:hAnsi="仿宋" w:eastAsia="仿宋"/>
          <w:sz w:val="32"/>
          <w:szCs w:val="32"/>
          <w:lang w:val="en-US" w:eastAsia="zh-CN"/>
        </w:rPr>
        <w:t>，列表中展示地市名称、需</w:t>
      </w:r>
      <w:r>
        <w:rPr>
          <w:rFonts w:hint="eastAsia" w:ascii="仿宋" w:hAnsi="仿宋" w:eastAsia="仿宋"/>
          <w:sz w:val="32"/>
          <w:szCs w:val="32"/>
          <w:lang w:val="en-US" w:eastAsia="zh-CN"/>
        </w:rPr>
        <w:t>求量、2019及2020年度参考采购量、涨幅/降幅、上报医院数、未申报医院数、地市级待审核医院数、本局待审核医院数、本局审核通过医院数。</w:t>
      </w:r>
    </w:p>
    <w:p>
      <w:pPr>
        <w:spacing w:line="600" w:lineRule="exact"/>
        <w:ind w:firstLine="640" w:firstLineChars="200"/>
        <w:rPr>
          <w:rFonts w:hint="eastAsia" w:ascii="仿宋" w:hAnsi="仿宋" w:eastAsia="仿宋"/>
          <w:sz w:val="32"/>
          <w:szCs w:val="32"/>
          <w:lang w:val="en-US" w:eastAsia="zh-CN"/>
        </w:rPr>
      </w:pPr>
      <w:r>
        <w:rPr>
          <w:rFonts w:hint="default" w:ascii="仿宋" w:hAnsi="仿宋" w:eastAsia="仿宋"/>
          <w:sz w:val="32"/>
          <w:szCs w:val="32"/>
          <w:lang w:val="en-US" w:eastAsia="zh-CN"/>
        </w:rPr>
        <w:drawing>
          <wp:anchor distT="0" distB="0" distL="114935" distR="114935" simplePos="0" relativeHeight="251667456" behindDoc="0" locked="0" layoutInCell="1" allowOverlap="1">
            <wp:simplePos x="0" y="0"/>
            <wp:positionH relativeFrom="column">
              <wp:posOffset>26035</wp:posOffset>
            </wp:positionH>
            <wp:positionV relativeFrom="paragraph">
              <wp:posOffset>50165</wp:posOffset>
            </wp:positionV>
            <wp:extent cx="5269230" cy="2534285"/>
            <wp:effectExtent l="0" t="0" r="7620" b="18415"/>
            <wp:wrapTopAndBottom/>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pic:cNvPicPr>
                  </pic:nvPicPr>
                  <pic:blipFill>
                    <a:blip r:embed="rId14"/>
                    <a:stretch>
                      <a:fillRect/>
                    </a:stretch>
                  </pic:blipFill>
                  <pic:spPr>
                    <a:xfrm>
                      <a:off x="0" y="0"/>
                      <a:ext cx="5269230" cy="2534285"/>
                    </a:xfrm>
                    <a:prstGeom prst="rect">
                      <a:avLst/>
                    </a:prstGeom>
                    <a:noFill/>
                    <a:ln>
                      <a:noFill/>
                    </a:ln>
                  </pic:spPr>
                </pic:pic>
              </a:graphicData>
            </a:graphic>
          </wp:anchor>
        </w:drawing>
      </w:r>
      <w:r>
        <w:rPr>
          <w:rFonts w:hint="eastAsia" w:ascii="仿宋" w:hAnsi="仿宋" w:eastAsia="仿宋"/>
          <w:sz w:val="32"/>
          <w:szCs w:val="32"/>
          <w:lang w:val="en-US" w:eastAsia="zh-CN"/>
        </w:rPr>
        <w:t>点击【查看详情】，</w:t>
      </w:r>
      <w:r>
        <w:rPr>
          <w:rFonts w:hint="default" w:ascii="仿宋" w:hAnsi="仿宋" w:eastAsia="仿宋"/>
          <w:sz w:val="32"/>
          <w:szCs w:val="32"/>
          <w:lang w:val="en-US" w:eastAsia="zh-CN"/>
        </w:rPr>
        <w:t>在该页面查看选定地市下辖各医疗机构提交的采购需求</w:t>
      </w:r>
      <w:r>
        <w:rPr>
          <w:rFonts w:hint="eastAsia" w:ascii="仿宋" w:hAnsi="仿宋" w:eastAsia="仿宋"/>
          <w:sz w:val="32"/>
          <w:szCs w:val="32"/>
          <w:lang w:val="en-US" w:eastAsia="zh-CN"/>
        </w:rPr>
        <w:t>总量。</w:t>
      </w:r>
    </w:p>
    <w:p>
      <w:pPr>
        <w:spacing w:line="600" w:lineRule="exact"/>
        <w:ind w:firstLine="640" w:firstLineChars="200"/>
        <w:rPr>
          <w:rFonts w:hint="default" w:ascii="仿宋" w:hAnsi="仿宋" w:eastAsia="仿宋"/>
          <w:sz w:val="32"/>
          <w:szCs w:val="32"/>
          <w:lang w:val="en-US" w:eastAsia="zh-CN"/>
        </w:rPr>
      </w:pPr>
    </w:p>
    <w:p>
      <w:pPr>
        <w:spacing w:line="600" w:lineRule="exact"/>
        <w:ind w:firstLine="640" w:firstLineChars="200"/>
        <w:rPr>
          <w:rFonts w:hint="default" w:ascii="仿宋" w:hAnsi="仿宋" w:eastAsia="仿宋"/>
          <w:sz w:val="32"/>
          <w:szCs w:val="32"/>
          <w:lang w:val="en-US" w:eastAsia="zh-CN"/>
        </w:rPr>
      </w:pPr>
    </w:p>
    <w:p>
      <w:pPr>
        <w:spacing w:line="600" w:lineRule="exact"/>
        <w:ind w:firstLine="640" w:firstLineChars="200"/>
        <w:rPr>
          <w:rFonts w:hint="default" w:ascii="仿宋" w:hAnsi="仿宋" w:eastAsia="仿宋"/>
          <w:sz w:val="32"/>
          <w:szCs w:val="32"/>
          <w:lang w:val="en-US" w:eastAsia="zh-CN"/>
        </w:rPr>
      </w:pPr>
    </w:p>
    <w:p>
      <w:pPr>
        <w:spacing w:line="600" w:lineRule="exact"/>
        <w:ind w:firstLine="640" w:firstLineChars="200"/>
        <w:rPr>
          <w:rFonts w:hint="default" w:ascii="仿宋" w:hAnsi="仿宋" w:eastAsia="仿宋"/>
          <w:sz w:val="32"/>
          <w:szCs w:val="32"/>
          <w:lang w:val="en-US" w:eastAsia="zh-CN"/>
        </w:rPr>
      </w:pPr>
    </w:p>
    <w:p>
      <w:pPr>
        <w:spacing w:line="600" w:lineRule="exact"/>
        <w:ind w:firstLine="640" w:firstLineChars="200"/>
        <w:rPr>
          <w:rFonts w:hint="default" w:ascii="仿宋" w:hAnsi="仿宋" w:eastAsia="仿宋"/>
          <w:sz w:val="32"/>
          <w:szCs w:val="32"/>
          <w:lang w:val="en-US" w:eastAsia="zh-CN"/>
        </w:rPr>
      </w:pPr>
    </w:p>
    <w:p>
      <w:pPr>
        <w:spacing w:line="600" w:lineRule="exact"/>
        <w:ind w:firstLine="640" w:firstLineChars="200"/>
        <w:rPr>
          <w:rFonts w:hint="default" w:ascii="仿宋" w:hAnsi="仿宋" w:eastAsia="仿宋"/>
          <w:sz w:val="32"/>
          <w:szCs w:val="32"/>
          <w:lang w:val="en-US" w:eastAsia="zh-CN"/>
        </w:rPr>
      </w:pP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drawing>
          <wp:anchor distT="0" distB="0" distL="114935" distR="114935" simplePos="0" relativeHeight="251669504" behindDoc="0" locked="0" layoutInCell="1" allowOverlap="0">
            <wp:simplePos x="0" y="0"/>
            <wp:positionH relativeFrom="column">
              <wp:posOffset>41275</wp:posOffset>
            </wp:positionH>
            <wp:positionV relativeFrom="paragraph">
              <wp:posOffset>2890520</wp:posOffset>
            </wp:positionV>
            <wp:extent cx="5269230" cy="2534285"/>
            <wp:effectExtent l="0" t="0" r="7620" b="18415"/>
            <wp:wrapTopAndBottom/>
            <wp:docPr id="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pic:cNvPicPr>
                      <a:picLocks noChangeAspect="1"/>
                    </pic:cNvPicPr>
                  </pic:nvPicPr>
                  <pic:blipFill>
                    <a:blip r:embed="rId15"/>
                    <a:stretch>
                      <a:fillRect/>
                    </a:stretch>
                  </pic:blipFill>
                  <pic:spPr>
                    <a:xfrm>
                      <a:off x="0" y="0"/>
                      <a:ext cx="5269230" cy="2534285"/>
                    </a:xfrm>
                    <a:prstGeom prst="rect">
                      <a:avLst/>
                    </a:prstGeom>
                    <a:noFill/>
                    <a:ln>
                      <a:noFill/>
                    </a:ln>
                  </pic:spPr>
                </pic:pic>
              </a:graphicData>
            </a:graphic>
          </wp:anchor>
        </w:drawing>
      </w:r>
      <w:r>
        <w:rPr>
          <w:rFonts w:hint="eastAsia" w:ascii="仿宋" w:hAnsi="仿宋" w:eastAsia="仿宋"/>
          <w:sz w:val="32"/>
          <w:szCs w:val="32"/>
          <w:lang w:val="en-US" w:eastAsia="zh-CN"/>
        </w:rPr>
        <w:drawing>
          <wp:anchor distT="0" distB="0" distL="114935" distR="114935" simplePos="0" relativeHeight="251668480" behindDoc="0" locked="0" layoutInCell="1" allowOverlap="1">
            <wp:simplePos x="0" y="0"/>
            <wp:positionH relativeFrom="column">
              <wp:posOffset>-10160</wp:posOffset>
            </wp:positionH>
            <wp:positionV relativeFrom="paragraph">
              <wp:posOffset>159385</wp:posOffset>
            </wp:positionV>
            <wp:extent cx="5269230" cy="2534285"/>
            <wp:effectExtent l="0" t="0" r="7620" b="18415"/>
            <wp:wrapTopAndBottom/>
            <wp:docPr id="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pic:cNvPicPr>
                      <a:picLocks noChangeAspect="1"/>
                    </pic:cNvPicPr>
                  </pic:nvPicPr>
                  <pic:blipFill>
                    <a:blip r:embed="rId16"/>
                    <a:stretch>
                      <a:fillRect/>
                    </a:stretch>
                  </pic:blipFill>
                  <pic:spPr>
                    <a:xfrm>
                      <a:off x="0" y="0"/>
                      <a:ext cx="5269230" cy="2534285"/>
                    </a:xfrm>
                    <a:prstGeom prst="rect">
                      <a:avLst/>
                    </a:prstGeom>
                    <a:noFill/>
                    <a:ln>
                      <a:noFill/>
                    </a:ln>
                  </pic:spPr>
                </pic:pic>
              </a:graphicData>
            </a:graphic>
          </wp:anchor>
        </w:drawing>
      </w:r>
      <w:r>
        <w:rPr>
          <w:rFonts w:hint="default" w:ascii="仿宋" w:hAnsi="仿宋" w:eastAsia="仿宋"/>
          <w:sz w:val="32"/>
          <w:szCs w:val="32"/>
          <w:lang w:val="en-US" w:eastAsia="zh-CN"/>
        </w:rPr>
        <w:t>如需查看每家医疗机构填报的采购需求量数据详情，点击“查看详情”进行审核，确认无误点击“审核通过”</w:t>
      </w:r>
      <w:r>
        <w:rPr>
          <w:rFonts w:hint="eastAsia" w:ascii="仿宋" w:hAnsi="仿宋" w:eastAsia="仿宋"/>
          <w:sz w:val="32"/>
          <w:szCs w:val="32"/>
          <w:lang w:val="en-US" w:eastAsia="zh-CN"/>
        </w:rPr>
        <w:t>。如存在异议，点击“退回修改”，并填写审核不通过原因后退回地市医保部门。待地市医保部门向相应的医疗机构核实修正后再重新提交省级医保部门审核。</w:t>
      </w:r>
    </w:p>
    <w:p>
      <w:pPr>
        <w:spacing w:line="600" w:lineRule="exact"/>
        <w:ind w:firstLine="640" w:firstLineChars="200"/>
        <w:rPr>
          <w:rFonts w:hint="default" w:ascii="仿宋" w:hAnsi="仿宋" w:eastAsia="仿宋"/>
          <w:sz w:val="32"/>
          <w:szCs w:val="32"/>
          <w:lang w:val="en-US" w:eastAsia="zh-CN"/>
        </w:rPr>
      </w:pPr>
    </w:p>
    <w:p>
      <w:pPr>
        <w:spacing w:line="600" w:lineRule="exact"/>
        <w:ind w:firstLine="640" w:firstLineChars="200"/>
        <w:rPr>
          <w:rFonts w:hint="default" w:ascii="仿宋" w:hAnsi="仿宋" w:eastAsia="仿宋"/>
          <w:sz w:val="32"/>
          <w:szCs w:val="32"/>
          <w:lang w:val="en-US" w:eastAsia="zh-CN"/>
        </w:rPr>
      </w:pPr>
    </w:p>
    <w:p>
      <w:pPr>
        <w:spacing w:line="600" w:lineRule="exact"/>
        <w:rPr>
          <w:rFonts w:hint="default" w:ascii="仿宋" w:hAnsi="仿宋" w:eastAsia="仿宋"/>
          <w:sz w:val="32"/>
          <w:szCs w:val="32"/>
          <w:lang w:val="en-US" w:eastAsia="zh-CN"/>
        </w:rPr>
      </w:pPr>
    </w:p>
    <w:p>
      <w:pPr>
        <w:spacing w:line="600" w:lineRule="exact"/>
        <w:ind w:firstLine="420" w:firstLineChars="200"/>
        <w:rPr>
          <w:rFonts w:hint="default" w:ascii="仿宋" w:hAnsi="仿宋" w:eastAsia="仿宋"/>
          <w:sz w:val="32"/>
          <w:szCs w:val="32"/>
          <w:lang w:val="en-US" w:eastAsia="zh-CN"/>
        </w:rPr>
      </w:pPr>
      <w:r>
        <w:drawing>
          <wp:anchor distT="0" distB="0" distL="114935" distR="114935" simplePos="0" relativeHeight="251675648" behindDoc="0" locked="0" layoutInCell="1" allowOverlap="1">
            <wp:simplePos x="0" y="0"/>
            <wp:positionH relativeFrom="column">
              <wp:posOffset>28575</wp:posOffset>
            </wp:positionH>
            <wp:positionV relativeFrom="paragraph">
              <wp:posOffset>2855595</wp:posOffset>
            </wp:positionV>
            <wp:extent cx="5269230" cy="2534285"/>
            <wp:effectExtent l="0" t="0" r="7620" b="18415"/>
            <wp:wrapTopAndBottom/>
            <wp:docPr id="7" name="图片 7" descr="16240015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624001565(1)"/>
                    <pic:cNvPicPr>
                      <a:picLocks noChangeAspect="1"/>
                    </pic:cNvPicPr>
                  </pic:nvPicPr>
                  <pic:blipFill>
                    <a:blip r:embed="rId17"/>
                    <a:stretch>
                      <a:fillRect/>
                    </a:stretch>
                  </pic:blipFill>
                  <pic:spPr>
                    <a:xfrm>
                      <a:off x="0" y="0"/>
                      <a:ext cx="5269230" cy="2534285"/>
                    </a:xfrm>
                    <a:prstGeom prst="rect">
                      <a:avLst/>
                    </a:prstGeom>
                  </pic:spPr>
                </pic:pic>
              </a:graphicData>
            </a:graphic>
          </wp:anchor>
        </w:drawing>
      </w:r>
      <w:r>
        <w:drawing>
          <wp:anchor distT="0" distB="0" distL="114935" distR="114935" simplePos="0" relativeHeight="251670528" behindDoc="0" locked="0" layoutInCell="1" allowOverlap="1">
            <wp:simplePos x="0" y="0"/>
            <wp:positionH relativeFrom="column">
              <wp:posOffset>32385</wp:posOffset>
            </wp:positionH>
            <wp:positionV relativeFrom="paragraph">
              <wp:posOffset>121285</wp:posOffset>
            </wp:positionV>
            <wp:extent cx="5269230" cy="2534285"/>
            <wp:effectExtent l="0" t="0" r="7620" b="18415"/>
            <wp:wrapTopAndBottom/>
            <wp:docPr id="1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
                    <pic:cNvPicPr>
                      <a:picLocks noChangeAspect="1"/>
                    </pic:cNvPicPr>
                  </pic:nvPicPr>
                  <pic:blipFill>
                    <a:blip r:embed="rId18"/>
                    <a:stretch>
                      <a:fillRect/>
                    </a:stretch>
                  </pic:blipFill>
                  <pic:spPr>
                    <a:xfrm>
                      <a:off x="0" y="0"/>
                      <a:ext cx="5269230" cy="2534285"/>
                    </a:xfrm>
                    <a:prstGeom prst="rect">
                      <a:avLst/>
                    </a:prstGeom>
                    <a:noFill/>
                    <a:ln>
                      <a:noFill/>
                    </a:ln>
                  </pic:spPr>
                </pic:pic>
              </a:graphicData>
            </a:graphic>
          </wp:anchor>
        </w:drawing>
      </w:r>
      <w:r>
        <w:rPr>
          <w:rFonts w:hint="default" w:ascii="仿宋" w:hAnsi="仿宋" w:eastAsia="仿宋"/>
          <w:sz w:val="32"/>
          <w:szCs w:val="32"/>
          <w:lang w:val="en-US" w:eastAsia="zh-CN"/>
        </w:rPr>
        <w:t>“需求量信息审核”页面支持批量审核操作，省级医保部门对各地市下辖医疗机构填报的数据均无异议，可通过批量勾选“复选框”的形式，点击“审核通过”完成各地市提交的采购需求量数据的批量审核。</w:t>
      </w:r>
    </w:p>
    <w:p>
      <w:pPr>
        <w:spacing w:line="600" w:lineRule="exact"/>
        <w:ind w:firstLine="640" w:firstLineChars="200"/>
        <w:rPr>
          <w:rFonts w:hint="default" w:ascii="仿宋" w:hAnsi="仿宋" w:eastAsia="仿宋"/>
          <w:sz w:val="32"/>
          <w:szCs w:val="32"/>
          <w:lang w:val="en-US" w:eastAsia="zh-CN"/>
        </w:rPr>
      </w:pPr>
    </w:p>
    <w:p>
      <w:pPr>
        <w:spacing w:line="600" w:lineRule="exact"/>
        <w:ind w:firstLine="640" w:firstLineChars="200"/>
        <w:rPr>
          <w:rFonts w:hint="default" w:ascii="仿宋" w:hAnsi="仿宋" w:eastAsia="仿宋"/>
          <w:sz w:val="32"/>
          <w:szCs w:val="32"/>
          <w:lang w:val="en-US" w:eastAsia="zh-CN"/>
        </w:rPr>
      </w:pPr>
    </w:p>
    <w:p>
      <w:pPr>
        <w:spacing w:line="600" w:lineRule="exact"/>
        <w:ind w:firstLine="640" w:firstLineChars="200"/>
        <w:rPr>
          <w:rFonts w:hint="default" w:ascii="仿宋" w:hAnsi="仿宋" w:eastAsia="仿宋"/>
          <w:sz w:val="32"/>
          <w:szCs w:val="32"/>
          <w:lang w:val="en-US" w:eastAsia="zh-CN"/>
        </w:rPr>
      </w:pPr>
    </w:p>
    <w:p>
      <w:pPr>
        <w:numPr>
          <w:ilvl w:val="0"/>
          <w:numId w:val="0"/>
        </w:numPr>
        <w:spacing w:line="600" w:lineRule="exact"/>
        <w:ind w:leftChars="0"/>
        <w:outlineLvl w:val="2"/>
        <w:rPr>
          <w:rFonts w:hint="default" w:ascii="楷体" w:hAnsi="楷体" w:eastAsia="楷体" w:cs="楷体_GB2312"/>
          <w:b/>
          <w:bCs/>
          <w:sz w:val="32"/>
          <w:szCs w:val="32"/>
          <w:lang w:val="en-US" w:eastAsia="zh-CN"/>
        </w:rPr>
      </w:pPr>
      <w:bookmarkStart w:id="18" w:name="_Toc10427"/>
      <w:r>
        <w:rPr>
          <w:rFonts w:hint="eastAsia" w:ascii="楷体" w:hAnsi="楷体" w:eastAsia="楷体" w:cs="楷体_GB2312"/>
          <w:b/>
          <w:bCs/>
          <w:sz w:val="32"/>
          <w:szCs w:val="32"/>
          <w:lang w:val="en-US" w:eastAsia="zh-CN"/>
        </w:rPr>
        <w:drawing>
          <wp:anchor distT="0" distB="0" distL="114935" distR="114935" simplePos="0" relativeHeight="251671552" behindDoc="0" locked="0" layoutInCell="1" allowOverlap="1">
            <wp:simplePos x="0" y="0"/>
            <wp:positionH relativeFrom="column">
              <wp:posOffset>8890</wp:posOffset>
            </wp:positionH>
            <wp:positionV relativeFrom="paragraph">
              <wp:posOffset>196215</wp:posOffset>
            </wp:positionV>
            <wp:extent cx="5269230" cy="2534285"/>
            <wp:effectExtent l="0" t="0" r="7620" b="18415"/>
            <wp:wrapTopAndBottom/>
            <wp:docPr id="2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6"/>
                    <pic:cNvPicPr>
                      <a:picLocks noChangeAspect="1"/>
                    </pic:cNvPicPr>
                  </pic:nvPicPr>
                  <pic:blipFill>
                    <a:blip r:embed="rId19"/>
                    <a:stretch>
                      <a:fillRect/>
                    </a:stretch>
                  </pic:blipFill>
                  <pic:spPr>
                    <a:xfrm>
                      <a:off x="0" y="0"/>
                      <a:ext cx="5269230" cy="2534285"/>
                    </a:xfrm>
                    <a:prstGeom prst="rect">
                      <a:avLst/>
                    </a:prstGeom>
                    <a:noFill/>
                    <a:ln>
                      <a:noFill/>
                    </a:ln>
                  </pic:spPr>
                </pic:pic>
              </a:graphicData>
            </a:graphic>
          </wp:anchor>
        </w:drawing>
      </w:r>
      <w:r>
        <w:rPr>
          <w:rFonts w:hint="eastAsia" w:ascii="楷体" w:hAnsi="楷体" w:eastAsia="楷体" w:cs="楷体_GB2312"/>
          <w:b/>
          <w:bCs/>
          <w:sz w:val="32"/>
          <w:szCs w:val="32"/>
          <w:lang w:val="en-US" w:eastAsia="zh-CN"/>
        </w:rPr>
        <w:t>3.5.3.确认提交医疗机构采购需求量</w:t>
      </w:r>
      <w:bookmarkEnd w:id="18"/>
    </w:p>
    <w:p>
      <w:pPr>
        <w:spacing w:line="600" w:lineRule="exact"/>
        <w:ind w:firstLine="640" w:firstLineChars="200"/>
        <w:rPr>
          <w:rFonts w:hint="eastAsia" w:ascii="仿宋" w:hAnsi="仿宋" w:eastAsia="仿宋"/>
          <w:sz w:val="32"/>
          <w:szCs w:val="32"/>
          <w:lang w:val="en-US" w:eastAsia="zh-CN"/>
        </w:rPr>
      </w:pPr>
      <w:r>
        <w:rPr>
          <w:rFonts w:hint="default" w:ascii="仿宋" w:hAnsi="仿宋" w:eastAsia="仿宋"/>
          <w:sz w:val="32"/>
          <w:szCs w:val="32"/>
          <w:lang w:val="en-US" w:eastAsia="zh-CN"/>
        </w:rPr>
        <w:t>省级医保部门完成各医疗机构采购需求数据审核后，进入“需求量信息确认”页面，对省级医保部门审核通过的全部地市下辖医疗机构采购需求数据进行复核，核实无误后点击“确认无误，提交</w:t>
      </w:r>
      <w:bookmarkStart w:id="19" w:name="_GoBack"/>
      <w:bookmarkEnd w:id="19"/>
      <w:r>
        <w:rPr>
          <w:rFonts w:hint="default" w:ascii="仿宋" w:hAnsi="仿宋" w:eastAsia="仿宋"/>
          <w:sz w:val="32"/>
          <w:szCs w:val="32"/>
          <w:lang w:val="en-US" w:eastAsia="zh-CN"/>
        </w:rPr>
        <w:t>”</w:t>
      </w:r>
      <w:r>
        <w:rPr>
          <w:rFonts w:hint="eastAsia" w:ascii="仿宋" w:hAnsi="仿宋" w:eastAsia="仿宋"/>
          <w:sz w:val="32"/>
          <w:szCs w:val="32"/>
          <w:lang w:val="en-US" w:eastAsia="zh-CN"/>
        </w:rPr>
        <w:t>。</w:t>
      </w:r>
    </w:p>
    <w:p>
      <w:pPr>
        <w:spacing w:line="60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drawing>
          <wp:anchor distT="0" distB="0" distL="114935" distR="114935" simplePos="0" relativeHeight="251676672" behindDoc="0" locked="0" layoutInCell="1" allowOverlap="1">
            <wp:simplePos x="0" y="0"/>
            <wp:positionH relativeFrom="column">
              <wp:posOffset>73025</wp:posOffset>
            </wp:positionH>
            <wp:positionV relativeFrom="paragraph">
              <wp:posOffset>107950</wp:posOffset>
            </wp:positionV>
            <wp:extent cx="5269230" cy="2534285"/>
            <wp:effectExtent l="0" t="0" r="7620" b="18415"/>
            <wp:wrapTopAndBottom/>
            <wp:docPr id="8" name="图片 8" descr="16240016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624001688(1)"/>
                    <pic:cNvPicPr>
                      <a:picLocks noChangeAspect="1"/>
                    </pic:cNvPicPr>
                  </pic:nvPicPr>
                  <pic:blipFill>
                    <a:blip r:embed="rId20"/>
                    <a:stretch>
                      <a:fillRect/>
                    </a:stretch>
                  </pic:blipFill>
                  <pic:spPr>
                    <a:xfrm>
                      <a:off x="0" y="0"/>
                      <a:ext cx="5269230" cy="2534285"/>
                    </a:xfrm>
                    <a:prstGeom prst="rect">
                      <a:avLst/>
                    </a:prstGeom>
                  </pic:spPr>
                </pic:pic>
              </a:graphicData>
            </a:graphic>
          </wp:anchor>
        </w:drawing>
      </w:r>
      <w:r>
        <w:rPr>
          <w:rFonts w:hint="eastAsia" w:ascii="仿宋" w:hAnsi="仿宋" w:eastAsia="仿宋"/>
          <w:sz w:val="32"/>
          <w:szCs w:val="32"/>
          <w:lang w:val="en-US" w:eastAsia="zh-CN"/>
        </w:rPr>
        <w:t>提交后，</w:t>
      </w:r>
      <w:r>
        <w:rPr>
          <w:rFonts w:hint="default" w:ascii="仿宋" w:hAnsi="仿宋" w:eastAsia="仿宋"/>
          <w:sz w:val="32"/>
          <w:szCs w:val="32"/>
          <w:lang w:val="en-US" w:eastAsia="zh-CN"/>
        </w:rPr>
        <w:t>系统跳转展示本省“</w:t>
      </w:r>
      <w:r>
        <w:rPr>
          <w:rFonts w:hint="eastAsia" w:ascii="仿宋" w:hAnsi="仿宋" w:eastAsia="仿宋"/>
          <w:sz w:val="32"/>
          <w:szCs w:val="32"/>
          <w:lang w:val="en-US" w:eastAsia="zh-CN"/>
        </w:rPr>
        <w:t>十二省（区、市）骨科创伤</w:t>
      </w:r>
      <w:r>
        <w:rPr>
          <w:rFonts w:hint="default" w:ascii="仿宋" w:hAnsi="仿宋" w:eastAsia="仿宋"/>
          <w:sz w:val="32"/>
          <w:szCs w:val="32"/>
          <w:lang w:val="en-US" w:eastAsia="zh-CN"/>
        </w:rPr>
        <w:t>产品采购需求量填报表”，省级医保部门再次核实此省级采购需求量汇总页面数据，确认无误点击“打印”。打印后在纸质填报表内填写联系人、手机号，并加盖本省医保局公章后，在此页面上传盖章件电子扫描件（</w:t>
      </w:r>
      <w:r>
        <w:rPr>
          <w:rFonts w:hint="eastAsia" w:ascii="仿宋" w:hAnsi="仿宋" w:eastAsia="仿宋"/>
          <w:sz w:val="32"/>
          <w:szCs w:val="32"/>
          <w:lang w:val="en-US" w:eastAsia="zh-CN"/>
        </w:rPr>
        <w:t>PDF版本</w:t>
      </w:r>
      <w:r>
        <w:rPr>
          <w:rFonts w:hint="default" w:ascii="仿宋" w:hAnsi="仿宋" w:eastAsia="仿宋"/>
          <w:sz w:val="32"/>
          <w:szCs w:val="32"/>
          <w:lang w:val="en-US" w:eastAsia="zh-CN"/>
        </w:rPr>
        <w:t>）。</w:t>
      </w:r>
    </w:p>
    <w:p>
      <w:pPr>
        <w:spacing w:line="600" w:lineRule="exact"/>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完成盖章件上传后，点击图片预览确认无误后，点击提交。至此完成全部本次集中采购相关数据填报工作。</w:t>
      </w:r>
    </w:p>
    <w:p>
      <w:pPr>
        <w:spacing w:line="600" w:lineRule="exact"/>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drawing>
          <wp:anchor distT="0" distB="0" distL="114935" distR="114935" simplePos="0" relativeHeight="251674624" behindDoc="0" locked="0" layoutInCell="1" allowOverlap="1">
            <wp:simplePos x="0" y="0"/>
            <wp:positionH relativeFrom="column">
              <wp:posOffset>57150</wp:posOffset>
            </wp:positionH>
            <wp:positionV relativeFrom="paragraph">
              <wp:posOffset>47625</wp:posOffset>
            </wp:positionV>
            <wp:extent cx="5269230" cy="2526665"/>
            <wp:effectExtent l="0" t="0" r="7620" b="6985"/>
            <wp:wrapTopAndBottom/>
            <wp:docPr id="9" name="图片 9" descr="162400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624000002(1)"/>
                    <pic:cNvPicPr>
                      <a:picLocks noChangeAspect="1"/>
                    </pic:cNvPicPr>
                  </pic:nvPicPr>
                  <pic:blipFill>
                    <a:blip r:embed="rId21"/>
                    <a:stretch>
                      <a:fillRect/>
                    </a:stretch>
                  </pic:blipFill>
                  <pic:spPr>
                    <a:xfrm>
                      <a:off x="0" y="0"/>
                      <a:ext cx="5269230" cy="2526665"/>
                    </a:xfrm>
                    <a:prstGeom prst="rect">
                      <a:avLst/>
                    </a:prstGeom>
                  </pic:spPr>
                </pic:pic>
              </a:graphicData>
            </a:graphic>
          </wp:anchor>
        </w:drawing>
      </w:r>
    </w:p>
    <w:p>
      <w:pPr>
        <w:spacing w:line="600" w:lineRule="exact"/>
        <w:rPr>
          <w:rFonts w:hint="default" w:ascii="仿宋" w:hAnsi="仿宋" w:eastAsia="仿宋"/>
          <w:sz w:val="32"/>
          <w:szCs w:val="32"/>
          <w:lang w:val="en-US" w:eastAsia="zh-CN"/>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354765"/>
    <w:multiLevelType w:val="singleLevel"/>
    <w:tmpl w:val="18354765"/>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8270E4"/>
    <w:rsid w:val="182C5AD8"/>
    <w:rsid w:val="19714F32"/>
    <w:rsid w:val="2B445BA5"/>
    <w:rsid w:val="30F866BD"/>
    <w:rsid w:val="318A277E"/>
    <w:rsid w:val="4B9B6835"/>
    <w:rsid w:val="4FF97203"/>
    <w:rsid w:val="543A147E"/>
    <w:rsid w:val="55021937"/>
    <w:rsid w:val="58522AE6"/>
    <w:rsid w:val="5CAA2F0C"/>
    <w:rsid w:val="5E882B48"/>
    <w:rsid w:val="60A83760"/>
    <w:rsid w:val="62B768D8"/>
    <w:rsid w:val="67607674"/>
    <w:rsid w:val="67DD0307"/>
    <w:rsid w:val="693343EE"/>
    <w:rsid w:val="77F827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3"/>
    <w:basedOn w:val="1"/>
    <w:next w:val="1"/>
    <w:uiPriority w:val="0"/>
    <w:pPr>
      <w:ind w:left="840" w:leftChars="4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paragraph" w:styleId="6">
    <w:name w:val="toc 2"/>
    <w:basedOn w:val="1"/>
    <w:next w:val="1"/>
    <w:qFormat/>
    <w:uiPriority w:val="0"/>
    <w:pPr>
      <w:ind w:left="420" w:leftChars="200"/>
    </w:pPr>
  </w:style>
  <w:style w:type="character" w:styleId="9">
    <w:name w:val="Hyperlink"/>
    <w:basedOn w:val="8"/>
    <w:qFormat/>
    <w:uiPriority w:val="0"/>
    <w:rPr>
      <w:color w:val="333333"/>
      <w:u w:val="none"/>
    </w:rPr>
  </w:style>
  <w:style w:type="paragraph" w:customStyle="1" w:styleId="10">
    <w:name w:val="WPSOffice手动目录 1"/>
    <w:qFormat/>
    <w:uiPriority w:val="0"/>
    <w:pPr>
      <w:ind w:leftChars="0"/>
    </w:pPr>
    <w:rPr>
      <w:rFonts w:ascii="Times New Roman" w:hAnsi="Times New Roman" w:eastAsia="宋体" w:cs="Times New Roman"/>
      <w:sz w:val="20"/>
      <w:szCs w:val="20"/>
    </w:rPr>
  </w:style>
  <w:style w:type="paragraph" w:customStyle="1" w:styleId="11">
    <w:name w:val="WPSOffice手动目录 2"/>
    <w:qFormat/>
    <w:uiPriority w:val="0"/>
    <w:pPr>
      <w:ind w:leftChars="200"/>
    </w:pPr>
    <w:rPr>
      <w:rFonts w:ascii="Times New Roman" w:hAnsi="Times New Roman" w:eastAsia="宋体" w:cs="Times New Roman"/>
      <w:sz w:val="20"/>
      <w:szCs w:val="20"/>
    </w:rPr>
  </w:style>
  <w:style w:type="paragraph" w:customStyle="1" w:styleId="12">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2021-06-08T10:34:00Z</dcterms:created>
  <dc:creator>ELIAN-FM-JSJ240</dc:creator>
  <cp:lastModifiedBy>啸</cp:lastModifiedBy>
  <dcterms:modified xsi:type="dcterms:W3CDTF">2021-06-18T07:35:45Z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27F8D1C1368446059E15A49FD1DF97E9</vt:lpwstr>
  </property>
</Properties>
</file>