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0" w:lineRule="exact"/>
        <w:ind w:left="6307" w:leftChars="1971" w:right="357"/>
        <w:jc w:val="left"/>
        <w:rPr>
          <w:rFonts w:eastAsia="方正仿宋_GBK"/>
        </w:rPr>
      </w:pPr>
      <w:bookmarkStart w:id="52" w:name="_GoBack"/>
      <w:bookmarkEnd w:id="52"/>
    </w:p>
    <w:p>
      <w:pPr>
        <w:spacing w:line="1160" w:lineRule="exact"/>
        <w:jc w:val="center"/>
        <w:rPr>
          <w:rFonts w:eastAsia="方正小标宋_GBK"/>
          <w:spacing w:val="-14"/>
          <w:sz w:val="72"/>
          <w:szCs w:val="72"/>
        </w:rPr>
      </w:pPr>
      <w:r>
        <w:rPr>
          <w:rFonts w:hint="eastAsia" w:eastAsia="方正小标宋_GBK"/>
          <w:spacing w:val="-14"/>
          <w:sz w:val="72"/>
          <w:szCs w:val="72"/>
        </w:rPr>
        <w:t xml:space="preserve">重庆市 贵州省 </w:t>
      </w:r>
    </w:p>
    <w:p>
      <w:pPr>
        <w:spacing w:line="1160" w:lineRule="exact"/>
        <w:jc w:val="center"/>
        <w:rPr>
          <w:rFonts w:eastAsia="方正小标宋_GBK"/>
          <w:spacing w:val="-14"/>
          <w:sz w:val="72"/>
          <w:szCs w:val="72"/>
        </w:rPr>
      </w:pPr>
      <w:r>
        <w:rPr>
          <w:rFonts w:hint="eastAsia" w:eastAsia="方正小标宋_GBK"/>
          <w:spacing w:val="-14"/>
          <w:sz w:val="72"/>
          <w:szCs w:val="72"/>
        </w:rPr>
        <w:t>云南省 湖南省</w:t>
      </w:r>
    </w:p>
    <w:p>
      <w:pPr>
        <w:spacing w:line="1160" w:lineRule="exact"/>
        <w:jc w:val="center"/>
        <w:rPr>
          <w:rFonts w:eastAsia="方正小标宋_GBK"/>
          <w:spacing w:val="-14"/>
          <w:sz w:val="72"/>
          <w:szCs w:val="72"/>
        </w:rPr>
      </w:pPr>
      <w:r>
        <w:rPr>
          <w:rFonts w:hint="eastAsia" w:eastAsia="方正小标宋_GBK"/>
          <w:spacing w:val="-14"/>
          <w:sz w:val="72"/>
          <w:szCs w:val="72"/>
        </w:rPr>
        <w:t>广西壮族自治区</w:t>
      </w:r>
    </w:p>
    <w:p>
      <w:pPr>
        <w:spacing w:line="1160" w:lineRule="exact"/>
        <w:jc w:val="center"/>
        <w:rPr>
          <w:rFonts w:eastAsia="方正小标宋_GBK"/>
          <w:spacing w:val="-14"/>
          <w:sz w:val="72"/>
          <w:szCs w:val="72"/>
        </w:rPr>
      </w:pPr>
      <w:r>
        <w:rPr>
          <w:rFonts w:hint="eastAsia" w:eastAsia="方正小标宋_GBK"/>
          <w:spacing w:val="-14"/>
          <w:sz w:val="72"/>
          <w:szCs w:val="72"/>
        </w:rPr>
        <w:t>第一批常用药品联合带量</w:t>
      </w:r>
    </w:p>
    <w:p>
      <w:pPr>
        <w:spacing w:line="1160" w:lineRule="exact"/>
        <w:jc w:val="center"/>
        <w:rPr>
          <w:rFonts w:eastAsia="方正小标宋_GBK"/>
          <w:spacing w:val="-14"/>
          <w:sz w:val="72"/>
          <w:szCs w:val="72"/>
        </w:rPr>
      </w:pPr>
      <w:r>
        <w:rPr>
          <w:rFonts w:hint="eastAsia" w:eastAsia="方正小标宋_GBK"/>
          <w:spacing w:val="-14"/>
          <w:sz w:val="72"/>
          <w:szCs w:val="72"/>
        </w:rPr>
        <w:t>采购文件</w:t>
      </w:r>
    </w:p>
    <w:p>
      <w:pPr>
        <w:jc w:val="center"/>
        <w:rPr>
          <w:rFonts w:eastAsia="方正仿宋_GBK"/>
        </w:rPr>
      </w:pPr>
      <w:r>
        <w:rPr>
          <w:rFonts w:hint="eastAsia" w:eastAsia="方正仿宋_GBK"/>
        </w:rPr>
        <w:t xml:space="preserve"> </w:t>
      </w:r>
    </w:p>
    <w:p>
      <w:pPr>
        <w:spacing w:line="570" w:lineRule="exact"/>
        <w:rPr>
          <w:rFonts w:eastAsia="方正黑体_GBK" w:cs="华文细黑"/>
          <w:sz w:val="84"/>
        </w:rPr>
      </w:pPr>
    </w:p>
    <w:p>
      <w:pPr>
        <w:spacing w:line="570" w:lineRule="exact"/>
        <w:ind w:firstLine="880"/>
        <w:rPr>
          <w:rFonts w:eastAsia="方正黑体_GBK" w:cs="仿宋_GB2312"/>
          <w:bCs/>
          <w:sz w:val="44"/>
          <w:szCs w:val="44"/>
        </w:rPr>
      </w:pPr>
    </w:p>
    <w:p>
      <w:pPr>
        <w:spacing w:line="360" w:lineRule="auto"/>
        <w:jc w:val="center"/>
        <w:rPr>
          <w:rFonts w:eastAsia="方正仿宋简体"/>
        </w:rPr>
      </w:pPr>
      <w:r>
        <w:rPr>
          <w:rFonts w:hint="eastAsia" w:eastAsia="方正黑体_GBK"/>
        </w:rPr>
        <w:t>采购文件编号：</w:t>
      </w:r>
      <w:r>
        <w:rPr>
          <w:rFonts w:hint="eastAsia" w:eastAsia="方正仿宋简体"/>
        </w:rPr>
        <w:t>CGYHG—</w:t>
      </w:r>
      <w:r>
        <w:rPr>
          <w:rFonts w:hint="eastAsia" w:eastAsia="方正黑体_GBK"/>
        </w:rPr>
        <w:t>YP</w:t>
      </w:r>
      <w:r>
        <w:rPr>
          <w:rFonts w:hint="eastAsia" w:eastAsia="方正仿宋简体"/>
        </w:rPr>
        <w:t>DL2020-1</w:t>
      </w:r>
    </w:p>
    <w:p>
      <w:pPr>
        <w:spacing w:line="570" w:lineRule="exact"/>
        <w:jc w:val="center"/>
        <w:rPr>
          <w:rFonts w:eastAsia="方正黑体_GBK"/>
        </w:rPr>
      </w:pPr>
    </w:p>
    <w:p>
      <w:pPr>
        <w:spacing w:line="570" w:lineRule="exact"/>
        <w:rPr>
          <w:rFonts w:eastAsia="方正黑体_GBK" w:cs="华文细黑"/>
        </w:rPr>
      </w:pPr>
    </w:p>
    <w:p>
      <w:pPr>
        <w:pStyle w:val="6"/>
        <w:spacing w:line="570" w:lineRule="exact"/>
        <w:rPr>
          <w:rFonts w:ascii="Times New Roman" w:eastAsia="方正黑体_GBK"/>
        </w:rPr>
      </w:pPr>
    </w:p>
    <w:p>
      <w:pPr>
        <w:pStyle w:val="6"/>
        <w:spacing w:line="570" w:lineRule="exact"/>
        <w:rPr>
          <w:rFonts w:ascii="Times New Roman" w:eastAsia="方正黑体_GBK"/>
        </w:rPr>
      </w:pPr>
    </w:p>
    <w:p>
      <w:pPr>
        <w:spacing w:line="600" w:lineRule="exact"/>
        <w:jc w:val="center"/>
        <w:rPr>
          <w:rFonts w:eastAsia="方正小标宋_GBK"/>
          <w:sz w:val="48"/>
          <w:szCs w:val="48"/>
        </w:rPr>
      </w:pPr>
      <w:r>
        <w:rPr>
          <w:rFonts w:hint="eastAsia" w:eastAsia="方正小标宋_GBK"/>
          <w:sz w:val="48"/>
          <w:szCs w:val="48"/>
        </w:rPr>
        <w:t>药品联合采购办公室</w:t>
      </w:r>
    </w:p>
    <w:p>
      <w:pPr>
        <w:spacing w:line="400" w:lineRule="exact"/>
        <w:jc w:val="center"/>
        <w:rPr>
          <w:sz w:val="15"/>
          <w:szCs w:val="15"/>
        </w:rPr>
      </w:pPr>
    </w:p>
    <w:p>
      <w:pPr>
        <w:tabs>
          <w:tab w:val="left" w:pos="2863"/>
        </w:tabs>
        <w:snapToGrid w:val="0"/>
        <w:spacing w:line="570" w:lineRule="exact"/>
        <w:jc w:val="center"/>
        <w:rPr>
          <w:rFonts w:eastAsia="方正仿宋_GBK" w:cs="华文细黑"/>
        </w:rPr>
      </w:pPr>
      <w:r>
        <w:rPr>
          <w:rFonts w:hint="eastAsia" w:eastAsia="方正小标宋_GBK"/>
          <w:sz w:val="48"/>
          <w:szCs w:val="48"/>
        </w:rPr>
        <w:t>20</w:t>
      </w:r>
      <w:r>
        <w:rPr>
          <w:rFonts w:eastAsia="方正小标宋_GBK"/>
          <w:sz w:val="48"/>
          <w:szCs w:val="48"/>
        </w:rPr>
        <w:t>20</w:t>
      </w:r>
      <w:r>
        <w:rPr>
          <w:rFonts w:hint="eastAsia" w:eastAsia="方正小标宋_GBK"/>
          <w:sz w:val="48"/>
          <w:szCs w:val="48"/>
        </w:rPr>
        <w:t>年10月</w:t>
      </w:r>
      <w:r>
        <w:rPr>
          <w:rFonts w:hint="eastAsia" w:eastAsia="方正小标宋_GBK"/>
          <w:sz w:val="48"/>
          <w:szCs w:val="48"/>
          <w:lang w:val="en-US" w:eastAsia="zh-CN"/>
        </w:rPr>
        <w:t>29</w:t>
      </w:r>
      <w:r>
        <w:rPr>
          <w:rFonts w:hint="eastAsia" w:eastAsia="方正小标宋_GBK"/>
          <w:sz w:val="48"/>
          <w:szCs w:val="48"/>
        </w:rPr>
        <w:t>日</w:t>
      </w:r>
    </w:p>
    <w:p>
      <w:pPr>
        <w:spacing w:line="570" w:lineRule="exact"/>
        <w:rPr>
          <w:rFonts w:eastAsia="方正仿宋_GBK" w:cs="仿宋"/>
          <w:bCs/>
          <w:sz w:val="36"/>
          <w:szCs w:val="36"/>
        </w:rPr>
        <w:sectPr>
          <w:footerReference r:id="rId4" w:type="default"/>
          <w:headerReference r:id="rId3" w:type="even"/>
          <w:footerReference r:id="rId5" w:type="even"/>
          <w:pgSz w:w="11906" w:h="16838"/>
          <w:pgMar w:top="1440" w:right="1800" w:bottom="1440" w:left="1800" w:header="851" w:footer="992" w:gutter="0"/>
          <w:pgNumType w:fmt="numberInDash"/>
          <w:cols w:space="720" w:num="1"/>
          <w:formProt w:val="0"/>
          <w:docGrid w:type="lines" w:linePitch="312" w:charSpace="0"/>
        </w:sectPr>
      </w:pPr>
    </w:p>
    <w:p>
      <w:pPr>
        <w:spacing w:line="57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工作流程图</w:t>
      </w:r>
    </w:p>
    <w:p>
      <w:pPr>
        <w:pStyle w:val="6"/>
        <w:spacing w:line="570" w:lineRule="exact"/>
        <w:rPr>
          <w:rFonts w:ascii="Times New Roman" w:eastAsia="方正仿宋_GBK"/>
        </w:rPr>
      </w:pPr>
    </w:p>
    <w:p>
      <w:pPr>
        <w:pStyle w:val="2"/>
        <w:spacing w:line="570" w:lineRule="exact"/>
        <w:rPr>
          <w:rFonts w:eastAsia="方正仿宋_GBK"/>
        </w:rPr>
      </w:pPr>
      <w:r>
        <w:rPr>
          <w:rFonts w:eastAsia="方正仿宋_GBK"/>
          <w:color w:val="000000"/>
        </w:rPr>
        <mc:AlternateContent>
          <mc:Choice Requires="wps">
            <w:drawing>
              <wp:anchor distT="0" distB="0" distL="114300" distR="114300" simplePos="0" relativeHeight="251725824" behindDoc="0" locked="0" layoutInCell="1" allowOverlap="1">
                <wp:simplePos x="0" y="0"/>
                <wp:positionH relativeFrom="column">
                  <wp:posOffset>2105025</wp:posOffset>
                </wp:positionH>
                <wp:positionV relativeFrom="paragraph">
                  <wp:posOffset>733425</wp:posOffset>
                </wp:positionV>
                <wp:extent cx="1371600" cy="466725"/>
                <wp:effectExtent l="0" t="0" r="0" b="9525"/>
                <wp:wrapNone/>
                <wp:docPr id="26" name="矩形 26"/>
                <wp:cNvGraphicFramePr/>
                <a:graphic xmlns:a="http://schemas.openxmlformats.org/drawingml/2006/main">
                  <a:graphicData uri="http://schemas.microsoft.com/office/word/2010/wordprocessingShape">
                    <wps:wsp>
                      <wps:cNvSpPr/>
                      <wps:spPr>
                        <a:xfrm>
                          <a:off x="0" y="0"/>
                          <a:ext cx="1371600" cy="466725"/>
                        </a:xfrm>
                        <a:prstGeom prst="rect">
                          <a:avLst/>
                        </a:prstGeom>
                        <a:solidFill>
                          <a:sysClr val="window" lastClr="FFFFFF"/>
                        </a:solidFill>
                        <a:ln w="12700" cap="flat" cmpd="sng" algn="ctr">
                          <a:solidFill>
                            <a:sysClr val="windowText" lastClr="000000"/>
                          </a:solidFill>
                          <a:prstDash val="solid"/>
                        </a:ln>
                        <a:effectLst/>
                      </wps:spPr>
                      <wps:txbx>
                        <w:txbxContent>
                          <w:p>
                            <w:pPr>
                              <w:adjustRightInd w:val="0"/>
                              <w:snapToGrid w:val="0"/>
                              <w:jc w:val="center"/>
                              <w:rPr>
                                <w:rFonts w:asciiTheme="minorHAnsi" w:hAnsiTheme="minorHAnsi" w:eastAsiaTheme="minorEastAsia" w:cstheme="minorBidi"/>
                                <w:b/>
                                <w:color w:val="000000"/>
                                <w:sz w:val="21"/>
                                <w:szCs w:val="22"/>
                              </w:rPr>
                            </w:pPr>
                            <w:r>
                              <w:rPr>
                                <w:rFonts w:hint="eastAsia" w:asciiTheme="minorHAnsi" w:hAnsiTheme="minorHAnsi" w:eastAsiaTheme="minorEastAsia" w:cstheme="minorBidi"/>
                                <w:b/>
                                <w:color w:val="000000"/>
                                <w:sz w:val="21"/>
                                <w:szCs w:val="22"/>
                              </w:rPr>
                              <w:t>发布采购文件</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5.75pt;margin-top:57.75pt;height:36.75pt;width:108pt;z-index:251725824;v-text-anchor:middle;mso-width-relative:page;mso-height-relative:page;" fillcolor="#FFFFFF" filled="t" stroked="t" coordsize="21600,21600" o:gfxdata="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bFUi91gAAAAsBAAAPAAAAAAAAAAEAIAAAACIAAABkcnMvZG93bnJldi54bWxQSwECFAAUAAAA&#10;CACHTuJA7zOZ/WICAADOBAAADgAAAAAAAAABACAAAAAlAQAAZHJzL2Uyb0RvYy54bWxQSwUGAAAA&#10;AAYABgBZAQAA+QUAAAAA&#10;">
                <v:fill on="t" focussize="0,0"/>
                <v:stroke weight="1pt" color="#000000" joinstyle="round"/>
                <v:imagedata o:title=""/>
                <o:lock v:ext="edit" aspectratio="f"/>
                <v:textbox>
                  <w:txbxContent>
                    <w:p>
                      <w:pPr>
                        <w:adjustRightInd w:val="0"/>
                        <w:snapToGrid w:val="0"/>
                        <w:jc w:val="center"/>
                        <w:rPr>
                          <w:rFonts w:asciiTheme="minorHAnsi" w:hAnsiTheme="minorHAnsi" w:eastAsiaTheme="minorEastAsia" w:cstheme="minorBidi"/>
                          <w:b/>
                          <w:color w:val="000000"/>
                          <w:sz w:val="21"/>
                          <w:szCs w:val="22"/>
                        </w:rPr>
                      </w:pPr>
                      <w:r>
                        <w:rPr>
                          <w:rFonts w:hint="eastAsia" w:asciiTheme="minorHAnsi" w:hAnsiTheme="minorHAnsi" w:eastAsiaTheme="minorEastAsia" w:cstheme="minorBidi"/>
                          <w:b/>
                          <w:color w:val="000000"/>
                          <w:sz w:val="21"/>
                          <w:szCs w:val="22"/>
                        </w:rPr>
                        <w:t>发布采购文件</w:t>
                      </w:r>
                    </w:p>
                  </w:txbxContent>
                </v:textbox>
              </v:rect>
            </w:pict>
          </mc:Fallback>
        </mc:AlternateContent>
      </w:r>
      <w:r>
        <w:rPr>
          <w:rFonts w:eastAsia="方正仿宋_GBK"/>
          <w:color w:val="000000"/>
        </w:rPr>
        <mc:AlternateContent>
          <mc:Choice Requires="wps">
            <w:drawing>
              <wp:anchor distT="0" distB="0" distL="114300" distR="114300" simplePos="0" relativeHeight="251721728" behindDoc="0" locked="0" layoutInCell="1" allowOverlap="1">
                <wp:simplePos x="0" y="0"/>
                <wp:positionH relativeFrom="column">
                  <wp:posOffset>2781935</wp:posOffset>
                </wp:positionH>
                <wp:positionV relativeFrom="paragraph">
                  <wp:posOffset>415290</wp:posOffset>
                </wp:positionV>
                <wp:extent cx="5715" cy="335280"/>
                <wp:effectExtent l="76200" t="0" r="51435" b="45720"/>
                <wp:wrapNone/>
                <wp:docPr id="10" name="直接箭头连接符 36"/>
                <wp:cNvGraphicFramePr/>
                <a:graphic xmlns:a="http://schemas.openxmlformats.org/drawingml/2006/main">
                  <a:graphicData uri="http://schemas.microsoft.com/office/word/2010/wordprocessingShape">
                    <wps:wsp>
                      <wps:cNvCnPr/>
                      <wps:spPr>
                        <a:xfrm flipH="1">
                          <a:off x="0" y="0"/>
                          <a:ext cx="5715" cy="335280"/>
                        </a:xfrm>
                        <a:prstGeom prst="straightConnector1">
                          <a:avLst/>
                        </a:prstGeom>
                        <a:ln w="15875" cap="flat" cmpd="sng">
                          <a:solidFill>
                            <a:srgbClr val="000000"/>
                          </a:solidFill>
                          <a:prstDash val="solid"/>
                          <a:round/>
                          <a:headEnd type="none" w="med" len="med"/>
                          <a:tailEnd type="triangle" w="med" len="med"/>
                        </a:ln>
                      </wps:spPr>
                      <wps:bodyPr/>
                    </wps:wsp>
                  </a:graphicData>
                </a:graphic>
              </wp:anchor>
            </w:drawing>
          </mc:Choice>
          <mc:Fallback>
            <w:pict>
              <v:shape id="直接箭头连接符 36" o:spid="_x0000_s1026" o:spt="32" type="#_x0000_t32" style="position:absolute;left:0pt;flip:x;margin-left:219.05pt;margin-top:32.7pt;height:26.4pt;width:0.45pt;z-index:251721728;mso-width-relative:page;mso-height-relative:page;" filled="f" stroked="t" coordsize="21600,21600" o:gfxdata="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1XrDU2wAAAAoBAAAPAAAAAAAAAAEAIAAAACIAAABkcnMvZG93bnJl&#10;di54bWxQSwECFAAUAAAACACHTuJAIcIFv/oBAAC7AwAADgAAAAAAAAABACAAAAAqAQAAZHJzL2Uy&#10;b0RvYy54bWxQSwUGAAAAAAYABgBZAQAAlgUAAAAA&#10;">
                <v:fill on="f" focussize="0,0"/>
                <v:stroke weight="1.25pt" color="#000000" joinstyle="round" endarrow="block"/>
                <v:imagedata o:title=""/>
                <o:lock v:ext="edit" aspectratio="f"/>
              </v:shape>
            </w:pict>
          </mc:Fallback>
        </mc:AlternateContent>
      </w:r>
      <w:r>
        <w:rPr>
          <w:rFonts w:eastAsia="方正仿宋_GBK"/>
          <w:color w:val="000000"/>
        </w:rPr>
        <mc:AlternateContent>
          <mc:Choice Requires="wps">
            <w:drawing>
              <wp:anchor distT="0" distB="0" distL="114300" distR="114300" simplePos="0" relativeHeight="251720704" behindDoc="0" locked="0" layoutInCell="1" allowOverlap="1">
                <wp:simplePos x="0" y="0"/>
                <wp:positionH relativeFrom="column">
                  <wp:posOffset>2101850</wp:posOffset>
                </wp:positionH>
                <wp:positionV relativeFrom="paragraph">
                  <wp:posOffset>15240</wp:posOffset>
                </wp:positionV>
                <wp:extent cx="1371600" cy="400050"/>
                <wp:effectExtent l="0" t="0" r="0" b="0"/>
                <wp:wrapNone/>
                <wp:docPr id="28" name="矩形 28"/>
                <wp:cNvGraphicFramePr/>
                <a:graphic xmlns:a="http://schemas.openxmlformats.org/drawingml/2006/main">
                  <a:graphicData uri="http://schemas.microsoft.com/office/word/2010/wordprocessingShape">
                    <wps:wsp>
                      <wps:cNvSpPr/>
                      <wps:spPr>
                        <a:xfrm>
                          <a:off x="0" y="0"/>
                          <a:ext cx="1371600" cy="400050"/>
                        </a:xfrm>
                        <a:prstGeom prst="rect">
                          <a:avLst/>
                        </a:prstGeom>
                        <a:solidFill>
                          <a:sysClr val="window" lastClr="FFFFFF"/>
                        </a:solidFill>
                        <a:ln w="12700" cap="flat" cmpd="sng" algn="ctr">
                          <a:solidFill>
                            <a:sysClr val="windowText" lastClr="000000"/>
                          </a:solidFill>
                          <a:prstDash val="solid"/>
                        </a:ln>
                        <a:effectLst/>
                      </wps:spPr>
                      <wps:txbx>
                        <w:txbxContent>
                          <w:p>
                            <w:pPr>
                              <w:adjustRightInd w:val="0"/>
                              <w:snapToGrid w:val="0"/>
                              <w:jc w:val="center"/>
                              <w:rPr>
                                <w:rFonts w:asciiTheme="minorHAnsi" w:hAnsiTheme="minorHAnsi" w:eastAsiaTheme="minorEastAsia" w:cstheme="minorBidi"/>
                                <w:b/>
                                <w:color w:val="000000"/>
                                <w:sz w:val="21"/>
                                <w:szCs w:val="22"/>
                              </w:rPr>
                            </w:pPr>
                            <w:r>
                              <w:rPr>
                                <w:rFonts w:hint="eastAsia" w:asciiTheme="minorHAnsi" w:hAnsiTheme="minorHAnsi" w:eastAsiaTheme="minorEastAsia" w:cstheme="minorBidi"/>
                                <w:b/>
                                <w:color w:val="000000"/>
                                <w:sz w:val="21"/>
                                <w:szCs w:val="22"/>
                              </w:rPr>
                              <w:t>采购项目发起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5.5pt;margin-top:1.2pt;height:31.5pt;width:108pt;z-index:251720704;v-text-anchor:middle;mso-width-relative:page;mso-height-relative:page;" fillcolor="#FFFFFF" filled="t" stroked="t" coordsize="21600,21600" o:gfxdata="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Jxyj2DWAAAACAEAAA8AAAAAAAAAAQAgAAAAIgAAAGRycy9kb3ducmV2LnhtbFBLAQIUABQA&#10;AAAIAIdO4kBTfeBMZAIAAM4EAAAOAAAAAAAAAAEAIAAAACUBAABkcnMvZTJvRG9jLnhtbFBLBQYA&#10;AAAABgAGAFkBAAD7BQAAAAA=&#10;">
                <v:fill on="t" focussize="0,0"/>
                <v:stroke weight="1pt" color="#000000" joinstyle="round"/>
                <v:imagedata o:title=""/>
                <o:lock v:ext="edit" aspectratio="f"/>
                <v:textbox>
                  <w:txbxContent>
                    <w:p>
                      <w:pPr>
                        <w:adjustRightInd w:val="0"/>
                        <w:snapToGrid w:val="0"/>
                        <w:jc w:val="center"/>
                        <w:rPr>
                          <w:rFonts w:asciiTheme="minorHAnsi" w:hAnsiTheme="minorHAnsi" w:eastAsiaTheme="minorEastAsia" w:cstheme="minorBidi"/>
                          <w:b/>
                          <w:color w:val="000000"/>
                          <w:sz w:val="21"/>
                          <w:szCs w:val="22"/>
                        </w:rPr>
                      </w:pPr>
                      <w:r>
                        <w:rPr>
                          <w:rFonts w:hint="eastAsia" w:asciiTheme="minorHAnsi" w:hAnsiTheme="minorHAnsi" w:eastAsiaTheme="minorEastAsia" w:cstheme="minorBidi"/>
                          <w:b/>
                          <w:color w:val="000000"/>
                          <w:sz w:val="21"/>
                          <w:szCs w:val="22"/>
                        </w:rPr>
                        <w:t>采购项目发起</w:t>
                      </w:r>
                    </w:p>
                  </w:txbxContent>
                </v:textbox>
              </v:rect>
            </w:pict>
          </mc:Fallback>
        </mc:AlternateContent>
      </w:r>
    </w:p>
    <w:p>
      <w:pPr>
        <w:pStyle w:val="2"/>
        <w:spacing w:line="570" w:lineRule="exact"/>
        <w:rPr>
          <w:rFonts w:eastAsia="方正仿宋_GBK" w:cs="方正仿宋_GBK"/>
          <w:b w:val="0"/>
          <w:color w:val="000000"/>
          <w:kern w:val="2"/>
          <w:sz w:val="32"/>
          <w:szCs w:val="32"/>
        </w:rPr>
      </w:pPr>
      <w:r>
        <w:rPr>
          <w:rFonts w:eastAsia="方正仿宋_GBK"/>
          <w:color w:val="000000"/>
        </w:rPr>
        <mc:AlternateContent>
          <mc:Choice Requires="wps">
            <w:drawing>
              <wp:anchor distT="0" distB="0" distL="113665" distR="113665" simplePos="0" relativeHeight="251744256" behindDoc="0" locked="0" layoutInCell="1" allowOverlap="1">
                <wp:simplePos x="0" y="0"/>
                <wp:positionH relativeFrom="column">
                  <wp:posOffset>2741295</wp:posOffset>
                </wp:positionH>
                <wp:positionV relativeFrom="paragraph">
                  <wp:posOffset>424815</wp:posOffset>
                </wp:positionV>
                <wp:extent cx="0" cy="198120"/>
                <wp:effectExtent l="76200" t="0" r="38100" b="30480"/>
                <wp:wrapNone/>
                <wp:docPr id="12" name="直接箭头连接符 12"/>
                <wp:cNvGraphicFramePr/>
                <a:graphic xmlns:a="http://schemas.openxmlformats.org/drawingml/2006/main">
                  <a:graphicData uri="http://schemas.microsoft.com/office/word/2010/wordprocessingShape">
                    <wps:wsp>
                      <wps:cNvCnPr/>
                      <wps:spPr>
                        <a:xfrm>
                          <a:off x="0" y="0"/>
                          <a:ext cx="0" cy="198120"/>
                        </a:xfrm>
                        <a:prstGeom prst="straightConnector1">
                          <a:avLst/>
                        </a:prstGeom>
                        <a:noFill/>
                        <a:ln w="15875" cap="flat" cmpd="sng" algn="ctr">
                          <a:solidFill>
                            <a:sysClr val="windowText" lastClr="000000"/>
                          </a:solidFill>
                          <a:prstDash val="solid"/>
                          <a:tailEnd type="triangle"/>
                        </a:ln>
                        <a:effectLst/>
                      </wps:spPr>
                      <wps:bodyPr/>
                    </wps:wsp>
                  </a:graphicData>
                </a:graphic>
              </wp:anchor>
            </w:drawing>
          </mc:Choice>
          <mc:Fallback>
            <w:pict>
              <v:shape id="_x0000_s1026" o:spid="_x0000_s1026" o:spt="32" type="#_x0000_t32" style="position:absolute;left:0pt;margin-left:215.85pt;margin-top:33.45pt;height:15.6pt;width:0pt;z-index:251744256;mso-width-relative:page;mso-height-relative:page;" filled="f" stroked="t" coordsize="21600,21600" o:gfxdata="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ptRWUtgAAAAJAQAADwAAAAAAAAABACAAAAAiAAAAZHJzL2Rvd25yZXYueG1sUEsBAhQAFAAA&#10;AAgAh07iQKjXs63vAQAAoAMAAA4AAAAAAAAAAQAgAAAAJwEAAGRycy9lMm9Eb2MueG1sUEsFBgAA&#10;AAAGAAYAWQEAAIgFAAAAAA==&#10;">
                <v:fill on="f" focussize="0,0"/>
                <v:stroke weight="1.25pt" color="#000000" joinstyle="round" endarrow="block"/>
                <v:imagedata o:title=""/>
                <o:lock v:ext="edit" aspectratio="f"/>
              </v:shape>
            </w:pict>
          </mc:Fallback>
        </mc:AlternateContent>
      </w:r>
    </w:p>
    <w:p>
      <w:pPr>
        <w:spacing w:line="570" w:lineRule="exact"/>
        <w:rPr>
          <w:rFonts w:eastAsia="方正仿宋_GBK" w:cs="方正仿宋_GBK"/>
          <w:color w:val="000000"/>
        </w:rPr>
      </w:pPr>
      <w:r>
        <w:rPr>
          <w:rFonts w:eastAsia="方正仿宋_GBK"/>
          <w:b/>
          <w:color w:val="000000"/>
        </w:rPr>
        <mc:AlternateContent>
          <mc:Choice Requires="wps">
            <w:drawing>
              <wp:anchor distT="0" distB="0" distL="114300" distR="114300" simplePos="0" relativeHeight="251727872" behindDoc="0" locked="0" layoutInCell="1" allowOverlap="1">
                <wp:simplePos x="0" y="0"/>
                <wp:positionH relativeFrom="column">
                  <wp:posOffset>2106295</wp:posOffset>
                </wp:positionH>
                <wp:positionV relativeFrom="paragraph">
                  <wp:posOffset>1905</wp:posOffset>
                </wp:positionV>
                <wp:extent cx="1371600" cy="403860"/>
                <wp:effectExtent l="0" t="0" r="0" b="0"/>
                <wp:wrapNone/>
                <wp:docPr id="25" name="矩形 25"/>
                <wp:cNvGraphicFramePr/>
                <a:graphic xmlns:a="http://schemas.openxmlformats.org/drawingml/2006/main">
                  <a:graphicData uri="http://schemas.microsoft.com/office/word/2010/wordprocessingShape">
                    <wps:wsp>
                      <wps:cNvSpPr/>
                      <wps:spPr>
                        <a:xfrm>
                          <a:off x="0" y="0"/>
                          <a:ext cx="1371600" cy="403860"/>
                        </a:xfrm>
                        <a:prstGeom prst="rect">
                          <a:avLst/>
                        </a:prstGeom>
                        <a:solidFill>
                          <a:sysClr val="window" lastClr="FFFFFF"/>
                        </a:solidFill>
                        <a:ln w="12700" cap="flat" cmpd="sng" algn="ctr">
                          <a:solidFill>
                            <a:sysClr val="windowText" lastClr="000000"/>
                          </a:solidFill>
                          <a:prstDash val="solid"/>
                        </a:ln>
                        <a:effectLst/>
                      </wps:spPr>
                      <wps:txbx>
                        <w:txbxContent>
                          <w:p>
                            <w:pPr>
                              <w:adjustRightInd w:val="0"/>
                              <w:snapToGrid w:val="0"/>
                              <w:jc w:val="center"/>
                              <w:rPr>
                                <w:b/>
                                <w:color w:val="000000"/>
                              </w:rPr>
                            </w:pPr>
                            <w:r>
                              <w:rPr>
                                <w:rFonts w:hint="eastAsia" w:asciiTheme="minorHAnsi" w:hAnsiTheme="minorHAnsi" w:eastAsiaTheme="minorEastAsia" w:cstheme="minorBidi"/>
                                <w:b/>
                                <w:color w:val="000000"/>
                                <w:sz w:val="21"/>
                                <w:szCs w:val="22"/>
                              </w:rPr>
                              <w:t>企业领取数字证书</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5.85pt;margin-top:0.15pt;height:31.8pt;width:108pt;z-index:251727872;v-text-anchor:middle;mso-width-relative:page;mso-height-relative:page;" fillcolor="#FFFFFF" filled="t" stroked="t" coordsize="21600,21600" o:gfxdata="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QNYBSdQAAAAHAQAADwAAAAAAAAABACAAAAAiAAAAZHJzL2Rvd25yZXYueG1sUEsBAhQAFAAA&#10;AAgAh07iQMtremtlAgAAzgQAAA4AAAAAAAAAAQAgAAAAIwEAAGRycy9lMm9Eb2MueG1sUEsFBgAA&#10;AAAGAAYAWQEAAPoFAAAAAA==&#10;">
                <v:fill on="t" focussize="0,0"/>
                <v:stroke weight="1pt" color="#000000" joinstyle="round"/>
                <v:imagedata o:title=""/>
                <o:lock v:ext="edit" aspectratio="f"/>
                <v:textbox>
                  <w:txbxContent>
                    <w:p>
                      <w:pPr>
                        <w:adjustRightInd w:val="0"/>
                        <w:snapToGrid w:val="0"/>
                        <w:jc w:val="center"/>
                        <w:rPr>
                          <w:b/>
                          <w:color w:val="000000"/>
                        </w:rPr>
                      </w:pPr>
                      <w:r>
                        <w:rPr>
                          <w:rFonts w:hint="eastAsia" w:asciiTheme="minorHAnsi" w:hAnsiTheme="minorHAnsi" w:eastAsiaTheme="minorEastAsia" w:cstheme="minorBidi"/>
                          <w:b/>
                          <w:color w:val="000000"/>
                          <w:sz w:val="21"/>
                          <w:szCs w:val="22"/>
                        </w:rPr>
                        <w:t>企业领取数字证书</w:t>
                      </w:r>
                    </w:p>
                  </w:txbxContent>
                </v:textbox>
              </v:rect>
            </w:pict>
          </mc:Fallback>
        </mc:AlternateContent>
      </w:r>
    </w:p>
    <w:p>
      <w:pPr>
        <w:pStyle w:val="2"/>
        <w:spacing w:line="570" w:lineRule="exact"/>
        <w:rPr>
          <w:rFonts w:eastAsia="方正仿宋_GBK" w:cs="方正仿宋_GBK"/>
          <w:b w:val="0"/>
          <w:color w:val="000000"/>
          <w:kern w:val="2"/>
          <w:sz w:val="32"/>
          <w:szCs w:val="32"/>
        </w:rPr>
      </w:pPr>
      <w:r>
        <w:rPr>
          <w:rFonts w:eastAsia="方正仿宋_GBK"/>
          <w:color w:val="000000"/>
        </w:rPr>
        <mc:AlternateContent>
          <mc:Choice Requires="wps">
            <w:drawing>
              <wp:anchor distT="0" distB="0" distL="113665" distR="113665" simplePos="0" relativeHeight="251748352" behindDoc="0" locked="0" layoutInCell="1" allowOverlap="1">
                <wp:simplePos x="0" y="0"/>
                <wp:positionH relativeFrom="column">
                  <wp:posOffset>2752725</wp:posOffset>
                </wp:positionH>
                <wp:positionV relativeFrom="paragraph">
                  <wp:posOffset>712470</wp:posOffset>
                </wp:positionV>
                <wp:extent cx="0" cy="198120"/>
                <wp:effectExtent l="76200" t="0" r="38100" b="30480"/>
                <wp:wrapNone/>
                <wp:docPr id="14" name="直接箭头连接符 14"/>
                <wp:cNvGraphicFramePr/>
                <a:graphic xmlns:a="http://schemas.openxmlformats.org/drawingml/2006/main">
                  <a:graphicData uri="http://schemas.microsoft.com/office/word/2010/wordprocessingShape">
                    <wps:wsp>
                      <wps:cNvCnPr/>
                      <wps:spPr>
                        <a:xfrm>
                          <a:off x="0" y="0"/>
                          <a:ext cx="0" cy="198120"/>
                        </a:xfrm>
                        <a:prstGeom prst="straightConnector1">
                          <a:avLst/>
                        </a:prstGeom>
                        <a:noFill/>
                        <a:ln w="15875" cap="flat" cmpd="sng" algn="ctr">
                          <a:solidFill>
                            <a:sysClr val="windowText" lastClr="000000"/>
                          </a:solidFill>
                          <a:prstDash val="solid"/>
                          <a:tailEnd type="triangle"/>
                        </a:ln>
                        <a:effectLst/>
                      </wps:spPr>
                      <wps:bodyPr/>
                    </wps:wsp>
                  </a:graphicData>
                </a:graphic>
              </wp:anchor>
            </w:drawing>
          </mc:Choice>
          <mc:Fallback>
            <w:pict>
              <v:shape id="_x0000_s1026" o:spid="_x0000_s1026" o:spt="32" type="#_x0000_t32" style="position:absolute;left:0pt;margin-left:216.75pt;margin-top:56.1pt;height:15.6pt;width:0pt;z-index:251748352;mso-width-relative:page;mso-height-relative:page;" filled="f" stroked="t" coordsize="21600,21600" o:gfxdata="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OwolbdgAAAALAQAADwAAAAAAAAABACAAAAAiAAAAZHJzL2Rvd25yZXYueG1sUEsBAhQAFAAA&#10;AAgAh07iQPT5SsHvAQAAoAMAAA4AAAAAAAAAAQAgAAAAJwEAAGRycy9lMm9Eb2MueG1sUEsFBgAA&#10;AAAGAAYAWQEAAIgFAAAAAA==&#10;">
                <v:fill on="f" focussize="0,0"/>
                <v:stroke weight="1.25pt" color="#000000" joinstyle="round" endarrow="block"/>
                <v:imagedata o:title=""/>
                <o:lock v:ext="edit" aspectratio="f"/>
              </v:shape>
            </w:pict>
          </mc:Fallback>
        </mc:AlternateContent>
      </w:r>
      <w:r>
        <w:rPr>
          <w:rFonts w:eastAsia="方正仿宋_GBK"/>
          <w:color w:val="000000"/>
        </w:rPr>
        <mc:AlternateContent>
          <mc:Choice Requires="wps">
            <w:drawing>
              <wp:anchor distT="0" distB="0" distL="114300" distR="114300" simplePos="0" relativeHeight="251729920" behindDoc="0" locked="0" layoutInCell="1" allowOverlap="1">
                <wp:simplePos x="0" y="0"/>
                <wp:positionH relativeFrom="column">
                  <wp:posOffset>2096770</wp:posOffset>
                </wp:positionH>
                <wp:positionV relativeFrom="paragraph">
                  <wp:posOffset>192405</wp:posOffset>
                </wp:positionV>
                <wp:extent cx="1371600" cy="514350"/>
                <wp:effectExtent l="0" t="0" r="0" b="0"/>
                <wp:wrapNone/>
                <wp:docPr id="8" name="矩形 4"/>
                <wp:cNvGraphicFramePr/>
                <a:graphic xmlns:a="http://schemas.openxmlformats.org/drawingml/2006/main">
                  <a:graphicData uri="http://schemas.microsoft.com/office/word/2010/wordprocessingShape">
                    <wps:wsp>
                      <wps:cNvSpPr/>
                      <wps:spPr>
                        <a:xfrm>
                          <a:off x="0" y="0"/>
                          <a:ext cx="1371600" cy="514350"/>
                        </a:xfrm>
                        <a:prstGeom prst="rect">
                          <a:avLst/>
                        </a:prstGeom>
                        <a:solidFill>
                          <a:sysClr val="window" lastClr="FFFFFF"/>
                        </a:solidFill>
                        <a:ln w="12700" cap="flat" cmpd="sng" algn="ctr">
                          <a:solidFill>
                            <a:sysClr val="windowText" lastClr="000000"/>
                          </a:solidFill>
                          <a:prstDash val="solid"/>
                        </a:ln>
                        <a:effectLst/>
                      </wps:spPr>
                      <wps:txbx>
                        <w:txbxContent>
                          <w:p>
                            <w:pPr>
                              <w:adjustRightInd w:val="0"/>
                              <w:snapToGrid w:val="0"/>
                              <w:jc w:val="center"/>
                              <w:rPr>
                                <w:rFonts w:eastAsiaTheme="minorEastAsia"/>
                                <w:b/>
                                <w:color w:val="000000"/>
                              </w:rPr>
                            </w:pPr>
                            <w:r>
                              <w:rPr>
                                <w:rFonts w:hint="eastAsia" w:asciiTheme="minorHAnsi" w:hAnsiTheme="minorHAnsi" w:eastAsiaTheme="minorEastAsia" w:cstheme="minorBidi"/>
                                <w:b/>
                                <w:color w:val="000000"/>
                                <w:sz w:val="21"/>
                                <w:szCs w:val="22"/>
                              </w:rPr>
                              <w:t>企业申报资质、产品</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4" o:spid="_x0000_s1026" o:spt="1" style="position:absolute;left:0pt;margin-left:165.1pt;margin-top:15.15pt;height:40.5pt;width:108pt;z-index:251729920;v-text-anchor:middle;mso-width-relative:page;mso-height-relative:page;" fillcolor="#FFFFFF" filled="t" stroked="t" coordsize="21600,21600" o:gfxdata="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dfKpM9YAAAAKAQAADwAAAAAAAAABACAAAAAiAAAAZHJzL2Rvd25yZXYueG1sUEsBAhQAFAAA&#10;AAgAh07iQKnr7lBjAgAAzAQAAA4AAAAAAAAAAQAgAAAAJQEAAGRycy9lMm9Eb2MueG1sUEsFBgAA&#10;AAAGAAYAWQEAAPoFAAAAAA==&#10;">
                <v:fill on="t" focussize="0,0"/>
                <v:stroke weight="1pt" color="#000000" joinstyle="round"/>
                <v:imagedata o:title=""/>
                <o:lock v:ext="edit" aspectratio="f"/>
                <v:textbox>
                  <w:txbxContent>
                    <w:p>
                      <w:pPr>
                        <w:adjustRightInd w:val="0"/>
                        <w:snapToGrid w:val="0"/>
                        <w:jc w:val="center"/>
                        <w:rPr>
                          <w:rFonts w:eastAsiaTheme="minorEastAsia"/>
                          <w:b/>
                          <w:color w:val="000000"/>
                        </w:rPr>
                      </w:pPr>
                      <w:r>
                        <w:rPr>
                          <w:rFonts w:hint="eastAsia" w:asciiTheme="minorHAnsi" w:hAnsiTheme="minorHAnsi" w:eastAsiaTheme="minorEastAsia" w:cstheme="minorBidi"/>
                          <w:b/>
                          <w:color w:val="000000"/>
                          <w:sz w:val="21"/>
                          <w:szCs w:val="22"/>
                        </w:rPr>
                        <w:t>企业申报资质、产品</w:t>
                      </w:r>
                    </w:p>
                  </w:txbxContent>
                </v:textbox>
              </v:rect>
            </w:pict>
          </mc:Fallback>
        </mc:AlternateContent>
      </w:r>
      <w:r>
        <w:rPr>
          <w:rFonts w:eastAsia="方正仿宋_GBK"/>
          <w:color w:val="000000"/>
        </w:rPr>
        <mc:AlternateContent>
          <mc:Choice Requires="wps">
            <w:drawing>
              <wp:anchor distT="0" distB="0" distL="113665" distR="113665" simplePos="0" relativeHeight="251746304" behindDoc="0" locked="0" layoutInCell="1" allowOverlap="1">
                <wp:simplePos x="0" y="0"/>
                <wp:positionH relativeFrom="column">
                  <wp:posOffset>2762885</wp:posOffset>
                </wp:positionH>
                <wp:positionV relativeFrom="paragraph">
                  <wp:posOffset>5080</wp:posOffset>
                </wp:positionV>
                <wp:extent cx="0" cy="198120"/>
                <wp:effectExtent l="76200" t="0" r="38100" b="30480"/>
                <wp:wrapNone/>
                <wp:docPr id="13" name="直接箭头连接符 13"/>
                <wp:cNvGraphicFramePr/>
                <a:graphic xmlns:a="http://schemas.openxmlformats.org/drawingml/2006/main">
                  <a:graphicData uri="http://schemas.microsoft.com/office/word/2010/wordprocessingShape">
                    <wps:wsp>
                      <wps:cNvCnPr/>
                      <wps:spPr>
                        <a:xfrm>
                          <a:off x="0" y="0"/>
                          <a:ext cx="0" cy="198120"/>
                        </a:xfrm>
                        <a:prstGeom prst="straightConnector1">
                          <a:avLst/>
                        </a:prstGeom>
                        <a:noFill/>
                        <a:ln w="15875" cap="flat" cmpd="sng" algn="ctr">
                          <a:solidFill>
                            <a:sysClr val="windowText" lastClr="000000"/>
                          </a:solidFill>
                          <a:prstDash val="solid"/>
                          <a:tailEnd type="triangle"/>
                        </a:ln>
                        <a:effectLst/>
                      </wps:spPr>
                      <wps:bodyPr/>
                    </wps:wsp>
                  </a:graphicData>
                </a:graphic>
              </wp:anchor>
            </w:drawing>
          </mc:Choice>
          <mc:Fallback>
            <w:pict>
              <v:shape id="_x0000_s1026" o:spid="_x0000_s1026" o:spt="32" type="#_x0000_t32" style="position:absolute;left:0pt;margin-left:217.55pt;margin-top:0.4pt;height:15.6pt;width:0pt;z-index:251746304;mso-width-relative:page;mso-height-relative:page;" filled="f" stroked="t" coordsize="21600,21600" o:gfxdata="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3dLu5dUAAAAHAQAADwAAAAAAAAABACAAAAAiAAAAZHJzL2Rvd25yZXYueG1sUEsBAhQAFAAAAAgA&#10;h07iQLJamL/vAQAAoAMAAA4AAAAAAAAAAQAgAAAAJAEAAGRycy9lMm9Eb2MueG1sUEsFBgAAAAAG&#10;AAYAWQEAAIUFAAAAAA==&#10;">
                <v:fill on="f" focussize="0,0"/>
                <v:stroke weight="1.25pt" color="#000000" joinstyle="round" endarrow="block"/>
                <v:imagedata o:title=""/>
                <o:lock v:ext="edit" aspectratio="f"/>
              </v:shape>
            </w:pict>
          </mc:Fallback>
        </mc:AlternateContent>
      </w:r>
    </w:p>
    <w:p>
      <w:pPr>
        <w:spacing w:line="570" w:lineRule="exact"/>
        <w:rPr>
          <w:rFonts w:eastAsia="方正仿宋_GBK" w:cs="方正仿宋_GBK"/>
          <w:color w:val="000000"/>
        </w:rPr>
      </w:pPr>
      <w:r>
        <w:rPr>
          <w:rFonts w:eastAsia="方正仿宋_GBK"/>
          <w:b/>
          <w:color w:val="000000"/>
        </w:rPr>
        <mc:AlternateContent>
          <mc:Choice Requires="wps">
            <w:drawing>
              <wp:anchor distT="0" distB="0" distL="114300" distR="114300" simplePos="0" relativeHeight="251731968" behindDoc="0" locked="0" layoutInCell="1" allowOverlap="1">
                <wp:simplePos x="0" y="0"/>
                <wp:positionH relativeFrom="column">
                  <wp:posOffset>2077085</wp:posOffset>
                </wp:positionH>
                <wp:positionV relativeFrom="paragraph">
                  <wp:posOffset>60960</wp:posOffset>
                </wp:positionV>
                <wp:extent cx="1371600" cy="504825"/>
                <wp:effectExtent l="0" t="0" r="0" b="9525"/>
                <wp:wrapNone/>
                <wp:docPr id="6" name="矩形 5"/>
                <wp:cNvGraphicFramePr/>
                <a:graphic xmlns:a="http://schemas.openxmlformats.org/drawingml/2006/main">
                  <a:graphicData uri="http://schemas.microsoft.com/office/word/2010/wordprocessingShape">
                    <wps:wsp>
                      <wps:cNvSpPr/>
                      <wps:spPr>
                        <a:xfrm>
                          <a:off x="0" y="0"/>
                          <a:ext cx="1371600" cy="504825"/>
                        </a:xfrm>
                        <a:prstGeom prst="rect">
                          <a:avLst/>
                        </a:prstGeom>
                        <a:solidFill>
                          <a:sysClr val="window" lastClr="FFFFFF"/>
                        </a:solidFill>
                        <a:ln w="12700" cap="flat" cmpd="sng" algn="ctr">
                          <a:solidFill>
                            <a:sysClr val="windowText" lastClr="000000"/>
                          </a:solidFill>
                          <a:prstDash val="solid"/>
                        </a:ln>
                        <a:effectLst/>
                      </wps:spPr>
                      <wps:txbx>
                        <w:txbxContent>
                          <w:p>
                            <w:pPr>
                              <w:adjustRightInd w:val="0"/>
                              <w:snapToGrid w:val="0"/>
                              <w:jc w:val="center"/>
                              <w:rPr>
                                <w:rFonts w:asciiTheme="minorHAnsi" w:hAnsiTheme="minorHAnsi" w:eastAsiaTheme="minorEastAsia" w:cstheme="minorBidi"/>
                                <w:b/>
                                <w:color w:val="000000"/>
                                <w:sz w:val="21"/>
                                <w:szCs w:val="22"/>
                              </w:rPr>
                            </w:pPr>
                            <w:r>
                              <w:rPr>
                                <w:rFonts w:hint="eastAsia" w:asciiTheme="minorHAnsi" w:hAnsiTheme="minorHAnsi" w:eastAsiaTheme="minorEastAsia" w:cstheme="minorBidi"/>
                                <w:b/>
                                <w:color w:val="000000"/>
                                <w:sz w:val="21"/>
                                <w:szCs w:val="22"/>
                              </w:rPr>
                              <w:t>资质信息审核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5" o:spid="_x0000_s1026" o:spt="1" style="position:absolute;left:0pt;margin-left:163.55pt;margin-top:4.8pt;height:39.75pt;width:108pt;z-index:251731968;v-text-anchor:middle;mso-width-relative:page;mso-height-relative:page;" fillcolor="#FFFFFF" filled="t" stroked="t" coordsize="21600,21600" o:gfxdata="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xlOFWdYAAAAIAQAADwAAAAAAAAABACAAAAAiAAAAZHJzL2Rvd25yZXYueG1sUEsBAhQAFAAA&#10;AAgAh07iQPC9NKdjAgAAzAQAAA4AAAAAAAAAAQAgAAAAJQEAAGRycy9lMm9Eb2MueG1sUEsFBgAA&#10;AAAGAAYAWQEAAPoFAAAAAA==&#10;">
                <v:fill on="t" focussize="0,0"/>
                <v:stroke weight="1pt" color="#000000" joinstyle="round"/>
                <v:imagedata o:title=""/>
                <o:lock v:ext="edit" aspectratio="f"/>
                <v:textbox>
                  <w:txbxContent>
                    <w:p>
                      <w:pPr>
                        <w:adjustRightInd w:val="0"/>
                        <w:snapToGrid w:val="0"/>
                        <w:jc w:val="center"/>
                        <w:rPr>
                          <w:rFonts w:asciiTheme="minorHAnsi" w:hAnsiTheme="minorHAnsi" w:eastAsiaTheme="minorEastAsia" w:cstheme="minorBidi"/>
                          <w:b/>
                          <w:color w:val="000000"/>
                          <w:sz w:val="21"/>
                          <w:szCs w:val="22"/>
                        </w:rPr>
                      </w:pPr>
                      <w:r>
                        <w:rPr>
                          <w:rFonts w:hint="eastAsia" w:asciiTheme="minorHAnsi" w:hAnsiTheme="minorHAnsi" w:eastAsiaTheme="minorEastAsia" w:cstheme="minorBidi"/>
                          <w:b/>
                          <w:color w:val="000000"/>
                          <w:sz w:val="21"/>
                          <w:szCs w:val="22"/>
                        </w:rPr>
                        <w:t>资质信息审核</w:t>
                      </w:r>
                    </w:p>
                  </w:txbxContent>
                </v:textbox>
              </v:rect>
            </w:pict>
          </mc:Fallback>
        </mc:AlternateContent>
      </w:r>
      <w:r>
        <w:rPr>
          <w:rFonts w:eastAsia="方正仿宋_GBK"/>
          <w:b/>
          <w:color w:val="000000"/>
        </w:rPr>
        <mc:AlternateContent>
          <mc:Choice Requires="wps">
            <w:drawing>
              <wp:anchor distT="0" distB="0" distL="113665" distR="113665" simplePos="0" relativeHeight="251750400" behindDoc="0" locked="0" layoutInCell="1" allowOverlap="1">
                <wp:simplePos x="0" y="0"/>
                <wp:positionH relativeFrom="column">
                  <wp:posOffset>2742565</wp:posOffset>
                </wp:positionH>
                <wp:positionV relativeFrom="paragraph">
                  <wp:posOffset>518795</wp:posOffset>
                </wp:positionV>
                <wp:extent cx="0" cy="198120"/>
                <wp:effectExtent l="76200" t="0" r="38100" b="30480"/>
                <wp:wrapNone/>
                <wp:docPr id="15" name="直接箭头连接符 15"/>
                <wp:cNvGraphicFramePr/>
                <a:graphic xmlns:a="http://schemas.openxmlformats.org/drawingml/2006/main">
                  <a:graphicData uri="http://schemas.microsoft.com/office/word/2010/wordprocessingShape">
                    <wps:wsp>
                      <wps:cNvCnPr/>
                      <wps:spPr>
                        <a:xfrm>
                          <a:off x="0" y="0"/>
                          <a:ext cx="0" cy="198120"/>
                        </a:xfrm>
                        <a:prstGeom prst="straightConnector1">
                          <a:avLst/>
                        </a:prstGeom>
                        <a:noFill/>
                        <a:ln w="15875" cap="flat" cmpd="sng" algn="ctr">
                          <a:solidFill>
                            <a:sysClr val="windowText" lastClr="000000"/>
                          </a:solidFill>
                          <a:prstDash val="solid"/>
                          <a:tailEnd type="triangle"/>
                        </a:ln>
                        <a:effectLst/>
                      </wps:spPr>
                      <wps:bodyPr/>
                    </wps:wsp>
                  </a:graphicData>
                </a:graphic>
              </wp:anchor>
            </w:drawing>
          </mc:Choice>
          <mc:Fallback>
            <w:pict>
              <v:shape id="_x0000_s1026" o:spid="_x0000_s1026" o:spt="32" type="#_x0000_t32" style="position:absolute;left:0pt;margin-left:215.95pt;margin-top:40.85pt;height:15.6pt;width:0pt;z-index:251750400;mso-width-relative:page;mso-height-relative:page;" filled="f" stroked="t" coordsize="21600,21600" o:gfxdata="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x0vol2AAAAAoBAAAPAAAAAAAAAAEAIAAAACIAAABkcnMvZG93bnJldi54bWxQSwECFAAUAAAA&#10;CACHTuJA7nRh0+4BAACgAwAADgAAAAAAAAABACAAAAAnAQAAZHJzL2Uyb0RvYy54bWxQSwUGAAAA&#10;AAYABgBZAQAAhwUAAAAA&#10;">
                <v:fill on="f" focussize="0,0"/>
                <v:stroke weight="1.25pt" color="#000000" joinstyle="round" endarrow="block"/>
                <v:imagedata o:title=""/>
                <o:lock v:ext="edit" aspectratio="f"/>
              </v:shape>
            </w:pict>
          </mc:Fallback>
        </mc:AlternateContent>
      </w:r>
    </w:p>
    <w:p>
      <w:pPr>
        <w:pStyle w:val="2"/>
        <w:spacing w:line="570" w:lineRule="exact"/>
        <w:rPr>
          <w:rFonts w:eastAsia="方正仿宋_GBK" w:cs="方正仿宋_GBK"/>
          <w:b w:val="0"/>
          <w:color w:val="000000"/>
          <w:kern w:val="2"/>
          <w:sz w:val="32"/>
          <w:szCs w:val="32"/>
        </w:rPr>
      </w:pPr>
      <w:r>
        <w:rPr>
          <w:rFonts w:eastAsia="方正仿宋_GBK"/>
          <w:color w:val="000000"/>
        </w:rPr>
        <mc:AlternateContent>
          <mc:Choice Requires="wps">
            <w:drawing>
              <wp:anchor distT="0" distB="0" distL="114300" distR="114300" simplePos="0" relativeHeight="251781120" behindDoc="0" locked="0" layoutInCell="1" allowOverlap="1">
                <wp:simplePos x="0" y="0"/>
                <wp:positionH relativeFrom="column">
                  <wp:posOffset>1996440</wp:posOffset>
                </wp:positionH>
                <wp:positionV relativeFrom="paragraph">
                  <wp:posOffset>350520</wp:posOffset>
                </wp:positionV>
                <wp:extent cx="1514475" cy="523875"/>
                <wp:effectExtent l="0" t="0" r="9525" b="9525"/>
                <wp:wrapNone/>
                <wp:docPr id="32" name="流程图: 决策 32"/>
                <wp:cNvGraphicFramePr/>
                <a:graphic xmlns:a="http://schemas.openxmlformats.org/drawingml/2006/main">
                  <a:graphicData uri="http://schemas.microsoft.com/office/word/2010/wordprocessingShape">
                    <wps:wsp>
                      <wps:cNvSpPr/>
                      <wps:spPr>
                        <a:xfrm>
                          <a:off x="0" y="0"/>
                          <a:ext cx="1514475" cy="523875"/>
                        </a:xfrm>
                        <a:prstGeom prst="flowChartDecision">
                          <a:avLst/>
                        </a:prstGeom>
                        <a:noFill/>
                        <a:ln w="12700" cap="flat" cmpd="sng" algn="ctr">
                          <a:solidFill>
                            <a:srgbClr val="000000"/>
                          </a:solidFill>
                          <a:prstDash val="solid"/>
                        </a:ln>
                        <a:effectLst/>
                      </wps:spPr>
                      <wps:txbx>
                        <w:txbxContent>
                          <w:p>
                            <w:pPr>
                              <w:adjustRightInd w:val="0"/>
                              <w:snapToGrid w:val="0"/>
                              <w:jc w:val="center"/>
                              <w:rPr>
                                <w:b/>
                                <w:color w:val="000000"/>
                              </w:rPr>
                            </w:pPr>
                            <w:r>
                              <w:rPr>
                                <w:rFonts w:hint="eastAsia" w:asciiTheme="minorHAnsi" w:hAnsiTheme="minorHAnsi" w:eastAsiaTheme="minorEastAsia" w:cstheme="minorBidi"/>
                                <w:b/>
                                <w:color w:val="000000"/>
                                <w:sz w:val="21"/>
                                <w:szCs w:val="22"/>
                              </w:rPr>
                              <w:t>审核通过</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10" type="#_x0000_t110" style="position:absolute;left:0pt;margin-left:157.2pt;margin-top:27.6pt;height:41.25pt;width:119.25pt;z-index:251781120;v-text-anchor:middle;mso-width-relative:page;mso-height-relative:page;" filled="f" stroked="t" coordsize="21600,21600" o:gfxdata="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ByZ34NkAAAAKAQAADwAAAAAAAAABACAAAAAiAAAAZHJzL2Rvd25yZXYueG1s&#10;UEsBAhQAFAAAAAgAh07iQOgvE91pAgAAmQQAAA4AAAAAAAAAAQAgAAAAKAEAAGRycy9lMm9Eb2Mu&#10;eG1sUEsFBgAAAAAGAAYAWQEAAAMGAAAAAA==&#10;">
                <v:fill on="f" focussize="0,0"/>
                <v:stroke weight="1pt" color="#000000" joinstyle="round"/>
                <v:imagedata o:title=""/>
                <o:lock v:ext="edit" aspectratio="f"/>
                <v:textbox>
                  <w:txbxContent>
                    <w:p>
                      <w:pPr>
                        <w:adjustRightInd w:val="0"/>
                        <w:snapToGrid w:val="0"/>
                        <w:jc w:val="center"/>
                        <w:rPr>
                          <w:b/>
                          <w:color w:val="000000"/>
                        </w:rPr>
                      </w:pPr>
                      <w:r>
                        <w:rPr>
                          <w:rFonts w:hint="eastAsia" w:asciiTheme="minorHAnsi" w:hAnsiTheme="minorHAnsi" w:eastAsiaTheme="minorEastAsia" w:cstheme="minorBidi"/>
                          <w:b/>
                          <w:color w:val="000000"/>
                          <w:sz w:val="21"/>
                          <w:szCs w:val="22"/>
                        </w:rPr>
                        <w:t>审核通过</w:t>
                      </w:r>
                    </w:p>
                  </w:txbxContent>
                </v:textbox>
              </v:shape>
            </w:pict>
          </mc:Fallback>
        </mc:AlternateContent>
      </w:r>
    </w:p>
    <w:p>
      <w:pPr>
        <w:spacing w:line="570" w:lineRule="exact"/>
        <w:rPr>
          <w:rFonts w:eastAsia="方正仿宋_GBK" w:cs="方正仿宋_GBK"/>
          <w:color w:val="000000"/>
        </w:rPr>
      </w:pPr>
      <w:r>
        <w:rPr>
          <w:rFonts w:eastAsia="方正仿宋_GBK"/>
          <w:b/>
          <w:color w:val="000000"/>
          <w:kern w:val="44"/>
          <w:sz w:val="44"/>
          <w:szCs w:val="44"/>
        </w:rPr>
        <mc:AlternateContent>
          <mc:Choice Requires="wps">
            <w:drawing>
              <wp:anchor distT="0" distB="0" distL="113665" distR="113665" simplePos="0" relativeHeight="251783168" behindDoc="0" locked="0" layoutInCell="1" allowOverlap="1">
                <wp:simplePos x="0" y="0"/>
                <wp:positionH relativeFrom="column">
                  <wp:posOffset>2755900</wp:posOffset>
                </wp:positionH>
                <wp:positionV relativeFrom="paragraph">
                  <wp:posOffset>64135</wp:posOffset>
                </wp:positionV>
                <wp:extent cx="0" cy="228600"/>
                <wp:effectExtent l="76200" t="0" r="38100" b="38100"/>
                <wp:wrapNone/>
                <wp:docPr id="35" name="直接箭头连接符 35"/>
                <wp:cNvGraphicFramePr/>
                <a:graphic xmlns:a="http://schemas.openxmlformats.org/drawingml/2006/main">
                  <a:graphicData uri="http://schemas.microsoft.com/office/word/2010/wordprocessingShape">
                    <wps:wsp>
                      <wps:cNvCnPr/>
                      <wps:spPr>
                        <a:xfrm>
                          <a:off x="0" y="0"/>
                          <a:ext cx="0" cy="228600"/>
                        </a:xfrm>
                        <a:prstGeom prst="straightConnector1">
                          <a:avLst/>
                        </a:prstGeom>
                        <a:noFill/>
                        <a:ln w="15875" cap="flat" cmpd="sng" algn="ctr">
                          <a:solidFill>
                            <a:sysClr val="windowText" lastClr="000000"/>
                          </a:solidFill>
                          <a:prstDash val="solid"/>
                          <a:tailEnd type="triangle"/>
                        </a:ln>
                        <a:effectLst/>
                      </wps:spPr>
                      <wps:bodyPr/>
                    </wps:wsp>
                  </a:graphicData>
                </a:graphic>
              </wp:anchor>
            </w:drawing>
          </mc:Choice>
          <mc:Fallback>
            <w:pict>
              <v:shape id="_x0000_s1026" o:spid="_x0000_s1026" o:spt="32" type="#_x0000_t32" style="position:absolute;left:0pt;margin-left:217pt;margin-top:5.05pt;height:18pt;width:0pt;z-index:251783168;mso-width-relative:page;mso-height-relative:page;" filled="f" stroked="t" coordsize="21600,21600" o:gfxdata="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AuRndy1wAAAAkBAAAPAAAAAAAAAAEAIAAAACIAAABkcnMvZG93bnJldi54bWxQSwECFAAUAAAA&#10;CACHTuJA9+bOne8BAACgAwAADgAAAAAAAAABACAAAAAmAQAAZHJzL2Uyb0RvYy54bWxQSwUGAAAA&#10;AAYABgBZAQAAhwUAAAAA&#10;">
                <v:fill on="f" focussize="0,0"/>
                <v:stroke weight="1.25pt" color="#000000" joinstyle="round" endarrow="block"/>
                <v:imagedata o:title=""/>
                <o:lock v:ext="edit" aspectratio="f"/>
              </v:shape>
            </w:pict>
          </mc:Fallback>
        </mc:AlternateContent>
      </w:r>
      <w:r>
        <w:rPr>
          <w:rFonts w:eastAsia="方正仿宋_GBK"/>
          <w:b/>
          <w:color w:val="000000"/>
        </w:rPr>
        <mc:AlternateContent>
          <mc:Choice Requires="wps">
            <w:drawing>
              <wp:anchor distT="0" distB="0" distL="114300" distR="114300" simplePos="0" relativeHeight="251734016" behindDoc="0" locked="0" layoutInCell="1" allowOverlap="1">
                <wp:simplePos x="0" y="0"/>
                <wp:positionH relativeFrom="column">
                  <wp:posOffset>2073910</wp:posOffset>
                </wp:positionH>
                <wp:positionV relativeFrom="paragraph">
                  <wp:posOffset>251460</wp:posOffset>
                </wp:positionV>
                <wp:extent cx="1371600" cy="403860"/>
                <wp:effectExtent l="0" t="0" r="0" b="0"/>
                <wp:wrapNone/>
                <wp:docPr id="29" name="矩形 29"/>
                <wp:cNvGraphicFramePr/>
                <a:graphic xmlns:a="http://schemas.openxmlformats.org/drawingml/2006/main">
                  <a:graphicData uri="http://schemas.microsoft.com/office/word/2010/wordprocessingShape">
                    <wps:wsp>
                      <wps:cNvSpPr/>
                      <wps:spPr>
                        <a:xfrm>
                          <a:off x="0" y="0"/>
                          <a:ext cx="1371600" cy="403860"/>
                        </a:xfrm>
                        <a:prstGeom prst="rect">
                          <a:avLst/>
                        </a:prstGeom>
                        <a:solidFill>
                          <a:sysClr val="window" lastClr="FFFFFF"/>
                        </a:solidFill>
                        <a:ln w="12700" cap="flat" cmpd="sng" algn="ctr">
                          <a:solidFill>
                            <a:sysClr val="windowText" lastClr="000000"/>
                          </a:solidFill>
                          <a:prstDash val="solid"/>
                        </a:ln>
                        <a:effectLst/>
                      </wps:spPr>
                      <wps:txbx>
                        <w:txbxContent>
                          <w:p>
                            <w:pPr>
                              <w:adjustRightInd w:val="0"/>
                              <w:snapToGrid w:val="0"/>
                              <w:jc w:val="center"/>
                              <w:rPr>
                                <w:rFonts w:asciiTheme="minorHAnsi" w:hAnsiTheme="minorHAnsi" w:eastAsiaTheme="minorEastAsia" w:cstheme="minorBidi"/>
                                <w:b/>
                                <w:color w:val="000000"/>
                                <w:sz w:val="21"/>
                                <w:szCs w:val="22"/>
                              </w:rPr>
                            </w:pPr>
                            <w:r>
                              <w:rPr>
                                <w:rFonts w:hint="eastAsia" w:asciiTheme="minorHAnsi" w:hAnsiTheme="minorHAnsi" w:eastAsiaTheme="minorEastAsia" w:cstheme="minorBidi"/>
                                <w:b/>
                                <w:color w:val="000000"/>
                                <w:sz w:val="21"/>
                                <w:szCs w:val="22"/>
                              </w:rPr>
                              <w:t>审核结果公示</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3.3pt;margin-top:19.8pt;height:31.8pt;width:108pt;z-index:251734016;v-text-anchor:middle;mso-width-relative:page;mso-height-relative:page;" fillcolor="#FFFFFF" filled="t" stroked="t" coordsize="21600,21600" o:gfxdata="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zqNpl1gAAAAoBAAAPAAAAAAAAAAEAIAAAACIAAABkcnMvZG93bnJldi54bWxQSwECFAAU&#10;AAAACACHTuJA3qModGUCAADOBAAADgAAAAAAAAABACAAAAAlAQAAZHJzL2Uyb0RvYy54bWxQSwUG&#10;AAAAAAYABgBZAQAA/AUAAAAA&#10;">
                <v:fill on="t" focussize="0,0"/>
                <v:stroke weight="1pt" color="#000000" joinstyle="round"/>
                <v:imagedata o:title=""/>
                <o:lock v:ext="edit" aspectratio="f"/>
                <v:textbox>
                  <w:txbxContent>
                    <w:p>
                      <w:pPr>
                        <w:adjustRightInd w:val="0"/>
                        <w:snapToGrid w:val="0"/>
                        <w:jc w:val="center"/>
                        <w:rPr>
                          <w:rFonts w:asciiTheme="minorHAnsi" w:hAnsiTheme="minorHAnsi" w:eastAsiaTheme="minorEastAsia" w:cstheme="minorBidi"/>
                          <w:b/>
                          <w:color w:val="000000"/>
                          <w:sz w:val="21"/>
                          <w:szCs w:val="22"/>
                        </w:rPr>
                      </w:pPr>
                      <w:r>
                        <w:rPr>
                          <w:rFonts w:hint="eastAsia" w:asciiTheme="minorHAnsi" w:hAnsiTheme="minorHAnsi" w:eastAsiaTheme="minorEastAsia" w:cstheme="minorBidi"/>
                          <w:b/>
                          <w:color w:val="000000"/>
                          <w:sz w:val="21"/>
                          <w:szCs w:val="22"/>
                        </w:rPr>
                        <w:t>审核结果公示</w:t>
                      </w:r>
                    </w:p>
                  </w:txbxContent>
                </v:textbox>
              </v:rect>
            </w:pict>
          </mc:Fallback>
        </mc:AlternateContent>
      </w:r>
    </w:p>
    <w:p>
      <w:pPr>
        <w:pStyle w:val="2"/>
        <w:spacing w:line="570" w:lineRule="exact"/>
        <w:rPr>
          <w:rFonts w:eastAsia="方正仿宋_GBK" w:cs="方正仿宋_GBK"/>
          <w:b w:val="0"/>
          <w:color w:val="000000"/>
          <w:kern w:val="2"/>
          <w:sz w:val="32"/>
          <w:szCs w:val="32"/>
        </w:rPr>
      </w:pPr>
      <w:r>
        <w:rPr>
          <w:rFonts w:eastAsia="方正仿宋_GBK"/>
          <w:color w:val="000000"/>
        </w:rPr>
        <mc:AlternateContent>
          <mc:Choice Requires="wps">
            <w:drawing>
              <wp:anchor distT="0" distB="0" distL="113665" distR="113665" simplePos="0" relativeHeight="251752448" behindDoc="0" locked="0" layoutInCell="1" allowOverlap="1">
                <wp:simplePos x="0" y="0"/>
                <wp:positionH relativeFrom="column">
                  <wp:posOffset>2743835</wp:posOffset>
                </wp:positionH>
                <wp:positionV relativeFrom="paragraph">
                  <wp:posOffset>305435</wp:posOffset>
                </wp:positionV>
                <wp:extent cx="0" cy="198120"/>
                <wp:effectExtent l="76200" t="0" r="38100" b="30480"/>
                <wp:wrapNone/>
                <wp:docPr id="16" name="直接箭头连接符 16"/>
                <wp:cNvGraphicFramePr/>
                <a:graphic xmlns:a="http://schemas.openxmlformats.org/drawingml/2006/main">
                  <a:graphicData uri="http://schemas.microsoft.com/office/word/2010/wordprocessingShape">
                    <wps:wsp>
                      <wps:cNvCnPr/>
                      <wps:spPr>
                        <a:xfrm>
                          <a:off x="0" y="0"/>
                          <a:ext cx="0" cy="198120"/>
                        </a:xfrm>
                        <a:prstGeom prst="straightConnector1">
                          <a:avLst/>
                        </a:prstGeom>
                        <a:noFill/>
                        <a:ln w="15875" cap="flat" cmpd="sng" algn="ctr">
                          <a:solidFill>
                            <a:sysClr val="windowText" lastClr="000000"/>
                          </a:solidFill>
                          <a:prstDash val="solid"/>
                          <a:tailEnd type="triangle"/>
                        </a:ln>
                        <a:effectLst/>
                      </wps:spPr>
                      <wps:bodyPr/>
                    </wps:wsp>
                  </a:graphicData>
                </a:graphic>
              </wp:anchor>
            </w:drawing>
          </mc:Choice>
          <mc:Fallback>
            <w:pict>
              <v:shape id="_x0000_s1026" o:spid="_x0000_s1026" o:spt="32" type="#_x0000_t32" style="position:absolute;left:0pt;margin-left:216.05pt;margin-top:24.05pt;height:15.6pt;width:0pt;z-index:251752448;mso-width-relative:page;mso-height-relative:page;" filled="f" stroked="t" coordsize="21600,21600" o:gfxdata="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Nz1I11wAAAAkBAAAPAAAAAAAAAAEAIAAAACIAAABkcnMvZG93bnJldi54bWxQSwECFAAUAAAA&#10;CACHTuJAwOMd5e8BAACgAwAADgAAAAAAAAABACAAAAAmAQAAZHJzL2Uyb0RvYy54bWxQSwUGAAAA&#10;AAYABgBZAQAAhwUAAAAA&#10;">
                <v:fill on="f" focussize="0,0"/>
                <v:stroke weight="1.25pt" color="#000000" joinstyle="round" endarrow="block"/>
                <v:imagedata o:title=""/>
                <o:lock v:ext="edit" aspectratio="f"/>
              </v:shape>
            </w:pict>
          </mc:Fallback>
        </mc:AlternateContent>
      </w:r>
      <w:r>
        <w:rPr>
          <w:rFonts w:eastAsia="方正仿宋_GBK"/>
          <w:color w:val="000000"/>
        </w:rPr>
        <mc:AlternateContent>
          <mc:Choice Requires="wps">
            <w:drawing>
              <wp:anchor distT="0" distB="0" distL="114300" distR="114300" simplePos="0" relativeHeight="251736064" behindDoc="0" locked="0" layoutInCell="1" allowOverlap="1">
                <wp:simplePos x="0" y="0"/>
                <wp:positionH relativeFrom="column">
                  <wp:posOffset>2047875</wp:posOffset>
                </wp:positionH>
                <wp:positionV relativeFrom="paragraph">
                  <wp:posOffset>537845</wp:posOffset>
                </wp:positionV>
                <wp:extent cx="1400175" cy="400050"/>
                <wp:effectExtent l="0" t="0" r="9525" b="0"/>
                <wp:wrapNone/>
                <wp:docPr id="7" name="矩形 7"/>
                <wp:cNvGraphicFramePr/>
                <a:graphic xmlns:a="http://schemas.openxmlformats.org/drawingml/2006/main">
                  <a:graphicData uri="http://schemas.microsoft.com/office/word/2010/wordprocessingShape">
                    <wps:wsp>
                      <wps:cNvSpPr/>
                      <wps:spPr>
                        <a:xfrm>
                          <a:off x="0" y="0"/>
                          <a:ext cx="1400175" cy="400050"/>
                        </a:xfrm>
                        <a:prstGeom prst="rect">
                          <a:avLst/>
                        </a:prstGeom>
                        <a:solidFill>
                          <a:sysClr val="window" lastClr="FFFFFF"/>
                        </a:solidFill>
                        <a:ln w="12700" cap="flat" cmpd="sng" algn="ctr">
                          <a:solidFill>
                            <a:sysClr val="windowText" lastClr="000000"/>
                          </a:solidFill>
                          <a:prstDash val="solid"/>
                        </a:ln>
                        <a:effectLst/>
                      </wps:spPr>
                      <wps:txbx>
                        <w:txbxContent>
                          <w:p>
                            <w:pPr>
                              <w:adjustRightInd w:val="0"/>
                              <w:snapToGrid w:val="0"/>
                              <w:jc w:val="center"/>
                              <w:rPr>
                                <w:rFonts w:asciiTheme="minorHAnsi" w:hAnsiTheme="minorHAnsi" w:eastAsiaTheme="minorEastAsia" w:cstheme="minorBidi"/>
                                <w:b/>
                                <w:color w:val="000000"/>
                                <w:sz w:val="21"/>
                                <w:szCs w:val="22"/>
                              </w:rPr>
                            </w:pPr>
                            <w:r>
                              <w:rPr>
                                <w:rFonts w:hint="eastAsia" w:asciiTheme="minorHAnsi" w:hAnsiTheme="minorHAnsi" w:eastAsiaTheme="minorEastAsia" w:cstheme="minorBidi"/>
                                <w:b/>
                                <w:color w:val="000000"/>
                                <w:sz w:val="21"/>
                                <w:szCs w:val="22"/>
                              </w:rPr>
                              <w:t>现场递交申请材料</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1.25pt;margin-top:42.35pt;height:31.5pt;width:110.25pt;z-index:251736064;v-text-anchor:middle;mso-width-relative:page;mso-height-relative:page;" fillcolor="#FFFFFF" filled="t" stroked="t" coordsize="21600,21600" o:gfxdata="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AmtilHXAAAACgEAAA8AAAAAAAAAAQAgAAAAIgAAAGRycy9kb3ducmV2LnhtbFBLAQIUABQA&#10;AAAIAIdO4kAEFgigYwIAAMwEAAAOAAAAAAAAAAEAIAAAACYBAABkcnMvZTJvRG9jLnhtbFBLBQYA&#10;AAAABgAGAFkBAAD7BQAAAAA=&#10;">
                <v:fill on="t" focussize="0,0"/>
                <v:stroke weight="1pt" color="#000000" joinstyle="round"/>
                <v:imagedata o:title=""/>
                <o:lock v:ext="edit" aspectratio="f"/>
                <v:textbox>
                  <w:txbxContent>
                    <w:p>
                      <w:pPr>
                        <w:adjustRightInd w:val="0"/>
                        <w:snapToGrid w:val="0"/>
                        <w:jc w:val="center"/>
                        <w:rPr>
                          <w:rFonts w:asciiTheme="minorHAnsi" w:hAnsiTheme="minorHAnsi" w:eastAsiaTheme="minorEastAsia" w:cstheme="minorBidi"/>
                          <w:b/>
                          <w:color w:val="000000"/>
                          <w:sz w:val="21"/>
                          <w:szCs w:val="22"/>
                        </w:rPr>
                      </w:pPr>
                      <w:r>
                        <w:rPr>
                          <w:rFonts w:hint="eastAsia" w:asciiTheme="minorHAnsi" w:hAnsiTheme="minorHAnsi" w:eastAsiaTheme="minorEastAsia" w:cstheme="minorBidi"/>
                          <w:b/>
                          <w:color w:val="000000"/>
                          <w:sz w:val="21"/>
                          <w:szCs w:val="22"/>
                        </w:rPr>
                        <w:t>现场递交申请材料</w:t>
                      </w:r>
                    </w:p>
                  </w:txbxContent>
                </v:textbox>
              </v:rect>
            </w:pict>
          </mc:Fallback>
        </mc:AlternateContent>
      </w:r>
    </w:p>
    <w:p>
      <w:pPr>
        <w:adjustRightInd w:val="0"/>
        <w:snapToGrid w:val="0"/>
        <w:spacing w:line="570" w:lineRule="exact"/>
        <w:jc w:val="center"/>
        <w:rPr>
          <w:rFonts w:eastAsia="方正仿宋_GBK" w:cs="方正仿宋_GBK"/>
          <w:color w:val="000000"/>
        </w:rPr>
      </w:pPr>
      <w:r>
        <w:rPr>
          <w:rFonts w:eastAsia="方正仿宋_GBK"/>
          <w:b/>
          <w:color w:val="000000"/>
          <w:kern w:val="44"/>
          <w:sz w:val="44"/>
          <w:szCs w:val="44"/>
        </w:rPr>
        <mc:AlternateContent>
          <mc:Choice Requires="wps">
            <w:drawing>
              <wp:anchor distT="0" distB="0" distL="113665" distR="113665" simplePos="0" relativeHeight="251906048" behindDoc="0" locked="0" layoutInCell="1" allowOverlap="1">
                <wp:simplePos x="0" y="0"/>
                <wp:positionH relativeFrom="column">
                  <wp:posOffset>2749550</wp:posOffset>
                </wp:positionH>
                <wp:positionV relativeFrom="paragraph">
                  <wp:posOffset>172720</wp:posOffset>
                </wp:positionV>
                <wp:extent cx="0" cy="228600"/>
                <wp:effectExtent l="76200" t="0" r="38100" b="38100"/>
                <wp:wrapNone/>
                <wp:docPr id="37" name="直接箭头连接符 37"/>
                <wp:cNvGraphicFramePr/>
                <a:graphic xmlns:a="http://schemas.openxmlformats.org/drawingml/2006/main">
                  <a:graphicData uri="http://schemas.microsoft.com/office/word/2010/wordprocessingShape">
                    <wps:wsp>
                      <wps:cNvCnPr/>
                      <wps:spPr>
                        <a:xfrm>
                          <a:off x="0" y="0"/>
                          <a:ext cx="0" cy="228600"/>
                        </a:xfrm>
                        <a:prstGeom prst="straightConnector1">
                          <a:avLst/>
                        </a:prstGeom>
                        <a:noFill/>
                        <a:ln w="15875" cap="flat" cmpd="sng" algn="ctr">
                          <a:solidFill>
                            <a:sysClr val="windowText" lastClr="000000"/>
                          </a:solidFill>
                          <a:prstDash val="solid"/>
                          <a:tailEnd type="triangle"/>
                        </a:ln>
                        <a:effectLst/>
                      </wps:spPr>
                      <wps:bodyPr/>
                    </wps:wsp>
                  </a:graphicData>
                </a:graphic>
              </wp:anchor>
            </w:drawing>
          </mc:Choice>
          <mc:Fallback>
            <w:pict>
              <v:shape id="_x0000_s1026" o:spid="_x0000_s1026" o:spt="32" type="#_x0000_t32" style="position:absolute;left:0pt;margin-left:216.5pt;margin-top:13.6pt;height:18pt;width:0pt;z-index:251906048;mso-width-relative:page;mso-height-relative:page;" filled="f" stroked="t" coordsize="21600,21600" o:gfxdata="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JYlXNvYAAAACQEAAA8AAAAAAAAAAQAgAAAAIgAAAGRycy9kb3ducmV2LnhtbFBLAQIUABQA&#10;AAAIAIdO4kDD/Jm58AEAAKADAAAOAAAAAAAAAAEAIAAAACcBAABkcnMvZTJvRG9jLnhtbFBLBQYA&#10;AAAABgAGAFkBAACJBQAAAAA=&#10;">
                <v:fill on="f" focussize="0,0"/>
                <v:stroke weight="1.25pt" color="#000000" joinstyle="round" endarrow="block"/>
                <v:imagedata o:title=""/>
                <o:lock v:ext="edit" aspectratio="f"/>
              </v:shape>
            </w:pict>
          </mc:Fallback>
        </mc:AlternateContent>
      </w:r>
    </w:p>
    <w:p>
      <w:pPr>
        <w:pStyle w:val="2"/>
        <w:spacing w:line="570" w:lineRule="exact"/>
        <w:rPr>
          <w:rFonts w:eastAsia="方正仿宋_GBK"/>
        </w:rPr>
      </w:pPr>
      <w:r>
        <w:rPr>
          <w:rFonts w:eastAsia="方正仿宋_GBK"/>
          <w:color w:val="000000"/>
        </w:rPr>
        <mc:AlternateContent>
          <mc:Choice Requires="wps">
            <w:drawing>
              <wp:anchor distT="0" distB="0" distL="114300" distR="114300" simplePos="0" relativeHeight="251740160" behindDoc="0" locked="0" layoutInCell="1" allowOverlap="1">
                <wp:simplePos x="0" y="0"/>
                <wp:positionH relativeFrom="column">
                  <wp:posOffset>2022475</wp:posOffset>
                </wp:positionH>
                <wp:positionV relativeFrom="paragraph">
                  <wp:posOffset>81915</wp:posOffset>
                </wp:positionV>
                <wp:extent cx="1429385" cy="426720"/>
                <wp:effectExtent l="0" t="0" r="0" b="0"/>
                <wp:wrapNone/>
                <wp:docPr id="9" name="矩形 9"/>
                <wp:cNvGraphicFramePr/>
                <a:graphic xmlns:a="http://schemas.openxmlformats.org/drawingml/2006/main">
                  <a:graphicData uri="http://schemas.microsoft.com/office/word/2010/wordprocessingShape">
                    <wps:wsp>
                      <wps:cNvSpPr/>
                      <wps:spPr>
                        <a:xfrm>
                          <a:off x="0" y="0"/>
                          <a:ext cx="1429385" cy="426720"/>
                        </a:xfrm>
                        <a:prstGeom prst="rect">
                          <a:avLst/>
                        </a:prstGeom>
                        <a:solidFill>
                          <a:sysClr val="window" lastClr="FFFFFF"/>
                        </a:solidFill>
                        <a:ln w="12700" cap="flat" cmpd="sng" algn="ctr">
                          <a:solidFill>
                            <a:sysClr val="windowText" lastClr="000000"/>
                          </a:solidFill>
                          <a:prstDash val="solid"/>
                        </a:ln>
                        <a:effectLst/>
                      </wps:spPr>
                      <wps:txbx>
                        <w:txbxContent>
                          <w:p>
                            <w:pPr>
                              <w:adjustRightInd w:val="0"/>
                              <w:snapToGrid w:val="0"/>
                              <w:jc w:val="center"/>
                              <w:rPr>
                                <w:rFonts w:asciiTheme="minorHAnsi" w:hAnsiTheme="minorHAnsi" w:eastAsiaTheme="minorEastAsia" w:cstheme="minorBidi"/>
                                <w:b/>
                                <w:color w:val="000000"/>
                                <w:sz w:val="21"/>
                                <w:szCs w:val="22"/>
                              </w:rPr>
                            </w:pPr>
                            <w:r>
                              <w:rPr>
                                <w:rFonts w:hint="eastAsia" w:cstheme="minorBidi"/>
                                <w:b/>
                                <w:color w:val="000000"/>
                                <w:sz w:val="21"/>
                                <w:szCs w:val="22"/>
                              </w:rPr>
                              <w:t>公开拟中选结果</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59.25pt;margin-top:6.45pt;height:33.6pt;width:112.55pt;z-index:251740160;v-text-anchor:middle;mso-width-relative:page;mso-height-relative:page;" fillcolor="#FFFFFF" filled="t" stroked="t" coordsize="21600,21600" o:gfxdata="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Sm/cv9cAAAAJAQAADwAAAAAAAAABACAAAAAiAAAAZHJzL2Rvd25yZXYueG1sUEsBAhQA&#10;FAAAAAgAh07iQEHO6v1lAgAAzAQAAA4AAAAAAAAAAQAgAAAAJgEAAGRycy9lMm9Eb2MueG1sUEsF&#10;BgAAAAAGAAYAWQEAAP0FAAAAAA==&#10;">
                <v:fill on="t" focussize="0,0"/>
                <v:stroke weight="1pt" color="#000000" joinstyle="round"/>
                <v:imagedata o:title=""/>
                <o:lock v:ext="edit" aspectratio="f"/>
                <v:textbox>
                  <w:txbxContent>
                    <w:p>
                      <w:pPr>
                        <w:adjustRightInd w:val="0"/>
                        <w:snapToGrid w:val="0"/>
                        <w:jc w:val="center"/>
                        <w:rPr>
                          <w:rFonts w:asciiTheme="minorHAnsi" w:hAnsiTheme="minorHAnsi" w:eastAsiaTheme="minorEastAsia" w:cstheme="minorBidi"/>
                          <w:b/>
                          <w:color w:val="000000"/>
                          <w:sz w:val="21"/>
                          <w:szCs w:val="22"/>
                        </w:rPr>
                      </w:pPr>
                      <w:r>
                        <w:rPr>
                          <w:rFonts w:hint="eastAsia" w:cstheme="minorBidi"/>
                          <w:b/>
                          <w:color w:val="000000"/>
                          <w:sz w:val="21"/>
                          <w:szCs w:val="22"/>
                        </w:rPr>
                        <w:t>公开拟中选结果</w:t>
                      </w:r>
                    </w:p>
                  </w:txbxContent>
                </v:textbox>
              </v:rect>
            </w:pict>
          </mc:Fallback>
        </mc:AlternateContent>
      </w:r>
      <w:r>
        <w:rPr>
          <w:rFonts w:eastAsia="方正仿宋_GBK"/>
          <w:color w:val="000000"/>
        </w:rPr>
        <mc:AlternateContent>
          <mc:Choice Requires="wps">
            <w:drawing>
              <wp:anchor distT="0" distB="0" distL="114300" distR="114300" simplePos="0" relativeHeight="251762688" behindDoc="0" locked="0" layoutInCell="1" allowOverlap="1">
                <wp:simplePos x="0" y="0"/>
                <wp:positionH relativeFrom="column">
                  <wp:posOffset>2740660</wp:posOffset>
                </wp:positionH>
                <wp:positionV relativeFrom="paragraph">
                  <wp:posOffset>527685</wp:posOffset>
                </wp:positionV>
                <wp:extent cx="5080" cy="295910"/>
                <wp:effectExtent l="76200" t="0" r="52070" b="46990"/>
                <wp:wrapNone/>
                <wp:docPr id="23" name="直接箭头连接符 23"/>
                <wp:cNvGraphicFramePr/>
                <a:graphic xmlns:a="http://schemas.openxmlformats.org/drawingml/2006/main">
                  <a:graphicData uri="http://schemas.microsoft.com/office/word/2010/wordprocessingShape">
                    <wps:wsp>
                      <wps:cNvCnPr/>
                      <wps:spPr>
                        <a:xfrm flipH="1">
                          <a:off x="0" y="0"/>
                          <a:ext cx="5080" cy="295910"/>
                        </a:xfrm>
                        <a:prstGeom prst="straightConnector1">
                          <a:avLst/>
                        </a:prstGeom>
                        <a:noFill/>
                        <a:ln w="15875" cap="flat" cmpd="sng" algn="ctr">
                          <a:solidFill>
                            <a:sysClr val="windowText" lastClr="000000"/>
                          </a:solidFill>
                          <a:prstDash val="solid"/>
                          <a:tailEnd type="triangle"/>
                        </a:ln>
                        <a:effectLst/>
                      </wps:spPr>
                      <wps:bodyPr/>
                    </wps:wsp>
                  </a:graphicData>
                </a:graphic>
              </wp:anchor>
            </w:drawing>
          </mc:Choice>
          <mc:Fallback>
            <w:pict>
              <v:shape id="_x0000_s1026" o:spid="_x0000_s1026" o:spt="32" type="#_x0000_t32" style="position:absolute;left:0pt;flip:x;margin-left:215.8pt;margin-top:41.55pt;height:23.3pt;width:0.4pt;z-index:251762688;mso-width-relative:page;mso-height-relative:page;" filled="f" stroked="t" coordsize="21600,21600" o:gfxdata="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bYfIAtsAAAAKAQAADwAAAAAAAAABACAAAAAiAAAAZHJzL2Rvd25y&#10;ZXYueG1sUEsBAhQAFAAAAAgAh07iQK6BVwv7AQAArQMAAA4AAAAAAAAAAQAgAAAAKgEAAGRycy9l&#10;Mm9Eb2MueG1sUEsFBgAAAAAGAAYAWQEAAJcFAAAAAA==&#10;">
                <v:fill on="f" focussize="0,0"/>
                <v:stroke weight="1.25pt" color="#000000" joinstyle="round" endarrow="block"/>
                <v:imagedata o:title=""/>
                <o:lock v:ext="edit" aspectratio="f"/>
              </v:shape>
            </w:pict>
          </mc:Fallback>
        </mc:AlternateContent>
      </w:r>
    </w:p>
    <w:p>
      <w:pPr>
        <w:pStyle w:val="6"/>
        <w:spacing w:line="570" w:lineRule="exact"/>
        <w:rPr>
          <w:rFonts w:ascii="Times New Roman" w:eastAsia="方正仿宋_GBK"/>
        </w:rPr>
      </w:pPr>
      <w:r>
        <w:rPr>
          <w:rFonts w:ascii="Times New Roman" w:eastAsia="方正仿宋_GBK"/>
        </w:rPr>
        <mc:AlternateContent>
          <mc:Choice Requires="wps">
            <w:drawing>
              <wp:anchor distT="0" distB="0" distL="114300" distR="114300" simplePos="0" relativeHeight="251756544" behindDoc="0" locked="0" layoutInCell="1" allowOverlap="1">
                <wp:simplePos x="0" y="0"/>
                <wp:positionH relativeFrom="column">
                  <wp:posOffset>2101850</wp:posOffset>
                </wp:positionH>
                <wp:positionV relativeFrom="paragraph">
                  <wp:posOffset>14605</wp:posOffset>
                </wp:positionV>
                <wp:extent cx="1371600" cy="400050"/>
                <wp:effectExtent l="0" t="0" r="0" b="0"/>
                <wp:wrapNone/>
                <wp:docPr id="19" name="矩形 19"/>
                <wp:cNvGraphicFramePr/>
                <a:graphic xmlns:a="http://schemas.openxmlformats.org/drawingml/2006/main">
                  <a:graphicData uri="http://schemas.microsoft.com/office/word/2010/wordprocessingShape">
                    <wps:wsp>
                      <wps:cNvSpPr/>
                      <wps:spPr>
                        <a:xfrm>
                          <a:off x="0" y="0"/>
                          <a:ext cx="1371600" cy="400050"/>
                        </a:xfrm>
                        <a:prstGeom prst="rect">
                          <a:avLst/>
                        </a:prstGeom>
                        <a:solidFill>
                          <a:sysClr val="window" lastClr="FFFFFF"/>
                        </a:solidFill>
                        <a:ln w="12700" cap="flat" cmpd="sng" algn="ctr">
                          <a:solidFill>
                            <a:sysClr val="windowText" lastClr="000000"/>
                          </a:solidFill>
                          <a:prstDash val="solid"/>
                        </a:ln>
                        <a:effectLst/>
                      </wps:spPr>
                      <wps:txbx>
                        <w:txbxContent>
                          <w:p>
                            <w:pPr>
                              <w:adjustRightInd w:val="0"/>
                              <w:snapToGrid w:val="0"/>
                              <w:jc w:val="center"/>
                              <w:rPr>
                                <w:rFonts w:asciiTheme="minorHAnsi" w:hAnsiTheme="minorHAnsi" w:eastAsiaTheme="minorEastAsia" w:cstheme="minorBidi"/>
                                <w:b/>
                                <w:color w:val="000000"/>
                                <w:sz w:val="21"/>
                                <w:szCs w:val="22"/>
                              </w:rPr>
                            </w:pPr>
                            <w:r>
                              <w:rPr>
                                <w:rFonts w:hint="eastAsia" w:asciiTheme="minorHAnsi" w:hAnsiTheme="minorHAnsi" w:eastAsiaTheme="minorEastAsia" w:cstheme="minorBidi"/>
                                <w:b/>
                                <w:color w:val="000000"/>
                                <w:sz w:val="21"/>
                                <w:szCs w:val="22"/>
                              </w:rPr>
                              <w:t>拟中选结果公示</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5.5pt;margin-top:1.15pt;height:31.5pt;width:108pt;z-index:251756544;v-text-anchor:middle;mso-width-relative:page;mso-height-relative:page;" fillcolor="#FFFFFF" filled="t" stroked="t" coordsize="21600,21600" o:gfxdata="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vtoBdtUAAAAIAQAADwAAAAAAAAABACAAAAAiAAAAZHJzL2Rvd25yZXYueG1sUEsBAhQAFAAA&#10;AAgAh07iQCdBI1VkAgAAzgQAAA4AAAAAAAAAAQAgAAAAJAEAAGRycy9lMm9Eb2MueG1sUEsFBgAA&#10;AAAGAAYAWQEAAPoFAAAAAA==&#10;">
                <v:fill on="t" focussize="0,0"/>
                <v:stroke weight="1pt" color="#000000" joinstyle="round"/>
                <v:imagedata o:title=""/>
                <o:lock v:ext="edit" aspectratio="f"/>
                <v:textbox>
                  <w:txbxContent>
                    <w:p>
                      <w:pPr>
                        <w:adjustRightInd w:val="0"/>
                        <w:snapToGrid w:val="0"/>
                        <w:jc w:val="center"/>
                        <w:rPr>
                          <w:rFonts w:asciiTheme="minorHAnsi" w:hAnsiTheme="minorHAnsi" w:eastAsiaTheme="minorEastAsia" w:cstheme="minorBidi"/>
                          <w:b/>
                          <w:color w:val="000000"/>
                          <w:sz w:val="21"/>
                          <w:szCs w:val="22"/>
                        </w:rPr>
                      </w:pPr>
                      <w:r>
                        <w:rPr>
                          <w:rFonts w:hint="eastAsia" w:asciiTheme="minorHAnsi" w:hAnsiTheme="minorHAnsi" w:eastAsiaTheme="minorEastAsia" w:cstheme="minorBidi"/>
                          <w:b/>
                          <w:color w:val="000000"/>
                          <w:sz w:val="21"/>
                          <w:szCs w:val="22"/>
                        </w:rPr>
                        <w:t>拟中选结果公示</w:t>
                      </w:r>
                    </w:p>
                  </w:txbxContent>
                </v:textbox>
              </v:rect>
            </w:pict>
          </mc:Fallback>
        </mc:AlternateContent>
      </w:r>
    </w:p>
    <w:p>
      <w:pPr>
        <w:pStyle w:val="6"/>
        <w:spacing w:line="570" w:lineRule="exact"/>
        <w:rPr>
          <w:rFonts w:ascii="Times New Roman" w:eastAsia="方正仿宋_GBK"/>
        </w:rPr>
      </w:pPr>
      <w:r>
        <w:rPr>
          <w:rFonts w:ascii="Times New Roman" w:eastAsia="方正仿宋_GBK"/>
        </w:rPr>
        <mc:AlternateContent>
          <mc:Choice Requires="wps">
            <w:drawing>
              <wp:anchor distT="0" distB="0" distL="113665" distR="113665" simplePos="0" relativeHeight="252028928" behindDoc="0" locked="0" layoutInCell="1" allowOverlap="1">
                <wp:simplePos x="0" y="0"/>
                <wp:positionH relativeFrom="column">
                  <wp:posOffset>2752725</wp:posOffset>
                </wp:positionH>
                <wp:positionV relativeFrom="paragraph">
                  <wp:posOffset>90805</wp:posOffset>
                </wp:positionV>
                <wp:extent cx="0" cy="228600"/>
                <wp:effectExtent l="76200" t="0" r="38100" b="38100"/>
                <wp:wrapNone/>
                <wp:docPr id="5" name="直接箭头连接符 37"/>
                <wp:cNvGraphicFramePr/>
                <a:graphic xmlns:a="http://schemas.openxmlformats.org/drawingml/2006/main">
                  <a:graphicData uri="http://schemas.microsoft.com/office/word/2010/wordprocessingShape">
                    <wps:wsp>
                      <wps:cNvCnPr/>
                      <wps:spPr>
                        <a:xfrm>
                          <a:off x="0" y="0"/>
                          <a:ext cx="0" cy="228600"/>
                        </a:xfrm>
                        <a:prstGeom prst="straightConnector1">
                          <a:avLst/>
                        </a:prstGeom>
                        <a:noFill/>
                        <a:ln w="15875" cap="flat" cmpd="sng" algn="ctr">
                          <a:solidFill>
                            <a:sysClr val="windowText" lastClr="000000"/>
                          </a:solidFill>
                          <a:prstDash val="solid"/>
                          <a:tailEnd type="triangle"/>
                        </a:ln>
                        <a:effectLst/>
                      </wps:spPr>
                      <wps:bodyPr/>
                    </wps:wsp>
                  </a:graphicData>
                </a:graphic>
              </wp:anchor>
            </w:drawing>
          </mc:Choice>
          <mc:Fallback>
            <w:pict>
              <v:shape id="直接箭头连接符 37" o:spid="_x0000_s1026" o:spt="32" type="#_x0000_t32" style="position:absolute;left:0pt;margin-left:216.75pt;margin-top:7.15pt;height:18pt;width:0pt;z-index:252028928;mso-width-relative:page;mso-height-relative:page;" filled="f" stroked="t" coordsize="21600,21600" o:gfxdata="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JsotdfWAAAACQEAAA8AAAAAAAAAAQAgAAAAIgAAAGRycy9kb3ducmV2LnhtbFBLAQIUABQAAAAI&#10;AIdO4kDjFZ6b7wEAAJ8DAAAOAAAAAAAAAAEAIAAAACUBAABkcnMvZTJvRG9jLnhtbFBLBQYAAAAA&#10;BgAGAFkBAACGBQAAAAA=&#10;">
                <v:fill on="f" focussize="0,0"/>
                <v:stroke weight="1.25pt" color="#000000" joinstyle="round" endarrow="block"/>
                <v:imagedata o:title=""/>
                <o:lock v:ext="edit" aspectratio="f"/>
              </v:shape>
            </w:pict>
          </mc:Fallback>
        </mc:AlternateContent>
      </w:r>
      <w:r>
        <w:rPr>
          <w:rFonts w:ascii="Times New Roman" w:eastAsia="方正仿宋_GBK"/>
          <w:b/>
        </w:rPr>
        <mc:AlternateContent>
          <mc:Choice Requires="wps">
            <w:drawing>
              <wp:anchor distT="0" distB="0" distL="114300" distR="114300" simplePos="0" relativeHeight="251760640" behindDoc="0" locked="0" layoutInCell="1" allowOverlap="1">
                <wp:simplePos x="0" y="0"/>
                <wp:positionH relativeFrom="column">
                  <wp:posOffset>2106295</wp:posOffset>
                </wp:positionH>
                <wp:positionV relativeFrom="paragraph">
                  <wp:posOffset>354965</wp:posOffset>
                </wp:positionV>
                <wp:extent cx="1371600" cy="400050"/>
                <wp:effectExtent l="0" t="0" r="0" b="0"/>
                <wp:wrapNone/>
                <wp:docPr id="22" name="矩形 22"/>
                <wp:cNvGraphicFramePr/>
                <a:graphic xmlns:a="http://schemas.openxmlformats.org/drawingml/2006/main">
                  <a:graphicData uri="http://schemas.microsoft.com/office/word/2010/wordprocessingShape">
                    <wps:wsp>
                      <wps:cNvSpPr/>
                      <wps:spPr>
                        <a:xfrm>
                          <a:off x="0" y="0"/>
                          <a:ext cx="1371600" cy="400050"/>
                        </a:xfrm>
                        <a:prstGeom prst="rect">
                          <a:avLst/>
                        </a:prstGeom>
                        <a:solidFill>
                          <a:sysClr val="window" lastClr="FFFFFF"/>
                        </a:solidFill>
                        <a:ln w="12700" cap="flat" cmpd="sng" algn="ctr">
                          <a:solidFill>
                            <a:sysClr val="windowText" lastClr="000000"/>
                          </a:solidFill>
                          <a:prstDash val="solid"/>
                        </a:ln>
                        <a:effectLst/>
                      </wps:spPr>
                      <wps:txbx>
                        <w:txbxContent>
                          <w:p>
                            <w:pPr>
                              <w:adjustRightInd w:val="0"/>
                              <w:snapToGrid w:val="0"/>
                              <w:jc w:val="center"/>
                              <w:rPr>
                                <w:b/>
                                <w:color w:val="000000"/>
                              </w:rPr>
                            </w:pPr>
                            <w:r>
                              <w:rPr>
                                <w:rFonts w:hint="eastAsia" w:asciiTheme="minorHAnsi" w:hAnsiTheme="minorHAnsi" w:eastAsiaTheme="minorEastAsia" w:cstheme="minorBidi"/>
                                <w:b/>
                                <w:color w:val="000000"/>
                                <w:sz w:val="21"/>
                                <w:szCs w:val="22"/>
                              </w:rPr>
                              <w:t>统一执行网上采购</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5.85pt;margin-top:27.95pt;height:31.5pt;width:108pt;z-index:251760640;v-text-anchor:middle;mso-width-relative:page;mso-height-relative:page;" fillcolor="#FFFFFF" filled="t" stroked="t" coordsize="21600,21600" o:gfxdata="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CLdrlB1wAAAAoBAAAPAAAAAAAAAAEAIAAAACIAAABkcnMvZG93bnJldi54bWxQSwECFAAU&#10;AAAACACHTuJAbFKjsWQCAADOBAAADgAAAAAAAAABACAAAAAmAQAAZHJzL2Uyb0RvYy54bWxQSwUG&#10;AAAAAAYABgBZAQAA/AUAAAAA&#10;">
                <v:fill on="t" focussize="0,0"/>
                <v:stroke weight="1pt" color="#000000" joinstyle="round"/>
                <v:imagedata o:title=""/>
                <o:lock v:ext="edit" aspectratio="f"/>
                <v:textbox>
                  <w:txbxContent>
                    <w:p>
                      <w:pPr>
                        <w:adjustRightInd w:val="0"/>
                        <w:snapToGrid w:val="0"/>
                        <w:jc w:val="center"/>
                        <w:rPr>
                          <w:b/>
                          <w:color w:val="000000"/>
                        </w:rPr>
                      </w:pPr>
                      <w:r>
                        <w:rPr>
                          <w:rFonts w:hint="eastAsia" w:asciiTheme="minorHAnsi" w:hAnsiTheme="minorHAnsi" w:eastAsiaTheme="minorEastAsia" w:cstheme="minorBidi"/>
                          <w:b/>
                          <w:color w:val="000000"/>
                          <w:sz w:val="21"/>
                          <w:szCs w:val="22"/>
                        </w:rPr>
                        <w:t>统一执行网上采购</w:t>
                      </w:r>
                    </w:p>
                  </w:txbxContent>
                </v:textbox>
              </v:rect>
            </w:pict>
          </mc:Fallback>
        </mc:AlternateContent>
      </w:r>
    </w:p>
    <w:p>
      <w:pPr>
        <w:pStyle w:val="6"/>
        <w:spacing w:line="570" w:lineRule="exact"/>
        <w:rPr>
          <w:rFonts w:ascii="Times New Roman" w:eastAsia="方正仿宋_GBK"/>
        </w:rPr>
      </w:pPr>
    </w:p>
    <w:p>
      <w:pPr>
        <w:spacing w:line="570" w:lineRule="exact"/>
        <w:jc w:val="center"/>
        <w:rPr>
          <w:rFonts w:ascii="方正小标宋_GBK" w:hAnsi="方正小标宋_GBK" w:eastAsia="方正小标宋_GBK" w:cs="方正小标宋_GBK"/>
          <w:sz w:val="44"/>
          <w:szCs w:val="44"/>
        </w:rPr>
        <w:sectPr>
          <w:headerReference r:id="rId8" w:type="first"/>
          <w:headerReference r:id="rId6" w:type="default"/>
          <w:footerReference r:id="rId9" w:type="default"/>
          <w:headerReference r:id="rId7" w:type="even"/>
          <w:pgSz w:w="11906" w:h="16838"/>
          <w:pgMar w:top="2098" w:right="1474" w:bottom="1984" w:left="1587" w:header="851" w:footer="992" w:gutter="0"/>
          <w:pgNumType w:fmt="numberInDash" w:start="1"/>
          <w:cols w:space="0" w:num="1"/>
          <w:formProt w:val="0"/>
          <w:docGrid w:type="lines" w:linePitch="439" w:charSpace="0"/>
        </w:sectPr>
      </w:pPr>
    </w:p>
    <w:p>
      <w:pPr>
        <w:spacing w:line="57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目录</w:t>
      </w:r>
    </w:p>
    <w:p>
      <w:pPr>
        <w:pStyle w:val="11"/>
        <w:tabs>
          <w:tab w:val="right" w:leader="dot" w:pos="8296"/>
        </w:tabs>
        <w:spacing w:line="500" w:lineRule="exact"/>
        <w:rPr>
          <w:rFonts w:eastAsia="方正仿宋_GBK" w:cs="仿宋"/>
          <w:sz w:val="28"/>
          <w:szCs w:val="28"/>
        </w:rPr>
      </w:pPr>
    </w:p>
    <w:p>
      <w:pPr>
        <w:pStyle w:val="11"/>
        <w:tabs>
          <w:tab w:val="right" w:leader="dot" w:pos="8296"/>
        </w:tabs>
        <w:spacing w:line="500" w:lineRule="exact"/>
        <w:rPr>
          <w:rFonts w:eastAsiaTheme="minorEastAsia" w:cstheme="minorBidi"/>
          <w:sz w:val="21"/>
          <w:szCs w:val="22"/>
        </w:rPr>
      </w:pPr>
      <w:r>
        <w:rPr>
          <w:rFonts w:hint="eastAsia" w:eastAsia="方正仿宋_GBK" w:cs="仿宋"/>
          <w:sz w:val="28"/>
          <w:szCs w:val="28"/>
        </w:rPr>
        <w:fldChar w:fldCharType="begin"/>
      </w:r>
      <w:r>
        <w:rPr>
          <w:rFonts w:hint="eastAsia" w:eastAsia="方正仿宋_GBK" w:cs="仿宋"/>
          <w:sz w:val="28"/>
          <w:szCs w:val="28"/>
        </w:rPr>
        <w:instrText xml:space="preserve">TOC \o "1-2" \h \u </w:instrText>
      </w:r>
      <w:r>
        <w:rPr>
          <w:rFonts w:hint="eastAsia" w:eastAsia="方正仿宋_GBK" w:cs="仿宋"/>
          <w:sz w:val="28"/>
          <w:szCs w:val="28"/>
        </w:rPr>
        <w:fldChar w:fldCharType="separate"/>
      </w:r>
      <w:r>
        <w:fldChar w:fldCharType="begin"/>
      </w:r>
      <w:r>
        <w:instrText xml:space="preserve"> HYPERLINK \l "_Toc53152572" </w:instrText>
      </w:r>
      <w:r>
        <w:fldChar w:fldCharType="separate"/>
      </w:r>
      <w:r>
        <w:rPr>
          <w:rStyle w:val="19"/>
          <w:rFonts w:hint="eastAsia" w:eastAsia="方正仿宋_GBK"/>
        </w:rPr>
        <w:t>第一部分采购邀请</w:t>
      </w:r>
      <w:r>
        <w:tab/>
      </w:r>
      <w:r>
        <w:fldChar w:fldCharType="begin"/>
      </w:r>
      <w:r>
        <w:instrText xml:space="preserve"> PAGEREF _Toc53152572 \h </w:instrText>
      </w:r>
      <w:r>
        <w:fldChar w:fldCharType="separate"/>
      </w:r>
      <w:r>
        <w:t>- 1 -</w:t>
      </w:r>
      <w:r>
        <w:fldChar w:fldCharType="end"/>
      </w:r>
      <w:r>
        <w:fldChar w:fldCharType="end"/>
      </w:r>
    </w:p>
    <w:p>
      <w:pPr>
        <w:pStyle w:val="12"/>
        <w:tabs>
          <w:tab w:val="right" w:leader="dot" w:pos="8296"/>
        </w:tabs>
        <w:spacing w:line="500" w:lineRule="exact"/>
        <w:ind w:left="0" w:leftChars="0"/>
        <w:rPr>
          <w:rFonts w:eastAsiaTheme="minorEastAsia" w:cstheme="minorBidi"/>
          <w:sz w:val="21"/>
          <w:szCs w:val="22"/>
        </w:rPr>
      </w:pPr>
      <w:r>
        <w:fldChar w:fldCharType="begin"/>
      </w:r>
      <w:r>
        <w:instrText xml:space="preserve"> HYPERLINK \l "_Toc53152573" </w:instrText>
      </w:r>
      <w:r>
        <w:fldChar w:fldCharType="separate"/>
      </w:r>
      <w:r>
        <w:rPr>
          <w:rStyle w:val="19"/>
          <w:rFonts w:hint="eastAsia" w:eastAsia="方正仿宋_GBK" w:cs="方正黑体_GBK"/>
          <w:kern w:val="32"/>
        </w:rPr>
        <w:t>一、采购品种及数量</w:t>
      </w:r>
      <w:r>
        <w:tab/>
      </w:r>
      <w:r>
        <w:fldChar w:fldCharType="begin"/>
      </w:r>
      <w:r>
        <w:instrText xml:space="preserve"> PAGEREF _Toc53152573 \h </w:instrText>
      </w:r>
      <w:r>
        <w:fldChar w:fldCharType="separate"/>
      </w:r>
      <w:r>
        <w:t>- 2 -</w:t>
      </w:r>
      <w:r>
        <w:fldChar w:fldCharType="end"/>
      </w:r>
      <w:r>
        <w:fldChar w:fldCharType="end"/>
      </w:r>
    </w:p>
    <w:p>
      <w:pPr>
        <w:pStyle w:val="12"/>
        <w:tabs>
          <w:tab w:val="right" w:leader="dot" w:pos="8296"/>
        </w:tabs>
        <w:spacing w:line="500" w:lineRule="exact"/>
        <w:ind w:left="0" w:leftChars="0"/>
        <w:rPr>
          <w:rFonts w:eastAsiaTheme="minorEastAsia" w:cstheme="minorBidi"/>
          <w:sz w:val="21"/>
          <w:szCs w:val="22"/>
        </w:rPr>
      </w:pPr>
      <w:r>
        <w:fldChar w:fldCharType="begin"/>
      </w:r>
      <w:r>
        <w:instrText xml:space="preserve"> HYPERLINK \l "_Toc53152574" </w:instrText>
      </w:r>
      <w:r>
        <w:fldChar w:fldCharType="separate"/>
      </w:r>
      <w:r>
        <w:rPr>
          <w:rStyle w:val="19"/>
          <w:rFonts w:hint="eastAsia" w:eastAsia="方正仿宋_GBK" w:cs="方正黑体_GBK"/>
          <w:kern w:val="32"/>
        </w:rPr>
        <w:t>二、采购周期</w:t>
      </w:r>
      <w:r>
        <w:tab/>
      </w:r>
      <w:r>
        <w:fldChar w:fldCharType="begin"/>
      </w:r>
      <w:r>
        <w:instrText xml:space="preserve"> PAGEREF _Toc53152574 \h </w:instrText>
      </w:r>
      <w:r>
        <w:fldChar w:fldCharType="separate"/>
      </w:r>
      <w:r>
        <w:t>- 4 -</w:t>
      </w:r>
      <w:r>
        <w:fldChar w:fldCharType="end"/>
      </w:r>
      <w:r>
        <w:fldChar w:fldCharType="end"/>
      </w:r>
    </w:p>
    <w:p>
      <w:pPr>
        <w:pStyle w:val="12"/>
        <w:tabs>
          <w:tab w:val="right" w:leader="dot" w:pos="8296"/>
        </w:tabs>
        <w:spacing w:line="500" w:lineRule="exact"/>
        <w:ind w:left="0" w:leftChars="0"/>
        <w:rPr>
          <w:rFonts w:eastAsiaTheme="minorEastAsia" w:cstheme="minorBidi"/>
          <w:sz w:val="21"/>
          <w:szCs w:val="22"/>
        </w:rPr>
      </w:pPr>
      <w:r>
        <w:fldChar w:fldCharType="begin"/>
      </w:r>
      <w:r>
        <w:instrText xml:space="preserve"> HYPERLINK \l "_Toc53152575" </w:instrText>
      </w:r>
      <w:r>
        <w:fldChar w:fldCharType="separate"/>
      </w:r>
      <w:r>
        <w:rPr>
          <w:rStyle w:val="19"/>
          <w:rFonts w:hint="eastAsia" w:eastAsia="方正仿宋_GBK" w:cs="方正黑体_GBK"/>
          <w:kern w:val="32"/>
        </w:rPr>
        <w:t>三、申报资格</w:t>
      </w:r>
      <w:r>
        <w:tab/>
      </w:r>
      <w:r>
        <w:fldChar w:fldCharType="begin"/>
      </w:r>
      <w:r>
        <w:instrText xml:space="preserve"> PAGEREF _Toc53152575 \h </w:instrText>
      </w:r>
      <w:r>
        <w:fldChar w:fldCharType="separate"/>
      </w:r>
      <w:r>
        <w:t>- 4 -</w:t>
      </w:r>
      <w:r>
        <w:fldChar w:fldCharType="end"/>
      </w:r>
      <w:r>
        <w:fldChar w:fldCharType="end"/>
      </w:r>
    </w:p>
    <w:p>
      <w:pPr>
        <w:pStyle w:val="12"/>
        <w:tabs>
          <w:tab w:val="right" w:leader="dot" w:pos="8296"/>
        </w:tabs>
        <w:spacing w:line="500" w:lineRule="exact"/>
        <w:ind w:left="0" w:leftChars="0"/>
        <w:rPr>
          <w:rFonts w:eastAsiaTheme="minorEastAsia" w:cstheme="minorBidi"/>
          <w:sz w:val="21"/>
          <w:szCs w:val="22"/>
        </w:rPr>
      </w:pPr>
      <w:r>
        <w:fldChar w:fldCharType="begin"/>
      </w:r>
      <w:r>
        <w:instrText xml:space="preserve"> HYPERLINK \l "_Toc53152576" </w:instrText>
      </w:r>
      <w:r>
        <w:fldChar w:fldCharType="separate"/>
      </w:r>
      <w:r>
        <w:rPr>
          <w:rStyle w:val="19"/>
          <w:rFonts w:hint="eastAsia" w:eastAsia="方正仿宋_GBK" w:cs="方正黑体_GBK"/>
          <w:kern w:val="32"/>
        </w:rPr>
        <w:t>四、采购执行说明</w:t>
      </w:r>
      <w:r>
        <w:tab/>
      </w:r>
      <w:r>
        <w:fldChar w:fldCharType="begin"/>
      </w:r>
      <w:r>
        <w:instrText xml:space="preserve"> PAGEREF _Toc53152576 \h </w:instrText>
      </w:r>
      <w:r>
        <w:fldChar w:fldCharType="separate"/>
      </w:r>
      <w:r>
        <w:t>- 6 -</w:t>
      </w:r>
      <w:r>
        <w:fldChar w:fldCharType="end"/>
      </w:r>
      <w:r>
        <w:fldChar w:fldCharType="end"/>
      </w:r>
    </w:p>
    <w:p>
      <w:pPr>
        <w:pStyle w:val="12"/>
        <w:tabs>
          <w:tab w:val="right" w:leader="dot" w:pos="8296"/>
        </w:tabs>
        <w:spacing w:line="500" w:lineRule="exact"/>
        <w:ind w:left="0" w:leftChars="0"/>
        <w:rPr>
          <w:rFonts w:eastAsiaTheme="minorEastAsia" w:cstheme="minorBidi"/>
          <w:sz w:val="21"/>
          <w:szCs w:val="22"/>
        </w:rPr>
      </w:pPr>
      <w:r>
        <w:fldChar w:fldCharType="begin"/>
      </w:r>
      <w:r>
        <w:instrText xml:space="preserve"> HYPERLINK \l "_Toc53152577" </w:instrText>
      </w:r>
      <w:r>
        <w:fldChar w:fldCharType="separate"/>
      </w:r>
      <w:r>
        <w:rPr>
          <w:rStyle w:val="19"/>
          <w:rFonts w:hint="eastAsia" w:eastAsia="方正仿宋_GBK" w:cs="方正黑体_GBK"/>
          <w:kern w:val="32"/>
        </w:rPr>
        <w:t>五、信息公告获取方式</w:t>
      </w:r>
      <w:r>
        <w:tab/>
      </w:r>
      <w:r>
        <w:fldChar w:fldCharType="begin"/>
      </w:r>
      <w:r>
        <w:instrText xml:space="preserve"> PAGEREF _Toc53152577 \h </w:instrText>
      </w:r>
      <w:r>
        <w:fldChar w:fldCharType="separate"/>
      </w:r>
      <w:r>
        <w:t>- 6 -</w:t>
      </w:r>
      <w:r>
        <w:fldChar w:fldCharType="end"/>
      </w:r>
      <w:r>
        <w:fldChar w:fldCharType="end"/>
      </w:r>
    </w:p>
    <w:p>
      <w:pPr>
        <w:pStyle w:val="12"/>
        <w:tabs>
          <w:tab w:val="right" w:leader="dot" w:pos="8296"/>
        </w:tabs>
        <w:spacing w:line="500" w:lineRule="exact"/>
        <w:ind w:left="0" w:leftChars="0"/>
        <w:rPr>
          <w:rFonts w:eastAsiaTheme="minorEastAsia" w:cstheme="minorBidi"/>
          <w:sz w:val="21"/>
          <w:szCs w:val="22"/>
        </w:rPr>
      </w:pPr>
      <w:r>
        <w:fldChar w:fldCharType="begin"/>
      </w:r>
      <w:r>
        <w:instrText xml:space="preserve"> HYPERLINK \l "_Toc53152578" </w:instrText>
      </w:r>
      <w:r>
        <w:fldChar w:fldCharType="separate"/>
      </w:r>
      <w:r>
        <w:rPr>
          <w:rStyle w:val="19"/>
          <w:rFonts w:hint="eastAsia" w:eastAsia="方正仿宋_GBK" w:cs="方正黑体_GBK"/>
          <w:kern w:val="32"/>
        </w:rPr>
        <w:t>六、申报方式</w:t>
      </w:r>
      <w:r>
        <w:tab/>
      </w:r>
      <w:r>
        <w:fldChar w:fldCharType="begin"/>
      </w:r>
      <w:r>
        <w:instrText xml:space="preserve"> PAGEREF _Toc53152578 \h </w:instrText>
      </w:r>
      <w:r>
        <w:fldChar w:fldCharType="separate"/>
      </w:r>
      <w:r>
        <w:t>- 7 -</w:t>
      </w:r>
      <w:r>
        <w:fldChar w:fldCharType="end"/>
      </w:r>
      <w:r>
        <w:fldChar w:fldCharType="end"/>
      </w:r>
    </w:p>
    <w:p>
      <w:pPr>
        <w:pStyle w:val="12"/>
        <w:tabs>
          <w:tab w:val="right" w:leader="dot" w:pos="8296"/>
        </w:tabs>
        <w:spacing w:line="500" w:lineRule="exact"/>
        <w:ind w:left="0" w:leftChars="0"/>
        <w:rPr>
          <w:rFonts w:eastAsiaTheme="minorEastAsia" w:cstheme="minorBidi"/>
          <w:sz w:val="21"/>
          <w:szCs w:val="22"/>
        </w:rPr>
      </w:pPr>
      <w:r>
        <w:fldChar w:fldCharType="begin"/>
      </w:r>
      <w:r>
        <w:instrText xml:space="preserve"> HYPERLINK \l "_Toc53152579" </w:instrText>
      </w:r>
      <w:r>
        <w:fldChar w:fldCharType="separate"/>
      </w:r>
      <w:r>
        <w:rPr>
          <w:rStyle w:val="19"/>
          <w:rFonts w:hint="eastAsia" w:eastAsia="方正仿宋_GBK" w:cs="方正黑体_GBK"/>
          <w:kern w:val="32"/>
        </w:rPr>
        <w:t>七、时间安排</w:t>
      </w:r>
      <w:r>
        <w:tab/>
      </w:r>
      <w:r>
        <w:fldChar w:fldCharType="begin"/>
      </w:r>
      <w:r>
        <w:instrText xml:space="preserve"> PAGEREF _Toc53152579 \h </w:instrText>
      </w:r>
      <w:r>
        <w:fldChar w:fldCharType="separate"/>
      </w:r>
      <w:r>
        <w:t>- 7 -</w:t>
      </w:r>
      <w:r>
        <w:fldChar w:fldCharType="end"/>
      </w:r>
      <w:r>
        <w:fldChar w:fldCharType="end"/>
      </w:r>
    </w:p>
    <w:p>
      <w:pPr>
        <w:pStyle w:val="12"/>
        <w:tabs>
          <w:tab w:val="right" w:leader="dot" w:pos="8296"/>
        </w:tabs>
        <w:spacing w:line="500" w:lineRule="exact"/>
        <w:ind w:left="0" w:leftChars="0"/>
        <w:rPr>
          <w:rFonts w:eastAsiaTheme="minorEastAsia" w:cstheme="minorBidi"/>
          <w:sz w:val="21"/>
          <w:szCs w:val="22"/>
        </w:rPr>
      </w:pPr>
      <w:r>
        <w:fldChar w:fldCharType="begin"/>
      </w:r>
      <w:r>
        <w:instrText xml:space="preserve"> HYPERLINK \l "_Toc53152580" </w:instrText>
      </w:r>
      <w:r>
        <w:fldChar w:fldCharType="separate"/>
      </w:r>
      <w:r>
        <w:rPr>
          <w:rStyle w:val="19"/>
          <w:rFonts w:hint="eastAsia" w:eastAsia="方正仿宋_GBK"/>
        </w:rPr>
        <w:t>八、现场报价地点</w:t>
      </w:r>
      <w:r>
        <w:tab/>
      </w:r>
      <w:r>
        <w:fldChar w:fldCharType="begin"/>
      </w:r>
      <w:r>
        <w:instrText xml:space="preserve"> PAGEREF _Toc53152580 \h </w:instrText>
      </w:r>
      <w:r>
        <w:fldChar w:fldCharType="separate"/>
      </w:r>
      <w:r>
        <w:t>- 7 -</w:t>
      </w:r>
      <w:r>
        <w:fldChar w:fldCharType="end"/>
      </w:r>
      <w:r>
        <w:fldChar w:fldCharType="end"/>
      </w:r>
    </w:p>
    <w:p>
      <w:pPr>
        <w:pStyle w:val="12"/>
        <w:tabs>
          <w:tab w:val="right" w:leader="dot" w:pos="8296"/>
        </w:tabs>
        <w:spacing w:line="500" w:lineRule="exact"/>
        <w:ind w:left="0" w:leftChars="0"/>
        <w:rPr>
          <w:rFonts w:eastAsiaTheme="minorEastAsia" w:cstheme="minorBidi"/>
          <w:sz w:val="21"/>
          <w:szCs w:val="22"/>
        </w:rPr>
      </w:pPr>
      <w:r>
        <w:fldChar w:fldCharType="begin"/>
      </w:r>
      <w:r>
        <w:instrText xml:space="preserve"> HYPERLINK \l "_Toc53152581" </w:instrText>
      </w:r>
      <w:r>
        <w:fldChar w:fldCharType="separate"/>
      </w:r>
      <w:r>
        <w:rPr>
          <w:rStyle w:val="19"/>
          <w:rFonts w:hint="eastAsia" w:eastAsia="方正仿宋_GBK"/>
        </w:rPr>
        <w:t>九、联系方式</w:t>
      </w:r>
      <w:r>
        <w:tab/>
      </w:r>
      <w:r>
        <w:fldChar w:fldCharType="begin"/>
      </w:r>
      <w:r>
        <w:instrText xml:space="preserve"> PAGEREF _Toc53152581 \h </w:instrText>
      </w:r>
      <w:r>
        <w:fldChar w:fldCharType="separate"/>
      </w:r>
      <w:r>
        <w:t>- 8 -</w:t>
      </w:r>
      <w:r>
        <w:fldChar w:fldCharType="end"/>
      </w:r>
      <w:r>
        <w:fldChar w:fldCharType="end"/>
      </w:r>
    </w:p>
    <w:p>
      <w:pPr>
        <w:pStyle w:val="11"/>
        <w:tabs>
          <w:tab w:val="right" w:leader="dot" w:pos="8296"/>
        </w:tabs>
        <w:spacing w:line="500" w:lineRule="exact"/>
        <w:rPr>
          <w:rFonts w:eastAsiaTheme="minorEastAsia" w:cstheme="minorBidi"/>
          <w:sz w:val="21"/>
          <w:szCs w:val="22"/>
        </w:rPr>
      </w:pPr>
      <w:r>
        <w:fldChar w:fldCharType="begin"/>
      </w:r>
      <w:r>
        <w:instrText xml:space="preserve"> HYPERLINK \l "_Toc53152582" </w:instrText>
      </w:r>
      <w:r>
        <w:fldChar w:fldCharType="separate"/>
      </w:r>
      <w:r>
        <w:rPr>
          <w:rStyle w:val="19"/>
          <w:rFonts w:hint="eastAsia" w:eastAsia="方正仿宋_GBK" w:cs="方正黑体_GBK"/>
        </w:rPr>
        <w:t>第二部分申报企业须知</w:t>
      </w:r>
      <w:r>
        <w:tab/>
      </w:r>
      <w:r>
        <w:fldChar w:fldCharType="begin"/>
      </w:r>
      <w:r>
        <w:instrText xml:space="preserve"> PAGEREF _Toc53152582 \h </w:instrText>
      </w:r>
      <w:r>
        <w:fldChar w:fldCharType="separate"/>
      </w:r>
      <w:r>
        <w:t>- 9 -</w:t>
      </w:r>
      <w:r>
        <w:fldChar w:fldCharType="end"/>
      </w:r>
      <w:r>
        <w:fldChar w:fldCharType="end"/>
      </w:r>
    </w:p>
    <w:p>
      <w:pPr>
        <w:pStyle w:val="12"/>
        <w:tabs>
          <w:tab w:val="right" w:leader="dot" w:pos="8296"/>
        </w:tabs>
        <w:spacing w:line="500" w:lineRule="exact"/>
        <w:ind w:left="0" w:leftChars="0"/>
        <w:rPr>
          <w:rFonts w:eastAsiaTheme="minorEastAsia" w:cstheme="minorBidi"/>
          <w:sz w:val="21"/>
          <w:szCs w:val="22"/>
        </w:rPr>
      </w:pPr>
      <w:r>
        <w:fldChar w:fldCharType="begin"/>
      </w:r>
      <w:r>
        <w:instrText xml:space="preserve"> HYPERLINK \l "_Toc53152583" </w:instrText>
      </w:r>
      <w:r>
        <w:fldChar w:fldCharType="separate"/>
      </w:r>
      <w:r>
        <w:rPr>
          <w:rStyle w:val="19"/>
          <w:rFonts w:hint="eastAsia" w:eastAsia="方正仿宋_GBK" w:cs="方正黑体_GBK"/>
        </w:rPr>
        <w:t>一、带量采购当事人</w:t>
      </w:r>
      <w:r>
        <w:tab/>
      </w:r>
      <w:r>
        <w:fldChar w:fldCharType="begin"/>
      </w:r>
      <w:r>
        <w:instrText xml:space="preserve"> PAGEREF _Toc53152583 \h </w:instrText>
      </w:r>
      <w:r>
        <w:fldChar w:fldCharType="separate"/>
      </w:r>
      <w:r>
        <w:t>- 9 -</w:t>
      </w:r>
      <w:r>
        <w:fldChar w:fldCharType="end"/>
      </w:r>
      <w:r>
        <w:fldChar w:fldCharType="end"/>
      </w:r>
    </w:p>
    <w:p>
      <w:pPr>
        <w:pStyle w:val="12"/>
        <w:tabs>
          <w:tab w:val="right" w:leader="dot" w:pos="8296"/>
        </w:tabs>
        <w:spacing w:line="500" w:lineRule="exact"/>
        <w:ind w:left="0" w:leftChars="0"/>
        <w:rPr>
          <w:rFonts w:eastAsiaTheme="minorEastAsia" w:cstheme="minorBidi"/>
          <w:sz w:val="21"/>
          <w:szCs w:val="22"/>
        </w:rPr>
      </w:pPr>
      <w:r>
        <w:fldChar w:fldCharType="begin"/>
      </w:r>
      <w:r>
        <w:instrText xml:space="preserve"> HYPERLINK \l "_Toc53152584" </w:instrText>
      </w:r>
      <w:r>
        <w:fldChar w:fldCharType="separate"/>
      </w:r>
      <w:r>
        <w:rPr>
          <w:rStyle w:val="19"/>
          <w:rFonts w:hint="eastAsia" w:eastAsia="方正仿宋_GBK" w:cs="方正黑体_GBK"/>
        </w:rPr>
        <w:t>二、申报材料编制</w:t>
      </w:r>
      <w:r>
        <w:tab/>
      </w:r>
      <w:r>
        <w:fldChar w:fldCharType="begin"/>
      </w:r>
      <w:r>
        <w:instrText xml:space="preserve"> PAGEREF _Toc53152584 \h </w:instrText>
      </w:r>
      <w:r>
        <w:fldChar w:fldCharType="separate"/>
      </w:r>
      <w:r>
        <w:t>- 10 -</w:t>
      </w:r>
      <w:r>
        <w:fldChar w:fldCharType="end"/>
      </w:r>
      <w:r>
        <w:fldChar w:fldCharType="end"/>
      </w:r>
    </w:p>
    <w:p>
      <w:pPr>
        <w:pStyle w:val="12"/>
        <w:tabs>
          <w:tab w:val="right" w:leader="dot" w:pos="8296"/>
        </w:tabs>
        <w:spacing w:line="500" w:lineRule="exact"/>
        <w:ind w:left="0" w:leftChars="0"/>
        <w:rPr>
          <w:rFonts w:eastAsiaTheme="minorEastAsia" w:cstheme="minorBidi"/>
          <w:sz w:val="21"/>
          <w:szCs w:val="22"/>
        </w:rPr>
      </w:pPr>
      <w:r>
        <w:fldChar w:fldCharType="begin"/>
      </w:r>
      <w:r>
        <w:instrText xml:space="preserve"> HYPERLINK \l "_Toc53152585" </w:instrText>
      </w:r>
      <w:r>
        <w:fldChar w:fldCharType="separate"/>
      </w:r>
      <w:r>
        <w:rPr>
          <w:rStyle w:val="19"/>
          <w:rFonts w:hint="eastAsia" w:eastAsia="方正仿宋_GBK" w:cs="方正黑体_GBK"/>
        </w:rPr>
        <w:t>三、申报材料递交</w:t>
      </w:r>
      <w:r>
        <w:tab/>
      </w:r>
      <w:r>
        <w:fldChar w:fldCharType="begin"/>
      </w:r>
      <w:r>
        <w:instrText xml:space="preserve"> PAGEREF _Toc53152585 \h </w:instrText>
      </w:r>
      <w:r>
        <w:fldChar w:fldCharType="separate"/>
      </w:r>
      <w:r>
        <w:t>- 16 -</w:t>
      </w:r>
      <w:r>
        <w:fldChar w:fldCharType="end"/>
      </w:r>
      <w:r>
        <w:fldChar w:fldCharType="end"/>
      </w:r>
    </w:p>
    <w:p>
      <w:pPr>
        <w:pStyle w:val="12"/>
        <w:tabs>
          <w:tab w:val="right" w:leader="dot" w:pos="8296"/>
        </w:tabs>
        <w:spacing w:line="500" w:lineRule="exact"/>
        <w:ind w:left="0" w:leftChars="0"/>
        <w:rPr>
          <w:rFonts w:eastAsiaTheme="minorEastAsia" w:cstheme="minorBidi"/>
          <w:sz w:val="21"/>
          <w:szCs w:val="22"/>
        </w:rPr>
      </w:pPr>
      <w:r>
        <w:fldChar w:fldCharType="begin"/>
      </w:r>
      <w:r>
        <w:instrText xml:space="preserve"> HYPERLINK \l "_Toc53152586" </w:instrText>
      </w:r>
      <w:r>
        <w:fldChar w:fldCharType="separate"/>
      </w:r>
      <w:r>
        <w:rPr>
          <w:rStyle w:val="19"/>
          <w:rFonts w:hint="eastAsia" w:eastAsia="方正仿宋_GBK" w:cs="方正黑体_GBK"/>
        </w:rPr>
        <w:t>四、申报信息公开</w:t>
      </w:r>
      <w:r>
        <w:tab/>
      </w:r>
      <w:r>
        <w:fldChar w:fldCharType="begin"/>
      </w:r>
      <w:r>
        <w:instrText xml:space="preserve"> PAGEREF _Toc53152586 \h </w:instrText>
      </w:r>
      <w:r>
        <w:fldChar w:fldCharType="separate"/>
      </w:r>
      <w:r>
        <w:t>- 17 -</w:t>
      </w:r>
      <w:r>
        <w:fldChar w:fldCharType="end"/>
      </w:r>
      <w:r>
        <w:fldChar w:fldCharType="end"/>
      </w:r>
    </w:p>
    <w:p>
      <w:pPr>
        <w:pStyle w:val="12"/>
        <w:tabs>
          <w:tab w:val="right" w:leader="dot" w:pos="8296"/>
        </w:tabs>
        <w:spacing w:line="500" w:lineRule="exact"/>
        <w:ind w:left="0" w:leftChars="0"/>
        <w:rPr>
          <w:rFonts w:eastAsiaTheme="minorEastAsia" w:cstheme="minorBidi"/>
          <w:sz w:val="21"/>
          <w:szCs w:val="22"/>
        </w:rPr>
      </w:pPr>
      <w:r>
        <w:fldChar w:fldCharType="begin"/>
      </w:r>
      <w:r>
        <w:instrText xml:space="preserve"> HYPERLINK \l "_Toc53152587" </w:instrText>
      </w:r>
      <w:r>
        <w:fldChar w:fldCharType="separate"/>
      </w:r>
      <w:r>
        <w:rPr>
          <w:rStyle w:val="19"/>
          <w:rFonts w:hint="eastAsia" w:eastAsia="方正仿宋_GBK" w:cs="方正黑体_GBK"/>
        </w:rPr>
        <w:t>五、拟中选企业确定</w:t>
      </w:r>
      <w:r>
        <w:tab/>
      </w:r>
      <w:r>
        <w:fldChar w:fldCharType="begin"/>
      </w:r>
      <w:r>
        <w:instrText xml:space="preserve"> PAGEREF _Toc53152587 \h </w:instrText>
      </w:r>
      <w:r>
        <w:fldChar w:fldCharType="separate"/>
      </w:r>
      <w:r>
        <w:t>- 17 -</w:t>
      </w:r>
      <w:r>
        <w:fldChar w:fldCharType="end"/>
      </w:r>
      <w:r>
        <w:fldChar w:fldCharType="end"/>
      </w:r>
    </w:p>
    <w:p>
      <w:pPr>
        <w:pStyle w:val="12"/>
        <w:tabs>
          <w:tab w:val="right" w:leader="dot" w:pos="8296"/>
        </w:tabs>
        <w:spacing w:line="500" w:lineRule="exact"/>
        <w:ind w:left="0" w:leftChars="0"/>
        <w:rPr>
          <w:rFonts w:eastAsiaTheme="minorEastAsia" w:cstheme="minorBidi"/>
          <w:sz w:val="21"/>
          <w:szCs w:val="22"/>
        </w:rPr>
      </w:pPr>
      <w:r>
        <w:fldChar w:fldCharType="begin"/>
      </w:r>
      <w:r>
        <w:instrText xml:space="preserve"> HYPERLINK \l "_Toc53152588" </w:instrText>
      </w:r>
      <w:r>
        <w:fldChar w:fldCharType="separate"/>
      </w:r>
      <w:r>
        <w:rPr>
          <w:rStyle w:val="19"/>
          <w:rFonts w:hint="eastAsia" w:eastAsia="方正仿宋_GBK" w:cs="方正黑体_GBK"/>
        </w:rPr>
        <w:t>六、其他</w:t>
      </w:r>
      <w:r>
        <w:tab/>
      </w:r>
      <w:r>
        <w:fldChar w:fldCharType="begin"/>
      </w:r>
      <w:r>
        <w:instrText xml:space="preserve"> PAGEREF _Toc53152588 \h </w:instrText>
      </w:r>
      <w:r>
        <w:fldChar w:fldCharType="separate"/>
      </w:r>
      <w:r>
        <w:t>- 20 -</w:t>
      </w:r>
      <w:r>
        <w:fldChar w:fldCharType="end"/>
      </w:r>
      <w:r>
        <w:fldChar w:fldCharType="end"/>
      </w:r>
    </w:p>
    <w:p>
      <w:pPr>
        <w:pStyle w:val="11"/>
        <w:tabs>
          <w:tab w:val="right" w:leader="dot" w:pos="8296"/>
        </w:tabs>
        <w:spacing w:line="500" w:lineRule="exact"/>
        <w:rPr>
          <w:rFonts w:eastAsiaTheme="minorEastAsia" w:cstheme="minorBidi"/>
          <w:sz w:val="21"/>
          <w:szCs w:val="22"/>
        </w:rPr>
      </w:pPr>
      <w:r>
        <w:fldChar w:fldCharType="begin"/>
      </w:r>
      <w:r>
        <w:instrText xml:space="preserve"> HYPERLINK \l "_Toc53152589" </w:instrText>
      </w:r>
      <w:r>
        <w:fldChar w:fldCharType="separate"/>
      </w:r>
      <w:r>
        <w:rPr>
          <w:rStyle w:val="19"/>
          <w:rFonts w:hint="eastAsia" w:eastAsia="方正仿宋_GBK" w:cs="方正黑体_GBK"/>
        </w:rPr>
        <w:t>第三部分附件</w:t>
      </w:r>
      <w:r>
        <w:tab/>
      </w:r>
      <w:r>
        <w:fldChar w:fldCharType="begin"/>
      </w:r>
      <w:r>
        <w:instrText xml:space="preserve"> PAGEREF _Toc53152589 \h </w:instrText>
      </w:r>
      <w:r>
        <w:fldChar w:fldCharType="separate"/>
      </w:r>
      <w:r>
        <w:t>- 24 -</w:t>
      </w:r>
      <w:r>
        <w:fldChar w:fldCharType="end"/>
      </w:r>
      <w:r>
        <w:fldChar w:fldCharType="end"/>
      </w:r>
    </w:p>
    <w:p>
      <w:pPr>
        <w:pStyle w:val="12"/>
        <w:tabs>
          <w:tab w:val="right" w:leader="dot" w:pos="8296"/>
        </w:tabs>
        <w:spacing w:line="500" w:lineRule="exact"/>
        <w:ind w:left="0" w:leftChars="0"/>
        <w:rPr>
          <w:rFonts w:eastAsiaTheme="minorEastAsia" w:cstheme="minorBidi"/>
          <w:sz w:val="21"/>
          <w:szCs w:val="22"/>
        </w:rPr>
      </w:pPr>
      <w:r>
        <w:fldChar w:fldCharType="begin"/>
      </w:r>
      <w:r>
        <w:instrText xml:space="preserve"> HYPERLINK \l "_Toc53152590" </w:instrText>
      </w:r>
      <w:r>
        <w:fldChar w:fldCharType="separate"/>
      </w:r>
      <w:r>
        <w:rPr>
          <w:rStyle w:val="19"/>
          <w:rFonts w:hint="eastAsia" w:eastAsia="方正仿宋_GBK" w:cs="方正仿宋_GBK"/>
        </w:rPr>
        <w:t>附件</w:t>
      </w:r>
      <w:r>
        <w:rPr>
          <w:rStyle w:val="19"/>
          <w:rFonts w:eastAsia="方正仿宋_GBK" w:cs="方正仿宋_GBK"/>
        </w:rPr>
        <w:t xml:space="preserve">1 </w:t>
      </w:r>
      <w:r>
        <w:rPr>
          <w:rStyle w:val="19"/>
          <w:rFonts w:hint="eastAsia" w:eastAsia="方正仿宋_GBK" w:cs="方正楷体_GBK"/>
        </w:rPr>
        <w:t>药品带量采购申报函</w:t>
      </w:r>
      <w:r>
        <w:tab/>
      </w:r>
      <w:r>
        <w:fldChar w:fldCharType="begin"/>
      </w:r>
      <w:r>
        <w:instrText xml:space="preserve"> PAGEREF _Toc53152590 \h </w:instrText>
      </w:r>
      <w:r>
        <w:fldChar w:fldCharType="separate"/>
      </w:r>
      <w:r>
        <w:t>- 24 -</w:t>
      </w:r>
      <w:r>
        <w:fldChar w:fldCharType="end"/>
      </w:r>
      <w:r>
        <w:fldChar w:fldCharType="end"/>
      </w:r>
    </w:p>
    <w:p>
      <w:pPr>
        <w:pStyle w:val="12"/>
        <w:tabs>
          <w:tab w:val="right" w:leader="dot" w:pos="8296"/>
        </w:tabs>
        <w:spacing w:line="500" w:lineRule="exact"/>
        <w:ind w:left="0" w:leftChars="0"/>
        <w:rPr>
          <w:rFonts w:eastAsiaTheme="minorEastAsia" w:cstheme="minorBidi"/>
          <w:sz w:val="21"/>
          <w:szCs w:val="22"/>
        </w:rPr>
      </w:pPr>
      <w:r>
        <w:fldChar w:fldCharType="begin"/>
      </w:r>
      <w:r>
        <w:instrText xml:space="preserve"> HYPERLINK \l "_Toc53152591" </w:instrText>
      </w:r>
      <w:r>
        <w:fldChar w:fldCharType="separate"/>
      </w:r>
      <w:r>
        <w:rPr>
          <w:rStyle w:val="19"/>
          <w:rFonts w:hint="eastAsia" w:eastAsia="方正仿宋_GBK" w:cs="方正仿宋_GBK"/>
        </w:rPr>
        <w:t>附件</w:t>
      </w:r>
      <w:r>
        <w:rPr>
          <w:rStyle w:val="19"/>
          <w:rFonts w:eastAsia="方正仿宋_GBK" w:cs="方正仿宋_GBK"/>
        </w:rPr>
        <w:t xml:space="preserve">2 </w:t>
      </w:r>
      <w:r>
        <w:rPr>
          <w:rStyle w:val="19"/>
          <w:rFonts w:hint="eastAsia" w:eastAsia="方正仿宋_GBK" w:cs="方正仿宋_GBK"/>
        </w:rPr>
        <w:t>药品带量采购项目</w:t>
      </w:r>
      <w:r>
        <w:rPr>
          <w:rStyle w:val="19"/>
          <w:rFonts w:hint="eastAsia" w:eastAsia="方正仿宋_GBK" w:cs="方正楷体_GBK"/>
        </w:rPr>
        <w:t>法定代表人授权书</w:t>
      </w:r>
      <w:r>
        <w:tab/>
      </w:r>
      <w:r>
        <w:fldChar w:fldCharType="begin"/>
      </w:r>
      <w:r>
        <w:instrText xml:space="preserve"> PAGEREF _Toc53152591 \h </w:instrText>
      </w:r>
      <w:r>
        <w:fldChar w:fldCharType="separate"/>
      </w:r>
      <w:r>
        <w:t>- 26 -</w:t>
      </w:r>
      <w:r>
        <w:fldChar w:fldCharType="end"/>
      </w:r>
      <w:r>
        <w:fldChar w:fldCharType="end"/>
      </w:r>
    </w:p>
    <w:p>
      <w:pPr>
        <w:pStyle w:val="12"/>
        <w:tabs>
          <w:tab w:val="right" w:leader="dot" w:pos="8296"/>
        </w:tabs>
        <w:spacing w:line="500" w:lineRule="exact"/>
        <w:ind w:left="0" w:leftChars="0"/>
        <w:rPr>
          <w:rFonts w:eastAsiaTheme="minorEastAsia" w:cstheme="minorBidi"/>
          <w:sz w:val="21"/>
          <w:szCs w:val="22"/>
        </w:rPr>
      </w:pPr>
      <w:r>
        <w:fldChar w:fldCharType="begin"/>
      </w:r>
      <w:r>
        <w:instrText xml:space="preserve"> HYPERLINK \l "_Toc53152592" </w:instrText>
      </w:r>
      <w:r>
        <w:fldChar w:fldCharType="separate"/>
      </w:r>
      <w:r>
        <w:rPr>
          <w:rStyle w:val="19"/>
          <w:rFonts w:hint="eastAsia" w:eastAsia="方正仿宋_GBK"/>
        </w:rPr>
        <w:t>附件</w:t>
      </w:r>
      <w:r>
        <w:rPr>
          <w:rStyle w:val="19"/>
          <w:rFonts w:eastAsia="方正仿宋_GBK"/>
        </w:rPr>
        <w:t>3</w:t>
      </w:r>
      <w:r>
        <w:rPr>
          <w:rStyle w:val="19"/>
          <w:rFonts w:hint="eastAsia" w:eastAsia="方正仿宋_GBK"/>
        </w:rPr>
        <w:t xml:space="preserve"> 药品信息申报表</w:t>
      </w:r>
      <w:r>
        <w:tab/>
      </w:r>
      <w:r>
        <w:fldChar w:fldCharType="begin"/>
      </w:r>
      <w:r>
        <w:instrText xml:space="preserve"> PAGEREF _Toc53152592 \h </w:instrText>
      </w:r>
      <w:r>
        <w:fldChar w:fldCharType="separate"/>
      </w:r>
      <w:r>
        <w:t>- 27 -</w:t>
      </w:r>
      <w:r>
        <w:fldChar w:fldCharType="end"/>
      </w:r>
      <w:r>
        <w:fldChar w:fldCharType="end"/>
      </w:r>
    </w:p>
    <w:p>
      <w:pPr>
        <w:pStyle w:val="12"/>
        <w:tabs>
          <w:tab w:val="right" w:leader="dot" w:pos="8296"/>
        </w:tabs>
        <w:spacing w:line="500" w:lineRule="exact"/>
        <w:ind w:left="0" w:leftChars="0"/>
        <w:rPr>
          <w:rFonts w:eastAsiaTheme="minorEastAsia" w:cstheme="minorBidi"/>
          <w:sz w:val="21"/>
          <w:szCs w:val="22"/>
        </w:rPr>
      </w:pPr>
      <w:r>
        <w:fldChar w:fldCharType="begin"/>
      </w:r>
      <w:r>
        <w:instrText xml:space="preserve"> HYPERLINK \l "_Toc53152593" </w:instrText>
      </w:r>
      <w:r>
        <w:fldChar w:fldCharType="separate"/>
      </w:r>
      <w:r>
        <w:rPr>
          <w:rStyle w:val="19"/>
          <w:rFonts w:hint="eastAsia" w:eastAsia="方正仿宋_GBK"/>
        </w:rPr>
        <w:t>附件</w:t>
      </w:r>
      <w:r>
        <w:rPr>
          <w:rStyle w:val="19"/>
          <w:rFonts w:eastAsia="方正仿宋_GBK"/>
        </w:rPr>
        <w:t xml:space="preserve">4 </w:t>
      </w:r>
      <w:r>
        <w:rPr>
          <w:rStyle w:val="19"/>
          <w:rFonts w:hint="eastAsia" w:eastAsia="方正仿宋_GBK"/>
        </w:rPr>
        <w:t>供应品种清单</w:t>
      </w:r>
      <w:r>
        <w:tab/>
      </w:r>
      <w:r>
        <w:fldChar w:fldCharType="begin"/>
      </w:r>
      <w:r>
        <w:instrText xml:space="preserve"> PAGEREF _Toc53152593 \h </w:instrText>
      </w:r>
      <w:r>
        <w:fldChar w:fldCharType="separate"/>
      </w:r>
      <w:r>
        <w:t>- 28 -</w:t>
      </w:r>
      <w:r>
        <w:fldChar w:fldCharType="end"/>
      </w:r>
      <w:r>
        <w:fldChar w:fldCharType="end"/>
      </w:r>
    </w:p>
    <w:p>
      <w:pPr>
        <w:pStyle w:val="11"/>
        <w:tabs>
          <w:tab w:val="right" w:leader="dot" w:pos="8296"/>
        </w:tabs>
        <w:spacing w:line="500" w:lineRule="exact"/>
        <w:rPr>
          <w:rFonts w:eastAsiaTheme="minorEastAsia" w:cstheme="minorBidi"/>
          <w:sz w:val="21"/>
          <w:szCs w:val="22"/>
        </w:rPr>
      </w:pPr>
      <w:r>
        <w:fldChar w:fldCharType="begin"/>
      </w:r>
      <w:r>
        <w:instrText xml:space="preserve"> HYPERLINK \l "_Toc53152594" </w:instrText>
      </w:r>
      <w:r>
        <w:fldChar w:fldCharType="separate"/>
      </w:r>
      <w:r>
        <w:rPr>
          <w:rStyle w:val="19"/>
          <w:rFonts w:hint="eastAsia" w:eastAsia="方正仿宋_GBK"/>
        </w:rPr>
        <w:t>附件</w:t>
      </w:r>
      <w:r>
        <w:rPr>
          <w:rStyle w:val="19"/>
          <w:rFonts w:eastAsia="方正仿宋_GBK"/>
        </w:rPr>
        <w:t xml:space="preserve">5 </w:t>
      </w:r>
      <w:r>
        <w:rPr>
          <w:rStyle w:val="19"/>
          <w:rFonts w:hint="eastAsia" w:eastAsia="方正仿宋_GBK"/>
        </w:rPr>
        <w:t>药品价格申报表</w:t>
      </w:r>
      <w:r>
        <w:tab/>
      </w:r>
      <w:r>
        <w:fldChar w:fldCharType="begin"/>
      </w:r>
      <w:r>
        <w:instrText xml:space="preserve"> PAGEREF _Toc53152594 \h </w:instrText>
      </w:r>
      <w:r>
        <w:fldChar w:fldCharType="separate"/>
      </w:r>
      <w:r>
        <w:t>- 29 -</w:t>
      </w:r>
      <w:r>
        <w:fldChar w:fldCharType="end"/>
      </w:r>
      <w:r>
        <w:fldChar w:fldCharType="end"/>
      </w:r>
    </w:p>
    <w:p>
      <w:pPr>
        <w:pStyle w:val="6"/>
        <w:spacing w:line="570" w:lineRule="exact"/>
        <w:jc w:val="center"/>
        <w:rPr>
          <w:rFonts w:ascii="Times New Roman" w:eastAsia="方正仿宋_GBK" w:cs="仿宋"/>
          <w:sz w:val="28"/>
          <w:szCs w:val="28"/>
        </w:rPr>
        <w:sectPr>
          <w:footerReference r:id="rId10" w:type="default"/>
          <w:pgSz w:w="11906" w:h="16838"/>
          <w:pgMar w:top="2098" w:right="1474" w:bottom="1984" w:left="1587" w:header="851" w:footer="992" w:gutter="0"/>
          <w:pgNumType w:fmt="numberInDash" w:start="1"/>
          <w:cols w:space="0" w:num="1"/>
          <w:formProt w:val="0"/>
          <w:docGrid w:type="lines" w:linePitch="439" w:charSpace="0"/>
        </w:sectPr>
      </w:pPr>
    </w:p>
    <w:p>
      <w:pPr>
        <w:pStyle w:val="6"/>
        <w:spacing w:line="570" w:lineRule="exact"/>
        <w:jc w:val="center"/>
        <w:rPr>
          <w:rFonts w:ascii="方正小标宋_GBK" w:hAnsi="方正小标宋_GBK" w:eastAsia="方正小标宋_GBK" w:cs="方正小标宋_GBK"/>
          <w:sz w:val="44"/>
          <w:szCs w:val="44"/>
        </w:rPr>
      </w:pPr>
      <w:r>
        <w:rPr>
          <w:rFonts w:hint="eastAsia" w:ascii="Times New Roman" w:eastAsia="方正仿宋_GBK" w:cs="仿宋"/>
          <w:sz w:val="28"/>
          <w:szCs w:val="28"/>
        </w:rPr>
        <w:fldChar w:fldCharType="end"/>
      </w:r>
      <w:bookmarkStart w:id="0" w:name="_Toc53152572"/>
      <w:r>
        <w:rPr>
          <w:rFonts w:hint="eastAsia" w:ascii="方正小标宋_GBK" w:hAnsi="方正小标宋_GBK" w:eastAsia="方正小标宋_GBK" w:cs="方正小标宋_GBK"/>
          <w:sz w:val="44"/>
          <w:szCs w:val="44"/>
        </w:rPr>
        <w:t>第一部分  采购邀请</w:t>
      </w:r>
      <w:bookmarkEnd w:id="0"/>
    </w:p>
    <w:p>
      <w:pPr>
        <w:spacing w:line="570" w:lineRule="exact"/>
        <w:ind w:firstLine="320" w:firstLineChars="100"/>
        <w:rPr>
          <w:rFonts w:eastAsia="方正仿宋_GBK" w:cs="方正仿宋_GBK"/>
        </w:rPr>
      </w:pPr>
    </w:p>
    <w:p>
      <w:pPr>
        <w:spacing w:line="600" w:lineRule="exact"/>
        <w:ind w:firstLine="640" w:firstLineChars="200"/>
        <w:rPr>
          <w:rFonts w:eastAsia="方正仿宋_GBK" w:cs="方正仿宋_GBK"/>
        </w:rPr>
      </w:pPr>
      <w:r>
        <w:rPr>
          <w:rFonts w:hint="eastAsia" w:eastAsia="方正仿宋_GBK" w:cs="方正仿宋_GBK"/>
        </w:rPr>
        <w:t>为贯彻落实《中共中央国务院关于深化医疗保障制度改革的意见》（中发〔2020〕5号）等有关文件精神，推进药品集中带量采购，进一步提高采购效率，促进药品形成合理市场价格，减轻群众用药负担，重庆市、贵州省、云南省、湖南省、广西壮族自治区联合采购地区委派代表组成药品联合采购工作办公室，代表5省（市、区）医疗机构实施联合带量采购，本次带量采购日常工作和具体实施由重庆市医疗保障局承担。现开展5省（市、区）第一批常用药品联合带量采购，欢迎符合要求的企业前来申报。</w:t>
      </w:r>
    </w:p>
    <w:p>
      <w:pPr>
        <w:pStyle w:val="6"/>
        <w:spacing w:line="570" w:lineRule="exact"/>
        <w:rPr>
          <w:rFonts w:ascii="Times New Roman" w:eastAsia="方正仿宋_GBK" w:cs="方正仿宋_GBK"/>
          <w:sz w:val="32"/>
          <w:szCs w:val="32"/>
        </w:rPr>
      </w:pPr>
    </w:p>
    <w:p>
      <w:pPr>
        <w:pStyle w:val="6"/>
        <w:spacing w:line="570" w:lineRule="exact"/>
        <w:rPr>
          <w:rFonts w:ascii="Times New Roman" w:eastAsia="方正仿宋_GBK"/>
        </w:rPr>
      </w:pPr>
    </w:p>
    <w:p>
      <w:pPr>
        <w:pStyle w:val="6"/>
        <w:spacing w:line="570" w:lineRule="exact"/>
        <w:rPr>
          <w:rFonts w:ascii="Times New Roman" w:eastAsia="方正仿宋_GBK"/>
        </w:rPr>
      </w:pPr>
    </w:p>
    <w:p>
      <w:pPr>
        <w:pStyle w:val="6"/>
        <w:spacing w:line="570" w:lineRule="exact"/>
        <w:rPr>
          <w:rFonts w:ascii="Times New Roman" w:eastAsia="方正仿宋_GBK"/>
        </w:rPr>
      </w:pPr>
    </w:p>
    <w:p>
      <w:pPr>
        <w:pStyle w:val="6"/>
        <w:tabs>
          <w:tab w:val="left" w:pos="1725"/>
        </w:tabs>
        <w:spacing w:line="570" w:lineRule="exact"/>
        <w:rPr>
          <w:rFonts w:ascii="Times New Roman" w:eastAsia="方正仿宋_GBK"/>
        </w:rPr>
      </w:pPr>
      <w:r>
        <w:rPr>
          <w:rFonts w:ascii="Times New Roman" w:eastAsia="方正仿宋_GBK"/>
        </w:rPr>
        <w:tab/>
      </w:r>
    </w:p>
    <w:p>
      <w:pPr>
        <w:pStyle w:val="6"/>
        <w:spacing w:line="570" w:lineRule="exact"/>
        <w:rPr>
          <w:rFonts w:ascii="Times New Roman" w:eastAsia="方正仿宋_GBK"/>
        </w:rPr>
      </w:pPr>
    </w:p>
    <w:p>
      <w:pPr>
        <w:pStyle w:val="6"/>
        <w:spacing w:line="570" w:lineRule="exact"/>
        <w:rPr>
          <w:rFonts w:ascii="Times New Roman" w:eastAsia="方正仿宋_GBK"/>
        </w:rPr>
      </w:pPr>
    </w:p>
    <w:p>
      <w:pPr>
        <w:pStyle w:val="6"/>
        <w:spacing w:line="570" w:lineRule="exact"/>
        <w:rPr>
          <w:rFonts w:ascii="Times New Roman" w:eastAsia="方正仿宋_GBK"/>
        </w:rPr>
      </w:pPr>
    </w:p>
    <w:p>
      <w:pPr>
        <w:pStyle w:val="6"/>
        <w:spacing w:line="570" w:lineRule="exact"/>
        <w:rPr>
          <w:rFonts w:ascii="Times New Roman" w:eastAsia="方正仿宋_GBK"/>
        </w:rPr>
      </w:pPr>
    </w:p>
    <w:p>
      <w:pPr>
        <w:pStyle w:val="6"/>
        <w:spacing w:line="570" w:lineRule="exact"/>
        <w:rPr>
          <w:rFonts w:ascii="Times New Roman" w:eastAsia="方正仿宋_GBK"/>
        </w:rPr>
      </w:pPr>
    </w:p>
    <w:p>
      <w:pPr>
        <w:pStyle w:val="6"/>
        <w:spacing w:line="570" w:lineRule="exact"/>
        <w:rPr>
          <w:rFonts w:ascii="Times New Roman" w:eastAsia="方正仿宋_GBK"/>
        </w:rPr>
      </w:pPr>
    </w:p>
    <w:p>
      <w:pPr>
        <w:pStyle w:val="3"/>
        <w:spacing w:before="0" w:after="0" w:line="570" w:lineRule="exact"/>
        <w:rPr>
          <w:rFonts w:ascii="Times New Roman" w:hAnsi="Times New Roman" w:eastAsia="方正黑体_GBK" w:cs="方正黑体_GBK"/>
          <w:b w:val="0"/>
          <w:bCs w:val="0"/>
          <w:kern w:val="32"/>
        </w:rPr>
      </w:pPr>
      <w:bookmarkStart w:id="1" w:name="_Toc53152573"/>
      <w:bookmarkStart w:id="2" w:name="_Toc26950"/>
      <w:r>
        <w:rPr>
          <w:rFonts w:hint="eastAsia" w:ascii="Times New Roman" w:hAnsi="Times New Roman" w:eastAsia="方正黑体_GBK" w:cs="方正黑体_GBK"/>
          <w:b w:val="0"/>
          <w:bCs w:val="0"/>
          <w:kern w:val="32"/>
        </w:rPr>
        <w:t>一、采购品种及数量</w:t>
      </w:r>
      <w:bookmarkEnd w:id="1"/>
      <w:bookmarkEnd w:id="2"/>
    </w:p>
    <w:p>
      <w:pPr>
        <w:spacing w:line="570" w:lineRule="exact"/>
        <w:ind w:firstLine="480" w:firstLineChars="150"/>
        <w:rPr>
          <w:rFonts w:eastAsia="方正仿宋_GBK"/>
          <w:kern w:val="32"/>
        </w:rPr>
      </w:pPr>
      <w:r>
        <w:rPr>
          <w:rFonts w:hint="eastAsia" w:eastAsia="方正仿宋_GBK"/>
          <w:kern w:val="32"/>
        </w:rPr>
        <w:t>从常用药品中，遴选部分临床用量大、采购金额高且竞争较为充分的17种药品，形成本次采购品种目录。</w:t>
      </w:r>
    </w:p>
    <w:p>
      <w:pPr>
        <w:spacing w:line="570" w:lineRule="exact"/>
        <w:ind w:firstLine="480" w:firstLineChars="150"/>
        <w:rPr>
          <w:rFonts w:eastAsia="方正楷体_GBK"/>
          <w:kern w:val="32"/>
        </w:rPr>
      </w:pPr>
      <w:r>
        <w:rPr>
          <w:rFonts w:hint="eastAsia" w:eastAsia="方正楷体_GBK"/>
        </w:rPr>
        <w:t xml:space="preserve">（一）采购品种目录 </w:t>
      </w:r>
    </w:p>
    <w:tbl>
      <w:tblPr>
        <w:tblStyle w:val="15"/>
        <w:tblW w:w="10916" w:type="dxa"/>
        <w:tblInd w:w="-839" w:type="dxa"/>
        <w:tblLayout w:type="fixed"/>
        <w:tblCellMar>
          <w:top w:w="0" w:type="dxa"/>
          <w:left w:w="0" w:type="dxa"/>
          <w:bottom w:w="0" w:type="dxa"/>
          <w:right w:w="0" w:type="dxa"/>
        </w:tblCellMar>
      </w:tblPr>
      <w:tblGrid>
        <w:gridCol w:w="851"/>
        <w:gridCol w:w="1985"/>
        <w:gridCol w:w="1843"/>
        <w:gridCol w:w="1275"/>
        <w:gridCol w:w="1701"/>
        <w:gridCol w:w="1985"/>
        <w:gridCol w:w="1276"/>
      </w:tblGrid>
      <w:tr>
        <w:tblPrEx>
          <w:tblLayout w:type="fixed"/>
          <w:tblCellMar>
            <w:top w:w="0" w:type="dxa"/>
            <w:left w:w="0" w:type="dxa"/>
            <w:bottom w:w="0" w:type="dxa"/>
            <w:right w:w="0" w:type="dxa"/>
          </w:tblCellMar>
        </w:tblPrEx>
        <w:trPr>
          <w:trHeight w:val="760" w:hRule="atLeast"/>
        </w:trPr>
        <w:tc>
          <w:tcPr>
            <w:tcW w:w="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jc w:val="center"/>
              <w:rPr>
                <w:rFonts w:eastAsia="方正仿宋_GBK" w:cs="方正仿宋_GBK"/>
                <w:b/>
                <w:bCs/>
                <w:color w:val="000000"/>
                <w:kern w:val="0"/>
                <w:sz w:val="24"/>
              </w:rPr>
            </w:pPr>
            <w:r>
              <w:rPr>
                <w:rFonts w:hint="eastAsia" w:cs="宋体"/>
                <w:b/>
                <w:bCs/>
                <w:color w:val="000000"/>
                <w:sz w:val="21"/>
                <w:szCs w:val="21"/>
              </w:rPr>
              <w:t>序号</w:t>
            </w:r>
          </w:p>
        </w:tc>
        <w:tc>
          <w:tcPr>
            <w:tcW w:w="19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jc w:val="center"/>
              <w:rPr>
                <w:rFonts w:cs="宋体"/>
                <w:b/>
                <w:bCs/>
                <w:color w:val="000000"/>
                <w:szCs w:val="21"/>
              </w:rPr>
            </w:pPr>
            <w:r>
              <w:rPr>
                <w:rFonts w:hint="eastAsia" w:cs="宋体"/>
                <w:b/>
                <w:bCs/>
                <w:color w:val="000000"/>
                <w:sz w:val="21"/>
                <w:szCs w:val="21"/>
              </w:rPr>
              <w:t>品种名称</w:t>
            </w:r>
          </w:p>
        </w:tc>
        <w:tc>
          <w:tcPr>
            <w:tcW w:w="184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jc w:val="center"/>
              <w:rPr>
                <w:rFonts w:cs="宋体"/>
                <w:b/>
                <w:bCs/>
                <w:color w:val="000000"/>
                <w:szCs w:val="21"/>
              </w:rPr>
            </w:pPr>
            <w:r>
              <w:rPr>
                <w:rFonts w:hint="eastAsia" w:cs="宋体"/>
                <w:b/>
                <w:bCs/>
                <w:color w:val="000000"/>
                <w:sz w:val="21"/>
                <w:szCs w:val="21"/>
              </w:rPr>
              <w:t>剂型</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jc w:val="center"/>
              <w:rPr>
                <w:rFonts w:cs="宋体"/>
                <w:b/>
                <w:bCs/>
                <w:color w:val="000000"/>
                <w:szCs w:val="21"/>
              </w:rPr>
            </w:pPr>
            <w:r>
              <w:rPr>
                <w:rFonts w:hint="eastAsia" w:cs="宋体"/>
                <w:b/>
                <w:bCs/>
                <w:color w:val="000000"/>
                <w:sz w:val="21"/>
                <w:szCs w:val="21"/>
              </w:rPr>
              <w:t>规格</w:t>
            </w:r>
          </w:p>
        </w:tc>
        <w:tc>
          <w:tcPr>
            <w:tcW w:w="1701"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exact"/>
              <w:jc w:val="center"/>
              <w:rPr>
                <w:rFonts w:cs="宋体"/>
                <w:b/>
                <w:bCs/>
                <w:color w:val="000000"/>
                <w:sz w:val="21"/>
                <w:szCs w:val="21"/>
              </w:rPr>
            </w:pPr>
            <w:r>
              <w:rPr>
                <w:rFonts w:hint="eastAsia" w:eastAsia="方正仿宋_GBK" w:cs="宋体"/>
                <w:b/>
                <w:bCs/>
                <w:color w:val="000000"/>
                <w:kern w:val="0"/>
                <w:sz w:val="24"/>
                <w:szCs w:val="24"/>
              </w:rPr>
              <w:t>采购量计算基数（片/支/瓶）</w:t>
            </w:r>
          </w:p>
        </w:tc>
        <w:tc>
          <w:tcPr>
            <w:tcW w:w="1985"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exact"/>
              <w:jc w:val="center"/>
              <w:rPr>
                <w:rFonts w:cs="宋体"/>
                <w:b/>
                <w:bCs/>
                <w:color w:val="000000"/>
                <w:sz w:val="21"/>
                <w:szCs w:val="21"/>
              </w:rPr>
            </w:pPr>
            <w:r>
              <w:rPr>
                <w:rFonts w:hint="eastAsia" w:cs="宋体"/>
                <w:b/>
                <w:bCs/>
                <w:color w:val="000000"/>
                <w:sz w:val="21"/>
                <w:szCs w:val="21"/>
              </w:rPr>
              <w:t>参与省</w:t>
            </w:r>
          </w:p>
          <w:p>
            <w:pPr>
              <w:snapToGrid w:val="0"/>
              <w:spacing w:line="360" w:lineRule="exact"/>
              <w:jc w:val="center"/>
              <w:rPr>
                <w:rFonts w:cs="宋体"/>
                <w:b/>
                <w:bCs/>
                <w:color w:val="000000"/>
                <w:sz w:val="21"/>
                <w:szCs w:val="21"/>
              </w:rPr>
            </w:pPr>
            <w:r>
              <w:rPr>
                <w:rFonts w:hint="eastAsia" w:cs="宋体"/>
                <w:b/>
                <w:bCs/>
                <w:color w:val="000000"/>
                <w:sz w:val="21"/>
                <w:szCs w:val="21"/>
              </w:rPr>
              <w:t>(市、区)</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jc w:val="center"/>
              <w:rPr>
                <w:rFonts w:cs="宋体"/>
                <w:b/>
                <w:bCs/>
                <w:color w:val="000000"/>
                <w:szCs w:val="21"/>
              </w:rPr>
            </w:pPr>
            <w:r>
              <w:rPr>
                <w:rFonts w:hint="eastAsia" w:cs="宋体"/>
                <w:b/>
                <w:bCs/>
                <w:color w:val="000000"/>
                <w:sz w:val="21"/>
                <w:szCs w:val="21"/>
              </w:rPr>
              <w:t>备注</w:t>
            </w:r>
          </w:p>
        </w:tc>
      </w:tr>
      <w:tr>
        <w:tblPrEx>
          <w:tblLayout w:type="fixed"/>
          <w:tblCellMar>
            <w:top w:w="0" w:type="dxa"/>
            <w:left w:w="0" w:type="dxa"/>
            <w:bottom w:w="0" w:type="dxa"/>
            <w:right w:w="0" w:type="dxa"/>
          </w:tblCellMar>
        </w:tblPrEx>
        <w:trPr>
          <w:trHeight w:val="576" w:hRule="atLeast"/>
        </w:trPr>
        <w:tc>
          <w:tcPr>
            <w:tcW w:w="851" w:type="dxa"/>
            <w:vMerge w:val="restart"/>
            <w:tcBorders>
              <w:top w:val="single" w:color="000000" w:sz="4" w:space="0"/>
              <w:left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jc w:val="center"/>
              <w:rPr>
                <w:rFonts w:eastAsia="方正仿宋_GBK" w:cs="方正仿宋_GBK"/>
                <w:color w:val="000000"/>
                <w:kern w:val="0"/>
                <w:sz w:val="22"/>
                <w:szCs w:val="22"/>
              </w:rPr>
            </w:pPr>
            <w:r>
              <w:rPr>
                <w:rFonts w:hint="eastAsia" w:cs="宋体"/>
                <w:color w:val="000000"/>
                <w:sz w:val="21"/>
                <w:szCs w:val="21"/>
              </w:rPr>
              <w:t>1</w:t>
            </w:r>
          </w:p>
        </w:tc>
        <w:tc>
          <w:tcPr>
            <w:tcW w:w="1985" w:type="dxa"/>
            <w:vMerge w:val="restart"/>
            <w:tcBorders>
              <w:top w:val="single" w:color="000000" w:sz="4" w:space="0"/>
              <w:left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jc w:val="center"/>
              <w:rPr>
                <w:rFonts w:cs="方正仿宋_GBK"/>
                <w:color w:val="000000"/>
                <w:sz w:val="22"/>
                <w:szCs w:val="22"/>
              </w:rPr>
            </w:pPr>
            <w:r>
              <w:rPr>
                <w:rFonts w:hint="eastAsia" w:cs="宋体"/>
                <w:color w:val="000000"/>
                <w:sz w:val="21"/>
                <w:szCs w:val="21"/>
              </w:rPr>
              <w:t>哌拉西林他唑巴坦（8:1）</w:t>
            </w:r>
          </w:p>
        </w:tc>
        <w:tc>
          <w:tcPr>
            <w:tcW w:w="1843" w:type="dxa"/>
            <w:vMerge w:val="restart"/>
            <w:tcBorders>
              <w:top w:val="single" w:color="000000" w:sz="4" w:space="0"/>
              <w:left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rPr>
                <w:rFonts w:cs="宋体"/>
                <w:color w:val="000000"/>
                <w:szCs w:val="21"/>
              </w:rPr>
            </w:pPr>
            <w:r>
              <w:rPr>
                <w:rFonts w:hint="eastAsia" w:cs="宋体"/>
                <w:color w:val="000000"/>
                <w:sz w:val="21"/>
                <w:szCs w:val="21"/>
              </w:rPr>
              <w:t>注射用无菌粉末</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 w:val="21"/>
                <w:szCs w:val="21"/>
              </w:rPr>
              <w:t>2.25g</w:t>
            </w:r>
          </w:p>
        </w:tc>
        <w:tc>
          <w:tcPr>
            <w:tcW w:w="1701" w:type="dxa"/>
            <w:tcBorders>
              <w:top w:val="single" w:color="000000" w:sz="4" w:space="0"/>
              <w:left w:val="single" w:color="000000" w:sz="4" w:space="0"/>
              <w:bottom w:val="single" w:color="000000" w:sz="4" w:space="0"/>
              <w:right w:val="single" w:color="000000" w:sz="4" w:space="0"/>
            </w:tcBorders>
          </w:tcPr>
          <w:p>
            <w:pPr>
              <w:widowControl/>
              <w:spacing w:line="360" w:lineRule="exact"/>
              <w:jc w:val="center"/>
              <w:rPr>
                <w:rFonts w:cs="方正仿宋_GBK" w:asciiTheme="minorEastAsia" w:hAnsiTheme="minorEastAsia" w:eastAsiaTheme="minorEastAsia"/>
                <w:color w:val="000000"/>
                <w:kern w:val="0"/>
                <w:sz w:val="22"/>
                <w:szCs w:val="22"/>
              </w:rPr>
            </w:pPr>
            <w:r>
              <w:rPr>
                <w:rFonts w:hint="eastAsia" w:cs="方正仿宋_GBK" w:asciiTheme="minorEastAsia" w:hAnsiTheme="minorEastAsia" w:eastAsiaTheme="minorEastAsia"/>
                <w:color w:val="000000"/>
                <w:kern w:val="0"/>
                <w:sz w:val="22"/>
                <w:szCs w:val="22"/>
              </w:rPr>
              <w:t>3916628</w:t>
            </w:r>
          </w:p>
        </w:tc>
        <w:tc>
          <w:tcPr>
            <w:tcW w:w="1985" w:type="dxa"/>
            <w:tcBorders>
              <w:top w:val="single" w:color="000000" w:sz="4" w:space="0"/>
              <w:left w:val="single" w:color="000000" w:sz="4" w:space="0"/>
              <w:bottom w:val="single" w:color="000000" w:sz="4" w:space="0"/>
              <w:right w:val="single" w:color="000000" w:sz="4" w:space="0"/>
            </w:tcBorders>
          </w:tcPr>
          <w:p>
            <w:pPr>
              <w:widowControl/>
              <w:spacing w:line="360" w:lineRule="exact"/>
              <w:jc w:val="center"/>
              <w:rPr>
                <w:rFonts w:eastAsia="方正仿宋_GBK" w:cs="方正仿宋_GBK"/>
                <w:color w:val="000000"/>
                <w:kern w:val="0"/>
                <w:sz w:val="22"/>
                <w:szCs w:val="22"/>
              </w:rPr>
            </w:pPr>
            <w:r>
              <w:rPr>
                <w:rFonts w:hint="eastAsia" w:cs="宋体"/>
                <w:color w:val="000000"/>
                <w:sz w:val="21"/>
                <w:szCs w:val="21"/>
              </w:rPr>
              <w:t>渝、黔、滇</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spacing w:line="360" w:lineRule="exact"/>
              <w:jc w:val="center"/>
              <w:rPr>
                <w:rFonts w:eastAsia="方正仿宋_GBK" w:cs="方正仿宋_GBK"/>
                <w:color w:val="000000"/>
                <w:kern w:val="0"/>
                <w:sz w:val="22"/>
                <w:szCs w:val="22"/>
              </w:rPr>
            </w:pPr>
          </w:p>
        </w:tc>
      </w:tr>
      <w:tr>
        <w:tblPrEx>
          <w:tblLayout w:type="fixed"/>
          <w:tblCellMar>
            <w:top w:w="0" w:type="dxa"/>
            <w:left w:w="0" w:type="dxa"/>
            <w:bottom w:w="0" w:type="dxa"/>
            <w:right w:w="0" w:type="dxa"/>
          </w:tblCellMar>
        </w:tblPrEx>
        <w:trPr>
          <w:trHeight w:val="576" w:hRule="atLeast"/>
        </w:trPr>
        <w:tc>
          <w:tcPr>
            <w:tcW w:w="851" w:type="dxa"/>
            <w:vMerge w:val="continue"/>
            <w:tcBorders>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jc w:val="center"/>
              <w:rPr>
                <w:rFonts w:cs="宋体"/>
                <w:color w:val="000000"/>
                <w:szCs w:val="21"/>
              </w:rPr>
            </w:pPr>
          </w:p>
        </w:tc>
        <w:tc>
          <w:tcPr>
            <w:tcW w:w="1985" w:type="dxa"/>
            <w:vMerge w:val="continue"/>
            <w:tcBorders>
              <w:left w:val="single" w:color="000000" w:sz="4" w:space="0"/>
              <w:bottom w:val="single" w:color="000000" w:sz="4" w:space="0"/>
              <w:right w:val="single" w:color="000000" w:sz="4" w:space="0"/>
            </w:tcBorders>
            <w:shd w:val="clear" w:color="auto" w:fill="auto"/>
            <w:tcMar>
              <w:top w:w="12" w:type="dxa"/>
              <w:left w:w="12" w:type="dxa"/>
              <w:right w:w="12" w:type="dxa"/>
            </w:tcMar>
          </w:tcPr>
          <w:p>
            <w:pPr>
              <w:snapToGrid w:val="0"/>
              <w:spacing w:line="360" w:lineRule="exact"/>
              <w:jc w:val="center"/>
              <w:rPr>
                <w:rFonts w:cs="宋体"/>
                <w:color w:val="000000"/>
                <w:szCs w:val="21"/>
              </w:rPr>
            </w:pPr>
          </w:p>
        </w:tc>
        <w:tc>
          <w:tcPr>
            <w:tcW w:w="1843" w:type="dxa"/>
            <w:vMerge w:val="continue"/>
            <w:tcBorders>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rPr>
                <w:rFonts w:cs="宋体"/>
                <w:color w:val="000000"/>
                <w:szCs w:val="21"/>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 w:val="21"/>
                <w:szCs w:val="21"/>
              </w:rPr>
              <w:t>4.5g</w:t>
            </w:r>
          </w:p>
        </w:tc>
        <w:tc>
          <w:tcPr>
            <w:tcW w:w="1701" w:type="dxa"/>
            <w:tcBorders>
              <w:top w:val="single" w:color="000000" w:sz="4" w:space="0"/>
              <w:left w:val="single" w:color="000000" w:sz="4" w:space="0"/>
              <w:bottom w:val="single" w:color="000000" w:sz="4" w:space="0"/>
              <w:right w:val="single" w:color="000000" w:sz="4" w:space="0"/>
            </w:tcBorders>
          </w:tcPr>
          <w:p>
            <w:pPr>
              <w:widowControl/>
              <w:spacing w:line="360" w:lineRule="exact"/>
              <w:jc w:val="center"/>
              <w:rPr>
                <w:rFonts w:cs="方正仿宋_GBK" w:asciiTheme="minorEastAsia" w:hAnsiTheme="minorEastAsia" w:eastAsiaTheme="minorEastAsia"/>
                <w:color w:val="000000"/>
                <w:kern w:val="0"/>
                <w:sz w:val="22"/>
                <w:szCs w:val="22"/>
              </w:rPr>
            </w:pPr>
            <w:r>
              <w:rPr>
                <w:rFonts w:hint="eastAsia" w:cs="方正仿宋_GBK" w:asciiTheme="minorEastAsia" w:hAnsiTheme="minorEastAsia" w:eastAsiaTheme="minorEastAsia"/>
                <w:color w:val="000000"/>
                <w:kern w:val="0"/>
                <w:sz w:val="22"/>
                <w:szCs w:val="22"/>
              </w:rPr>
              <w:t>1131485</w:t>
            </w:r>
          </w:p>
        </w:tc>
        <w:tc>
          <w:tcPr>
            <w:tcW w:w="1985" w:type="dxa"/>
            <w:tcBorders>
              <w:top w:val="single" w:color="000000" w:sz="4" w:space="0"/>
              <w:left w:val="single" w:color="000000" w:sz="4" w:space="0"/>
              <w:bottom w:val="single" w:color="000000" w:sz="4" w:space="0"/>
              <w:right w:val="single" w:color="000000" w:sz="4" w:space="0"/>
            </w:tcBorders>
          </w:tcPr>
          <w:p>
            <w:pPr>
              <w:widowControl/>
              <w:spacing w:line="360" w:lineRule="exact"/>
              <w:jc w:val="center"/>
              <w:rPr>
                <w:rFonts w:eastAsia="方正仿宋_GBK" w:cs="方正仿宋_GBK"/>
                <w:color w:val="000000"/>
                <w:kern w:val="0"/>
                <w:sz w:val="22"/>
                <w:szCs w:val="22"/>
              </w:rPr>
            </w:pPr>
            <w:r>
              <w:rPr>
                <w:rFonts w:hint="eastAsia" w:cs="宋体"/>
                <w:color w:val="000000"/>
                <w:sz w:val="21"/>
                <w:szCs w:val="21"/>
              </w:rPr>
              <w:t>渝、黔、滇</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spacing w:line="360" w:lineRule="exact"/>
              <w:jc w:val="center"/>
              <w:rPr>
                <w:rFonts w:eastAsia="方正仿宋_GBK" w:cs="方正仿宋_GBK"/>
                <w:color w:val="000000"/>
                <w:kern w:val="0"/>
                <w:sz w:val="22"/>
                <w:szCs w:val="22"/>
              </w:rPr>
            </w:pPr>
          </w:p>
        </w:tc>
      </w:tr>
      <w:tr>
        <w:tblPrEx>
          <w:tblLayout w:type="fixed"/>
          <w:tblCellMar>
            <w:top w:w="0" w:type="dxa"/>
            <w:left w:w="0" w:type="dxa"/>
            <w:bottom w:w="0" w:type="dxa"/>
            <w:right w:w="0" w:type="dxa"/>
          </w:tblCellMar>
        </w:tblPrEx>
        <w:trPr>
          <w:trHeight w:val="576" w:hRule="atLeast"/>
        </w:trPr>
        <w:tc>
          <w:tcPr>
            <w:tcW w:w="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jc w:val="center"/>
              <w:rPr>
                <w:rFonts w:eastAsia="方正仿宋_GBK" w:cs="方正仿宋_GBK"/>
                <w:color w:val="000000"/>
                <w:kern w:val="0"/>
                <w:sz w:val="22"/>
                <w:szCs w:val="22"/>
              </w:rPr>
            </w:pPr>
            <w:r>
              <w:rPr>
                <w:rFonts w:hint="eastAsia" w:cs="宋体"/>
                <w:color w:val="000000"/>
                <w:sz w:val="21"/>
                <w:szCs w:val="21"/>
              </w:rPr>
              <w:t>2</w:t>
            </w:r>
          </w:p>
        </w:tc>
        <w:tc>
          <w:tcPr>
            <w:tcW w:w="19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tcPr>
          <w:p>
            <w:pPr>
              <w:snapToGrid w:val="0"/>
              <w:spacing w:line="360" w:lineRule="exact"/>
              <w:jc w:val="center"/>
              <w:rPr>
                <w:rFonts w:cs="方正仿宋_GBK"/>
                <w:color w:val="000000"/>
                <w:sz w:val="22"/>
                <w:szCs w:val="22"/>
              </w:rPr>
            </w:pPr>
            <w:r>
              <w:rPr>
                <w:rFonts w:hint="eastAsia" w:cs="宋体"/>
                <w:color w:val="000000"/>
                <w:sz w:val="21"/>
                <w:szCs w:val="21"/>
              </w:rPr>
              <w:t>哌拉西林他唑巴坦（4:1）</w:t>
            </w:r>
          </w:p>
        </w:tc>
        <w:tc>
          <w:tcPr>
            <w:tcW w:w="184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rPr>
                <w:rFonts w:cs="宋体"/>
                <w:color w:val="000000"/>
                <w:szCs w:val="21"/>
              </w:rPr>
            </w:pPr>
            <w:r>
              <w:rPr>
                <w:rFonts w:hint="eastAsia" w:cs="宋体"/>
                <w:color w:val="000000"/>
                <w:sz w:val="21"/>
                <w:szCs w:val="21"/>
              </w:rPr>
              <w:t>注射用无菌粉末</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 w:val="21"/>
                <w:szCs w:val="21"/>
              </w:rPr>
              <w:t>1.25g</w:t>
            </w:r>
          </w:p>
        </w:tc>
        <w:tc>
          <w:tcPr>
            <w:tcW w:w="1701" w:type="dxa"/>
            <w:tcBorders>
              <w:top w:val="single" w:color="000000" w:sz="4" w:space="0"/>
              <w:left w:val="single" w:color="000000" w:sz="4" w:space="0"/>
              <w:bottom w:val="single" w:color="000000" w:sz="4" w:space="0"/>
              <w:right w:val="single" w:color="000000" w:sz="4" w:space="0"/>
            </w:tcBorders>
          </w:tcPr>
          <w:p>
            <w:pPr>
              <w:widowControl/>
              <w:spacing w:line="360" w:lineRule="exact"/>
              <w:jc w:val="center"/>
              <w:rPr>
                <w:rFonts w:cs="方正仿宋_GBK" w:asciiTheme="minorEastAsia" w:hAnsiTheme="minorEastAsia" w:eastAsiaTheme="minorEastAsia"/>
                <w:color w:val="000000"/>
                <w:kern w:val="0"/>
                <w:sz w:val="22"/>
                <w:szCs w:val="22"/>
              </w:rPr>
            </w:pPr>
            <w:r>
              <w:rPr>
                <w:rFonts w:hint="eastAsia" w:cs="方正仿宋_GBK" w:asciiTheme="minorEastAsia" w:hAnsiTheme="minorEastAsia" w:eastAsiaTheme="minorEastAsia"/>
                <w:color w:val="000000"/>
                <w:kern w:val="0"/>
                <w:sz w:val="22"/>
                <w:szCs w:val="22"/>
              </w:rPr>
              <w:t>1254758</w:t>
            </w:r>
          </w:p>
        </w:tc>
        <w:tc>
          <w:tcPr>
            <w:tcW w:w="1985" w:type="dxa"/>
            <w:tcBorders>
              <w:top w:val="single" w:color="000000" w:sz="4" w:space="0"/>
              <w:left w:val="single" w:color="000000" w:sz="4" w:space="0"/>
              <w:bottom w:val="single" w:color="000000" w:sz="4" w:space="0"/>
              <w:right w:val="single" w:color="000000" w:sz="4" w:space="0"/>
            </w:tcBorders>
          </w:tcPr>
          <w:p>
            <w:pPr>
              <w:widowControl/>
              <w:spacing w:line="360" w:lineRule="exact"/>
              <w:jc w:val="center"/>
              <w:rPr>
                <w:rFonts w:eastAsia="方正仿宋_GBK" w:cs="方正仿宋_GBK"/>
                <w:color w:val="000000"/>
                <w:kern w:val="0"/>
                <w:sz w:val="22"/>
                <w:szCs w:val="22"/>
              </w:rPr>
            </w:pPr>
            <w:r>
              <w:rPr>
                <w:rFonts w:hint="eastAsia" w:cs="宋体"/>
                <w:color w:val="000000"/>
                <w:sz w:val="21"/>
                <w:szCs w:val="21"/>
              </w:rPr>
              <w:t>渝、黔、滇</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spacing w:line="360" w:lineRule="exact"/>
              <w:jc w:val="center"/>
              <w:rPr>
                <w:rFonts w:eastAsia="方正仿宋_GBK" w:cs="方正仿宋_GBK"/>
                <w:color w:val="000000"/>
                <w:kern w:val="0"/>
                <w:sz w:val="22"/>
                <w:szCs w:val="22"/>
              </w:rPr>
            </w:pPr>
          </w:p>
        </w:tc>
      </w:tr>
      <w:tr>
        <w:tblPrEx>
          <w:tblLayout w:type="fixed"/>
          <w:tblCellMar>
            <w:top w:w="0" w:type="dxa"/>
            <w:left w:w="0" w:type="dxa"/>
            <w:bottom w:w="0" w:type="dxa"/>
            <w:right w:w="0" w:type="dxa"/>
          </w:tblCellMar>
        </w:tblPrEx>
        <w:trPr>
          <w:trHeight w:val="288" w:hRule="atLeast"/>
        </w:trPr>
        <w:tc>
          <w:tcPr>
            <w:tcW w:w="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jc w:val="center"/>
              <w:rPr>
                <w:rFonts w:eastAsia="方正仿宋_GBK" w:cs="方正仿宋_GBK"/>
                <w:color w:val="000000"/>
                <w:kern w:val="0"/>
                <w:sz w:val="22"/>
                <w:szCs w:val="22"/>
              </w:rPr>
            </w:pPr>
            <w:r>
              <w:rPr>
                <w:rFonts w:hint="eastAsia" w:cs="宋体"/>
                <w:color w:val="000000"/>
                <w:sz w:val="21"/>
                <w:szCs w:val="21"/>
              </w:rPr>
              <w:t>3</w:t>
            </w:r>
          </w:p>
        </w:tc>
        <w:tc>
          <w:tcPr>
            <w:tcW w:w="19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tcPr>
          <w:p>
            <w:pPr>
              <w:snapToGrid w:val="0"/>
              <w:spacing w:line="360" w:lineRule="exact"/>
              <w:jc w:val="center"/>
              <w:rPr>
                <w:rFonts w:eastAsia="方正仿宋_GBK" w:cs="方正仿宋_GBK"/>
                <w:color w:val="000000"/>
                <w:sz w:val="22"/>
                <w:szCs w:val="22"/>
              </w:rPr>
            </w:pPr>
            <w:r>
              <w:rPr>
                <w:rFonts w:hint="eastAsia" w:cs="宋体"/>
                <w:color w:val="000000"/>
                <w:sz w:val="21"/>
                <w:szCs w:val="21"/>
              </w:rPr>
              <w:t>头孢他啶</w:t>
            </w:r>
          </w:p>
        </w:tc>
        <w:tc>
          <w:tcPr>
            <w:tcW w:w="184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rPr>
                <w:rFonts w:cs="宋体"/>
                <w:color w:val="000000"/>
                <w:szCs w:val="21"/>
              </w:rPr>
            </w:pPr>
            <w:r>
              <w:rPr>
                <w:rFonts w:hint="eastAsia" w:cs="宋体"/>
                <w:color w:val="000000"/>
                <w:sz w:val="21"/>
                <w:szCs w:val="21"/>
              </w:rPr>
              <w:t>注射用无菌粉末</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 w:val="21"/>
                <w:szCs w:val="21"/>
              </w:rPr>
              <w:t>1g</w:t>
            </w:r>
          </w:p>
        </w:tc>
        <w:tc>
          <w:tcPr>
            <w:tcW w:w="1701" w:type="dxa"/>
            <w:tcBorders>
              <w:top w:val="single" w:color="000000" w:sz="4" w:space="0"/>
              <w:left w:val="single" w:color="000000" w:sz="4" w:space="0"/>
              <w:bottom w:val="single" w:color="000000" w:sz="4" w:space="0"/>
              <w:right w:val="single" w:color="000000" w:sz="4" w:space="0"/>
            </w:tcBorders>
          </w:tcPr>
          <w:p>
            <w:pPr>
              <w:widowControl/>
              <w:spacing w:line="360" w:lineRule="exact"/>
              <w:jc w:val="center"/>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8049508</w:t>
            </w:r>
          </w:p>
        </w:tc>
        <w:tc>
          <w:tcPr>
            <w:tcW w:w="1985" w:type="dxa"/>
            <w:tcBorders>
              <w:top w:val="single" w:color="000000" w:sz="4" w:space="0"/>
              <w:left w:val="single" w:color="000000" w:sz="4" w:space="0"/>
              <w:bottom w:val="single" w:color="000000" w:sz="4" w:space="0"/>
              <w:right w:val="single" w:color="000000" w:sz="4" w:space="0"/>
            </w:tcBorders>
          </w:tcPr>
          <w:p>
            <w:pPr>
              <w:widowControl/>
              <w:spacing w:line="360" w:lineRule="exact"/>
              <w:jc w:val="center"/>
              <w:rPr>
                <w:rFonts w:cs="宋体"/>
                <w:color w:val="000000"/>
                <w:sz w:val="21"/>
                <w:szCs w:val="21"/>
              </w:rPr>
            </w:pPr>
            <w:r>
              <w:rPr>
                <w:rFonts w:hint="eastAsia" w:cs="宋体"/>
                <w:color w:val="000000"/>
                <w:sz w:val="21"/>
                <w:szCs w:val="21"/>
              </w:rPr>
              <w:t>渝、黔、滇</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spacing w:line="360" w:lineRule="exact"/>
              <w:rPr>
                <w:rFonts w:cs="方正仿宋_GBK"/>
                <w:color w:val="000000"/>
                <w:kern w:val="0"/>
                <w:sz w:val="22"/>
                <w:szCs w:val="22"/>
              </w:rPr>
            </w:pPr>
          </w:p>
        </w:tc>
      </w:tr>
      <w:tr>
        <w:tblPrEx>
          <w:tblLayout w:type="fixed"/>
          <w:tblCellMar>
            <w:top w:w="0" w:type="dxa"/>
            <w:left w:w="0" w:type="dxa"/>
            <w:bottom w:w="0" w:type="dxa"/>
            <w:right w:w="0" w:type="dxa"/>
          </w:tblCellMar>
        </w:tblPrEx>
        <w:trPr>
          <w:trHeight w:val="288" w:hRule="atLeast"/>
        </w:trPr>
        <w:tc>
          <w:tcPr>
            <w:tcW w:w="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jc w:val="center"/>
              <w:rPr>
                <w:rFonts w:eastAsia="方正仿宋_GBK" w:cs="方正仿宋_GBK"/>
                <w:color w:val="000000"/>
                <w:kern w:val="0"/>
                <w:sz w:val="22"/>
                <w:szCs w:val="22"/>
              </w:rPr>
            </w:pPr>
            <w:r>
              <w:rPr>
                <w:rFonts w:hint="eastAsia" w:cs="宋体"/>
                <w:color w:val="000000"/>
                <w:sz w:val="21"/>
                <w:szCs w:val="21"/>
              </w:rPr>
              <w:t>4</w:t>
            </w:r>
          </w:p>
        </w:tc>
        <w:tc>
          <w:tcPr>
            <w:tcW w:w="19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tcPr>
          <w:p>
            <w:pPr>
              <w:snapToGrid w:val="0"/>
              <w:spacing w:line="360" w:lineRule="exact"/>
              <w:jc w:val="center"/>
              <w:rPr>
                <w:rFonts w:eastAsia="方正仿宋_GBK" w:cs="方正仿宋_GBK"/>
                <w:color w:val="000000"/>
                <w:sz w:val="22"/>
                <w:szCs w:val="22"/>
              </w:rPr>
            </w:pPr>
            <w:r>
              <w:rPr>
                <w:rFonts w:hint="eastAsia" w:cs="宋体"/>
                <w:color w:val="000000"/>
                <w:sz w:val="21"/>
                <w:szCs w:val="21"/>
              </w:rPr>
              <w:t>泮托拉唑钠</w:t>
            </w:r>
          </w:p>
        </w:tc>
        <w:tc>
          <w:tcPr>
            <w:tcW w:w="184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rPr>
                <w:rFonts w:cs="宋体"/>
                <w:color w:val="000000"/>
                <w:szCs w:val="21"/>
              </w:rPr>
            </w:pPr>
            <w:r>
              <w:rPr>
                <w:rFonts w:hint="eastAsia" w:cs="宋体"/>
                <w:color w:val="000000"/>
                <w:sz w:val="21"/>
                <w:szCs w:val="21"/>
              </w:rPr>
              <w:t>注射用无菌粉末</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 w:val="21"/>
                <w:szCs w:val="21"/>
              </w:rPr>
              <w:t>40mg</w:t>
            </w:r>
          </w:p>
        </w:tc>
        <w:tc>
          <w:tcPr>
            <w:tcW w:w="1701" w:type="dxa"/>
            <w:tcBorders>
              <w:top w:val="single" w:color="000000" w:sz="4" w:space="0"/>
              <w:left w:val="single" w:color="000000" w:sz="4" w:space="0"/>
              <w:bottom w:val="single" w:color="000000" w:sz="4" w:space="0"/>
              <w:right w:val="single" w:color="000000" w:sz="4" w:space="0"/>
            </w:tcBorders>
          </w:tcPr>
          <w:p>
            <w:pPr>
              <w:widowControl/>
              <w:spacing w:line="360" w:lineRule="exact"/>
              <w:jc w:val="center"/>
              <w:rPr>
                <w:rFonts w:cs="方正仿宋_GBK" w:asciiTheme="minorEastAsia" w:hAnsiTheme="minorEastAsia" w:eastAsiaTheme="minorEastAsia"/>
                <w:color w:val="000000"/>
                <w:kern w:val="0"/>
                <w:sz w:val="22"/>
                <w:szCs w:val="22"/>
              </w:rPr>
            </w:pPr>
            <w:r>
              <w:rPr>
                <w:rFonts w:hint="eastAsia" w:cs="方正仿宋_GBK" w:asciiTheme="minorEastAsia" w:hAnsiTheme="minorEastAsia" w:eastAsiaTheme="minorEastAsia"/>
                <w:color w:val="000000"/>
                <w:kern w:val="0"/>
                <w:sz w:val="22"/>
                <w:szCs w:val="22"/>
              </w:rPr>
              <w:t>6533211</w:t>
            </w:r>
          </w:p>
        </w:tc>
        <w:tc>
          <w:tcPr>
            <w:tcW w:w="1985" w:type="dxa"/>
            <w:tcBorders>
              <w:top w:val="single" w:color="000000" w:sz="4" w:space="0"/>
              <w:left w:val="single" w:color="000000" w:sz="4" w:space="0"/>
              <w:bottom w:val="single" w:color="000000" w:sz="4" w:space="0"/>
              <w:right w:val="single" w:color="000000" w:sz="4" w:space="0"/>
            </w:tcBorders>
          </w:tcPr>
          <w:p>
            <w:pPr>
              <w:widowControl/>
              <w:spacing w:line="360" w:lineRule="exact"/>
              <w:jc w:val="center"/>
              <w:rPr>
                <w:rFonts w:eastAsia="方正仿宋_GBK" w:cs="方正仿宋_GBK"/>
                <w:color w:val="000000"/>
                <w:kern w:val="0"/>
                <w:sz w:val="22"/>
                <w:szCs w:val="22"/>
              </w:rPr>
            </w:pPr>
            <w:r>
              <w:rPr>
                <w:rFonts w:hint="eastAsia" w:cs="宋体"/>
                <w:color w:val="000000"/>
                <w:sz w:val="21"/>
                <w:szCs w:val="21"/>
              </w:rPr>
              <w:t>渝、黔、滇、湘</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spacing w:line="360" w:lineRule="exact"/>
              <w:jc w:val="center"/>
              <w:rPr>
                <w:rFonts w:eastAsia="方正仿宋_GBK" w:cs="方正仿宋_GBK"/>
                <w:color w:val="000000"/>
                <w:kern w:val="0"/>
                <w:sz w:val="22"/>
                <w:szCs w:val="22"/>
              </w:rPr>
            </w:pPr>
          </w:p>
        </w:tc>
      </w:tr>
      <w:tr>
        <w:tblPrEx>
          <w:tblLayout w:type="fixed"/>
          <w:tblCellMar>
            <w:top w:w="0" w:type="dxa"/>
            <w:left w:w="0" w:type="dxa"/>
            <w:bottom w:w="0" w:type="dxa"/>
            <w:right w:w="0" w:type="dxa"/>
          </w:tblCellMar>
        </w:tblPrEx>
        <w:trPr>
          <w:trHeight w:val="288" w:hRule="atLeast"/>
        </w:trPr>
        <w:tc>
          <w:tcPr>
            <w:tcW w:w="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tcPr>
          <w:p>
            <w:pPr>
              <w:snapToGrid w:val="0"/>
              <w:spacing w:line="360" w:lineRule="exact"/>
              <w:jc w:val="center"/>
              <w:rPr>
                <w:rFonts w:eastAsia="方正仿宋_GBK" w:cs="方正仿宋_GBK"/>
                <w:color w:val="000000"/>
                <w:kern w:val="0"/>
                <w:sz w:val="22"/>
                <w:szCs w:val="22"/>
              </w:rPr>
            </w:pPr>
            <w:r>
              <w:rPr>
                <w:rFonts w:hint="eastAsia" w:cs="宋体"/>
                <w:color w:val="000000"/>
                <w:sz w:val="21"/>
                <w:szCs w:val="21"/>
              </w:rPr>
              <w:t>5</w:t>
            </w:r>
          </w:p>
        </w:tc>
        <w:tc>
          <w:tcPr>
            <w:tcW w:w="19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tcPr>
          <w:p>
            <w:pPr>
              <w:snapToGrid w:val="0"/>
              <w:spacing w:line="360" w:lineRule="exact"/>
              <w:jc w:val="center"/>
              <w:rPr>
                <w:rFonts w:eastAsia="方正仿宋_GBK" w:cs="方正仿宋_GBK"/>
                <w:color w:val="000000"/>
                <w:sz w:val="22"/>
                <w:szCs w:val="22"/>
              </w:rPr>
            </w:pPr>
            <w:r>
              <w:rPr>
                <w:rFonts w:hint="eastAsia" w:cs="宋体"/>
                <w:color w:val="000000"/>
                <w:sz w:val="21"/>
                <w:szCs w:val="21"/>
              </w:rPr>
              <w:t>左卡尼汀</w:t>
            </w:r>
          </w:p>
        </w:tc>
        <w:tc>
          <w:tcPr>
            <w:tcW w:w="184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rPr>
                <w:rFonts w:cs="宋体"/>
                <w:color w:val="000000"/>
                <w:szCs w:val="21"/>
              </w:rPr>
            </w:pPr>
            <w:r>
              <w:rPr>
                <w:rFonts w:hint="eastAsia" w:cs="宋体"/>
                <w:color w:val="000000"/>
                <w:sz w:val="21"/>
                <w:szCs w:val="21"/>
              </w:rPr>
              <w:t>注射液</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 w:val="21"/>
                <w:szCs w:val="21"/>
              </w:rPr>
              <w:t>5ml:1g</w:t>
            </w:r>
          </w:p>
        </w:tc>
        <w:tc>
          <w:tcPr>
            <w:tcW w:w="1701" w:type="dxa"/>
            <w:tcBorders>
              <w:top w:val="single" w:color="000000" w:sz="4" w:space="0"/>
              <w:left w:val="single" w:color="000000" w:sz="4" w:space="0"/>
              <w:bottom w:val="single" w:color="000000" w:sz="4" w:space="0"/>
              <w:right w:val="single" w:color="000000" w:sz="4" w:space="0"/>
            </w:tcBorders>
          </w:tcPr>
          <w:p>
            <w:pPr>
              <w:widowControl/>
              <w:spacing w:line="360" w:lineRule="exact"/>
              <w:jc w:val="center"/>
              <w:rPr>
                <w:rFonts w:cs="方正仿宋_GBK" w:asciiTheme="minorEastAsia" w:hAnsiTheme="minorEastAsia" w:eastAsiaTheme="minorEastAsia"/>
                <w:color w:val="000000"/>
                <w:kern w:val="0"/>
                <w:sz w:val="22"/>
                <w:szCs w:val="22"/>
              </w:rPr>
            </w:pPr>
            <w:r>
              <w:rPr>
                <w:rFonts w:hint="eastAsia" w:cs="方正仿宋_GBK" w:asciiTheme="minorEastAsia" w:hAnsiTheme="minorEastAsia" w:eastAsiaTheme="minorEastAsia"/>
                <w:color w:val="000000"/>
                <w:kern w:val="0"/>
                <w:sz w:val="22"/>
                <w:szCs w:val="22"/>
              </w:rPr>
              <w:t>3292978</w:t>
            </w:r>
          </w:p>
        </w:tc>
        <w:tc>
          <w:tcPr>
            <w:tcW w:w="1985" w:type="dxa"/>
            <w:tcBorders>
              <w:top w:val="single" w:color="000000" w:sz="4" w:space="0"/>
              <w:left w:val="single" w:color="000000" w:sz="4" w:space="0"/>
              <w:bottom w:val="single" w:color="000000" w:sz="4" w:space="0"/>
              <w:right w:val="single" w:color="000000" w:sz="4" w:space="0"/>
            </w:tcBorders>
          </w:tcPr>
          <w:p>
            <w:pPr>
              <w:widowControl/>
              <w:spacing w:line="360" w:lineRule="exact"/>
              <w:jc w:val="center"/>
              <w:rPr>
                <w:rFonts w:eastAsia="方正仿宋_GBK" w:cs="方正仿宋_GBK"/>
                <w:color w:val="000000"/>
                <w:kern w:val="0"/>
                <w:sz w:val="22"/>
                <w:szCs w:val="22"/>
              </w:rPr>
            </w:pPr>
            <w:r>
              <w:rPr>
                <w:rFonts w:hint="eastAsia" w:cs="宋体"/>
                <w:color w:val="000000"/>
                <w:sz w:val="21"/>
                <w:szCs w:val="21"/>
              </w:rPr>
              <w:t>渝、黔、滇、湘</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spacing w:line="360" w:lineRule="exact"/>
              <w:jc w:val="center"/>
              <w:rPr>
                <w:rFonts w:eastAsia="方正仿宋_GBK" w:cs="方正仿宋_GBK"/>
                <w:color w:val="000000"/>
                <w:kern w:val="0"/>
                <w:sz w:val="22"/>
                <w:szCs w:val="22"/>
              </w:rPr>
            </w:pPr>
          </w:p>
        </w:tc>
      </w:tr>
      <w:tr>
        <w:tblPrEx>
          <w:tblLayout w:type="fixed"/>
          <w:tblCellMar>
            <w:top w:w="0" w:type="dxa"/>
            <w:left w:w="0" w:type="dxa"/>
            <w:bottom w:w="0" w:type="dxa"/>
            <w:right w:w="0" w:type="dxa"/>
          </w:tblCellMar>
        </w:tblPrEx>
        <w:trPr>
          <w:trHeight w:val="288" w:hRule="atLeast"/>
        </w:trPr>
        <w:tc>
          <w:tcPr>
            <w:tcW w:w="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tcPr>
          <w:p>
            <w:pPr>
              <w:snapToGrid w:val="0"/>
              <w:spacing w:line="360" w:lineRule="exact"/>
              <w:jc w:val="center"/>
              <w:rPr>
                <w:rFonts w:eastAsia="方正仿宋_GBK" w:cs="方正仿宋_GBK"/>
                <w:color w:val="000000"/>
                <w:kern w:val="0"/>
                <w:sz w:val="22"/>
                <w:szCs w:val="22"/>
              </w:rPr>
            </w:pPr>
            <w:r>
              <w:rPr>
                <w:rFonts w:hint="eastAsia" w:cs="宋体"/>
                <w:color w:val="000000"/>
                <w:sz w:val="21"/>
                <w:szCs w:val="21"/>
              </w:rPr>
              <w:t>6</w:t>
            </w:r>
          </w:p>
        </w:tc>
        <w:tc>
          <w:tcPr>
            <w:tcW w:w="19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tcPr>
          <w:p>
            <w:pPr>
              <w:snapToGrid w:val="0"/>
              <w:spacing w:line="360" w:lineRule="exact"/>
              <w:jc w:val="center"/>
              <w:rPr>
                <w:rFonts w:eastAsia="方正仿宋_GBK" w:cs="方正仿宋_GBK"/>
                <w:color w:val="000000"/>
                <w:sz w:val="22"/>
                <w:szCs w:val="22"/>
              </w:rPr>
            </w:pPr>
            <w:r>
              <w:rPr>
                <w:rFonts w:hint="eastAsia" w:cs="宋体"/>
                <w:color w:val="000000"/>
                <w:sz w:val="21"/>
                <w:szCs w:val="21"/>
              </w:rPr>
              <w:t>盐酸川芎嗪</w:t>
            </w:r>
          </w:p>
        </w:tc>
        <w:tc>
          <w:tcPr>
            <w:tcW w:w="184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rPr>
                <w:rFonts w:cs="宋体"/>
                <w:color w:val="000000"/>
                <w:szCs w:val="21"/>
              </w:rPr>
            </w:pPr>
            <w:r>
              <w:rPr>
                <w:rFonts w:hint="eastAsia" w:cs="宋体"/>
                <w:color w:val="000000"/>
                <w:sz w:val="21"/>
                <w:szCs w:val="21"/>
              </w:rPr>
              <w:t>注射用无菌粉末</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 w:val="21"/>
                <w:szCs w:val="21"/>
              </w:rPr>
              <w:t>80mg</w:t>
            </w:r>
          </w:p>
        </w:tc>
        <w:tc>
          <w:tcPr>
            <w:tcW w:w="1701" w:type="dxa"/>
            <w:tcBorders>
              <w:top w:val="single" w:color="000000" w:sz="4" w:space="0"/>
              <w:left w:val="single" w:color="000000" w:sz="4" w:space="0"/>
              <w:bottom w:val="single" w:color="000000" w:sz="4" w:space="0"/>
              <w:right w:val="single" w:color="000000" w:sz="4" w:space="0"/>
            </w:tcBorders>
          </w:tcPr>
          <w:p>
            <w:pPr>
              <w:widowControl/>
              <w:spacing w:line="360" w:lineRule="exact"/>
              <w:jc w:val="center"/>
              <w:rPr>
                <w:rFonts w:cs="方正仿宋_GBK" w:asciiTheme="minorEastAsia" w:hAnsiTheme="minorEastAsia" w:eastAsiaTheme="minorEastAsia"/>
                <w:color w:val="000000"/>
                <w:kern w:val="0"/>
                <w:sz w:val="22"/>
                <w:szCs w:val="22"/>
              </w:rPr>
            </w:pPr>
            <w:r>
              <w:rPr>
                <w:rFonts w:hint="eastAsia" w:cs="方正仿宋_GBK" w:asciiTheme="minorEastAsia" w:hAnsiTheme="minorEastAsia" w:eastAsiaTheme="minorEastAsia"/>
                <w:color w:val="000000"/>
                <w:kern w:val="0"/>
                <w:sz w:val="22"/>
                <w:szCs w:val="22"/>
              </w:rPr>
              <w:t>1999417</w:t>
            </w:r>
          </w:p>
        </w:tc>
        <w:tc>
          <w:tcPr>
            <w:tcW w:w="1985" w:type="dxa"/>
            <w:tcBorders>
              <w:top w:val="single" w:color="000000" w:sz="4" w:space="0"/>
              <w:left w:val="single" w:color="000000" w:sz="4" w:space="0"/>
              <w:bottom w:val="single" w:color="000000" w:sz="4" w:space="0"/>
              <w:right w:val="single" w:color="000000" w:sz="4" w:space="0"/>
            </w:tcBorders>
          </w:tcPr>
          <w:p>
            <w:pPr>
              <w:widowControl/>
              <w:spacing w:line="360" w:lineRule="exact"/>
              <w:jc w:val="center"/>
              <w:rPr>
                <w:rFonts w:eastAsia="方正仿宋_GBK" w:cs="方正仿宋_GBK"/>
                <w:color w:val="000000"/>
                <w:kern w:val="0"/>
                <w:sz w:val="22"/>
                <w:szCs w:val="22"/>
              </w:rPr>
            </w:pPr>
            <w:r>
              <w:rPr>
                <w:rFonts w:hint="eastAsia" w:cs="宋体"/>
                <w:color w:val="000000"/>
                <w:sz w:val="21"/>
                <w:szCs w:val="21"/>
              </w:rPr>
              <w:t>渝、黔、滇、湘</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spacing w:line="360" w:lineRule="exact"/>
              <w:jc w:val="center"/>
              <w:rPr>
                <w:rFonts w:eastAsia="方正仿宋_GBK" w:cs="方正仿宋_GBK"/>
                <w:color w:val="000000"/>
                <w:kern w:val="0"/>
                <w:sz w:val="22"/>
                <w:szCs w:val="22"/>
              </w:rPr>
            </w:pPr>
          </w:p>
        </w:tc>
      </w:tr>
      <w:tr>
        <w:tblPrEx>
          <w:tblLayout w:type="fixed"/>
          <w:tblCellMar>
            <w:top w:w="0" w:type="dxa"/>
            <w:left w:w="0" w:type="dxa"/>
            <w:bottom w:w="0" w:type="dxa"/>
            <w:right w:w="0" w:type="dxa"/>
          </w:tblCellMar>
        </w:tblPrEx>
        <w:trPr>
          <w:trHeight w:val="288" w:hRule="atLeast"/>
        </w:trPr>
        <w:tc>
          <w:tcPr>
            <w:tcW w:w="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tcPr>
          <w:p>
            <w:pPr>
              <w:snapToGrid w:val="0"/>
              <w:spacing w:line="360" w:lineRule="exact"/>
              <w:jc w:val="center"/>
              <w:rPr>
                <w:rFonts w:eastAsia="方正仿宋_GBK" w:cs="方正仿宋_GBK"/>
                <w:color w:val="000000"/>
                <w:kern w:val="0"/>
                <w:sz w:val="22"/>
                <w:szCs w:val="22"/>
              </w:rPr>
            </w:pPr>
            <w:r>
              <w:rPr>
                <w:rFonts w:hint="eastAsia" w:cs="宋体"/>
                <w:color w:val="000000"/>
                <w:sz w:val="21"/>
                <w:szCs w:val="21"/>
              </w:rPr>
              <w:t>7</w:t>
            </w:r>
          </w:p>
        </w:tc>
        <w:tc>
          <w:tcPr>
            <w:tcW w:w="19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tcPr>
          <w:p>
            <w:pPr>
              <w:snapToGrid w:val="0"/>
              <w:spacing w:line="360" w:lineRule="exact"/>
              <w:jc w:val="center"/>
              <w:rPr>
                <w:rFonts w:eastAsia="方正仿宋_GBK" w:cs="方正仿宋_GBK"/>
                <w:color w:val="000000"/>
                <w:sz w:val="22"/>
                <w:szCs w:val="22"/>
              </w:rPr>
            </w:pPr>
            <w:r>
              <w:rPr>
                <w:rFonts w:hint="eastAsia" w:cs="宋体"/>
                <w:color w:val="000000"/>
                <w:sz w:val="21"/>
                <w:szCs w:val="21"/>
              </w:rPr>
              <w:t>生长抑素</w:t>
            </w:r>
          </w:p>
        </w:tc>
        <w:tc>
          <w:tcPr>
            <w:tcW w:w="184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rPr>
                <w:rFonts w:cs="宋体"/>
                <w:color w:val="000000"/>
                <w:szCs w:val="21"/>
              </w:rPr>
            </w:pPr>
            <w:r>
              <w:rPr>
                <w:rFonts w:hint="eastAsia" w:cs="宋体"/>
                <w:color w:val="000000"/>
                <w:sz w:val="21"/>
                <w:szCs w:val="21"/>
              </w:rPr>
              <w:t>注射用无菌粉末</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 w:val="21"/>
                <w:szCs w:val="21"/>
              </w:rPr>
              <w:t>3mg</w:t>
            </w:r>
          </w:p>
        </w:tc>
        <w:tc>
          <w:tcPr>
            <w:tcW w:w="1701" w:type="dxa"/>
            <w:tcBorders>
              <w:top w:val="single" w:color="000000" w:sz="4" w:space="0"/>
              <w:left w:val="single" w:color="000000" w:sz="4" w:space="0"/>
              <w:bottom w:val="single" w:color="000000" w:sz="4" w:space="0"/>
              <w:right w:val="single" w:color="000000" w:sz="4" w:space="0"/>
            </w:tcBorders>
          </w:tcPr>
          <w:p>
            <w:pPr>
              <w:widowControl/>
              <w:spacing w:line="360" w:lineRule="exact"/>
              <w:jc w:val="center"/>
              <w:rPr>
                <w:rFonts w:cs="方正仿宋_GBK" w:asciiTheme="minorEastAsia" w:hAnsiTheme="minorEastAsia" w:eastAsiaTheme="minorEastAsia"/>
                <w:color w:val="000000"/>
                <w:kern w:val="0"/>
                <w:sz w:val="22"/>
                <w:szCs w:val="22"/>
              </w:rPr>
            </w:pPr>
            <w:r>
              <w:rPr>
                <w:rFonts w:hint="eastAsia" w:cs="方正仿宋_GBK" w:asciiTheme="minorEastAsia" w:hAnsiTheme="minorEastAsia" w:eastAsiaTheme="minorEastAsia"/>
                <w:color w:val="000000"/>
                <w:kern w:val="0"/>
                <w:sz w:val="22"/>
                <w:szCs w:val="22"/>
              </w:rPr>
              <w:t>878838</w:t>
            </w:r>
          </w:p>
        </w:tc>
        <w:tc>
          <w:tcPr>
            <w:tcW w:w="1985" w:type="dxa"/>
            <w:tcBorders>
              <w:top w:val="single" w:color="000000" w:sz="4" w:space="0"/>
              <w:left w:val="single" w:color="000000" w:sz="4" w:space="0"/>
              <w:bottom w:val="single" w:color="000000" w:sz="4" w:space="0"/>
              <w:right w:val="single" w:color="000000" w:sz="4" w:space="0"/>
            </w:tcBorders>
          </w:tcPr>
          <w:p>
            <w:pPr>
              <w:widowControl/>
              <w:spacing w:line="360" w:lineRule="exact"/>
              <w:jc w:val="center"/>
              <w:rPr>
                <w:rFonts w:eastAsia="方正仿宋_GBK" w:cs="方正仿宋_GBK"/>
                <w:color w:val="000000"/>
                <w:kern w:val="0"/>
                <w:sz w:val="22"/>
                <w:szCs w:val="22"/>
              </w:rPr>
            </w:pPr>
            <w:r>
              <w:rPr>
                <w:rFonts w:hint="eastAsia" w:cs="宋体"/>
                <w:color w:val="000000"/>
                <w:sz w:val="21"/>
                <w:szCs w:val="21"/>
              </w:rPr>
              <w:t>渝、黔、滇、湘</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spacing w:line="360" w:lineRule="exact"/>
              <w:jc w:val="center"/>
              <w:rPr>
                <w:rFonts w:eastAsia="方正仿宋_GBK" w:cs="方正仿宋_GBK"/>
                <w:color w:val="000000"/>
                <w:kern w:val="0"/>
                <w:sz w:val="22"/>
                <w:szCs w:val="22"/>
              </w:rPr>
            </w:pPr>
          </w:p>
        </w:tc>
      </w:tr>
      <w:tr>
        <w:tblPrEx>
          <w:tblLayout w:type="fixed"/>
          <w:tblCellMar>
            <w:top w:w="0" w:type="dxa"/>
            <w:left w:w="0" w:type="dxa"/>
            <w:bottom w:w="0" w:type="dxa"/>
            <w:right w:w="0" w:type="dxa"/>
          </w:tblCellMar>
        </w:tblPrEx>
        <w:trPr>
          <w:trHeight w:val="576" w:hRule="atLeast"/>
        </w:trPr>
        <w:tc>
          <w:tcPr>
            <w:tcW w:w="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jc w:val="center"/>
              <w:rPr>
                <w:rFonts w:eastAsia="方正仿宋_GBK" w:cs="方正仿宋_GBK"/>
                <w:color w:val="000000"/>
                <w:kern w:val="0"/>
                <w:sz w:val="22"/>
                <w:szCs w:val="22"/>
              </w:rPr>
            </w:pPr>
            <w:r>
              <w:rPr>
                <w:rFonts w:hint="eastAsia" w:cs="宋体"/>
                <w:color w:val="000000"/>
                <w:sz w:val="21"/>
                <w:szCs w:val="21"/>
              </w:rPr>
              <w:t>8</w:t>
            </w:r>
          </w:p>
        </w:tc>
        <w:tc>
          <w:tcPr>
            <w:tcW w:w="19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jc w:val="center"/>
              <w:rPr>
                <w:rFonts w:eastAsia="方正仿宋_GBK" w:cs="方正仿宋_GBK"/>
                <w:color w:val="000000"/>
                <w:sz w:val="22"/>
                <w:szCs w:val="22"/>
              </w:rPr>
            </w:pPr>
            <w:r>
              <w:rPr>
                <w:rFonts w:hint="eastAsia" w:cs="宋体"/>
                <w:color w:val="000000"/>
                <w:sz w:val="21"/>
                <w:szCs w:val="21"/>
              </w:rPr>
              <w:t>奥硝唑氯化钠</w:t>
            </w:r>
          </w:p>
        </w:tc>
        <w:tc>
          <w:tcPr>
            <w:tcW w:w="184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rPr>
                <w:rFonts w:cs="宋体"/>
                <w:color w:val="000000"/>
                <w:szCs w:val="21"/>
              </w:rPr>
            </w:pPr>
            <w:r>
              <w:rPr>
                <w:rFonts w:hint="eastAsia" w:cs="宋体"/>
                <w:color w:val="000000"/>
                <w:sz w:val="21"/>
                <w:szCs w:val="21"/>
              </w:rPr>
              <w:t>注射液</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 w:val="21"/>
                <w:szCs w:val="21"/>
              </w:rPr>
              <w:t>100ml(奥硝唑0.5g）</w:t>
            </w:r>
          </w:p>
        </w:tc>
        <w:tc>
          <w:tcPr>
            <w:tcW w:w="1701" w:type="dxa"/>
            <w:tcBorders>
              <w:top w:val="single" w:color="000000" w:sz="4" w:space="0"/>
              <w:left w:val="single" w:color="000000" w:sz="4" w:space="0"/>
              <w:bottom w:val="single" w:color="000000" w:sz="4" w:space="0"/>
              <w:right w:val="single" w:color="000000" w:sz="4" w:space="0"/>
            </w:tcBorders>
          </w:tcPr>
          <w:p>
            <w:pPr>
              <w:widowControl/>
              <w:spacing w:line="360" w:lineRule="exact"/>
              <w:jc w:val="center"/>
              <w:rPr>
                <w:rFonts w:cs="方正仿宋_GBK" w:asciiTheme="minorEastAsia" w:hAnsiTheme="minorEastAsia" w:eastAsiaTheme="minorEastAsia"/>
                <w:color w:val="000000"/>
                <w:kern w:val="0"/>
                <w:sz w:val="22"/>
                <w:szCs w:val="22"/>
              </w:rPr>
            </w:pPr>
            <w:r>
              <w:rPr>
                <w:rFonts w:hint="eastAsia" w:cs="方正仿宋_GBK" w:asciiTheme="minorEastAsia" w:hAnsiTheme="minorEastAsia" w:eastAsiaTheme="minorEastAsia"/>
                <w:color w:val="000000"/>
                <w:kern w:val="0"/>
                <w:sz w:val="22"/>
                <w:szCs w:val="22"/>
              </w:rPr>
              <w:t>2216035</w:t>
            </w:r>
          </w:p>
        </w:tc>
        <w:tc>
          <w:tcPr>
            <w:tcW w:w="1985" w:type="dxa"/>
            <w:tcBorders>
              <w:top w:val="single" w:color="000000" w:sz="4" w:space="0"/>
              <w:left w:val="single" w:color="000000" w:sz="4" w:space="0"/>
              <w:bottom w:val="single" w:color="000000" w:sz="4" w:space="0"/>
              <w:right w:val="single" w:color="000000" w:sz="4" w:space="0"/>
            </w:tcBorders>
          </w:tcPr>
          <w:p>
            <w:pPr>
              <w:widowControl/>
              <w:spacing w:line="360" w:lineRule="exact"/>
              <w:jc w:val="center"/>
              <w:rPr>
                <w:rFonts w:cs="宋体"/>
                <w:color w:val="000000"/>
                <w:sz w:val="21"/>
                <w:szCs w:val="21"/>
              </w:rPr>
            </w:pPr>
            <w:r>
              <w:rPr>
                <w:rFonts w:hint="eastAsia" w:cs="宋体"/>
                <w:color w:val="000000"/>
                <w:sz w:val="21"/>
                <w:szCs w:val="21"/>
              </w:rPr>
              <w:t>渝、黔、滇、桂</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spacing w:line="360" w:lineRule="exact"/>
              <w:jc w:val="left"/>
              <w:rPr>
                <w:rFonts w:eastAsia="方正仿宋_GBK" w:cs="方正仿宋_GBK"/>
                <w:color w:val="000000"/>
                <w:kern w:val="0"/>
                <w:sz w:val="22"/>
                <w:szCs w:val="22"/>
              </w:rPr>
            </w:pPr>
            <w:r>
              <w:rPr>
                <w:rFonts w:hint="eastAsia" w:cs="宋体"/>
                <w:color w:val="000000"/>
                <w:sz w:val="21"/>
                <w:szCs w:val="21"/>
              </w:rPr>
              <w:t>以玻璃瓶为代表品</w:t>
            </w:r>
          </w:p>
        </w:tc>
      </w:tr>
      <w:tr>
        <w:tblPrEx>
          <w:tblLayout w:type="fixed"/>
          <w:tblCellMar>
            <w:top w:w="0" w:type="dxa"/>
            <w:left w:w="0" w:type="dxa"/>
            <w:bottom w:w="0" w:type="dxa"/>
            <w:right w:w="0" w:type="dxa"/>
          </w:tblCellMar>
        </w:tblPrEx>
        <w:trPr>
          <w:trHeight w:val="288" w:hRule="atLeast"/>
        </w:trPr>
        <w:tc>
          <w:tcPr>
            <w:tcW w:w="851" w:type="dxa"/>
            <w:tcBorders>
              <w:top w:val="single" w:color="000000" w:sz="4" w:space="0"/>
              <w:left w:val="single" w:color="000000" w:sz="4" w:space="0"/>
              <w:bottom w:val="single" w:color="auto" w:sz="4" w:space="0"/>
              <w:right w:val="single" w:color="000000" w:sz="4" w:space="0"/>
            </w:tcBorders>
            <w:shd w:val="clear" w:color="auto" w:fill="auto"/>
            <w:tcMar>
              <w:top w:w="12" w:type="dxa"/>
              <w:left w:w="12" w:type="dxa"/>
              <w:right w:w="12" w:type="dxa"/>
            </w:tcMar>
          </w:tcPr>
          <w:p>
            <w:pPr>
              <w:snapToGrid w:val="0"/>
              <w:spacing w:line="360" w:lineRule="exact"/>
              <w:jc w:val="center"/>
              <w:rPr>
                <w:rFonts w:eastAsia="方正仿宋_GBK" w:cs="方正仿宋_GBK"/>
                <w:color w:val="000000"/>
                <w:kern w:val="0"/>
                <w:sz w:val="22"/>
                <w:szCs w:val="22"/>
              </w:rPr>
            </w:pPr>
            <w:r>
              <w:rPr>
                <w:rFonts w:hint="eastAsia" w:cs="宋体"/>
                <w:color w:val="000000"/>
                <w:sz w:val="21"/>
                <w:szCs w:val="21"/>
              </w:rPr>
              <w:t>9</w:t>
            </w:r>
          </w:p>
        </w:tc>
        <w:tc>
          <w:tcPr>
            <w:tcW w:w="1985" w:type="dxa"/>
            <w:tcBorders>
              <w:top w:val="single" w:color="000000" w:sz="4" w:space="0"/>
              <w:left w:val="single" w:color="000000" w:sz="4" w:space="0"/>
              <w:bottom w:val="single" w:color="auto" w:sz="4" w:space="0"/>
              <w:right w:val="single" w:color="000000" w:sz="4" w:space="0"/>
            </w:tcBorders>
            <w:shd w:val="clear" w:color="auto" w:fill="auto"/>
            <w:tcMar>
              <w:top w:w="12" w:type="dxa"/>
              <w:left w:w="12" w:type="dxa"/>
              <w:right w:w="12" w:type="dxa"/>
            </w:tcMar>
          </w:tcPr>
          <w:p>
            <w:pPr>
              <w:snapToGrid w:val="0"/>
              <w:spacing w:line="360" w:lineRule="exact"/>
              <w:jc w:val="center"/>
              <w:rPr>
                <w:rFonts w:eastAsia="方正仿宋_GBK" w:cs="方正仿宋_GBK"/>
                <w:color w:val="000000"/>
                <w:sz w:val="22"/>
                <w:szCs w:val="22"/>
              </w:rPr>
            </w:pPr>
            <w:r>
              <w:rPr>
                <w:rFonts w:hint="eastAsia" w:cs="宋体"/>
                <w:color w:val="000000"/>
                <w:sz w:val="21"/>
                <w:szCs w:val="21"/>
              </w:rPr>
              <w:t>玻璃酸钠</w:t>
            </w:r>
          </w:p>
        </w:tc>
        <w:tc>
          <w:tcPr>
            <w:tcW w:w="1843" w:type="dxa"/>
            <w:tcBorders>
              <w:top w:val="single" w:color="000000" w:sz="4" w:space="0"/>
              <w:left w:val="single" w:color="000000" w:sz="4" w:space="0"/>
              <w:bottom w:val="single" w:color="auto" w:sz="4" w:space="0"/>
              <w:right w:val="single" w:color="000000" w:sz="4" w:space="0"/>
            </w:tcBorders>
            <w:shd w:val="clear" w:color="auto" w:fill="auto"/>
            <w:tcMar>
              <w:top w:w="12" w:type="dxa"/>
              <w:left w:w="12" w:type="dxa"/>
              <w:right w:w="12" w:type="dxa"/>
            </w:tcMar>
            <w:vAlign w:val="center"/>
          </w:tcPr>
          <w:p>
            <w:pPr>
              <w:snapToGrid w:val="0"/>
              <w:spacing w:line="360" w:lineRule="exact"/>
              <w:rPr>
                <w:rFonts w:cs="宋体"/>
                <w:color w:val="000000"/>
                <w:szCs w:val="21"/>
              </w:rPr>
            </w:pPr>
            <w:r>
              <w:rPr>
                <w:rFonts w:hint="eastAsia" w:cs="宋体"/>
                <w:color w:val="000000"/>
                <w:sz w:val="21"/>
                <w:szCs w:val="21"/>
              </w:rPr>
              <w:t>注射液</w:t>
            </w:r>
          </w:p>
        </w:tc>
        <w:tc>
          <w:tcPr>
            <w:tcW w:w="1275" w:type="dxa"/>
            <w:tcBorders>
              <w:top w:val="single" w:color="000000" w:sz="4" w:space="0"/>
              <w:left w:val="single" w:color="000000" w:sz="4" w:space="0"/>
              <w:bottom w:val="single" w:color="auto" w:sz="4" w:space="0"/>
              <w:right w:val="single" w:color="000000" w:sz="4" w:space="0"/>
            </w:tcBorders>
            <w:shd w:val="clear" w:color="auto" w:fill="auto"/>
            <w:tcMar>
              <w:top w:w="12" w:type="dxa"/>
              <w:left w:w="12" w:type="dxa"/>
              <w:right w:w="12" w:type="dxa"/>
            </w:tcMar>
            <w:vAlign w:val="center"/>
          </w:tcPr>
          <w:p>
            <w:pPr>
              <w:snapToGrid w:val="0"/>
              <w:spacing w:line="360" w:lineRule="exact"/>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 w:val="21"/>
                <w:szCs w:val="21"/>
              </w:rPr>
              <w:t>2.5ml:25mg</w:t>
            </w:r>
          </w:p>
        </w:tc>
        <w:tc>
          <w:tcPr>
            <w:tcW w:w="1701" w:type="dxa"/>
            <w:tcBorders>
              <w:top w:val="single" w:color="000000" w:sz="4" w:space="0"/>
              <w:left w:val="single" w:color="000000" w:sz="4" w:space="0"/>
              <w:bottom w:val="single" w:color="auto" w:sz="4" w:space="0"/>
              <w:right w:val="single" w:color="000000" w:sz="4" w:space="0"/>
            </w:tcBorders>
          </w:tcPr>
          <w:p>
            <w:pPr>
              <w:widowControl/>
              <w:spacing w:line="360" w:lineRule="exact"/>
              <w:jc w:val="center"/>
              <w:rPr>
                <w:rFonts w:cs="方正仿宋_GBK" w:asciiTheme="minorEastAsia" w:hAnsiTheme="minorEastAsia" w:eastAsiaTheme="minorEastAsia"/>
                <w:color w:val="000000"/>
                <w:kern w:val="0"/>
                <w:sz w:val="22"/>
                <w:szCs w:val="22"/>
              </w:rPr>
            </w:pPr>
            <w:r>
              <w:rPr>
                <w:rFonts w:hint="eastAsia" w:cs="方正仿宋_GBK" w:asciiTheme="minorEastAsia" w:hAnsiTheme="minorEastAsia" w:eastAsiaTheme="minorEastAsia"/>
                <w:color w:val="000000"/>
                <w:kern w:val="0"/>
                <w:sz w:val="22"/>
                <w:szCs w:val="22"/>
              </w:rPr>
              <w:t>478989</w:t>
            </w:r>
          </w:p>
        </w:tc>
        <w:tc>
          <w:tcPr>
            <w:tcW w:w="1985" w:type="dxa"/>
            <w:tcBorders>
              <w:top w:val="single" w:color="000000" w:sz="4" w:space="0"/>
              <w:left w:val="single" w:color="000000" w:sz="4" w:space="0"/>
              <w:bottom w:val="single" w:color="auto" w:sz="4" w:space="0"/>
              <w:right w:val="single" w:color="000000" w:sz="4" w:space="0"/>
            </w:tcBorders>
          </w:tcPr>
          <w:p>
            <w:pPr>
              <w:widowControl/>
              <w:spacing w:line="360" w:lineRule="exact"/>
              <w:jc w:val="center"/>
              <w:rPr>
                <w:rFonts w:eastAsia="方正仿宋_GBK" w:cs="方正仿宋_GBK"/>
                <w:color w:val="000000"/>
                <w:kern w:val="0"/>
                <w:sz w:val="22"/>
                <w:szCs w:val="22"/>
              </w:rPr>
            </w:pPr>
            <w:r>
              <w:rPr>
                <w:rFonts w:hint="eastAsia" w:cs="宋体"/>
                <w:color w:val="000000"/>
                <w:sz w:val="21"/>
                <w:szCs w:val="21"/>
              </w:rPr>
              <w:t>渝、黔、滇、湘、桂</w:t>
            </w:r>
          </w:p>
        </w:tc>
        <w:tc>
          <w:tcPr>
            <w:tcW w:w="1276" w:type="dxa"/>
            <w:tcBorders>
              <w:top w:val="single" w:color="000000" w:sz="4" w:space="0"/>
              <w:left w:val="single" w:color="000000" w:sz="4" w:space="0"/>
              <w:bottom w:val="single" w:color="auto" w:sz="4" w:space="0"/>
              <w:right w:val="single" w:color="000000" w:sz="4" w:space="0"/>
            </w:tcBorders>
            <w:shd w:val="clear" w:color="auto" w:fill="auto"/>
            <w:tcMar>
              <w:top w:w="12" w:type="dxa"/>
              <w:left w:w="12" w:type="dxa"/>
              <w:right w:w="12" w:type="dxa"/>
            </w:tcMar>
            <w:vAlign w:val="center"/>
          </w:tcPr>
          <w:p>
            <w:pPr>
              <w:widowControl/>
              <w:spacing w:line="360" w:lineRule="exact"/>
              <w:jc w:val="center"/>
              <w:rPr>
                <w:rFonts w:eastAsia="方正仿宋_GBK" w:cs="方正仿宋_GBK"/>
                <w:color w:val="000000"/>
                <w:kern w:val="0"/>
                <w:sz w:val="22"/>
                <w:szCs w:val="22"/>
              </w:rPr>
            </w:pPr>
          </w:p>
        </w:tc>
      </w:tr>
      <w:tr>
        <w:tblPrEx>
          <w:tblLayout w:type="fixed"/>
          <w:tblCellMar>
            <w:top w:w="0" w:type="dxa"/>
            <w:left w:w="0" w:type="dxa"/>
            <w:bottom w:w="0" w:type="dxa"/>
            <w:right w:w="0" w:type="dxa"/>
          </w:tblCellMar>
        </w:tblPrEx>
        <w:trPr>
          <w:trHeight w:val="288" w:hRule="atLeast"/>
        </w:trPr>
        <w:tc>
          <w:tcPr>
            <w:tcW w:w="851" w:type="dxa"/>
            <w:vMerge w:val="restart"/>
            <w:tcBorders>
              <w:top w:val="single" w:color="auto" w:sz="4" w:space="0"/>
              <w:left w:val="single" w:color="auto" w:sz="4" w:space="0"/>
              <w:bottom w:val="single" w:color="auto" w:sz="4" w:space="0"/>
              <w:right w:val="single" w:color="000000" w:sz="4" w:space="0"/>
            </w:tcBorders>
            <w:shd w:val="clear" w:color="auto" w:fill="auto"/>
            <w:tcMar>
              <w:top w:w="12" w:type="dxa"/>
              <w:left w:w="12" w:type="dxa"/>
              <w:right w:w="12" w:type="dxa"/>
            </w:tcMar>
            <w:vAlign w:val="center"/>
          </w:tcPr>
          <w:p>
            <w:pPr>
              <w:snapToGrid w:val="0"/>
              <w:spacing w:line="360" w:lineRule="exact"/>
              <w:jc w:val="center"/>
              <w:rPr>
                <w:rFonts w:eastAsia="方正仿宋_GBK" w:cs="方正仿宋_GBK"/>
                <w:color w:val="000000"/>
                <w:kern w:val="0"/>
                <w:sz w:val="22"/>
                <w:szCs w:val="22"/>
              </w:rPr>
            </w:pPr>
            <w:r>
              <w:rPr>
                <w:rFonts w:hint="eastAsia" w:cs="宋体"/>
                <w:color w:val="000000"/>
                <w:sz w:val="21"/>
                <w:szCs w:val="21"/>
              </w:rPr>
              <w:t>10</w:t>
            </w:r>
          </w:p>
        </w:tc>
        <w:tc>
          <w:tcPr>
            <w:tcW w:w="1985" w:type="dxa"/>
            <w:vMerge w:val="restart"/>
            <w:tcBorders>
              <w:top w:val="single" w:color="auto" w:sz="4" w:space="0"/>
              <w:left w:val="single" w:color="000000" w:sz="4" w:space="0"/>
              <w:bottom w:val="single" w:color="auto" w:sz="4" w:space="0"/>
              <w:right w:val="single" w:color="000000" w:sz="4" w:space="0"/>
            </w:tcBorders>
            <w:shd w:val="clear" w:color="auto" w:fill="auto"/>
            <w:tcMar>
              <w:top w:w="12" w:type="dxa"/>
              <w:left w:w="12" w:type="dxa"/>
              <w:right w:w="12" w:type="dxa"/>
            </w:tcMar>
            <w:vAlign w:val="center"/>
          </w:tcPr>
          <w:p>
            <w:pPr>
              <w:snapToGrid w:val="0"/>
              <w:spacing w:line="360" w:lineRule="exact"/>
              <w:jc w:val="center"/>
              <w:rPr>
                <w:rFonts w:eastAsia="方正仿宋_GBK" w:cs="方正仿宋_GBK"/>
                <w:color w:val="000000"/>
                <w:sz w:val="22"/>
                <w:szCs w:val="22"/>
              </w:rPr>
            </w:pPr>
            <w:r>
              <w:rPr>
                <w:rFonts w:hint="eastAsia" w:cs="宋体"/>
                <w:color w:val="000000"/>
                <w:sz w:val="21"/>
                <w:szCs w:val="21"/>
              </w:rPr>
              <w:t>雷贝拉唑钠</w:t>
            </w:r>
          </w:p>
        </w:tc>
        <w:tc>
          <w:tcPr>
            <w:tcW w:w="1843" w:type="dxa"/>
            <w:vMerge w:val="restart"/>
            <w:tcBorders>
              <w:top w:val="single" w:color="auto" w:sz="4" w:space="0"/>
              <w:left w:val="single" w:color="000000" w:sz="4" w:space="0"/>
              <w:bottom w:val="single" w:color="auto" w:sz="4" w:space="0"/>
              <w:right w:val="single" w:color="000000" w:sz="4" w:space="0"/>
            </w:tcBorders>
            <w:shd w:val="clear" w:color="auto" w:fill="auto"/>
            <w:tcMar>
              <w:top w:w="12" w:type="dxa"/>
              <w:left w:w="12" w:type="dxa"/>
              <w:right w:w="12" w:type="dxa"/>
            </w:tcMar>
            <w:vAlign w:val="center"/>
          </w:tcPr>
          <w:p>
            <w:pPr>
              <w:snapToGrid w:val="0"/>
              <w:spacing w:line="360" w:lineRule="exact"/>
              <w:rPr>
                <w:rFonts w:cs="宋体"/>
                <w:color w:val="000000"/>
                <w:szCs w:val="21"/>
              </w:rPr>
            </w:pPr>
            <w:r>
              <w:rPr>
                <w:rFonts w:hint="eastAsia" w:cs="宋体"/>
                <w:color w:val="000000"/>
                <w:sz w:val="21"/>
                <w:szCs w:val="21"/>
              </w:rPr>
              <w:t>肠溶片</w:t>
            </w:r>
          </w:p>
        </w:tc>
        <w:tc>
          <w:tcPr>
            <w:tcW w:w="1275" w:type="dxa"/>
            <w:tcBorders>
              <w:top w:val="single" w:color="auto" w:sz="4" w:space="0"/>
              <w:left w:val="single" w:color="000000" w:sz="4" w:space="0"/>
              <w:bottom w:val="single" w:color="auto" w:sz="4" w:space="0"/>
              <w:right w:val="single" w:color="000000" w:sz="4" w:space="0"/>
            </w:tcBorders>
            <w:shd w:val="clear" w:color="auto" w:fill="auto"/>
            <w:tcMar>
              <w:top w:w="12" w:type="dxa"/>
              <w:left w:w="12" w:type="dxa"/>
              <w:right w:w="12" w:type="dxa"/>
            </w:tcMar>
            <w:vAlign w:val="center"/>
          </w:tcPr>
          <w:p>
            <w:pPr>
              <w:snapToGrid w:val="0"/>
              <w:spacing w:line="360" w:lineRule="exact"/>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 w:val="21"/>
                <w:szCs w:val="21"/>
              </w:rPr>
              <w:t>10mg</w:t>
            </w:r>
          </w:p>
        </w:tc>
        <w:tc>
          <w:tcPr>
            <w:tcW w:w="1701" w:type="dxa"/>
            <w:tcBorders>
              <w:top w:val="single" w:color="auto" w:sz="4" w:space="0"/>
              <w:left w:val="single" w:color="000000" w:sz="4" w:space="0"/>
              <w:bottom w:val="single" w:color="auto" w:sz="4" w:space="0"/>
              <w:right w:val="single" w:color="000000" w:sz="4" w:space="0"/>
            </w:tcBorders>
          </w:tcPr>
          <w:p>
            <w:pPr>
              <w:widowControl/>
              <w:spacing w:line="360" w:lineRule="exact"/>
              <w:jc w:val="center"/>
              <w:rPr>
                <w:rFonts w:cs="方正仿宋_GBK" w:asciiTheme="minorEastAsia" w:hAnsiTheme="minorEastAsia" w:eastAsiaTheme="minorEastAsia"/>
                <w:color w:val="000000"/>
                <w:kern w:val="0"/>
                <w:sz w:val="22"/>
                <w:szCs w:val="22"/>
              </w:rPr>
            </w:pPr>
            <w:r>
              <w:rPr>
                <w:rFonts w:hint="eastAsia" w:cs="方正仿宋_GBK" w:asciiTheme="minorEastAsia" w:hAnsiTheme="minorEastAsia" w:eastAsiaTheme="minorEastAsia"/>
                <w:color w:val="000000"/>
                <w:kern w:val="0"/>
                <w:sz w:val="22"/>
                <w:szCs w:val="22"/>
              </w:rPr>
              <w:t>4193013</w:t>
            </w:r>
          </w:p>
        </w:tc>
        <w:tc>
          <w:tcPr>
            <w:tcW w:w="1985" w:type="dxa"/>
            <w:tcBorders>
              <w:top w:val="single" w:color="auto" w:sz="4" w:space="0"/>
              <w:left w:val="single" w:color="000000" w:sz="4" w:space="0"/>
              <w:bottom w:val="single" w:color="auto" w:sz="4" w:space="0"/>
              <w:right w:val="single" w:color="000000" w:sz="4" w:space="0"/>
            </w:tcBorders>
          </w:tcPr>
          <w:p>
            <w:pPr>
              <w:widowControl/>
              <w:spacing w:line="360" w:lineRule="exact"/>
              <w:jc w:val="center"/>
              <w:rPr>
                <w:rFonts w:eastAsia="方正仿宋_GBK" w:cs="方正仿宋_GBK"/>
                <w:color w:val="000000"/>
                <w:kern w:val="0"/>
                <w:sz w:val="22"/>
                <w:szCs w:val="22"/>
              </w:rPr>
            </w:pPr>
            <w:r>
              <w:rPr>
                <w:rFonts w:hint="eastAsia" w:cs="宋体"/>
                <w:color w:val="000000"/>
                <w:sz w:val="21"/>
                <w:szCs w:val="21"/>
              </w:rPr>
              <w:t>渝、黔、滇、湘</w:t>
            </w:r>
          </w:p>
        </w:tc>
        <w:tc>
          <w:tcPr>
            <w:tcW w:w="1276" w:type="dxa"/>
            <w:tcBorders>
              <w:top w:val="single" w:color="auto" w:sz="4" w:space="0"/>
              <w:left w:val="single" w:color="000000" w:sz="4" w:space="0"/>
              <w:bottom w:val="single" w:color="auto" w:sz="4" w:space="0"/>
              <w:right w:val="single" w:color="auto" w:sz="4" w:space="0"/>
            </w:tcBorders>
            <w:shd w:val="clear" w:color="auto" w:fill="auto"/>
            <w:tcMar>
              <w:top w:w="12" w:type="dxa"/>
              <w:left w:w="12" w:type="dxa"/>
              <w:right w:w="12" w:type="dxa"/>
            </w:tcMar>
            <w:vAlign w:val="center"/>
          </w:tcPr>
          <w:p>
            <w:pPr>
              <w:widowControl/>
              <w:spacing w:line="360" w:lineRule="exact"/>
              <w:jc w:val="center"/>
              <w:rPr>
                <w:rFonts w:eastAsia="方正仿宋_GBK" w:cs="方正仿宋_GBK"/>
                <w:color w:val="000000"/>
                <w:kern w:val="0"/>
                <w:sz w:val="22"/>
                <w:szCs w:val="22"/>
              </w:rPr>
            </w:pPr>
          </w:p>
        </w:tc>
      </w:tr>
      <w:tr>
        <w:tblPrEx>
          <w:tblLayout w:type="fixed"/>
          <w:tblCellMar>
            <w:top w:w="0" w:type="dxa"/>
            <w:left w:w="0" w:type="dxa"/>
            <w:bottom w:w="0" w:type="dxa"/>
            <w:right w:w="0" w:type="dxa"/>
          </w:tblCellMar>
        </w:tblPrEx>
        <w:trPr>
          <w:trHeight w:val="288" w:hRule="atLeast"/>
        </w:trPr>
        <w:tc>
          <w:tcPr>
            <w:tcW w:w="851" w:type="dxa"/>
            <w:vMerge w:val="continue"/>
            <w:tcBorders>
              <w:top w:val="single" w:color="auto" w:sz="4" w:space="0"/>
              <w:left w:val="single" w:color="auto" w:sz="4" w:space="0"/>
              <w:bottom w:val="single" w:color="000000" w:sz="4" w:space="0"/>
              <w:right w:val="single" w:color="000000" w:sz="4" w:space="0"/>
            </w:tcBorders>
            <w:shd w:val="clear" w:color="auto" w:fill="auto"/>
            <w:tcMar>
              <w:top w:w="12" w:type="dxa"/>
              <w:left w:w="12" w:type="dxa"/>
              <w:right w:w="12" w:type="dxa"/>
            </w:tcMar>
          </w:tcPr>
          <w:p>
            <w:pPr>
              <w:snapToGrid w:val="0"/>
              <w:spacing w:line="360" w:lineRule="exact"/>
              <w:jc w:val="center"/>
              <w:rPr>
                <w:rFonts w:cs="宋体"/>
                <w:color w:val="000000"/>
                <w:szCs w:val="21"/>
              </w:rPr>
            </w:pPr>
          </w:p>
        </w:tc>
        <w:tc>
          <w:tcPr>
            <w:tcW w:w="1985" w:type="dxa"/>
            <w:vMerge w:val="continue"/>
            <w:tcBorders>
              <w:top w:val="single" w:color="auto" w:sz="4" w:space="0"/>
              <w:left w:val="single" w:color="000000" w:sz="4" w:space="0"/>
              <w:bottom w:val="single" w:color="000000" w:sz="4" w:space="0"/>
              <w:right w:val="single" w:color="000000" w:sz="4" w:space="0"/>
            </w:tcBorders>
            <w:shd w:val="clear" w:color="auto" w:fill="auto"/>
            <w:tcMar>
              <w:top w:w="12" w:type="dxa"/>
              <w:left w:w="12" w:type="dxa"/>
              <w:right w:w="12" w:type="dxa"/>
            </w:tcMar>
          </w:tcPr>
          <w:p>
            <w:pPr>
              <w:snapToGrid w:val="0"/>
              <w:spacing w:line="360" w:lineRule="exact"/>
              <w:jc w:val="center"/>
              <w:rPr>
                <w:rFonts w:cs="宋体"/>
                <w:color w:val="000000"/>
                <w:szCs w:val="21"/>
              </w:rPr>
            </w:pPr>
          </w:p>
        </w:tc>
        <w:tc>
          <w:tcPr>
            <w:tcW w:w="1843" w:type="dxa"/>
            <w:vMerge w:val="continue"/>
            <w:tcBorders>
              <w:top w:val="single" w:color="auto"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rPr>
                <w:rFonts w:cs="宋体"/>
                <w:color w:val="000000"/>
                <w:szCs w:val="21"/>
              </w:rPr>
            </w:pPr>
          </w:p>
        </w:tc>
        <w:tc>
          <w:tcPr>
            <w:tcW w:w="1275" w:type="dxa"/>
            <w:tcBorders>
              <w:top w:val="single" w:color="auto"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 w:val="21"/>
                <w:szCs w:val="21"/>
              </w:rPr>
              <w:t>20mg</w:t>
            </w:r>
          </w:p>
        </w:tc>
        <w:tc>
          <w:tcPr>
            <w:tcW w:w="1701" w:type="dxa"/>
            <w:tcBorders>
              <w:top w:val="single" w:color="auto" w:sz="4" w:space="0"/>
              <w:left w:val="single" w:color="000000" w:sz="4" w:space="0"/>
              <w:bottom w:val="single" w:color="000000" w:sz="4" w:space="0"/>
              <w:right w:val="single" w:color="000000" w:sz="4" w:space="0"/>
            </w:tcBorders>
          </w:tcPr>
          <w:p>
            <w:pPr>
              <w:widowControl/>
              <w:spacing w:line="360" w:lineRule="exact"/>
              <w:jc w:val="center"/>
              <w:rPr>
                <w:rFonts w:cs="方正仿宋_GBK" w:asciiTheme="minorEastAsia" w:hAnsiTheme="minorEastAsia" w:eastAsiaTheme="minorEastAsia"/>
                <w:color w:val="000000"/>
                <w:kern w:val="0"/>
                <w:sz w:val="22"/>
                <w:szCs w:val="22"/>
              </w:rPr>
            </w:pPr>
            <w:r>
              <w:rPr>
                <w:rFonts w:hint="eastAsia" w:cs="方正仿宋_GBK" w:asciiTheme="minorEastAsia" w:hAnsiTheme="minorEastAsia" w:eastAsiaTheme="minorEastAsia"/>
                <w:color w:val="000000"/>
                <w:kern w:val="0"/>
                <w:sz w:val="22"/>
                <w:szCs w:val="22"/>
              </w:rPr>
              <w:t>7085895</w:t>
            </w:r>
          </w:p>
        </w:tc>
        <w:tc>
          <w:tcPr>
            <w:tcW w:w="1985" w:type="dxa"/>
            <w:tcBorders>
              <w:top w:val="single" w:color="auto" w:sz="4" w:space="0"/>
              <w:left w:val="single" w:color="000000" w:sz="4" w:space="0"/>
              <w:bottom w:val="single" w:color="000000" w:sz="4" w:space="0"/>
              <w:right w:val="single" w:color="000000" w:sz="4" w:space="0"/>
            </w:tcBorders>
          </w:tcPr>
          <w:p>
            <w:pPr>
              <w:widowControl/>
              <w:spacing w:line="360" w:lineRule="exact"/>
              <w:jc w:val="center"/>
              <w:rPr>
                <w:rFonts w:eastAsia="方正仿宋_GBK" w:cs="方正仿宋_GBK"/>
                <w:color w:val="000000"/>
                <w:kern w:val="0"/>
                <w:sz w:val="22"/>
                <w:szCs w:val="22"/>
              </w:rPr>
            </w:pPr>
            <w:r>
              <w:rPr>
                <w:rFonts w:hint="eastAsia" w:cs="宋体"/>
                <w:color w:val="000000"/>
                <w:sz w:val="21"/>
                <w:szCs w:val="21"/>
              </w:rPr>
              <w:t>渝、黔、滇、湘</w:t>
            </w:r>
          </w:p>
        </w:tc>
        <w:tc>
          <w:tcPr>
            <w:tcW w:w="1276" w:type="dxa"/>
            <w:tcBorders>
              <w:top w:val="single" w:color="auto"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spacing w:line="360" w:lineRule="exact"/>
              <w:jc w:val="center"/>
              <w:rPr>
                <w:rFonts w:eastAsia="方正仿宋_GBK" w:cs="方正仿宋_GBK"/>
                <w:color w:val="000000"/>
                <w:kern w:val="0"/>
                <w:sz w:val="22"/>
                <w:szCs w:val="22"/>
              </w:rPr>
            </w:pPr>
          </w:p>
        </w:tc>
      </w:tr>
      <w:tr>
        <w:tblPrEx>
          <w:tblLayout w:type="fixed"/>
          <w:tblCellMar>
            <w:top w:w="0" w:type="dxa"/>
            <w:left w:w="0" w:type="dxa"/>
            <w:bottom w:w="0" w:type="dxa"/>
            <w:right w:w="0" w:type="dxa"/>
          </w:tblCellMar>
        </w:tblPrEx>
        <w:trPr>
          <w:trHeight w:val="288" w:hRule="atLeast"/>
        </w:trPr>
        <w:tc>
          <w:tcPr>
            <w:tcW w:w="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tcPr>
          <w:p>
            <w:pPr>
              <w:snapToGrid w:val="0"/>
              <w:spacing w:line="360" w:lineRule="exact"/>
              <w:jc w:val="center"/>
              <w:rPr>
                <w:rFonts w:eastAsia="方正仿宋_GBK" w:cs="方正仿宋_GBK"/>
                <w:color w:val="000000"/>
                <w:kern w:val="0"/>
                <w:sz w:val="22"/>
                <w:szCs w:val="22"/>
              </w:rPr>
            </w:pPr>
            <w:r>
              <w:rPr>
                <w:rFonts w:hint="eastAsia" w:cs="宋体"/>
                <w:color w:val="000000"/>
                <w:sz w:val="21"/>
                <w:szCs w:val="21"/>
              </w:rPr>
              <w:t>11</w:t>
            </w:r>
          </w:p>
        </w:tc>
        <w:tc>
          <w:tcPr>
            <w:tcW w:w="19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tcPr>
          <w:p>
            <w:pPr>
              <w:snapToGrid w:val="0"/>
              <w:spacing w:line="360" w:lineRule="exact"/>
              <w:jc w:val="center"/>
              <w:rPr>
                <w:rFonts w:eastAsia="方正仿宋_GBK" w:cs="方正仿宋_GBK"/>
                <w:color w:val="000000"/>
                <w:sz w:val="22"/>
                <w:szCs w:val="22"/>
              </w:rPr>
            </w:pPr>
            <w:r>
              <w:rPr>
                <w:rFonts w:hint="eastAsia" w:cs="宋体"/>
                <w:color w:val="000000"/>
                <w:sz w:val="21"/>
                <w:szCs w:val="21"/>
              </w:rPr>
              <w:t>溴己新</w:t>
            </w:r>
          </w:p>
        </w:tc>
        <w:tc>
          <w:tcPr>
            <w:tcW w:w="184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rPr>
                <w:rFonts w:cs="宋体"/>
                <w:color w:val="000000"/>
                <w:szCs w:val="21"/>
              </w:rPr>
            </w:pPr>
            <w:r>
              <w:rPr>
                <w:rFonts w:hint="eastAsia" w:cs="宋体"/>
                <w:color w:val="000000"/>
                <w:sz w:val="21"/>
                <w:szCs w:val="21"/>
              </w:rPr>
              <w:t>注射用无菌粉末</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 w:val="21"/>
                <w:szCs w:val="21"/>
              </w:rPr>
              <w:t>4mg</w:t>
            </w:r>
          </w:p>
        </w:tc>
        <w:tc>
          <w:tcPr>
            <w:tcW w:w="1701" w:type="dxa"/>
            <w:tcBorders>
              <w:top w:val="single" w:color="000000" w:sz="4" w:space="0"/>
              <w:left w:val="single" w:color="000000" w:sz="4" w:space="0"/>
              <w:bottom w:val="single" w:color="000000" w:sz="4" w:space="0"/>
              <w:right w:val="single" w:color="000000" w:sz="4" w:space="0"/>
            </w:tcBorders>
          </w:tcPr>
          <w:p>
            <w:pPr>
              <w:widowControl/>
              <w:spacing w:line="360" w:lineRule="exact"/>
              <w:jc w:val="center"/>
              <w:rPr>
                <w:rFonts w:cs="方正仿宋_GBK" w:asciiTheme="minorEastAsia" w:hAnsiTheme="minorEastAsia" w:eastAsiaTheme="minorEastAsia"/>
                <w:color w:val="000000"/>
                <w:kern w:val="0"/>
                <w:sz w:val="22"/>
                <w:szCs w:val="22"/>
              </w:rPr>
            </w:pPr>
            <w:r>
              <w:rPr>
                <w:rFonts w:hint="eastAsia" w:cs="方正仿宋_GBK" w:asciiTheme="minorEastAsia" w:hAnsiTheme="minorEastAsia" w:eastAsiaTheme="minorEastAsia"/>
                <w:color w:val="000000"/>
                <w:kern w:val="0"/>
                <w:sz w:val="22"/>
                <w:szCs w:val="22"/>
              </w:rPr>
              <w:t>5</w:t>
            </w:r>
            <w:r>
              <w:rPr>
                <w:rFonts w:cs="方正仿宋_GBK" w:asciiTheme="minorEastAsia" w:hAnsiTheme="minorEastAsia" w:eastAsiaTheme="minorEastAsia"/>
                <w:color w:val="000000"/>
                <w:kern w:val="0"/>
                <w:sz w:val="22"/>
                <w:szCs w:val="22"/>
              </w:rPr>
              <w:t>18</w:t>
            </w:r>
            <w:r>
              <w:rPr>
                <w:rFonts w:hint="eastAsia" w:cs="方正仿宋_GBK" w:asciiTheme="minorEastAsia" w:hAnsiTheme="minorEastAsia" w:eastAsiaTheme="minorEastAsia"/>
                <w:color w:val="000000"/>
                <w:kern w:val="0"/>
                <w:sz w:val="22"/>
                <w:szCs w:val="22"/>
              </w:rPr>
              <w:t>7882</w:t>
            </w:r>
          </w:p>
        </w:tc>
        <w:tc>
          <w:tcPr>
            <w:tcW w:w="1985" w:type="dxa"/>
            <w:tcBorders>
              <w:top w:val="single" w:color="000000" w:sz="4" w:space="0"/>
              <w:left w:val="single" w:color="000000" w:sz="4" w:space="0"/>
              <w:bottom w:val="single" w:color="000000" w:sz="4" w:space="0"/>
              <w:right w:val="single" w:color="000000" w:sz="4" w:space="0"/>
            </w:tcBorders>
          </w:tcPr>
          <w:p>
            <w:pPr>
              <w:widowControl/>
              <w:spacing w:line="360" w:lineRule="exact"/>
              <w:jc w:val="center"/>
              <w:rPr>
                <w:rFonts w:eastAsia="方正仿宋_GBK" w:cs="方正仿宋_GBK"/>
                <w:color w:val="000000"/>
                <w:kern w:val="0"/>
                <w:sz w:val="22"/>
                <w:szCs w:val="22"/>
              </w:rPr>
            </w:pPr>
            <w:r>
              <w:rPr>
                <w:rFonts w:hint="eastAsia" w:cs="宋体"/>
                <w:color w:val="000000"/>
                <w:sz w:val="21"/>
                <w:szCs w:val="21"/>
              </w:rPr>
              <w:t>渝、黔、滇、湘</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spacing w:line="360" w:lineRule="exact"/>
              <w:jc w:val="center"/>
              <w:rPr>
                <w:rFonts w:eastAsia="方正仿宋_GBK" w:cs="方正仿宋_GBK"/>
                <w:color w:val="000000"/>
                <w:kern w:val="0"/>
                <w:sz w:val="22"/>
                <w:szCs w:val="22"/>
              </w:rPr>
            </w:pPr>
          </w:p>
        </w:tc>
      </w:tr>
      <w:tr>
        <w:tblPrEx>
          <w:tblLayout w:type="fixed"/>
          <w:tblCellMar>
            <w:top w:w="0" w:type="dxa"/>
            <w:left w:w="0" w:type="dxa"/>
            <w:bottom w:w="0" w:type="dxa"/>
            <w:right w:w="0" w:type="dxa"/>
          </w:tblCellMar>
        </w:tblPrEx>
        <w:trPr>
          <w:trHeight w:val="288" w:hRule="atLeast"/>
        </w:trPr>
        <w:tc>
          <w:tcPr>
            <w:tcW w:w="851" w:type="dxa"/>
            <w:vMerge w:val="restart"/>
            <w:tcBorders>
              <w:top w:val="single" w:color="000000" w:sz="4" w:space="0"/>
              <w:left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jc w:val="center"/>
              <w:rPr>
                <w:rFonts w:eastAsia="方正仿宋_GBK" w:cs="方正仿宋_GBK"/>
                <w:color w:val="000000"/>
                <w:kern w:val="0"/>
                <w:sz w:val="22"/>
                <w:szCs w:val="22"/>
              </w:rPr>
            </w:pPr>
            <w:r>
              <w:rPr>
                <w:rFonts w:hint="eastAsia" w:cs="宋体"/>
                <w:color w:val="000000"/>
                <w:sz w:val="21"/>
                <w:szCs w:val="21"/>
              </w:rPr>
              <w:t>12</w:t>
            </w:r>
          </w:p>
        </w:tc>
        <w:tc>
          <w:tcPr>
            <w:tcW w:w="1985" w:type="dxa"/>
            <w:vMerge w:val="restart"/>
            <w:tcBorders>
              <w:top w:val="single" w:color="000000" w:sz="4" w:space="0"/>
              <w:left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jc w:val="center"/>
              <w:rPr>
                <w:rFonts w:eastAsia="方正仿宋_GBK" w:cs="方正仿宋_GBK"/>
                <w:color w:val="000000"/>
                <w:sz w:val="22"/>
                <w:szCs w:val="22"/>
              </w:rPr>
            </w:pPr>
            <w:r>
              <w:rPr>
                <w:rFonts w:hint="eastAsia" w:cs="宋体"/>
                <w:color w:val="000000"/>
                <w:sz w:val="21"/>
                <w:szCs w:val="21"/>
              </w:rPr>
              <w:t>美洛西林</w:t>
            </w:r>
          </w:p>
        </w:tc>
        <w:tc>
          <w:tcPr>
            <w:tcW w:w="1843" w:type="dxa"/>
            <w:vMerge w:val="restart"/>
            <w:tcBorders>
              <w:top w:val="single" w:color="000000" w:sz="4" w:space="0"/>
              <w:left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rPr>
                <w:rFonts w:cs="宋体"/>
                <w:color w:val="000000"/>
                <w:szCs w:val="21"/>
              </w:rPr>
            </w:pPr>
            <w:r>
              <w:rPr>
                <w:rFonts w:hint="eastAsia" w:cs="宋体"/>
                <w:color w:val="000000"/>
                <w:sz w:val="21"/>
                <w:szCs w:val="21"/>
              </w:rPr>
              <w:t>注射用无菌粉末</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 w:val="21"/>
                <w:szCs w:val="21"/>
              </w:rPr>
              <w:t>1g</w:t>
            </w:r>
          </w:p>
        </w:tc>
        <w:tc>
          <w:tcPr>
            <w:tcW w:w="1701" w:type="dxa"/>
            <w:tcBorders>
              <w:top w:val="single" w:color="000000" w:sz="4" w:space="0"/>
              <w:left w:val="single" w:color="000000" w:sz="4" w:space="0"/>
              <w:bottom w:val="single" w:color="000000" w:sz="4" w:space="0"/>
              <w:right w:val="single" w:color="000000" w:sz="4" w:space="0"/>
            </w:tcBorders>
          </w:tcPr>
          <w:p>
            <w:pPr>
              <w:widowControl/>
              <w:spacing w:line="360" w:lineRule="exact"/>
              <w:jc w:val="center"/>
              <w:rPr>
                <w:rFonts w:cs="方正仿宋_GBK" w:asciiTheme="minorEastAsia" w:hAnsiTheme="minorEastAsia" w:eastAsiaTheme="minorEastAsia"/>
                <w:color w:val="000000"/>
                <w:kern w:val="0"/>
                <w:sz w:val="22"/>
                <w:szCs w:val="22"/>
              </w:rPr>
            </w:pPr>
            <w:r>
              <w:rPr>
                <w:rFonts w:hint="eastAsia" w:cs="方正仿宋_GBK" w:asciiTheme="minorEastAsia" w:hAnsiTheme="minorEastAsia" w:eastAsiaTheme="minorEastAsia"/>
                <w:color w:val="000000"/>
                <w:kern w:val="0"/>
                <w:sz w:val="22"/>
                <w:szCs w:val="22"/>
              </w:rPr>
              <w:t>715103</w:t>
            </w:r>
          </w:p>
        </w:tc>
        <w:tc>
          <w:tcPr>
            <w:tcW w:w="1985" w:type="dxa"/>
            <w:tcBorders>
              <w:top w:val="single" w:color="000000" w:sz="4" w:space="0"/>
              <w:left w:val="single" w:color="000000" w:sz="4" w:space="0"/>
              <w:bottom w:val="single" w:color="000000" w:sz="4" w:space="0"/>
              <w:right w:val="single" w:color="000000" w:sz="4" w:space="0"/>
            </w:tcBorders>
          </w:tcPr>
          <w:p>
            <w:pPr>
              <w:widowControl/>
              <w:spacing w:line="360" w:lineRule="exact"/>
              <w:jc w:val="center"/>
              <w:rPr>
                <w:rFonts w:eastAsia="方正仿宋_GBK" w:cs="方正仿宋_GBK"/>
                <w:color w:val="000000"/>
                <w:kern w:val="0"/>
                <w:sz w:val="22"/>
                <w:szCs w:val="22"/>
              </w:rPr>
            </w:pPr>
            <w:r>
              <w:rPr>
                <w:rFonts w:hint="eastAsia" w:cs="宋体"/>
                <w:color w:val="000000"/>
                <w:sz w:val="21"/>
                <w:szCs w:val="21"/>
              </w:rPr>
              <w:t>渝、黔、滇、桂</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spacing w:line="360" w:lineRule="exact"/>
              <w:jc w:val="center"/>
              <w:rPr>
                <w:rFonts w:eastAsia="方正仿宋_GBK" w:cs="方正仿宋_GBK"/>
                <w:color w:val="000000"/>
                <w:kern w:val="0"/>
                <w:sz w:val="22"/>
                <w:szCs w:val="22"/>
              </w:rPr>
            </w:pPr>
          </w:p>
        </w:tc>
      </w:tr>
      <w:tr>
        <w:tblPrEx>
          <w:tblLayout w:type="fixed"/>
          <w:tblCellMar>
            <w:top w:w="0" w:type="dxa"/>
            <w:left w:w="0" w:type="dxa"/>
            <w:bottom w:w="0" w:type="dxa"/>
            <w:right w:w="0" w:type="dxa"/>
          </w:tblCellMar>
        </w:tblPrEx>
        <w:trPr>
          <w:trHeight w:val="288" w:hRule="atLeast"/>
        </w:trPr>
        <w:tc>
          <w:tcPr>
            <w:tcW w:w="851" w:type="dxa"/>
            <w:vMerge w:val="continue"/>
            <w:tcBorders>
              <w:left w:val="single" w:color="000000" w:sz="4" w:space="0"/>
              <w:bottom w:val="single" w:color="000000" w:sz="4" w:space="0"/>
              <w:right w:val="single" w:color="000000" w:sz="4" w:space="0"/>
            </w:tcBorders>
            <w:shd w:val="clear" w:color="auto" w:fill="auto"/>
            <w:tcMar>
              <w:top w:w="12" w:type="dxa"/>
              <w:left w:w="12" w:type="dxa"/>
              <w:right w:w="12" w:type="dxa"/>
            </w:tcMar>
          </w:tcPr>
          <w:p>
            <w:pPr>
              <w:snapToGrid w:val="0"/>
              <w:spacing w:line="360" w:lineRule="exact"/>
              <w:jc w:val="center"/>
              <w:rPr>
                <w:rFonts w:cs="宋体"/>
                <w:color w:val="000000"/>
                <w:szCs w:val="21"/>
              </w:rPr>
            </w:pPr>
          </w:p>
        </w:tc>
        <w:tc>
          <w:tcPr>
            <w:tcW w:w="1985" w:type="dxa"/>
            <w:vMerge w:val="continue"/>
            <w:tcBorders>
              <w:left w:val="single" w:color="000000" w:sz="4" w:space="0"/>
              <w:bottom w:val="single" w:color="000000" w:sz="4" w:space="0"/>
              <w:right w:val="single" w:color="000000" w:sz="4" w:space="0"/>
            </w:tcBorders>
            <w:shd w:val="clear" w:color="auto" w:fill="auto"/>
            <w:tcMar>
              <w:top w:w="12" w:type="dxa"/>
              <w:left w:w="12" w:type="dxa"/>
              <w:right w:w="12" w:type="dxa"/>
            </w:tcMar>
          </w:tcPr>
          <w:p>
            <w:pPr>
              <w:snapToGrid w:val="0"/>
              <w:spacing w:line="360" w:lineRule="exact"/>
              <w:jc w:val="center"/>
              <w:rPr>
                <w:rFonts w:cs="宋体"/>
                <w:color w:val="000000"/>
                <w:szCs w:val="21"/>
              </w:rPr>
            </w:pPr>
          </w:p>
        </w:tc>
        <w:tc>
          <w:tcPr>
            <w:tcW w:w="1843" w:type="dxa"/>
            <w:vMerge w:val="continue"/>
            <w:tcBorders>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rPr>
                <w:rFonts w:cs="宋体"/>
                <w:color w:val="000000"/>
                <w:szCs w:val="21"/>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 w:val="21"/>
                <w:szCs w:val="21"/>
              </w:rPr>
              <w:t>1.5g</w:t>
            </w:r>
          </w:p>
        </w:tc>
        <w:tc>
          <w:tcPr>
            <w:tcW w:w="1701" w:type="dxa"/>
            <w:tcBorders>
              <w:top w:val="single" w:color="000000" w:sz="4" w:space="0"/>
              <w:left w:val="single" w:color="000000" w:sz="4" w:space="0"/>
              <w:bottom w:val="single" w:color="000000" w:sz="4" w:space="0"/>
              <w:right w:val="single" w:color="000000" w:sz="4" w:space="0"/>
            </w:tcBorders>
          </w:tcPr>
          <w:p>
            <w:pPr>
              <w:widowControl/>
              <w:spacing w:line="360" w:lineRule="exact"/>
              <w:jc w:val="center"/>
              <w:rPr>
                <w:rFonts w:cs="方正仿宋_GBK" w:asciiTheme="minorEastAsia" w:hAnsiTheme="minorEastAsia" w:eastAsiaTheme="minorEastAsia"/>
                <w:color w:val="000000"/>
                <w:kern w:val="0"/>
                <w:sz w:val="22"/>
                <w:szCs w:val="22"/>
              </w:rPr>
            </w:pPr>
            <w:r>
              <w:rPr>
                <w:rFonts w:hint="eastAsia" w:cs="方正仿宋_GBK" w:asciiTheme="minorEastAsia" w:hAnsiTheme="minorEastAsia" w:eastAsiaTheme="minorEastAsia"/>
                <w:color w:val="000000"/>
                <w:kern w:val="0"/>
                <w:sz w:val="22"/>
                <w:szCs w:val="22"/>
              </w:rPr>
              <w:t>411249</w:t>
            </w:r>
          </w:p>
        </w:tc>
        <w:tc>
          <w:tcPr>
            <w:tcW w:w="1985" w:type="dxa"/>
            <w:tcBorders>
              <w:top w:val="single" w:color="000000" w:sz="4" w:space="0"/>
              <w:left w:val="single" w:color="000000" w:sz="4" w:space="0"/>
              <w:bottom w:val="single" w:color="000000" w:sz="4" w:space="0"/>
              <w:right w:val="single" w:color="000000" w:sz="4" w:space="0"/>
            </w:tcBorders>
          </w:tcPr>
          <w:p>
            <w:pPr>
              <w:widowControl/>
              <w:spacing w:line="360" w:lineRule="exact"/>
              <w:jc w:val="center"/>
              <w:rPr>
                <w:rFonts w:eastAsia="方正仿宋_GBK" w:cs="方正仿宋_GBK"/>
                <w:color w:val="000000"/>
                <w:kern w:val="0"/>
                <w:sz w:val="22"/>
                <w:szCs w:val="22"/>
              </w:rPr>
            </w:pPr>
            <w:r>
              <w:rPr>
                <w:rFonts w:hint="eastAsia" w:cs="宋体"/>
                <w:color w:val="000000"/>
                <w:sz w:val="21"/>
                <w:szCs w:val="21"/>
              </w:rPr>
              <w:t>渝、黔、滇、桂</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spacing w:line="360" w:lineRule="exact"/>
              <w:jc w:val="center"/>
              <w:rPr>
                <w:rFonts w:eastAsia="方正仿宋_GBK" w:cs="方正仿宋_GBK"/>
                <w:color w:val="000000"/>
                <w:kern w:val="0"/>
                <w:sz w:val="22"/>
                <w:szCs w:val="22"/>
              </w:rPr>
            </w:pPr>
          </w:p>
        </w:tc>
      </w:tr>
      <w:tr>
        <w:tblPrEx>
          <w:tblLayout w:type="fixed"/>
          <w:tblCellMar>
            <w:top w:w="0" w:type="dxa"/>
            <w:left w:w="0" w:type="dxa"/>
            <w:bottom w:w="0" w:type="dxa"/>
            <w:right w:w="0" w:type="dxa"/>
          </w:tblCellMar>
        </w:tblPrEx>
        <w:trPr>
          <w:trHeight w:val="288" w:hRule="atLeast"/>
        </w:trPr>
        <w:tc>
          <w:tcPr>
            <w:tcW w:w="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tcPr>
          <w:p>
            <w:pPr>
              <w:snapToGrid w:val="0"/>
              <w:spacing w:line="360" w:lineRule="exact"/>
              <w:jc w:val="center"/>
              <w:rPr>
                <w:rFonts w:eastAsia="方正仿宋_GBK" w:cs="方正仿宋_GBK"/>
                <w:color w:val="000000"/>
                <w:kern w:val="0"/>
                <w:sz w:val="22"/>
                <w:szCs w:val="22"/>
              </w:rPr>
            </w:pPr>
            <w:r>
              <w:rPr>
                <w:rFonts w:hint="eastAsia" w:cs="宋体"/>
                <w:color w:val="000000"/>
                <w:sz w:val="21"/>
                <w:szCs w:val="21"/>
              </w:rPr>
              <w:t>13</w:t>
            </w:r>
          </w:p>
        </w:tc>
        <w:tc>
          <w:tcPr>
            <w:tcW w:w="19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tcPr>
          <w:p>
            <w:pPr>
              <w:snapToGrid w:val="0"/>
              <w:spacing w:line="360" w:lineRule="exact"/>
              <w:jc w:val="center"/>
              <w:rPr>
                <w:rFonts w:eastAsia="方正仿宋_GBK" w:cs="方正仿宋_GBK"/>
                <w:color w:val="000000"/>
                <w:sz w:val="22"/>
                <w:szCs w:val="22"/>
              </w:rPr>
            </w:pPr>
            <w:r>
              <w:rPr>
                <w:rFonts w:hint="eastAsia" w:cs="宋体"/>
                <w:color w:val="000000"/>
                <w:sz w:val="21"/>
                <w:szCs w:val="21"/>
              </w:rPr>
              <w:t>头孢噻肟</w:t>
            </w:r>
          </w:p>
        </w:tc>
        <w:tc>
          <w:tcPr>
            <w:tcW w:w="184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rPr>
                <w:rFonts w:cs="宋体"/>
                <w:color w:val="000000"/>
                <w:szCs w:val="21"/>
              </w:rPr>
            </w:pPr>
            <w:r>
              <w:rPr>
                <w:rFonts w:hint="eastAsia" w:cs="宋体"/>
                <w:color w:val="000000"/>
                <w:sz w:val="21"/>
                <w:szCs w:val="21"/>
              </w:rPr>
              <w:t>注射用无菌粉末</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 w:val="21"/>
                <w:szCs w:val="21"/>
              </w:rPr>
              <w:t>1g</w:t>
            </w:r>
          </w:p>
        </w:tc>
        <w:tc>
          <w:tcPr>
            <w:tcW w:w="1701" w:type="dxa"/>
            <w:tcBorders>
              <w:top w:val="single" w:color="000000" w:sz="4" w:space="0"/>
              <w:left w:val="single" w:color="000000" w:sz="4" w:space="0"/>
              <w:bottom w:val="single" w:color="000000" w:sz="4" w:space="0"/>
              <w:right w:val="single" w:color="000000" w:sz="4" w:space="0"/>
            </w:tcBorders>
          </w:tcPr>
          <w:p>
            <w:pPr>
              <w:widowControl/>
              <w:spacing w:line="360" w:lineRule="exact"/>
              <w:jc w:val="center"/>
              <w:rPr>
                <w:rFonts w:cs="方正仿宋_GBK" w:asciiTheme="minorEastAsia" w:hAnsiTheme="minorEastAsia" w:eastAsiaTheme="minorEastAsia"/>
                <w:color w:val="000000"/>
                <w:kern w:val="0"/>
                <w:sz w:val="22"/>
                <w:szCs w:val="22"/>
              </w:rPr>
            </w:pPr>
            <w:r>
              <w:rPr>
                <w:rFonts w:hint="eastAsia" w:cs="方正仿宋_GBK" w:asciiTheme="minorEastAsia" w:hAnsiTheme="minorEastAsia" w:eastAsiaTheme="minorEastAsia"/>
                <w:color w:val="000000"/>
                <w:kern w:val="0"/>
                <w:sz w:val="22"/>
                <w:szCs w:val="22"/>
              </w:rPr>
              <w:t>5072234</w:t>
            </w:r>
          </w:p>
        </w:tc>
        <w:tc>
          <w:tcPr>
            <w:tcW w:w="1985" w:type="dxa"/>
            <w:tcBorders>
              <w:top w:val="single" w:color="000000" w:sz="4" w:space="0"/>
              <w:left w:val="single" w:color="000000" w:sz="4" w:space="0"/>
              <w:bottom w:val="single" w:color="000000" w:sz="4" w:space="0"/>
              <w:right w:val="single" w:color="000000" w:sz="4" w:space="0"/>
            </w:tcBorders>
          </w:tcPr>
          <w:p>
            <w:pPr>
              <w:widowControl/>
              <w:spacing w:line="360" w:lineRule="exact"/>
              <w:jc w:val="center"/>
              <w:rPr>
                <w:rFonts w:eastAsia="方正仿宋_GBK" w:cs="方正仿宋_GBK"/>
                <w:color w:val="000000"/>
                <w:kern w:val="0"/>
                <w:sz w:val="22"/>
                <w:szCs w:val="22"/>
              </w:rPr>
            </w:pPr>
            <w:r>
              <w:rPr>
                <w:rFonts w:hint="eastAsia" w:cs="宋体"/>
                <w:color w:val="000000"/>
                <w:sz w:val="21"/>
                <w:szCs w:val="21"/>
              </w:rPr>
              <w:t>渝、黔、滇</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spacing w:line="360" w:lineRule="exact"/>
              <w:jc w:val="center"/>
              <w:rPr>
                <w:rFonts w:eastAsia="方正仿宋_GBK" w:cs="方正仿宋_GBK"/>
                <w:color w:val="000000"/>
                <w:kern w:val="0"/>
                <w:sz w:val="22"/>
                <w:szCs w:val="22"/>
              </w:rPr>
            </w:pPr>
          </w:p>
        </w:tc>
      </w:tr>
      <w:tr>
        <w:tblPrEx>
          <w:tblLayout w:type="fixed"/>
          <w:tblCellMar>
            <w:top w:w="0" w:type="dxa"/>
            <w:left w:w="0" w:type="dxa"/>
            <w:bottom w:w="0" w:type="dxa"/>
            <w:right w:w="0" w:type="dxa"/>
          </w:tblCellMar>
        </w:tblPrEx>
        <w:trPr>
          <w:trHeight w:val="288" w:hRule="atLeast"/>
        </w:trPr>
        <w:tc>
          <w:tcPr>
            <w:tcW w:w="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jc w:val="center"/>
              <w:rPr>
                <w:rFonts w:cs="宋体"/>
                <w:color w:val="000000"/>
                <w:sz w:val="21"/>
                <w:szCs w:val="21"/>
              </w:rPr>
            </w:pPr>
          </w:p>
          <w:p>
            <w:pPr>
              <w:snapToGrid w:val="0"/>
              <w:spacing w:line="360" w:lineRule="exact"/>
              <w:jc w:val="center"/>
              <w:rPr>
                <w:rFonts w:eastAsia="方正仿宋_GBK" w:cs="方正仿宋_GBK"/>
                <w:color w:val="000000"/>
                <w:kern w:val="0"/>
                <w:sz w:val="22"/>
                <w:szCs w:val="22"/>
              </w:rPr>
            </w:pPr>
            <w:r>
              <w:rPr>
                <w:rFonts w:hint="eastAsia" w:cs="宋体"/>
                <w:color w:val="000000"/>
                <w:sz w:val="21"/>
                <w:szCs w:val="21"/>
              </w:rPr>
              <w:t>14</w:t>
            </w:r>
          </w:p>
        </w:tc>
        <w:tc>
          <w:tcPr>
            <w:tcW w:w="19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jc w:val="center"/>
              <w:rPr>
                <w:rFonts w:eastAsia="方正仿宋_GBK" w:cs="方正仿宋_GBK"/>
                <w:color w:val="000000"/>
                <w:sz w:val="22"/>
                <w:szCs w:val="22"/>
              </w:rPr>
            </w:pPr>
            <w:r>
              <w:rPr>
                <w:rFonts w:hint="eastAsia" w:cs="宋体"/>
                <w:color w:val="000000"/>
                <w:sz w:val="21"/>
                <w:szCs w:val="21"/>
              </w:rPr>
              <w:t>噻托溴铵</w:t>
            </w:r>
          </w:p>
        </w:tc>
        <w:tc>
          <w:tcPr>
            <w:tcW w:w="184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jc w:val="left"/>
              <w:rPr>
                <w:rFonts w:cs="宋体"/>
                <w:color w:val="000000"/>
                <w:szCs w:val="21"/>
              </w:rPr>
            </w:pPr>
            <w:r>
              <w:rPr>
                <w:rFonts w:hint="eastAsia" w:cs="宋体"/>
                <w:color w:val="000000"/>
                <w:sz w:val="21"/>
                <w:szCs w:val="21"/>
              </w:rPr>
              <w:t>吸入剂</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 w:val="21"/>
                <w:szCs w:val="21"/>
              </w:rPr>
              <w:t>18μg</w:t>
            </w:r>
          </w:p>
        </w:tc>
        <w:tc>
          <w:tcPr>
            <w:tcW w:w="1701"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center"/>
              <w:rPr>
                <w:rFonts w:cs="方正仿宋_GBK" w:asciiTheme="minorEastAsia" w:hAnsiTheme="minorEastAsia" w:eastAsiaTheme="minorEastAsia"/>
                <w:color w:val="000000"/>
                <w:kern w:val="0"/>
                <w:sz w:val="22"/>
                <w:szCs w:val="22"/>
              </w:rPr>
            </w:pPr>
            <w:r>
              <w:rPr>
                <w:rFonts w:hint="eastAsia" w:cs="方正仿宋_GBK" w:asciiTheme="minorEastAsia" w:hAnsiTheme="minorEastAsia" w:eastAsiaTheme="minorEastAsia"/>
                <w:color w:val="000000"/>
                <w:kern w:val="0"/>
                <w:sz w:val="22"/>
                <w:szCs w:val="22"/>
              </w:rPr>
              <w:t>6681680</w:t>
            </w:r>
          </w:p>
        </w:tc>
        <w:tc>
          <w:tcPr>
            <w:tcW w:w="1985" w:type="dxa"/>
            <w:tcBorders>
              <w:top w:val="single" w:color="000000" w:sz="4" w:space="0"/>
              <w:left w:val="single" w:color="000000" w:sz="4" w:space="0"/>
              <w:bottom w:val="single" w:color="000000" w:sz="4" w:space="0"/>
              <w:right w:val="single" w:color="000000" w:sz="4" w:space="0"/>
            </w:tcBorders>
          </w:tcPr>
          <w:p>
            <w:pPr>
              <w:widowControl/>
              <w:spacing w:line="360" w:lineRule="exact"/>
              <w:jc w:val="center"/>
              <w:rPr>
                <w:rFonts w:cs="宋体"/>
                <w:color w:val="000000"/>
                <w:sz w:val="21"/>
                <w:szCs w:val="21"/>
              </w:rPr>
            </w:pPr>
            <w:r>
              <w:rPr>
                <w:rFonts w:hint="eastAsia" w:cs="宋体"/>
                <w:color w:val="000000"/>
                <w:sz w:val="21"/>
                <w:szCs w:val="21"/>
              </w:rPr>
              <w:t>渝、黔、滇、湘、桂</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spacing w:line="360" w:lineRule="exact"/>
              <w:jc w:val="left"/>
              <w:rPr>
                <w:rFonts w:cs="宋体"/>
                <w:color w:val="000000"/>
                <w:sz w:val="21"/>
                <w:szCs w:val="21"/>
              </w:rPr>
            </w:pPr>
            <w:r>
              <w:rPr>
                <w:rFonts w:hint="eastAsia" w:cs="宋体"/>
                <w:color w:val="000000"/>
                <w:sz w:val="21"/>
                <w:szCs w:val="21"/>
              </w:rPr>
              <w:t>含吸入粉雾剂和粉雾剂</w:t>
            </w:r>
          </w:p>
          <w:p>
            <w:pPr>
              <w:widowControl/>
              <w:spacing w:line="360" w:lineRule="exact"/>
              <w:jc w:val="left"/>
              <w:rPr>
                <w:rFonts w:cs="宋体"/>
                <w:color w:val="000000"/>
                <w:sz w:val="21"/>
                <w:szCs w:val="21"/>
              </w:rPr>
            </w:pPr>
            <w:r>
              <w:rPr>
                <w:rFonts w:hint="eastAsia" w:cs="宋体"/>
                <w:color w:val="000000"/>
                <w:sz w:val="21"/>
                <w:szCs w:val="21"/>
              </w:rPr>
              <w:t>以不含装置的产品为代表品</w:t>
            </w:r>
          </w:p>
        </w:tc>
      </w:tr>
      <w:tr>
        <w:tblPrEx>
          <w:tblLayout w:type="fixed"/>
          <w:tblCellMar>
            <w:top w:w="0" w:type="dxa"/>
            <w:left w:w="0" w:type="dxa"/>
            <w:bottom w:w="0" w:type="dxa"/>
            <w:right w:w="0" w:type="dxa"/>
          </w:tblCellMar>
        </w:tblPrEx>
        <w:trPr>
          <w:trHeight w:val="288" w:hRule="atLeast"/>
        </w:trPr>
        <w:tc>
          <w:tcPr>
            <w:tcW w:w="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jc w:val="center"/>
              <w:rPr>
                <w:rFonts w:eastAsia="方正仿宋_GBK" w:cs="方正仿宋_GBK"/>
                <w:color w:val="000000"/>
                <w:kern w:val="0"/>
                <w:sz w:val="22"/>
                <w:szCs w:val="22"/>
              </w:rPr>
            </w:pPr>
            <w:r>
              <w:rPr>
                <w:rFonts w:hint="eastAsia" w:cs="宋体"/>
                <w:color w:val="000000"/>
                <w:sz w:val="21"/>
                <w:szCs w:val="21"/>
              </w:rPr>
              <w:t>15</w:t>
            </w:r>
          </w:p>
        </w:tc>
        <w:tc>
          <w:tcPr>
            <w:tcW w:w="19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tcPr>
          <w:p>
            <w:pPr>
              <w:snapToGrid w:val="0"/>
              <w:spacing w:line="360" w:lineRule="exact"/>
              <w:jc w:val="center"/>
              <w:rPr>
                <w:rFonts w:eastAsia="方正仿宋_GBK" w:cs="方正仿宋_GBK"/>
                <w:color w:val="000000"/>
                <w:sz w:val="22"/>
                <w:szCs w:val="22"/>
              </w:rPr>
            </w:pPr>
            <w:r>
              <w:rPr>
                <w:rFonts w:hint="eastAsia" w:cs="宋体"/>
                <w:color w:val="000000"/>
                <w:sz w:val="21"/>
                <w:szCs w:val="21"/>
              </w:rPr>
              <w:t>丙戊酸钠</w:t>
            </w:r>
          </w:p>
        </w:tc>
        <w:tc>
          <w:tcPr>
            <w:tcW w:w="184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rPr>
                <w:rFonts w:cs="宋体"/>
                <w:color w:val="000000"/>
                <w:szCs w:val="21"/>
              </w:rPr>
            </w:pPr>
            <w:r>
              <w:rPr>
                <w:rFonts w:hint="eastAsia" w:cs="宋体"/>
                <w:color w:val="000000"/>
                <w:sz w:val="21"/>
                <w:szCs w:val="21"/>
              </w:rPr>
              <w:t>注射用无菌粉末</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 w:val="21"/>
                <w:szCs w:val="21"/>
              </w:rPr>
              <w:t>0.4g</w:t>
            </w:r>
          </w:p>
        </w:tc>
        <w:tc>
          <w:tcPr>
            <w:tcW w:w="1701" w:type="dxa"/>
            <w:tcBorders>
              <w:top w:val="single" w:color="000000" w:sz="4" w:space="0"/>
              <w:left w:val="single" w:color="000000" w:sz="4" w:space="0"/>
              <w:bottom w:val="single" w:color="000000" w:sz="4" w:space="0"/>
              <w:right w:val="single" w:color="000000" w:sz="4" w:space="0"/>
            </w:tcBorders>
          </w:tcPr>
          <w:p>
            <w:pPr>
              <w:widowControl/>
              <w:spacing w:line="360" w:lineRule="exact"/>
              <w:jc w:val="center"/>
              <w:rPr>
                <w:rFonts w:cs="方正仿宋_GBK" w:asciiTheme="minorEastAsia" w:hAnsiTheme="minorEastAsia" w:eastAsiaTheme="minorEastAsia"/>
                <w:color w:val="000000"/>
                <w:kern w:val="0"/>
                <w:sz w:val="22"/>
                <w:szCs w:val="22"/>
              </w:rPr>
            </w:pPr>
            <w:r>
              <w:rPr>
                <w:rFonts w:hint="eastAsia" w:cs="方正仿宋_GBK" w:asciiTheme="minorEastAsia" w:hAnsiTheme="minorEastAsia" w:eastAsiaTheme="minorEastAsia"/>
                <w:color w:val="000000"/>
                <w:kern w:val="0"/>
                <w:sz w:val="22"/>
                <w:szCs w:val="22"/>
              </w:rPr>
              <w:t>628510</w:t>
            </w:r>
          </w:p>
        </w:tc>
        <w:tc>
          <w:tcPr>
            <w:tcW w:w="1985" w:type="dxa"/>
            <w:tcBorders>
              <w:top w:val="single" w:color="000000" w:sz="4" w:space="0"/>
              <w:left w:val="single" w:color="000000" w:sz="4" w:space="0"/>
              <w:bottom w:val="single" w:color="000000" w:sz="4" w:space="0"/>
              <w:right w:val="single" w:color="000000" w:sz="4" w:space="0"/>
            </w:tcBorders>
          </w:tcPr>
          <w:p>
            <w:pPr>
              <w:widowControl/>
              <w:spacing w:line="360" w:lineRule="exact"/>
              <w:jc w:val="center"/>
              <w:rPr>
                <w:rFonts w:eastAsia="方正仿宋_GBK" w:cs="方正仿宋_GBK"/>
                <w:color w:val="000000"/>
                <w:kern w:val="0"/>
                <w:sz w:val="22"/>
                <w:szCs w:val="22"/>
              </w:rPr>
            </w:pPr>
            <w:r>
              <w:rPr>
                <w:rFonts w:hint="eastAsia" w:cs="宋体"/>
                <w:color w:val="000000"/>
                <w:sz w:val="21"/>
                <w:szCs w:val="21"/>
              </w:rPr>
              <w:t>渝、黔、滇、湘、桂</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spacing w:line="360" w:lineRule="exact"/>
              <w:jc w:val="center"/>
              <w:rPr>
                <w:rFonts w:eastAsia="方正仿宋_GBK" w:cs="方正仿宋_GBK"/>
                <w:color w:val="000000"/>
                <w:kern w:val="0"/>
                <w:sz w:val="22"/>
                <w:szCs w:val="22"/>
              </w:rPr>
            </w:pPr>
          </w:p>
        </w:tc>
      </w:tr>
      <w:tr>
        <w:tblPrEx>
          <w:tblLayout w:type="fixed"/>
          <w:tblCellMar>
            <w:top w:w="0" w:type="dxa"/>
            <w:left w:w="0" w:type="dxa"/>
            <w:bottom w:w="0" w:type="dxa"/>
            <w:right w:w="0" w:type="dxa"/>
          </w:tblCellMar>
        </w:tblPrEx>
        <w:trPr>
          <w:trHeight w:val="288" w:hRule="atLeast"/>
        </w:trPr>
        <w:tc>
          <w:tcPr>
            <w:tcW w:w="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tcPr>
          <w:p>
            <w:pPr>
              <w:snapToGrid w:val="0"/>
              <w:spacing w:line="360" w:lineRule="exact"/>
              <w:jc w:val="center"/>
              <w:rPr>
                <w:rFonts w:eastAsia="方正仿宋_GBK" w:cs="方正仿宋_GBK"/>
                <w:color w:val="000000"/>
                <w:kern w:val="0"/>
                <w:sz w:val="22"/>
                <w:szCs w:val="22"/>
              </w:rPr>
            </w:pPr>
            <w:r>
              <w:rPr>
                <w:rFonts w:hint="eastAsia" w:cs="宋体"/>
                <w:color w:val="000000"/>
                <w:sz w:val="21"/>
                <w:szCs w:val="21"/>
              </w:rPr>
              <w:t>16</w:t>
            </w:r>
          </w:p>
        </w:tc>
        <w:tc>
          <w:tcPr>
            <w:tcW w:w="19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tcPr>
          <w:p>
            <w:pPr>
              <w:snapToGrid w:val="0"/>
              <w:spacing w:line="360" w:lineRule="exact"/>
              <w:jc w:val="center"/>
              <w:rPr>
                <w:rFonts w:eastAsia="方正仿宋_GBK" w:cs="方正仿宋_GBK"/>
                <w:color w:val="000000"/>
                <w:kern w:val="0"/>
                <w:sz w:val="22"/>
                <w:szCs w:val="22"/>
              </w:rPr>
            </w:pPr>
            <w:r>
              <w:rPr>
                <w:rFonts w:hint="eastAsia" w:cs="宋体"/>
                <w:color w:val="000000"/>
                <w:sz w:val="21"/>
                <w:szCs w:val="21"/>
              </w:rPr>
              <w:t>替加环素</w:t>
            </w:r>
          </w:p>
        </w:tc>
        <w:tc>
          <w:tcPr>
            <w:tcW w:w="184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rPr>
                <w:rFonts w:cs="宋体"/>
                <w:color w:val="000000"/>
                <w:szCs w:val="21"/>
              </w:rPr>
            </w:pPr>
            <w:r>
              <w:rPr>
                <w:rFonts w:hint="eastAsia" w:cs="宋体"/>
                <w:color w:val="000000"/>
                <w:sz w:val="21"/>
                <w:szCs w:val="21"/>
              </w:rPr>
              <w:t>注射用无菌粉末</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 w:val="21"/>
                <w:szCs w:val="21"/>
              </w:rPr>
              <w:t>50mg</w:t>
            </w:r>
          </w:p>
        </w:tc>
        <w:tc>
          <w:tcPr>
            <w:tcW w:w="1701" w:type="dxa"/>
            <w:tcBorders>
              <w:top w:val="single" w:color="000000" w:sz="4" w:space="0"/>
              <w:left w:val="single" w:color="000000" w:sz="4" w:space="0"/>
              <w:bottom w:val="single" w:color="000000" w:sz="4" w:space="0"/>
              <w:right w:val="single" w:color="000000" w:sz="4" w:space="0"/>
            </w:tcBorders>
          </w:tcPr>
          <w:p>
            <w:pPr>
              <w:widowControl/>
              <w:spacing w:line="360" w:lineRule="exact"/>
              <w:jc w:val="center"/>
              <w:rPr>
                <w:rFonts w:cs="方正仿宋_GBK" w:asciiTheme="minorEastAsia" w:hAnsiTheme="minorEastAsia" w:eastAsiaTheme="minorEastAsia"/>
                <w:color w:val="000000"/>
                <w:kern w:val="0"/>
                <w:sz w:val="22"/>
                <w:szCs w:val="22"/>
              </w:rPr>
            </w:pPr>
            <w:r>
              <w:rPr>
                <w:rFonts w:hint="eastAsia" w:cs="方正仿宋_GBK" w:asciiTheme="minorEastAsia" w:hAnsiTheme="minorEastAsia" w:eastAsiaTheme="minorEastAsia"/>
                <w:color w:val="000000"/>
                <w:kern w:val="0"/>
                <w:sz w:val="22"/>
                <w:szCs w:val="22"/>
              </w:rPr>
              <w:t>69481</w:t>
            </w:r>
          </w:p>
        </w:tc>
        <w:tc>
          <w:tcPr>
            <w:tcW w:w="1985" w:type="dxa"/>
            <w:tcBorders>
              <w:top w:val="single" w:color="000000" w:sz="4" w:space="0"/>
              <w:left w:val="single" w:color="000000" w:sz="4" w:space="0"/>
              <w:bottom w:val="single" w:color="000000" w:sz="4" w:space="0"/>
              <w:right w:val="single" w:color="000000" w:sz="4" w:space="0"/>
            </w:tcBorders>
          </w:tcPr>
          <w:p>
            <w:pPr>
              <w:widowControl/>
              <w:spacing w:line="360" w:lineRule="exact"/>
              <w:jc w:val="center"/>
              <w:rPr>
                <w:rFonts w:eastAsia="方正仿宋_GBK" w:cs="方正仿宋_GBK"/>
                <w:color w:val="000000"/>
                <w:kern w:val="0"/>
                <w:sz w:val="22"/>
                <w:szCs w:val="22"/>
              </w:rPr>
            </w:pPr>
            <w:r>
              <w:rPr>
                <w:rFonts w:hint="eastAsia" w:cs="宋体"/>
                <w:color w:val="000000"/>
                <w:sz w:val="21"/>
                <w:szCs w:val="21"/>
              </w:rPr>
              <w:t>渝、黔、滇</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spacing w:line="360" w:lineRule="exact"/>
              <w:jc w:val="center"/>
              <w:rPr>
                <w:rFonts w:eastAsia="方正仿宋_GBK" w:cs="方正仿宋_GBK"/>
                <w:color w:val="000000"/>
                <w:kern w:val="0"/>
                <w:sz w:val="22"/>
                <w:szCs w:val="22"/>
              </w:rPr>
            </w:pPr>
          </w:p>
        </w:tc>
      </w:tr>
      <w:tr>
        <w:tblPrEx>
          <w:tblLayout w:type="fixed"/>
          <w:tblCellMar>
            <w:top w:w="0" w:type="dxa"/>
            <w:left w:w="0" w:type="dxa"/>
            <w:bottom w:w="0" w:type="dxa"/>
            <w:right w:w="0" w:type="dxa"/>
          </w:tblCellMar>
        </w:tblPrEx>
        <w:trPr>
          <w:trHeight w:val="288" w:hRule="atLeast"/>
        </w:trPr>
        <w:tc>
          <w:tcPr>
            <w:tcW w:w="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tcPr>
          <w:p>
            <w:pPr>
              <w:snapToGrid w:val="0"/>
              <w:spacing w:line="360" w:lineRule="exact"/>
              <w:jc w:val="center"/>
              <w:rPr>
                <w:rFonts w:cs="宋体"/>
                <w:color w:val="000000"/>
                <w:sz w:val="21"/>
                <w:szCs w:val="21"/>
              </w:rPr>
            </w:pPr>
            <w:r>
              <w:rPr>
                <w:rFonts w:hint="eastAsia" w:cs="宋体"/>
                <w:color w:val="000000"/>
                <w:sz w:val="21"/>
                <w:szCs w:val="21"/>
              </w:rPr>
              <w:t>17</w:t>
            </w:r>
          </w:p>
        </w:tc>
        <w:tc>
          <w:tcPr>
            <w:tcW w:w="198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tcPr>
          <w:p>
            <w:pPr>
              <w:snapToGrid w:val="0"/>
              <w:spacing w:line="360" w:lineRule="exact"/>
              <w:jc w:val="center"/>
              <w:rPr>
                <w:rFonts w:cs="宋体"/>
                <w:color w:val="000000"/>
                <w:sz w:val="21"/>
                <w:szCs w:val="21"/>
              </w:rPr>
            </w:pPr>
            <w:r>
              <w:rPr>
                <w:rFonts w:hint="eastAsia" w:cs="宋体"/>
                <w:color w:val="000000"/>
                <w:sz w:val="21"/>
                <w:szCs w:val="21"/>
              </w:rPr>
              <w:t>奈达铂</w:t>
            </w:r>
          </w:p>
        </w:tc>
        <w:tc>
          <w:tcPr>
            <w:tcW w:w="184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rPr>
                <w:rFonts w:cs="宋体"/>
                <w:color w:val="000000"/>
                <w:sz w:val="21"/>
                <w:szCs w:val="21"/>
              </w:rPr>
            </w:pPr>
            <w:r>
              <w:rPr>
                <w:rFonts w:hint="eastAsia" w:cs="宋体"/>
                <w:color w:val="000000"/>
                <w:sz w:val="21"/>
                <w:szCs w:val="21"/>
              </w:rPr>
              <w:t>注射用无菌粉末</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napToGrid w:val="0"/>
              <w:spacing w:line="360" w:lineRule="exact"/>
              <w:jc w:val="center"/>
              <w:rPr>
                <w:rFonts w:cs="宋体" w:asciiTheme="minorEastAsia" w:hAnsiTheme="minorEastAsia" w:eastAsiaTheme="minorEastAsia"/>
                <w:color w:val="000000"/>
                <w:sz w:val="21"/>
                <w:szCs w:val="21"/>
              </w:rPr>
            </w:pPr>
            <w:r>
              <w:rPr>
                <w:rFonts w:hint="eastAsia" w:cs="宋体" w:asciiTheme="minorEastAsia" w:hAnsiTheme="minorEastAsia" w:eastAsiaTheme="minorEastAsia"/>
                <w:color w:val="000000"/>
                <w:sz w:val="21"/>
                <w:szCs w:val="21"/>
              </w:rPr>
              <w:t>10mg</w:t>
            </w:r>
          </w:p>
        </w:tc>
        <w:tc>
          <w:tcPr>
            <w:tcW w:w="1701" w:type="dxa"/>
            <w:tcBorders>
              <w:top w:val="single" w:color="000000" w:sz="4" w:space="0"/>
              <w:left w:val="single" w:color="000000" w:sz="4" w:space="0"/>
              <w:bottom w:val="single" w:color="000000" w:sz="4" w:space="0"/>
              <w:right w:val="single" w:color="000000" w:sz="4" w:space="0"/>
            </w:tcBorders>
          </w:tcPr>
          <w:p>
            <w:pPr>
              <w:widowControl/>
              <w:spacing w:line="360" w:lineRule="exact"/>
              <w:jc w:val="center"/>
              <w:rPr>
                <w:rFonts w:cs="方正仿宋_GBK" w:asciiTheme="minorEastAsia" w:hAnsiTheme="minorEastAsia" w:eastAsiaTheme="minorEastAsia"/>
                <w:color w:val="000000"/>
                <w:kern w:val="0"/>
                <w:sz w:val="22"/>
                <w:szCs w:val="22"/>
              </w:rPr>
            </w:pPr>
            <w:r>
              <w:rPr>
                <w:rFonts w:hint="eastAsia" w:cs="方正仿宋_GBK" w:asciiTheme="minorEastAsia" w:hAnsiTheme="minorEastAsia" w:eastAsiaTheme="minorEastAsia"/>
                <w:color w:val="000000"/>
                <w:kern w:val="0"/>
                <w:sz w:val="22"/>
                <w:szCs w:val="22"/>
              </w:rPr>
              <w:t>509255</w:t>
            </w:r>
          </w:p>
        </w:tc>
        <w:tc>
          <w:tcPr>
            <w:tcW w:w="1985" w:type="dxa"/>
            <w:tcBorders>
              <w:top w:val="single" w:color="000000" w:sz="4" w:space="0"/>
              <w:left w:val="single" w:color="000000" w:sz="4" w:space="0"/>
              <w:bottom w:val="single" w:color="000000" w:sz="4" w:space="0"/>
              <w:right w:val="single" w:color="000000" w:sz="4" w:space="0"/>
            </w:tcBorders>
          </w:tcPr>
          <w:p>
            <w:pPr>
              <w:widowControl/>
              <w:spacing w:line="360" w:lineRule="exact"/>
              <w:jc w:val="center"/>
              <w:rPr>
                <w:rFonts w:eastAsia="方正仿宋_GBK" w:cs="方正仿宋_GBK"/>
                <w:color w:val="000000"/>
                <w:kern w:val="0"/>
                <w:sz w:val="22"/>
                <w:szCs w:val="22"/>
              </w:rPr>
            </w:pPr>
            <w:r>
              <w:rPr>
                <w:rFonts w:hint="eastAsia" w:cs="宋体"/>
                <w:color w:val="000000"/>
                <w:sz w:val="21"/>
                <w:szCs w:val="21"/>
              </w:rPr>
              <w:t>渝、黔、滇、湘、桂</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spacing w:line="360" w:lineRule="exact"/>
              <w:jc w:val="center"/>
              <w:rPr>
                <w:rFonts w:eastAsia="方正仿宋_GBK" w:cs="方正仿宋_GBK"/>
                <w:color w:val="000000"/>
                <w:kern w:val="0"/>
                <w:sz w:val="22"/>
                <w:szCs w:val="22"/>
              </w:rPr>
            </w:pPr>
          </w:p>
        </w:tc>
      </w:tr>
    </w:tbl>
    <w:p>
      <w:pPr>
        <w:spacing w:line="570" w:lineRule="exact"/>
        <w:ind w:firstLine="480" w:firstLineChars="150"/>
        <w:rPr>
          <w:rFonts w:eastAsia="方正楷体_GBK"/>
        </w:rPr>
      </w:pPr>
      <w:r>
        <w:rPr>
          <w:rFonts w:hint="eastAsia" w:eastAsia="方正楷体_GBK"/>
        </w:rPr>
        <w:t>（二）约定采购量</w:t>
      </w:r>
    </w:p>
    <w:p>
      <w:pPr>
        <w:spacing w:line="600" w:lineRule="exact"/>
        <w:ind w:firstLine="600"/>
        <w:rPr>
          <w:rFonts w:eastAsia="方正仿宋_GBK"/>
        </w:rPr>
      </w:pPr>
      <w:r>
        <w:rPr>
          <w:rFonts w:hint="eastAsia" w:eastAsia="方正仿宋_GBK"/>
        </w:rPr>
        <w:t>1．联合采购地区约定采购量计算基数，以2019年1月1日至2019年12月31日重庆市、贵州省、云南省、湖南省、</w:t>
      </w:r>
      <w:r>
        <w:rPr>
          <w:rFonts w:hint="eastAsia" w:eastAsia="方正仿宋_GBK" w:cs="方正仿宋_GBK"/>
        </w:rPr>
        <w:t>广西壮族自治区</w:t>
      </w:r>
      <w:r>
        <w:rPr>
          <w:rFonts w:hint="eastAsia" w:eastAsia="方正仿宋_GBK"/>
        </w:rPr>
        <w:t>医疗机构上报采购需求量的70%累加确定。</w:t>
      </w:r>
    </w:p>
    <w:p>
      <w:pPr>
        <w:spacing w:line="600" w:lineRule="exact"/>
        <w:ind w:firstLine="480" w:firstLineChars="150"/>
        <w:rPr>
          <w:rFonts w:eastAsia="方正仿宋_GBK"/>
        </w:rPr>
      </w:pPr>
      <w:r>
        <w:rPr>
          <w:rFonts w:hint="eastAsia" w:eastAsia="方正仿宋_GBK"/>
        </w:rPr>
        <w:t>其中，哌拉西林钠他唑巴坦（8:1）、哌拉西林钠他唑巴坦 （4:1）、头孢他啶、盐酸川芎嗪、奥硝唑氯化钠、美洛西林、头孢噻肟、丙戊酸钠、替加环素约定采购量计算基数，以2019年1月1日至2019年12月31日医疗机构上报采购需求量的60%累加确定。</w:t>
      </w:r>
    </w:p>
    <w:p>
      <w:pPr>
        <w:spacing w:line="600" w:lineRule="exact"/>
        <w:ind w:firstLine="480" w:firstLineChars="150"/>
        <w:rPr>
          <w:rFonts w:eastAsia="方正仿宋_GBK"/>
        </w:rPr>
      </w:pPr>
      <w:r>
        <w:rPr>
          <w:rFonts w:hint="eastAsia" w:eastAsia="方正仿宋_GBK"/>
        </w:rPr>
        <w:t>2．约定采购量分配原则</w:t>
      </w:r>
    </w:p>
    <w:p>
      <w:pPr>
        <w:spacing w:line="600" w:lineRule="exact"/>
        <w:ind w:firstLine="480" w:firstLineChars="150"/>
        <w:rPr>
          <w:rFonts w:eastAsia="方正仿宋_GBK"/>
        </w:rPr>
      </w:pPr>
      <w:r>
        <w:rPr>
          <w:rFonts w:hint="eastAsia" w:eastAsia="方正仿宋_GBK"/>
        </w:rPr>
        <w:t>联合采购地区各品种采购量按照以下原则进行分配：实际中选企业为1家的，产品采购量不少于该质量层次约定采购量计算基数的100%；同质量层次实际中选企业为2家的，从第一顺位企业交替选择，每个拟中选企业每次选择1个地区（市、州、盟），重复上述过程，直至所有地区（市、州、盟）选择确认完毕。如同通用名药品其中一个质量层次无中选药品，该质量层次约定采购量的50%划分到另一质量层次。</w:t>
      </w:r>
    </w:p>
    <w:p>
      <w:pPr>
        <w:spacing w:line="600" w:lineRule="exact"/>
        <w:ind w:firstLine="480" w:firstLineChars="150"/>
        <w:rPr>
          <w:rFonts w:eastAsia="方正仿宋_GBK"/>
        </w:rPr>
      </w:pPr>
      <w:r>
        <w:rPr>
          <w:rFonts w:hint="eastAsia" w:eastAsia="方正仿宋_GBK"/>
        </w:rPr>
        <w:t xml:space="preserve"> 医疗机构2019年采购使用的药品相关企业未参与本次集中带量采购，或无法对应第一质量层次评审组申报企业的，按第二质量层次评审组测算该医疗机构约定采购量。中选结果产生后，根据医疗机构2019年实际用药的企业情况和用量情况，由联合采购地区自行测算并分解各地区医疗机构约定采购量。</w:t>
      </w:r>
    </w:p>
    <w:p>
      <w:pPr>
        <w:pStyle w:val="3"/>
        <w:spacing w:before="0" w:after="0" w:line="600" w:lineRule="exact"/>
        <w:rPr>
          <w:rFonts w:ascii="Times New Roman" w:hAnsi="Times New Roman" w:eastAsia="方正黑体_GBK" w:cs="方正黑体_GBK"/>
          <w:b w:val="0"/>
          <w:bCs w:val="0"/>
          <w:kern w:val="32"/>
        </w:rPr>
      </w:pPr>
      <w:bookmarkStart w:id="3" w:name="_Toc53152574"/>
      <w:r>
        <w:rPr>
          <w:rFonts w:hint="eastAsia" w:ascii="Times New Roman" w:hAnsi="Times New Roman" w:eastAsia="方正黑体_GBK" w:cs="方正黑体_GBK"/>
          <w:b w:val="0"/>
          <w:bCs w:val="0"/>
          <w:kern w:val="32"/>
        </w:rPr>
        <w:t>二、采购周期</w:t>
      </w:r>
      <w:bookmarkEnd w:id="3"/>
    </w:p>
    <w:p>
      <w:pPr>
        <w:spacing w:line="600" w:lineRule="exact"/>
        <w:ind w:firstLine="480" w:firstLineChars="150"/>
        <w:rPr>
          <w:rFonts w:eastAsia="方正仿宋_GBK"/>
        </w:rPr>
      </w:pPr>
      <w:r>
        <w:rPr>
          <w:rFonts w:hint="eastAsia" w:eastAsia="方正仿宋_GBK"/>
        </w:rPr>
        <w:t xml:space="preserve">（一）本轮采购周期原则上为 1 年，自中选结果实际执行日起计算。 </w:t>
      </w:r>
    </w:p>
    <w:p>
      <w:pPr>
        <w:spacing w:line="600" w:lineRule="exact"/>
        <w:ind w:firstLine="480" w:firstLineChars="150"/>
        <w:rPr>
          <w:rFonts w:eastAsia="方正仿宋_GBK"/>
        </w:rPr>
      </w:pPr>
      <w:r>
        <w:rPr>
          <w:rFonts w:hint="eastAsia" w:eastAsia="方正仿宋_GBK"/>
        </w:rPr>
        <w:t>（二）采购周期内若供货提前完成当年约定采购量，超过部分中选企业仍按中选价进行供应，直至采购周期届满。</w:t>
      </w:r>
    </w:p>
    <w:p>
      <w:pPr>
        <w:pStyle w:val="3"/>
        <w:spacing w:before="0" w:after="0" w:line="600" w:lineRule="exact"/>
        <w:rPr>
          <w:rFonts w:ascii="Times New Roman" w:hAnsi="Times New Roman" w:eastAsia="方正黑体_GBK" w:cs="方正黑体_GBK"/>
          <w:b w:val="0"/>
          <w:bCs w:val="0"/>
          <w:kern w:val="32"/>
        </w:rPr>
      </w:pPr>
      <w:bookmarkStart w:id="4" w:name="_Toc53152575"/>
      <w:r>
        <w:rPr>
          <w:rFonts w:hint="eastAsia" w:ascii="Times New Roman" w:hAnsi="Times New Roman" w:eastAsia="方正黑体_GBK" w:cs="方正黑体_GBK"/>
          <w:b w:val="0"/>
          <w:bCs w:val="0"/>
          <w:kern w:val="32"/>
        </w:rPr>
        <w:t>三、申报资格</w:t>
      </w:r>
      <w:bookmarkEnd w:id="4"/>
    </w:p>
    <w:p>
      <w:pPr>
        <w:spacing w:line="600" w:lineRule="exact"/>
        <w:rPr>
          <w:rFonts w:eastAsia="方正仿宋_GBK"/>
        </w:rPr>
      </w:pPr>
      <w:r>
        <w:rPr>
          <w:rFonts w:hint="eastAsia" w:eastAsia="方正仿宋_GBK"/>
        </w:rPr>
        <w:t xml:space="preserve">    符合以下申报要求的企业须在规定时间提交申报资料，未提交的，将影响该企业所涉药品在联合采购地区药品集中采购活动。</w:t>
      </w:r>
    </w:p>
    <w:p>
      <w:pPr>
        <w:spacing w:line="570" w:lineRule="exact"/>
        <w:ind w:firstLine="480" w:firstLineChars="150"/>
        <w:rPr>
          <w:rFonts w:eastAsia="方正楷体_GBK"/>
        </w:rPr>
      </w:pPr>
      <w:r>
        <w:rPr>
          <w:rFonts w:hint="eastAsia" w:eastAsia="方正楷体_GBK"/>
        </w:rPr>
        <w:t>（一）申报企业资格要求</w:t>
      </w:r>
    </w:p>
    <w:p>
      <w:pPr>
        <w:spacing w:line="600" w:lineRule="exact"/>
        <w:ind w:firstLine="480" w:firstLineChars="150"/>
        <w:rPr>
          <w:rFonts w:eastAsia="方正仿宋_GBK"/>
        </w:rPr>
      </w:pPr>
      <w:r>
        <w:rPr>
          <w:rFonts w:hint="eastAsia" w:eastAsia="方正仿宋_GBK"/>
        </w:rPr>
        <w:t>经国家药品监督管理部门批准、在中国大陆地区销售、纳入采购品种范围内的药品生产企业（药品上市许可持有人、进口药品全国总代理视为生产企业），均可参加。</w:t>
      </w:r>
    </w:p>
    <w:p>
      <w:pPr>
        <w:spacing w:line="570" w:lineRule="exact"/>
        <w:ind w:firstLine="480" w:firstLineChars="150"/>
        <w:rPr>
          <w:rFonts w:eastAsia="方正楷体_GBK"/>
        </w:rPr>
      </w:pPr>
      <w:r>
        <w:rPr>
          <w:rFonts w:hint="eastAsia" w:eastAsia="方正楷体_GBK"/>
        </w:rPr>
        <w:t>（二）申报品种资格要求</w:t>
      </w:r>
    </w:p>
    <w:p>
      <w:pPr>
        <w:spacing w:line="600" w:lineRule="exact"/>
        <w:ind w:firstLine="480" w:firstLineChars="150"/>
        <w:rPr>
          <w:rFonts w:eastAsia="方正仿宋_GBK"/>
        </w:rPr>
      </w:pPr>
      <w:r>
        <w:rPr>
          <w:rFonts w:hint="eastAsia" w:eastAsia="方正仿宋_GBK"/>
        </w:rPr>
        <w:t xml:space="preserve">属于采购品种目录范围并获得有效国内《药品批准文号批件》（《注册批件》或者《再注册批件》）的上市药品。 </w:t>
      </w:r>
    </w:p>
    <w:p>
      <w:pPr>
        <w:spacing w:line="600" w:lineRule="exact"/>
        <w:ind w:firstLine="480" w:firstLineChars="150"/>
        <w:rPr>
          <w:rFonts w:eastAsia="方正仿宋_GBK"/>
        </w:rPr>
      </w:pPr>
      <w:r>
        <w:rPr>
          <w:rFonts w:hint="eastAsia" w:eastAsia="方正仿宋_GBK"/>
        </w:rPr>
        <w:t>本次集中带量采购药品品种分为第一质量层次和第二质量层次。</w:t>
      </w:r>
    </w:p>
    <w:p>
      <w:pPr>
        <w:spacing w:line="600" w:lineRule="exact"/>
        <w:ind w:firstLine="480" w:firstLineChars="150"/>
        <w:rPr>
          <w:rFonts w:eastAsia="方正仿宋_GBK"/>
        </w:rPr>
      </w:pPr>
      <w:r>
        <w:rPr>
          <w:rFonts w:hint="eastAsia" w:eastAsia="方正仿宋_GBK"/>
        </w:rPr>
        <w:t>第一质量层次：专利药、原研药品、参比制剂、通过质量和疗效一致性评价的仿制药品、化学药品新注册分类批准药品和纳入《中国上市药品目录集》的药品、获得欧盟CGMP、英国MHRA</w:t>
      </w:r>
      <w:r>
        <w:rPr>
          <w:rFonts w:hint="eastAsia" w:ascii="仿宋_GB2312" w:hAnsi="宋体" w:eastAsia="仿宋_GB2312"/>
          <w:color w:val="000000"/>
        </w:rPr>
        <w:t>、</w:t>
      </w:r>
      <w:r>
        <w:rPr>
          <w:rFonts w:hint="eastAsia" w:eastAsia="方正仿宋_GBK"/>
        </w:rPr>
        <w:t>美国FDA、日本JGMP认证证书并出口欧、英、美、日主流市场的国产药品。</w:t>
      </w:r>
    </w:p>
    <w:p>
      <w:pPr>
        <w:spacing w:line="600" w:lineRule="exact"/>
        <w:ind w:firstLine="480" w:firstLineChars="150"/>
        <w:rPr>
          <w:rFonts w:eastAsia="方正仿宋_GBK"/>
        </w:rPr>
      </w:pPr>
      <w:r>
        <w:rPr>
          <w:rFonts w:hint="eastAsia" w:eastAsia="方正仿宋_GBK"/>
        </w:rPr>
        <w:t>第二质量层次：除第一质量层次外的其他进口药品和国产仿制药。</w:t>
      </w:r>
    </w:p>
    <w:p>
      <w:pPr>
        <w:spacing w:line="570" w:lineRule="exact"/>
        <w:ind w:firstLine="480" w:firstLineChars="150"/>
        <w:rPr>
          <w:rFonts w:eastAsia="方正楷体_GBK"/>
        </w:rPr>
      </w:pPr>
      <w:r>
        <w:rPr>
          <w:rFonts w:hint="eastAsia" w:eastAsia="方正楷体_GBK"/>
        </w:rPr>
        <w:t>（三）其他申报要求</w:t>
      </w:r>
    </w:p>
    <w:p>
      <w:pPr>
        <w:spacing w:line="600" w:lineRule="exact"/>
        <w:ind w:firstLine="480" w:firstLineChars="150"/>
        <w:rPr>
          <w:rFonts w:eastAsia="方正仿宋_GBK"/>
        </w:rPr>
      </w:pPr>
      <w:r>
        <w:rPr>
          <w:rFonts w:hint="eastAsia" w:eastAsia="方正仿宋_GBK"/>
        </w:rPr>
        <w:t>1．申报生产企业、经营企业、药品上市许可持有人及委托生产企业必须依法取得相应证照。</w:t>
      </w:r>
    </w:p>
    <w:p>
      <w:pPr>
        <w:spacing w:line="600" w:lineRule="exact"/>
        <w:ind w:firstLine="480" w:firstLineChars="150"/>
        <w:rPr>
          <w:rFonts w:eastAsia="方正仿宋_GBK"/>
        </w:rPr>
      </w:pPr>
      <w:r>
        <w:rPr>
          <w:rFonts w:hint="eastAsia" w:eastAsia="方正仿宋_GBK"/>
        </w:rPr>
        <w:t>2．申报企业必须确保在采购周期内满足医疗机构的约定采购量需求后仍有余量，以保证约定采购量的超过部分能得以按时供应。必须承诺保证产品质量和按时足额供应。</w:t>
      </w:r>
    </w:p>
    <w:p>
      <w:pPr>
        <w:spacing w:line="600" w:lineRule="exact"/>
        <w:ind w:firstLine="480" w:firstLineChars="150"/>
        <w:rPr>
          <w:rFonts w:eastAsia="方正仿宋_GBK"/>
        </w:rPr>
      </w:pPr>
      <w:r>
        <w:rPr>
          <w:rFonts w:hint="eastAsia" w:eastAsia="方正仿宋_GBK"/>
        </w:rPr>
        <w:t>3．申报企业应遵守《专利法》《反不正当竞争法》等相关法律法规，并承担相关法律责任。</w:t>
      </w:r>
    </w:p>
    <w:p>
      <w:pPr>
        <w:spacing w:line="600" w:lineRule="exact"/>
        <w:ind w:firstLine="480" w:firstLineChars="150"/>
        <w:rPr>
          <w:rFonts w:eastAsia="方正仿宋_GBK"/>
        </w:rPr>
      </w:pPr>
      <w:r>
        <w:rPr>
          <w:rFonts w:hint="eastAsia" w:eastAsia="方正仿宋_GBK"/>
        </w:rPr>
        <w:t>4．申报药品应当符合国家药品标准和经国家药品监督管理部门核准的药品质量标准，并按照国家药监局药审中心关于发布《化学药物中亚硝胺类杂质研究技术指导原则（试行）》的通告（2020 年1号）组织生产。</w:t>
      </w:r>
    </w:p>
    <w:p>
      <w:pPr>
        <w:pStyle w:val="3"/>
        <w:spacing w:before="0" w:after="0" w:line="600" w:lineRule="exact"/>
        <w:rPr>
          <w:rFonts w:ascii="Times New Roman" w:hAnsi="Times New Roman" w:eastAsia="方正黑体_GBK" w:cs="方正黑体_GBK"/>
          <w:b w:val="0"/>
          <w:bCs w:val="0"/>
          <w:kern w:val="32"/>
        </w:rPr>
      </w:pPr>
      <w:bookmarkStart w:id="5" w:name="_Toc27115"/>
      <w:bookmarkStart w:id="6" w:name="_Toc53152576"/>
      <w:bookmarkStart w:id="7" w:name="_Toc12796"/>
      <w:r>
        <w:rPr>
          <w:rFonts w:hint="eastAsia" w:ascii="Times New Roman" w:hAnsi="Times New Roman" w:eastAsia="方正黑体_GBK" w:cs="方正黑体_GBK"/>
          <w:b w:val="0"/>
          <w:bCs w:val="0"/>
          <w:kern w:val="32"/>
        </w:rPr>
        <w:t>四、采购执行说明</w:t>
      </w:r>
      <w:bookmarkEnd w:id="5"/>
      <w:bookmarkEnd w:id="6"/>
      <w:bookmarkEnd w:id="7"/>
    </w:p>
    <w:p>
      <w:pPr>
        <w:spacing w:line="600" w:lineRule="exact"/>
        <w:ind w:firstLine="600"/>
        <w:rPr>
          <w:rFonts w:eastAsia="方正仿宋_GBK"/>
        </w:rPr>
      </w:pPr>
      <w:r>
        <w:rPr>
          <w:rFonts w:hint="eastAsia" w:eastAsia="方正仿宋_GBK"/>
        </w:rPr>
        <w:t>（一）采购主体为重庆市、贵州省、云南省、湖南省、</w:t>
      </w:r>
      <w:r>
        <w:rPr>
          <w:rFonts w:hint="eastAsia" w:eastAsia="方正仿宋_GBK" w:cs="方正仿宋_GBK"/>
        </w:rPr>
        <w:t>广西壮族自治区</w:t>
      </w:r>
      <w:r>
        <w:rPr>
          <w:rFonts w:hint="eastAsia" w:eastAsia="方正仿宋_GBK"/>
        </w:rPr>
        <w:t>行政区域内政府举办（含党政机关和事业单位举办）的公立医疗机构和联合采购地区军队医疗机构等（以下简称医疗机构）；鼓励其他医疗机构和医保定点零售药店自愿参加。</w:t>
      </w:r>
    </w:p>
    <w:p>
      <w:pPr>
        <w:spacing w:line="600" w:lineRule="exact"/>
        <w:ind w:firstLine="480" w:firstLineChars="150"/>
        <w:rPr>
          <w:rFonts w:eastAsia="方正仿宋_GBK"/>
        </w:rPr>
      </w:pPr>
      <w:r>
        <w:rPr>
          <w:rFonts w:hint="eastAsia" w:eastAsia="方正仿宋_GBK"/>
        </w:rPr>
        <w:t xml:space="preserve">（二）采购周期中，医疗机构将优先使用本次药品带量采购中选产品，并确保完成约定采购量。 </w:t>
      </w:r>
    </w:p>
    <w:p>
      <w:pPr>
        <w:spacing w:line="600" w:lineRule="exact"/>
        <w:ind w:firstLine="480" w:firstLineChars="150"/>
        <w:rPr>
          <w:rFonts w:eastAsia="方正仿宋_GBK"/>
        </w:rPr>
      </w:pPr>
      <w:r>
        <w:rPr>
          <w:rFonts w:hint="eastAsia" w:eastAsia="方正仿宋_GBK"/>
        </w:rPr>
        <w:t>（三）医疗机构在优先使用本次药品带量采购中选产品的基础上，可按联合采购地区药品集中采购管理有关规定，适量采购同品种价格适宜的其他产品。</w:t>
      </w:r>
    </w:p>
    <w:p>
      <w:pPr>
        <w:pStyle w:val="3"/>
        <w:spacing w:before="0" w:after="0" w:line="600" w:lineRule="exact"/>
        <w:rPr>
          <w:rFonts w:ascii="Times New Roman" w:hAnsi="Times New Roman" w:eastAsia="方正黑体_GBK" w:cs="方正黑体_GBK"/>
          <w:b w:val="0"/>
          <w:bCs w:val="0"/>
          <w:kern w:val="32"/>
        </w:rPr>
      </w:pPr>
      <w:bookmarkStart w:id="8" w:name="_Toc15364"/>
      <w:bookmarkStart w:id="9" w:name="_Toc32521"/>
      <w:bookmarkStart w:id="10" w:name="_Toc53152577"/>
      <w:r>
        <w:rPr>
          <w:rFonts w:hint="eastAsia" w:ascii="Times New Roman" w:hAnsi="Times New Roman" w:eastAsia="方正黑体_GBK" w:cs="方正黑体_GBK"/>
          <w:b w:val="0"/>
          <w:bCs w:val="0"/>
          <w:kern w:val="32"/>
        </w:rPr>
        <w:t>五、</w:t>
      </w:r>
      <w:bookmarkEnd w:id="8"/>
      <w:r>
        <w:rPr>
          <w:rFonts w:hint="eastAsia" w:ascii="Times New Roman" w:hAnsi="Times New Roman" w:eastAsia="方正黑体_GBK" w:cs="方正黑体_GBK"/>
          <w:b w:val="0"/>
          <w:bCs w:val="0"/>
          <w:kern w:val="32"/>
        </w:rPr>
        <w:t>信息公告获取方式</w:t>
      </w:r>
      <w:bookmarkEnd w:id="9"/>
      <w:bookmarkEnd w:id="10"/>
    </w:p>
    <w:p>
      <w:pPr>
        <w:spacing w:line="600" w:lineRule="exact"/>
        <w:ind w:firstLine="480" w:firstLineChars="150"/>
        <w:rPr>
          <w:rFonts w:eastAsia="方正仿宋_GBK"/>
        </w:rPr>
      </w:pPr>
      <w:r>
        <w:rPr>
          <w:rFonts w:hint="eastAsia" w:eastAsia="方正仿宋_GBK"/>
        </w:rPr>
        <w:t>本次药品带量采购工作所有公告、信息通过重庆市医疗保障局官方网站（网址：http</w:t>
      </w:r>
      <w:r>
        <w:rPr>
          <w:rFonts w:hint="eastAsia" w:eastAsia="方正仿宋_GBK"/>
          <w:lang w:val="en-US" w:eastAsia="zh-CN"/>
        </w:rPr>
        <w:t>:</w:t>
      </w:r>
      <w:r>
        <w:rPr>
          <w:rFonts w:hint="eastAsia" w:eastAsia="方正仿宋_GBK"/>
        </w:rPr>
        <w:t>//ylbzj.cq.</w:t>
      </w:r>
      <w:r>
        <w:rPr>
          <w:rFonts w:hint="eastAsia" w:eastAsia="方正仿宋_GBK"/>
          <w:lang w:val="en-US" w:eastAsia="zh-CN"/>
        </w:rPr>
        <w:t>gov</w:t>
      </w:r>
      <w:r>
        <w:rPr>
          <w:rFonts w:hint="eastAsia" w:eastAsia="方正仿宋_GBK"/>
        </w:rPr>
        <w:t>.cn/）、重庆药品交易平台（网址：http</w:t>
      </w:r>
      <w:r>
        <w:rPr>
          <w:rFonts w:hint="eastAsia" w:eastAsia="方正仿宋_GBK"/>
          <w:lang w:val="en-US" w:eastAsia="zh-CN"/>
        </w:rPr>
        <w:t>:</w:t>
      </w:r>
      <w:r>
        <w:rPr>
          <w:rFonts w:hint="eastAsia" w:eastAsia="方正仿宋_GBK"/>
        </w:rPr>
        <w:t>//www.yjsds.com/）、云南省医疗保障局官方网站（网址：</w:t>
      </w:r>
      <w:r>
        <w:rPr>
          <w:rFonts w:eastAsia="方正仿宋_GBK"/>
        </w:rPr>
        <w:t>http</w:t>
      </w:r>
      <w:r>
        <w:rPr>
          <w:rFonts w:hint="eastAsia" w:eastAsia="方正仿宋_GBK"/>
          <w:lang w:val="en-US" w:eastAsia="zh-CN"/>
        </w:rPr>
        <w:t>:</w:t>
      </w:r>
      <w:r>
        <w:rPr>
          <w:rFonts w:eastAsia="方正仿宋_GBK"/>
        </w:rPr>
        <w:t>//ylbz</w:t>
      </w:r>
      <w:r>
        <w:rPr>
          <w:rFonts w:hint="eastAsia" w:eastAsia="方正仿宋_GBK"/>
        </w:rPr>
        <w:t>.</w:t>
      </w:r>
      <w:r>
        <w:rPr>
          <w:rFonts w:eastAsia="方正仿宋_GBK"/>
        </w:rPr>
        <w:t>yn</w:t>
      </w:r>
      <w:r>
        <w:rPr>
          <w:rFonts w:hint="eastAsia" w:eastAsia="方正仿宋_GBK"/>
        </w:rPr>
        <w:t>.</w:t>
      </w:r>
      <w:r>
        <w:rPr>
          <w:rFonts w:eastAsia="方正仿宋_GBK"/>
        </w:rPr>
        <w:t>gov</w:t>
      </w:r>
      <w:r>
        <w:rPr>
          <w:rFonts w:hint="eastAsia" w:eastAsia="方正仿宋_GBK"/>
        </w:rPr>
        <w:t>.</w:t>
      </w:r>
      <w:r>
        <w:rPr>
          <w:rFonts w:eastAsia="方正仿宋_GBK"/>
        </w:rPr>
        <w:t>cn/</w:t>
      </w:r>
      <w:r>
        <w:rPr>
          <w:rFonts w:hint="eastAsia" w:eastAsia="方正仿宋_GBK"/>
        </w:rPr>
        <w:t>）、云南省药品集中采购平台（网址：</w:t>
      </w:r>
      <w:r>
        <w:rPr>
          <w:rFonts w:eastAsia="方正仿宋_GBK"/>
        </w:rPr>
        <w:t>http</w:t>
      </w:r>
      <w:r>
        <w:rPr>
          <w:rFonts w:hint="eastAsia" w:eastAsia="方正仿宋_GBK"/>
          <w:lang w:val="en-US" w:eastAsia="zh-CN"/>
        </w:rPr>
        <w:t>:</w:t>
      </w:r>
      <w:r>
        <w:rPr>
          <w:rFonts w:eastAsia="方正仿宋_GBK"/>
        </w:rPr>
        <w:t>//www</w:t>
      </w:r>
      <w:r>
        <w:rPr>
          <w:rFonts w:hint="eastAsia" w:eastAsia="方正仿宋_GBK"/>
        </w:rPr>
        <w:t>.</w:t>
      </w:r>
      <w:r>
        <w:rPr>
          <w:rFonts w:eastAsia="方正仿宋_GBK"/>
        </w:rPr>
        <w:t>ynyyzb</w:t>
      </w:r>
      <w:r>
        <w:rPr>
          <w:rFonts w:hint="eastAsia" w:eastAsia="方正仿宋_GBK"/>
        </w:rPr>
        <w:t>.</w:t>
      </w:r>
      <w:r>
        <w:rPr>
          <w:rFonts w:eastAsia="方正仿宋_GBK"/>
        </w:rPr>
        <w:t>com</w:t>
      </w:r>
      <w:r>
        <w:rPr>
          <w:rFonts w:hint="eastAsia" w:eastAsia="方正仿宋_GBK"/>
        </w:rPr>
        <w:t>.</w:t>
      </w:r>
      <w:r>
        <w:rPr>
          <w:rFonts w:eastAsia="方正仿宋_GBK"/>
        </w:rPr>
        <w:t>cn/</w:t>
      </w:r>
      <w:r>
        <w:rPr>
          <w:rFonts w:hint="eastAsia" w:eastAsia="方正仿宋_GBK"/>
        </w:rPr>
        <w:t>）、贵州省医药集中采购平台（网址：http</w:t>
      </w:r>
      <w:r>
        <w:rPr>
          <w:rFonts w:hint="eastAsia" w:eastAsia="方正仿宋_GBK"/>
          <w:lang w:val="en-US" w:eastAsia="zh-CN"/>
        </w:rPr>
        <w:t>:</w:t>
      </w:r>
      <w:r>
        <w:rPr>
          <w:rFonts w:hint="eastAsia" w:eastAsia="方正仿宋_GBK"/>
        </w:rPr>
        <w:t>//gzyc.gzsggzyjyzx.cn</w:t>
      </w:r>
      <w:r>
        <w:rPr>
          <w:rFonts w:hint="eastAsia" w:eastAsia="方正仿宋_GBK"/>
          <w:lang w:val="en-US" w:eastAsia="zh-CN"/>
        </w:rPr>
        <w:t>:</w:t>
      </w:r>
      <w:r>
        <w:rPr>
          <w:rFonts w:hint="eastAsia" w:eastAsia="方正仿宋_GBK"/>
        </w:rPr>
        <w:t>8001/）、贵州省医疗保障局官方网站（网址：http</w:t>
      </w:r>
      <w:r>
        <w:rPr>
          <w:rFonts w:hint="eastAsia" w:eastAsia="方正仿宋_GBK"/>
          <w:lang w:val="en-US" w:eastAsia="zh-CN"/>
        </w:rPr>
        <w:t>:</w:t>
      </w:r>
      <w:r>
        <w:rPr>
          <w:rFonts w:hint="eastAsia" w:eastAsia="方正仿宋_GBK"/>
        </w:rPr>
        <w:t>//ylbzj.guizhou.gov.cn/）、湖南省医疗保障局官方网站（网址：</w:t>
      </w:r>
      <w:r>
        <w:rPr>
          <w:rFonts w:eastAsia="方正仿宋_GBK"/>
        </w:rPr>
        <w:t>http</w:t>
      </w:r>
      <w:r>
        <w:rPr>
          <w:rFonts w:hint="eastAsia" w:eastAsia="方正仿宋_GBK"/>
          <w:lang w:val="en-US" w:eastAsia="zh-CN"/>
        </w:rPr>
        <w:t>:</w:t>
      </w:r>
      <w:r>
        <w:rPr>
          <w:rFonts w:eastAsia="方正仿宋_GBK"/>
        </w:rPr>
        <w:t>//ybj</w:t>
      </w:r>
      <w:r>
        <w:rPr>
          <w:rFonts w:hint="eastAsia" w:eastAsia="方正仿宋_GBK"/>
        </w:rPr>
        <w:t>.</w:t>
      </w:r>
      <w:r>
        <w:rPr>
          <w:rFonts w:eastAsia="方正仿宋_GBK"/>
        </w:rPr>
        <w:t>hunan</w:t>
      </w:r>
      <w:r>
        <w:rPr>
          <w:rFonts w:hint="eastAsia" w:eastAsia="方正仿宋_GBK"/>
        </w:rPr>
        <w:t>.</w:t>
      </w:r>
      <w:r>
        <w:rPr>
          <w:rFonts w:eastAsia="方正仿宋_GBK"/>
        </w:rPr>
        <w:t>gov</w:t>
      </w:r>
      <w:r>
        <w:rPr>
          <w:rFonts w:hint="eastAsia" w:eastAsia="方正仿宋_GBK"/>
        </w:rPr>
        <w:t>.</w:t>
      </w:r>
      <w:r>
        <w:rPr>
          <w:rFonts w:eastAsia="方正仿宋_GBK"/>
        </w:rPr>
        <w:t>cn/</w:t>
      </w:r>
      <w:r>
        <w:rPr>
          <w:rFonts w:hint="eastAsia" w:eastAsia="方正仿宋_GBK"/>
        </w:rPr>
        <w:t>）湖南省医药集中采购平台（网址：http://yycg.hnsggzy.com/）、广西壮族自治区医疗保障局官方网站（网址：</w:t>
      </w:r>
      <w:r>
        <w:rPr>
          <w:rFonts w:eastAsia="方正仿宋_GBK"/>
        </w:rPr>
        <w:t>http</w:t>
      </w:r>
      <w:r>
        <w:rPr>
          <w:rFonts w:hint="eastAsia" w:eastAsia="方正仿宋_GBK"/>
          <w:lang w:val="en-US" w:eastAsia="zh-CN"/>
        </w:rPr>
        <w:t>:</w:t>
      </w:r>
      <w:r>
        <w:rPr>
          <w:rFonts w:eastAsia="方正仿宋_GBK"/>
        </w:rPr>
        <w:t>//ybj</w:t>
      </w:r>
      <w:r>
        <w:rPr>
          <w:rFonts w:hint="eastAsia" w:eastAsia="方正仿宋_GBK"/>
        </w:rPr>
        <w:t>.</w:t>
      </w:r>
      <w:r>
        <w:rPr>
          <w:rFonts w:eastAsia="方正仿宋_GBK"/>
        </w:rPr>
        <w:t>gxzf</w:t>
      </w:r>
      <w:r>
        <w:rPr>
          <w:rFonts w:hint="eastAsia" w:eastAsia="方正仿宋_GBK"/>
        </w:rPr>
        <w:t>.</w:t>
      </w:r>
      <w:r>
        <w:rPr>
          <w:rFonts w:eastAsia="方正仿宋_GBK"/>
        </w:rPr>
        <w:t>gov</w:t>
      </w:r>
      <w:r>
        <w:rPr>
          <w:rFonts w:hint="eastAsia" w:eastAsia="方正仿宋_GBK"/>
        </w:rPr>
        <w:t>.</w:t>
      </w:r>
      <w:r>
        <w:rPr>
          <w:rFonts w:eastAsia="方正仿宋_GBK"/>
        </w:rPr>
        <w:t>cn/</w:t>
      </w:r>
      <w:r>
        <w:rPr>
          <w:rFonts w:hint="eastAsia" w:eastAsia="方正仿宋_GBK"/>
        </w:rPr>
        <w:t>）发布。</w:t>
      </w:r>
    </w:p>
    <w:p>
      <w:pPr>
        <w:pStyle w:val="3"/>
        <w:spacing w:before="0" w:after="0" w:line="600" w:lineRule="exact"/>
        <w:rPr>
          <w:rFonts w:ascii="Times New Roman" w:hAnsi="Times New Roman" w:eastAsia="方正黑体_GBK" w:cs="方正黑体_GBK"/>
          <w:b w:val="0"/>
          <w:bCs w:val="0"/>
          <w:kern w:val="32"/>
        </w:rPr>
      </w:pPr>
      <w:bookmarkStart w:id="11" w:name="_Toc28990"/>
      <w:bookmarkStart w:id="12" w:name="_Toc53152578"/>
      <w:r>
        <w:rPr>
          <w:rFonts w:hint="eastAsia" w:ascii="Times New Roman" w:hAnsi="Times New Roman" w:eastAsia="方正黑体_GBK" w:cs="方正黑体_GBK"/>
          <w:b w:val="0"/>
          <w:bCs w:val="0"/>
          <w:kern w:val="32"/>
        </w:rPr>
        <w:t>六、申报方式</w:t>
      </w:r>
      <w:bookmarkEnd w:id="11"/>
      <w:bookmarkEnd w:id="12"/>
    </w:p>
    <w:p>
      <w:pPr>
        <w:spacing w:line="600" w:lineRule="exact"/>
        <w:ind w:firstLine="640" w:firstLineChars="200"/>
        <w:rPr>
          <w:rFonts w:eastAsia="方正仿宋_GBK"/>
        </w:rPr>
      </w:pPr>
      <w:bookmarkStart w:id="13" w:name="_Toc4254"/>
      <w:r>
        <w:rPr>
          <w:rFonts w:hint="eastAsia" w:eastAsia="方正仿宋_GBK"/>
        </w:rPr>
        <w:t>本次药品带量采购基础信息采用网上填报方式，数字证书是企业网上填报的唯一标识，申报企业凭数字证书登录重庆药品交易平台（http</w:t>
      </w:r>
      <w:r>
        <w:rPr>
          <w:rFonts w:hint="eastAsia" w:eastAsia="方正仿宋_GBK"/>
          <w:lang w:val="en-US" w:eastAsia="zh-CN"/>
        </w:rPr>
        <w:t>:</w:t>
      </w:r>
      <w:r>
        <w:rPr>
          <w:rFonts w:hint="eastAsia" w:eastAsia="方正仿宋_GBK"/>
        </w:rPr>
        <w:t>//www.yjsds.com/），网上进行企业及产品信息申报、资料提交、信息澄清等相关操作。企业报价采用现场报价方式，企业授权代理人递交纸质“药品价格申报表”对本企业申报药品进行现场报价。</w:t>
      </w:r>
    </w:p>
    <w:p>
      <w:pPr>
        <w:pStyle w:val="3"/>
        <w:spacing w:before="0" w:after="0" w:line="600" w:lineRule="exact"/>
        <w:rPr>
          <w:rFonts w:ascii="Times New Roman" w:hAnsi="Times New Roman" w:eastAsia="方正黑体_GBK" w:cs="方正黑体_GBK"/>
          <w:b w:val="0"/>
          <w:bCs w:val="0"/>
          <w:kern w:val="32"/>
        </w:rPr>
      </w:pPr>
      <w:bookmarkStart w:id="14" w:name="_Toc53152579"/>
      <w:bookmarkStart w:id="15" w:name="_Toc6499"/>
      <w:r>
        <w:rPr>
          <w:rFonts w:hint="eastAsia" w:ascii="Times New Roman" w:hAnsi="Times New Roman" w:eastAsia="方正黑体_GBK" w:cs="方正黑体_GBK"/>
          <w:b w:val="0"/>
          <w:bCs w:val="0"/>
          <w:kern w:val="32"/>
        </w:rPr>
        <w:t>七、</w:t>
      </w:r>
      <w:bookmarkEnd w:id="13"/>
      <w:r>
        <w:rPr>
          <w:rFonts w:hint="eastAsia" w:ascii="Times New Roman" w:hAnsi="Times New Roman" w:eastAsia="方正黑体_GBK" w:cs="方正黑体_GBK"/>
          <w:b w:val="0"/>
          <w:bCs w:val="0"/>
          <w:kern w:val="32"/>
        </w:rPr>
        <w:t>时间</w:t>
      </w:r>
      <w:bookmarkStart w:id="16" w:name="_Toc24445"/>
      <w:r>
        <w:rPr>
          <w:rFonts w:hint="eastAsia" w:ascii="Times New Roman" w:hAnsi="Times New Roman" w:eastAsia="方正黑体_GBK" w:cs="方正黑体_GBK"/>
          <w:b w:val="0"/>
          <w:bCs w:val="0"/>
          <w:kern w:val="32"/>
        </w:rPr>
        <w:t>安排</w:t>
      </w:r>
      <w:bookmarkEnd w:id="14"/>
      <w:bookmarkEnd w:id="15"/>
    </w:p>
    <w:p>
      <w:pPr>
        <w:spacing w:line="570" w:lineRule="exact"/>
        <w:ind w:firstLine="640" w:firstLineChars="200"/>
        <w:rPr>
          <w:rFonts w:eastAsia="方正楷体_GBK"/>
        </w:rPr>
      </w:pPr>
      <w:r>
        <w:rPr>
          <w:rFonts w:hint="eastAsia" w:eastAsia="方正楷体_GBK"/>
        </w:rPr>
        <w:t>（一）网上申报时间</w:t>
      </w:r>
    </w:p>
    <w:p>
      <w:pPr>
        <w:spacing w:line="600" w:lineRule="exact"/>
        <w:ind w:firstLine="640" w:firstLineChars="200"/>
        <w:rPr>
          <w:rFonts w:eastAsia="方正仿宋_GBK"/>
        </w:rPr>
      </w:pPr>
      <w:r>
        <w:rPr>
          <w:rFonts w:hint="eastAsia" w:eastAsia="方正仿宋_GBK"/>
        </w:rPr>
        <w:t>时间：2020年10月30日—11月3日。</w:t>
      </w:r>
    </w:p>
    <w:p>
      <w:pPr>
        <w:spacing w:line="570" w:lineRule="exact"/>
        <w:ind w:firstLine="640" w:firstLineChars="200"/>
        <w:rPr>
          <w:rFonts w:eastAsia="方正楷体_GBK"/>
        </w:rPr>
      </w:pPr>
      <w:r>
        <w:rPr>
          <w:rFonts w:hint="eastAsia" w:eastAsia="方正楷体_GBK"/>
        </w:rPr>
        <w:t>（二）现场报价时间</w:t>
      </w:r>
    </w:p>
    <w:p>
      <w:pPr>
        <w:spacing w:line="600" w:lineRule="exact"/>
        <w:ind w:firstLine="640" w:firstLineChars="200"/>
        <w:rPr>
          <w:rFonts w:eastAsia="方正仿宋_GBK"/>
        </w:rPr>
      </w:pPr>
      <w:r>
        <w:rPr>
          <w:rFonts w:hint="eastAsia" w:eastAsia="方正仿宋_GBK"/>
        </w:rPr>
        <w:t>时间：2020年11月25日。</w:t>
      </w:r>
    </w:p>
    <w:p>
      <w:pPr>
        <w:spacing w:line="570" w:lineRule="exact"/>
        <w:ind w:firstLine="640" w:firstLineChars="200"/>
        <w:rPr>
          <w:rFonts w:eastAsia="方正楷体_GBK"/>
        </w:rPr>
      </w:pPr>
      <w:r>
        <w:rPr>
          <w:rFonts w:hint="eastAsia" w:eastAsia="方正楷体_GBK"/>
        </w:rPr>
        <w:t>（三）议价谈判时间</w:t>
      </w:r>
    </w:p>
    <w:p>
      <w:pPr>
        <w:spacing w:line="600" w:lineRule="exact"/>
        <w:ind w:firstLine="640" w:firstLineChars="200"/>
        <w:rPr>
          <w:rFonts w:eastAsia="方正仿宋_GBK"/>
        </w:rPr>
      </w:pPr>
      <w:r>
        <w:rPr>
          <w:rFonts w:hint="eastAsia" w:eastAsia="方正仿宋_GBK"/>
        </w:rPr>
        <w:t>时间：综合评审结束后开展议价。</w:t>
      </w:r>
    </w:p>
    <w:p>
      <w:pPr>
        <w:spacing w:line="570" w:lineRule="exact"/>
        <w:ind w:firstLine="640" w:firstLineChars="200"/>
        <w:rPr>
          <w:rFonts w:eastAsia="方正楷体_GBK"/>
        </w:rPr>
      </w:pPr>
      <w:r>
        <w:rPr>
          <w:rFonts w:hint="eastAsia" w:eastAsia="方正楷体_GBK"/>
        </w:rPr>
        <w:t>（四）拟中选结果公示时间</w:t>
      </w:r>
    </w:p>
    <w:p>
      <w:pPr>
        <w:spacing w:line="600" w:lineRule="exact"/>
        <w:ind w:firstLine="640" w:firstLineChars="200"/>
        <w:rPr>
          <w:rFonts w:eastAsia="方正仿宋_GBK" w:cs="方正仿宋_GBK"/>
        </w:rPr>
      </w:pPr>
      <w:r>
        <w:rPr>
          <w:rFonts w:hint="eastAsia" w:eastAsia="方正仿宋_GBK"/>
        </w:rPr>
        <w:t>时间：2020年11月25日—11月27日。</w:t>
      </w:r>
    </w:p>
    <w:p>
      <w:pPr>
        <w:pStyle w:val="3"/>
        <w:spacing w:before="0" w:after="0" w:line="600" w:lineRule="exact"/>
        <w:rPr>
          <w:rFonts w:ascii="Times New Roman" w:hAnsi="Times New Roman" w:eastAsia="方正黑体_GBK" w:cs="方正黑体_GBK"/>
          <w:b w:val="0"/>
          <w:bCs w:val="0"/>
          <w:kern w:val="32"/>
        </w:rPr>
      </w:pPr>
      <w:bookmarkStart w:id="17" w:name="_Toc53152580"/>
      <w:bookmarkStart w:id="18" w:name="_Toc10836"/>
      <w:r>
        <w:rPr>
          <w:rFonts w:hint="eastAsia" w:ascii="Times New Roman" w:hAnsi="Times New Roman" w:eastAsia="方正黑体_GBK" w:cs="方正黑体_GBK"/>
          <w:b w:val="0"/>
          <w:bCs w:val="0"/>
          <w:kern w:val="32"/>
        </w:rPr>
        <w:t>八、现场报价地点</w:t>
      </w:r>
      <w:bookmarkEnd w:id="17"/>
    </w:p>
    <w:p>
      <w:pPr>
        <w:spacing w:line="600" w:lineRule="exact"/>
        <w:ind w:firstLine="640" w:firstLineChars="200"/>
        <w:rPr>
          <w:rFonts w:eastAsia="方正仿宋_GBK"/>
          <w:szCs w:val="30"/>
        </w:rPr>
      </w:pPr>
      <w:r>
        <w:rPr>
          <w:rFonts w:hint="eastAsia" w:eastAsia="方正仿宋_GBK"/>
          <w:szCs w:val="30"/>
        </w:rPr>
        <w:t>名称：重庆市公共资源交易中心</w:t>
      </w:r>
    </w:p>
    <w:p>
      <w:pPr>
        <w:spacing w:line="600" w:lineRule="exact"/>
        <w:ind w:firstLine="640" w:firstLineChars="200"/>
        <w:rPr>
          <w:rFonts w:eastAsia="方正仿宋_GBK"/>
          <w:szCs w:val="30"/>
        </w:rPr>
      </w:pPr>
      <w:r>
        <w:rPr>
          <w:rFonts w:hint="eastAsia" w:eastAsia="方正仿宋_GBK"/>
          <w:szCs w:val="30"/>
        </w:rPr>
        <w:t>地址：重庆市渝北区青枫北路6号渝兴广场B10栋（报到当日见大厅显示屏）</w:t>
      </w:r>
    </w:p>
    <w:p>
      <w:pPr>
        <w:pStyle w:val="3"/>
        <w:spacing w:before="0" w:after="0" w:line="600" w:lineRule="exact"/>
        <w:rPr>
          <w:rFonts w:ascii="Times New Roman" w:hAnsi="Times New Roman" w:eastAsia="方正黑体_GBK" w:cs="方正黑体_GBK"/>
          <w:b w:val="0"/>
          <w:bCs w:val="0"/>
          <w:kern w:val="32"/>
        </w:rPr>
      </w:pPr>
      <w:bookmarkStart w:id="19" w:name="_Toc46326268"/>
      <w:bookmarkStart w:id="20" w:name="_Toc46242881"/>
      <w:bookmarkStart w:id="21" w:name="_Toc53152581"/>
      <w:r>
        <w:rPr>
          <w:rFonts w:hint="eastAsia" w:ascii="Times New Roman" w:hAnsi="Times New Roman" w:eastAsia="方正黑体_GBK" w:cs="方正黑体_GBK"/>
          <w:b w:val="0"/>
          <w:bCs w:val="0"/>
          <w:kern w:val="32"/>
        </w:rPr>
        <w:t>九、联系方式</w:t>
      </w:r>
      <w:bookmarkEnd w:id="19"/>
      <w:bookmarkEnd w:id="20"/>
      <w:bookmarkEnd w:id="21"/>
    </w:p>
    <w:p>
      <w:pPr>
        <w:spacing w:line="600" w:lineRule="exact"/>
        <w:ind w:firstLine="640" w:firstLineChars="200"/>
        <w:rPr>
          <w:rFonts w:eastAsia="方正仿宋_GBK"/>
          <w:szCs w:val="30"/>
        </w:rPr>
      </w:pPr>
      <w:r>
        <w:rPr>
          <w:rFonts w:hint="eastAsia" w:eastAsia="方正仿宋_GBK"/>
          <w:szCs w:val="30"/>
        </w:rPr>
        <w:t>资质审查咨询电话：4000392233；023—63831667</w:t>
      </w:r>
    </w:p>
    <w:p>
      <w:pPr>
        <w:spacing w:line="600" w:lineRule="exact"/>
        <w:ind w:firstLine="640" w:firstLineChars="200"/>
        <w:rPr>
          <w:rFonts w:eastAsia="方正仿宋_GBK"/>
          <w:szCs w:val="30"/>
        </w:rPr>
      </w:pPr>
      <w:r>
        <w:rPr>
          <w:rFonts w:hint="eastAsia" w:eastAsia="方正仿宋_GBK"/>
          <w:szCs w:val="30"/>
        </w:rPr>
        <w:t>采购文件咨询电话：023—88975677；023—88975746</w:t>
      </w:r>
    </w:p>
    <w:bookmarkEnd w:id="16"/>
    <w:bookmarkEnd w:id="18"/>
    <w:p>
      <w:pPr>
        <w:spacing w:line="600" w:lineRule="exact"/>
        <w:ind w:firstLine="640" w:firstLineChars="200"/>
        <w:rPr>
          <w:rFonts w:eastAsia="方正仿宋_GBK"/>
        </w:rPr>
      </w:pPr>
    </w:p>
    <w:p>
      <w:pPr>
        <w:pStyle w:val="6"/>
        <w:spacing w:line="600" w:lineRule="exact"/>
        <w:rPr>
          <w:rFonts w:ascii="Times New Roman" w:eastAsia="方正仿宋_GBK"/>
        </w:rPr>
      </w:pPr>
    </w:p>
    <w:p>
      <w:pPr>
        <w:pStyle w:val="6"/>
        <w:spacing w:line="600" w:lineRule="exact"/>
        <w:rPr>
          <w:rFonts w:ascii="Times New Roman" w:eastAsia="方正仿宋_GBK"/>
        </w:rPr>
      </w:pPr>
    </w:p>
    <w:p>
      <w:pPr>
        <w:pStyle w:val="2"/>
        <w:numPr>
          <w:ilvl w:val="0"/>
          <w:numId w:val="1"/>
        </w:numPr>
        <w:spacing w:before="0" w:after="0" w:line="570" w:lineRule="exact"/>
        <w:jc w:val="center"/>
        <w:rPr>
          <w:rFonts w:ascii="方正小标宋_GBK" w:hAnsi="方正小标宋_GBK" w:eastAsia="方正小标宋_GBK" w:cs="方正小标宋_GBK"/>
          <w:b w:val="0"/>
        </w:rPr>
      </w:pPr>
      <w:bookmarkStart w:id="22" w:name="_Toc53152582"/>
      <w:r>
        <w:rPr>
          <w:rFonts w:hint="eastAsia" w:ascii="方正小标宋_GBK" w:hAnsi="方正小标宋_GBK" w:eastAsia="方正小标宋_GBK" w:cs="方正小标宋_GBK"/>
          <w:b w:val="0"/>
        </w:rPr>
        <w:t xml:space="preserve"> 申报企业须知</w:t>
      </w:r>
      <w:bookmarkEnd w:id="22"/>
    </w:p>
    <w:p/>
    <w:p>
      <w:pPr>
        <w:pStyle w:val="3"/>
        <w:spacing w:before="0" w:after="0" w:line="620" w:lineRule="exact"/>
        <w:rPr>
          <w:rFonts w:ascii="Times New Roman" w:hAnsi="Times New Roman" w:eastAsia="方正仿宋_GBK" w:cs="方正黑体_GBK"/>
          <w:b w:val="0"/>
        </w:rPr>
      </w:pPr>
      <w:bookmarkStart w:id="23" w:name="_Toc25891"/>
      <w:bookmarkStart w:id="24" w:name="_Toc53152583"/>
      <w:bookmarkStart w:id="25" w:name="_Toc25871"/>
      <w:r>
        <w:rPr>
          <w:rFonts w:hint="eastAsia" w:ascii="Times New Roman" w:hAnsi="Times New Roman" w:eastAsia="方正黑体_GBK" w:cs="方正黑体_GBK"/>
          <w:b w:val="0"/>
          <w:bCs w:val="0"/>
          <w:kern w:val="32"/>
        </w:rPr>
        <w:t>一、带量采购当事人</w:t>
      </w:r>
      <w:bookmarkEnd w:id="23"/>
      <w:bookmarkEnd w:id="24"/>
      <w:bookmarkEnd w:id="25"/>
    </w:p>
    <w:p>
      <w:pPr>
        <w:spacing w:line="620" w:lineRule="exact"/>
        <w:ind w:firstLine="640" w:firstLineChars="200"/>
        <w:rPr>
          <w:rFonts w:eastAsia="方正楷体_GBK" w:cs="方正仿宋_GBK"/>
        </w:rPr>
      </w:pPr>
      <w:bookmarkStart w:id="26" w:name="_Toc5548"/>
      <w:r>
        <w:rPr>
          <w:rFonts w:hint="eastAsia" w:eastAsia="方正楷体_GBK" w:cs="方正仿宋_GBK"/>
        </w:rPr>
        <w:t>（一）申报企业</w:t>
      </w:r>
      <w:bookmarkEnd w:id="26"/>
    </w:p>
    <w:p>
      <w:pPr>
        <w:spacing w:line="620" w:lineRule="exact"/>
        <w:ind w:firstLine="640" w:firstLineChars="200"/>
        <w:rPr>
          <w:rFonts w:eastAsia="方正仿宋_GBK" w:cs="方正仿宋_GBK"/>
        </w:rPr>
      </w:pPr>
      <w:r>
        <w:rPr>
          <w:rFonts w:hint="eastAsia" w:eastAsia="方正仿宋_GBK" w:cs="方正仿宋_GBK"/>
        </w:rPr>
        <w:t>1．申报企业参加本次药品带量采购活动应当具备以下条件：</w:t>
      </w:r>
    </w:p>
    <w:p>
      <w:pPr>
        <w:spacing w:line="620" w:lineRule="exact"/>
        <w:ind w:firstLine="640" w:firstLineChars="200"/>
        <w:rPr>
          <w:rFonts w:eastAsia="方正仿宋_GBK" w:cs="方正仿宋_GBK"/>
        </w:rPr>
      </w:pPr>
      <w:r>
        <w:rPr>
          <w:rFonts w:hint="eastAsia" w:eastAsia="方正仿宋_GBK" w:cs="方正仿宋_GBK"/>
        </w:rPr>
        <w:t>（1）具有履行协议必须具备的能力；</w:t>
      </w:r>
    </w:p>
    <w:p>
      <w:pPr>
        <w:spacing w:line="620" w:lineRule="exact"/>
        <w:ind w:firstLine="640" w:firstLineChars="200"/>
        <w:rPr>
          <w:rFonts w:eastAsia="方正仿宋_GBK" w:cs="方正仿宋_GBK"/>
        </w:rPr>
      </w:pPr>
      <w:r>
        <w:rPr>
          <w:rFonts w:hint="eastAsia" w:eastAsia="方正仿宋_GBK" w:cs="方正仿宋_GBK"/>
        </w:rPr>
        <w:t>（2）参加本次药品带量采购活动前两年内，在药品生产活动中无严重违法记录；</w:t>
      </w:r>
    </w:p>
    <w:p>
      <w:pPr>
        <w:spacing w:line="620" w:lineRule="exact"/>
        <w:ind w:firstLine="640" w:firstLineChars="200"/>
        <w:rPr>
          <w:rFonts w:eastAsia="方正仿宋_GBK" w:cs="方正仿宋_GBK"/>
        </w:rPr>
      </w:pPr>
      <w:r>
        <w:rPr>
          <w:rFonts w:hint="eastAsia" w:eastAsia="方正仿宋_GBK" w:cs="方正仿宋_GBK"/>
        </w:rPr>
        <w:t xml:space="preserve">（3）对药品的质量负责，一旦中选，作为供应保障的第一责任人，及时、足量按要求组织生产，并向配送企业发送药品，满足医疗机构临床使用需求。 </w:t>
      </w:r>
    </w:p>
    <w:p>
      <w:pPr>
        <w:spacing w:line="620" w:lineRule="exact"/>
        <w:ind w:firstLine="640" w:firstLineChars="200"/>
        <w:rPr>
          <w:rFonts w:eastAsia="方正仿宋_GBK" w:cs="方正仿宋_GBK"/>
        </w:rPr>
      </w:pPr>
      <w:r>
        <w:rPr>
          <w:rFonts w:hint="eastAsia" w:eastAsia="方正仿宋_GBK" w:cs="方正仿宋_GBK"/>
        </w:rPr>
        <w:t>2. 申报企业应按照采购文件的要求编制申报材料，申报材料应对采购文件提出的要求和条件做出响应。</w:t>
      </w:r>
    </w:p>
    <w:p>
      <w:pPr>
        <w:spacing w:line="620" w:lineRule="exact"/>
        <w:ind w:firstLine="640" w:firstLineChars="200"/>
        <w:rPr>
          <w:rFonts w:eastAsia="方正楷体_GBK" w:cs="方正仿宋_GBK"/>
        </w:rPr>
      </w:pPr>
      <w:bookmarkStart w:id="27" w:name="_Toc10134"/>
      <w:r>
        <w:rPr>
          <w:rFonts w:hint="eastAsia" w:eastAsia="方正楷体_GBK" w:cs="方正仿宋_GBK"/>
        </w:rPr>
        <w:t>（二）其他要求</w:t>
      </w:r>
      <w:bookmarkEnd w:id="27"/>
    </w:p>
    <w:p>
      <w:pPr>
        <w:spacing w:line="620" w:lineRule="exact"/>
        <w:ind w:firstLine="640" w:firstLineChars="200"/>
        <w:rPr>
          <w:rFonts w:eastAsia="方正仿宋_GBK" w:cs="方正仿宋_GBK"/>
        </w:rPr>
      </w:pPr>
      <w:r>
        <w:rPr>
          <w:rFonts w:hint="eastAsia" w:eastAsia="方正仿宋_GBK" w:cs="方正仿宋_GBK"/>
        </w:rPr>
        <w:t>1. 同品种申报企业中，企业负责人为同一人或存在直接控股、管理关系的不同企业，不得同时参与同品种的申报。</w:t>
      </w:r>
    </w:p>
    <w:p>
      <w:pPr>
        <w:spacing w:line="620" w:lineRule="exact"/>
        <w:ind w:firstLine="640" w:firstLineChars="200"/>
        <w:rPr>
          <w:rFonts w:eastAsia="方正仿宋_GBK" w:cs="方正仿宋_GBK"/>
        </w:rPr>
      </w:pPr>
      <w:r>
        <w:rPr>
          <w:rFonts w:hint="eastAsia" w:eastAsia="方正仿宋_GBK" w:cs="方正仿宋_GBK"/>
        </w:rPr>
        <w:t>2. 申报企业供应的品种应包含采购品种目录内本企业生产的所有临床常用品规（大容量注射液包括所有包材）。</w:t>
      </w:r>
    </w:p>
    <w:p>
      <w:pPr>
        <w:spacing w:line="620" w:lineRule="exact"/>
        <w:ind w:firstLine="480" w:firstLineChars="150"/>
        <w:rPr>
          <w:rFonts w:eastAsia="方正仿宋_GBK" w:cs="方正仿宋_GBK"/>
        </w:rPr>
      </w:pPr>
      <w:r>
        <w:rPr>
          <w:rFonts w:hint="eastAsia" w:eastAsia="方正仿宋_GBK" w:cs="方正仿宋_GBK"/>
        </w:rPr>
        <w:t xml:space="preserve"> 3. 若申报企业明显不具备申报资格中规定必须满足的全部要求，或涉嫌不如实提供证明材料的，一经确认，将不接受其申报；情节严重的，取消该企业生产的所有产品在采购周期内联合采购地区医药采购活动的参与资格，并依法追究其法律责任。</w:t>
      </w:r>
    </w:p>
    <w:p>
      <w:pPr>
        <w:spacing w:line="620" w:lineRule="exact"/>
        <w:ind w:firstLine="640" w:firstLineChars="200"/>
        <w:rPr>
          <w:rFonts w:eastAsia="方正仿宋_GBK" w:cs="方正仿宋_GBK"/>
        </w:rPr>
      </w:pPr>
      <w:r>
        <w:rPr>
          <w:rFonts w:hint="eastAsia" w:eastAsia="方正仿宋_GBK" w:cs="方正仿宋_GBK"/>
        </w:rPr>
        <w:t>4．采购文件公布之日起前两年内，申报企业不存在因申报品种质量等问题被省级（含）以上药品监督管理部门处罚过的情况以及不存在其他在经营活动中因严重违法被行政处罚或刑事处罚的情况；申报品种不存在省级（含）以上药品监督管理部门质量检验不合格情况。</w:t>
      </w:r>
    </w:p>
    <w:p>
      <w:pPr>
        <w:spacing w:line="620" w:lineRule="exact"/>
        <w:ind w:firstLine="640" w:firstLineChars="200"/>
        <w:rPr>
          <w:rFonts w:eastAsia="方正仿宋_GBK" w:cs="方正仿宋_GBK"/>
        </w:rPr>
      </w:pPr>
      <w:r>
        <w:rPr>
          <w:rFonts w:hint="eastAsia" w:eastAsia="方正仿宋_GBK" w:cs="方正仿宋_GBK"/>
        </w:rPr>
        <w:t>5．采购办公室根据工作需要可对拟中选企业的药品生产及拟中选药品质量进行调查（调查形式根据实际情况确定），拟中选企业应予以积极配合。</w:t>
      </w:r>
    </w:p>
    <w:p>
      <w:pPr>
        <w:spacing w:line="620" w:lineRule="exact"/>
        <w:ind w:firstLine="640" w:firstLineChars="200"/>
        <w:rPr>
          <w:rFonts w:eastAsia="方正仿宋_GBK" w:cs="方正仿宋_GBK"/>
        </w:rPr>
      </w:pPr>
      <w:r>
        <w:rPr>
          <w:rFonts w:hint="eastAsia" w:eastAsia="方正仿宋_GBK" w:cs="方正仿宋_GBK"/>
        </w:rPr>
        <w:t>6．申报企业中选后，须按要求签订购销协议。</w:t>
      </w:r>
    </w:p>
    <w:p>
      <w:pPr>
        <w:spacing w:line="620" w:lineRule="exact"/>
        <w:ind w:firstLine="640" w:firstLineChars="200"/>
        <w:rPr>
          <w:rFonts w:eastAsia="方正仿宋_GBK"/>
        </w:rPr>
      </w:pPr>
      <w:r>
        <w:rPr>
          <w:rFonts w:hint="eastAsia" w:eastAsia="方正仿宋_GBK" w:cs="方正仿宋_GBK"/>
        </w:rPr>
        <w:t>7．当采购周期内国家药品集中采购结果与联合采购地区药品集中带量采购中选结果重叠时，如中选企业不同的，第一年可执行联合采购地区中选结果，第二年续约时再执行国家中选结果；如中选企业相同但价格不同的，取较低的中选结果执行中选产品。中选产品在履行协议中如遇国家政策调整或不可抗力，致使直接影响协议履行的，由签订购销协议中的各方协商解决。</w:t>
      </w:r>
    </w:p>
    <w:p>
      <w:pPr>
        <w:pStyle w:val="3"/>
        <w:spacing w:before="0" w:after="0" w:line="600" w:lineRule="exact"/>
        <w:rPr>
          <w:rFonts w:ascii="Times New Roman" w:hAnsi="Times New Roman" w:eastAsia="方正黑体_GBK" w:cs="方正黑体_GBK"/>
          <w:b w:val="0"/>
          <w:bCs w:val="0"/>
          <w:kern w:val="32"/>
        </w:rPr>
      </w:pPr>
      <w:bookmarkStart w:id="28" w:name="_Toc2853"/>
      <w:bookmarkStart w:id="29" w:name="_Toc53152584"/>
      <w:r>
        <w:rPr>
          <w:rFonts w:hint="eastAsia" w:ascii="Times New Roman" w:hAnsi="Times New Roman" w:eastAsia="方正黑体_GBK" w:cs="方正黑体_GBK"/>
          <w:b w:val="0"/>
          <w:bCs w:val="0"/>
          <w:kern w:val="32"/>
        </w:rPr>
        <w:t>二、申报材料编制</w:t>
      </w:r>
      <w:bookmarkEnd w:id="28"/>
      <w:bookmarkEnd w:id="29"/>
    </w:p>
    <w:p>
      <w:pPr>
        <w:spacing w:line="620" w:lineRule="exact"/>
        <w:ind w:firstLine="640" w:firstLineChars="200"/>
        <w:rPr>
          <w:rFonts w:eastAsia="方正仿宋_GBK" w:cs="方正仿宋_GBK"/>
        </w:rPr>
      </w:pPr>
      <w:bookmarkStart w:id="30" w:name="_Toc20023"/>
      <w:r>
        <w:rPr>
          <w:rFonts w:hint="eastAsia" w:eastAsia="方正楷体_GBK" w:cs="方正仿宋_GBK"/>
        </w:rPr>
        <w:t>（一）编制要求</w:t>
      </w:r>
      <w:bookmarkEnd w:id="30"/>
    </w:p>
    <w:p>
      <w:pPr>
        <w:spacing w:line="620" w:lineRule="exact"/>
        <w:ind w:firstLine="640" w:firstLineChars="200"/>
        <w:rPr>
          <w:rFonts w:eastAsia="方正仿宋_GBK" w:cs="方正仿宋_GBK"/>
        </w:rPr>
      </w:pPr>
      <w:r>
        <w:rPr>
          <w:rFonts w:hint="eastAsia" w:eastAsia="方正仿宋_GBK" w:cs="方正仿宋_GBK"/>
        </w:rPr>
        <w:t>申报企业应仔细阅读采购文件全部内容，按采购文件的要求提供申报材料，并保证所提供的全部材料真实有效。申报材料涉及有效期限的，必须在申报信息公开当日仍在有效期内。如果申报企业没有按照采购文件的要求提交完整材料，或者申报材料没有对采购文件做出响应、申报材料内容不实等原因，影响中选结果的，由申报企业自行负责。</w:t>
      </w:r>
    </w:p>
    <w:p>
      <w:pPr>
        <w:spacing w:line="620" w:lineRule="exact"/>
        <w:ind w:firstLine="640" w:firstLineChars="200"/>
        <w:rPr>
          <w:rFonts w:eastAsia="方正楷体_GBK" w:cs="方正仿宋_GBK"/>
        </w:rPr>
      </w:pPr>
      <w:bookmarkStart w:id="31" w:name="_Toc12385"/>
      <w:r>
        <w:rPr>
          <w:rFonts w:hint="eastAsia" w:eastAsia="方正楷体_GBK" w:cs="方正仿宋_GBK"/>
        </w:rPr>
        <w:t>（二）申报语言、药品名称、计量单位</w:t>
      </w:r>
    </w:p>
    <w:p>
      <w:pPr>
        <w:spacing w:line="620" w:lineRule="exact"/>
        <w:ind w:firstLine="640" w:firstLineChars="200"/>
        <w:rPr>
          <w:rFonts w:eastAsia="方正仿宋_GBK" w:cs="方正仿宋_GBK"/>
        </w:rPr>
      </w:pPr>
      <w:r>
        <w:rPr>
          <w:rFonts w:hint="eastAsia" w:eastAsia="方正仿宋_GBK" w:cs="方正仿宋_GBK"/>
        </w:rPr>
        <w:t>1．申报企业递交的材料、交换的文件和来往信件，一律以中文书写。</w:t>
      </w:r>
    </w:p>
    <w:p>
      <w:pPr>
        <w:spacing w:line="620" w:lineRule="exact"/>
        <w:ind w:firstLine="640" w:firstLineChars="200"/>
        <w:rPr>
          <w:rFonts w:eastAsia="方正仿宋_GBK" w:cs="方正仿宋_GBK"/>
        </w:rPr>
      </w:pPr>
      <w:r>
        <w:rPr>
          <w:rFonts w:hint="eastAsia" w:eastAsia="方正仿宋_GBK" w:cs="方正仿宋_GBK"/>
        </w:rPr>
        <w:t>2．除申报材料中对技术规格另有规定外，应使用中华人民共和国法定计量单位和有关部门规定的药品名称和表示方法。</w:t>
      </w:r>
    </w:p>
    <w:p>
      <w:pPr>
        <w:spacing w:line="620" w:lineRule="exact"/>
        <w:ind w:firstLine="640" w:firstLineChars="200"/>
        <w:rPr>
          <w:rFonts w:eastAsia="方正楷体_GBK" w:cs="方正仿宋_GBK"/>
        </w:rPr>
      </w:pPr>
      <w:r>
        <w:rPr>
          <w:rFonts w:hint="eastAsia" w:eastAsia="方正楷体_GBK" w:cs="方正仿宋_GBK"/>
        </w:rPr>
        <w:t>（三）</w:t>
      </w:r>
      <w:bookmarkEnd w:id="31"/>
      <w:bookmarkStart w:id="32" w:name="_Toc1581"/>
      <w:r>
        <w:rPr>
          <w:rFonts w:hint="eastAsia" w:eastAsia="方正楷体_GBK" w:cs="方正仿宋_GBK"/>
        </w:rPr>
        <w:t>申报材料构成</w:t>
      </w:r>
      <w:bookmarkEnd w:id="32"/>
    </w:p>
    <w:p>
      <w:pPr>
        <w:spacing w:line="620" w:lineRule="exact"/>
        <w:ind w:firstLine="600"/>
        <w:rPr>
          <w:rFonts w:eastAsia="方正仿宋_GBK" w:cs="方正仿宋_GBK"/>
        </w:rPr>
      </w:pPr>
      <w:r>
        <w:rPr>
          <w:rFonts w:hint="eastAsia" w:eastAsia="方正仿宋_GBK" w:cs="方正仿宋_GBK"/>
        </w:rPr>
        <w:t>按采购文件中提供的申报材料格式要求，已在重庆药品</w:t>
      </w:r>
      <w:r>
        <w:rPr>
          <w:rFonts w:hint="eastAsia" w:eastAsia="方正仿宋_GBK" w:cs="方正仿宋_GBK"/>
          <w:lang w:val="en-US" w:eastAsia="zh-CN"/>
        </w:rPr>
        <w:t>交易</w:t>
      </w:r>
      <w:r>
        <w:rPr>
          <w:rFonts w:hint="eastAsia" w:eastAsia="方正仿宋_GBK" w:cs="方正仿宋_GBK"/>
        </w:rPr>
        <w:t>平台上资质审核通过的产品，通过网上提交补充申报材料，并用A4纸依顺序准备纸质申报材料，构成如下（每页均需加盖企业公章）：</w:t>
      </w:r>
    </w:p>
    <w:p>
      <w:pPr>
        <w:spacing w:line="620" w:lineRule="exact"/>
        <w:ind w:firstLine="480" w:firstLineChars="150"/>
        <w:rPr>
          <w:rFonts w:eastAsia="方正仿宋_GBK" w:cs="方正仿宋_GBK"/>
        </w:rPr>
      </w:pPr>
      <w:r>
        <w:rPr>
          <w:rFonts w:hint="eastAsia" w:eastAsia="方正仿宋_GBK" w:cs="方正仿宋_GBK"/>
        </w:rPr>
        <w:t>1．《药品带量采购申报函》（见附件1）。</w:t>
      </w:r>
    </w:p>
    <w:p>
      <w:pPr>
        <w:spacing w:line="620" w:lineRule="exact"/>
        <w:ind w:firstLine="480" w:firstLineChars="150"/>
        <w:rPr>
          <w:rFonts w:eastAsia="方正仿宋_GBK" w:cs="方正仿宋_GBK"/>
        </w:rPr>
      </w:pPr>
      <w:r>
        <w:rPr>
          <w:rFonts w:hint="eastAsia" w:eastAsia="方正仿宋_GBK" w:cs="方正仿宋_GBK"/>
        </w:rPr>
        <w:t>2．《药品带量采购项目法定代表人授权书》（见附件2）。</w:t>
      </w:r>
    </w:p>
    <w:p>
      <w:pPr>
        <w:snapToGrid w:val="0"/>
        <w:spacing w:line="620" w:lineRule="exact"/>
        <w:rPr>
          <w:rFonts w:eastAsia="方正仿宋_GBK"/>
          <w:szCs w:val="30"/>
        </w:rPr>
      </w:pPr>
      <w:r>
        <w:rPr>
          <w:rFonts w:hint="eastAsia" w:eastAsia="方正仿宋_GBK" w:cs="方正仿宋_GBK"/>
        </w:rPr>
        <w:t xml:space="preserve">   3．《药品信息申报表》（见附件 3）。申报企业需以采购目录内的规格作为代表品填报在《药品信息申报表》</w:t>
      </w:r>
      <w:r>
        <w:rPr>
          <w:rFonts w:hint="eastAsia" w:eastAsia="方正仿宋_GBK"/>
          <w:szCs w:val="30"/>
        </w:rPr>
        <w:t>中，若采购目录内有2个规格，</w:t>
      </w:r>
      <w:r>
        <w:rPr>
          <w:rFonts w:hint="eastAsia" w:eastAsia="方正仿宋_GBK" w:cs="方正仿宋_GBK"/>
        </w:rPr>
        <w:t>申报企业仅需选择任一规格</w:t>
      </w:r>
      <w:r>
        <w:rPr>
          <w:rFonts w:hint="eastAsia" w:eastAsia="方正仿宋_GBK"/>
          <w:szCs w:val="30"/>
        </w:rPr>
        <w:t>作为代表品。企业须待申报产品资质审查通过后，登录“重庆药品交易平台”下载打印《药品信息申报表》递交报价现场。</w:t>
      </w:r>
    </w:p>
    <w:p>
      <w:pPr>
        <w:snapToGrid w:val="0"/>
        <w:spacing w:line="620" w:lineRule="exact"/>
        <w:ind w:firstLine="480" w:firstLineChars="150"/>
        <w:rPr>
          <w:rFonts w:eastAsia="方正仿宋_GBK"/>
          <w:szCs w:val="30"/>
        </w:rPr>
      </w:pPr>
      <w:r>
        <w:rPr>
          <w:rFonts w:hint="eastAsia" w:eastAsia="方正仿宋_GBK"/>
          <w:szCs w:val="30"/>
        </w:rPr>
        <w:t>4．拟在联合采购地区供应的符合申报品种资格的所有临床常用产品（不限于目录中的规格，</w:t>
      </w:r>
      <w:r>
        <w:rPr>
          <w:rFonts w:hint="eastAsia" w:eastAsia="方正仿宋_GBK" w:cs="方正仿宋_GBK"/>
        </w:rPr>
        <w:t>大容量注射液包括所有包材</w:t>
      </w:r>
      <w:r>
        <w:rPr>
          <w:rFonts w:hint="eastAsia" w:eastAsia="方正仿宋_GBK"/>
          <w:szCs w:val="30"/>
        </w:rPr>
        <w:t>）均须申报在《供应品种清单》（见附件 4）中，企业须待申报产品资质审查通过后，登录“重庆药品交易平台”下载打印《供应品种清单》递交报价现场；若中选，同企业同品种采购目录内不</w:t>
      </w:r>
      <w:r>
        <w:rPr>
          <w:rFonts w:hint="eastAsia" w:eastAsia="方正仿宋_GBK" w:cs="方正仿宋_GBK"/>
        </w:rPr>
        <w:t>同品规的相应采购价以本企业代表品最小制剂单位的申报价作为基数,按现行药品含量差比价规则（“含量”是指药物制剂最小计量单位中包含的国家标准规定的有效成分、指标成分或活性单位的数量）计算确定。</w:t>
      </w:r>
    </w:p>
    <w:p>
      <w:pPr>
        <w:spacing w:line="620" w:lineRule="exact"/>
        <w:ind w:firstLine="640" w:firstLineChars="200"/>
        <w:rPr>
          <w:rFonts w:eastAsia="方正仿宋_GBK" w:cs="方正仿宋_GBK"/>
        </w:rPr>
      </w:pPr>
      <w:r>
        <w:rPr>
          <w:rFonts w:hint="eastAsia" w:eastAsia="方正仿宋_GBK" w:cs="方正仿宋_GBK"/>
        </w:rPr>
        <w:t>5. 药品上市许可持有人除提供上述材料外，还需提供相应药品上市许可持有人证明。</w:t>
      </w:r>
    </w:p>
    <w:p>
      <w:pPr>
        <w:spacing w:line="620" w:lineRule="exact"/>
        <w:ind w:firstLine="640" w:firstLineChars="200"/>
        <w:rPr>
          <w:rFonts w:eastAsia="方正仿宋_GBK" w:cs="方正仿宋_GBK"/>
        </w:rPr>
      </w:pPr>
      <w:r>
        <w:rPr>
          <w:rFonts w:hint="eastAsia" w:eastAsia="方正仿宋_GBK" w:cs="方正仿宋_GBK"/>
        </w:rPr>
        <w:t>6．若为第一质量层次药品，还需上传属于该质量层次的相关证明。证明材料需在企业申报信息截至之日前取得。</w:t>
      </w:r>
    </w:p>
    <w:p>
      <w:pPr>
        <w:spacing w:line="620" w:lineRule="exact"/>
        <w:ind w:firstLine="640" w:firstLineChars="200"/>
        <w:rPr>
          <w:rFonts w:eastAsia="方正仿宋_GBK" w:cs="仿宋_GB2312"/>
        </w:rPr>
      </w:pPr>
      <w:r>
        <w:rPr>
          <w:rFonts w:hint="eastAsia" w:eastAsia="方正仿宋_GBK" w:cs="仿宋_GB2312"/>
        </w:rPr>
        <w:t xml:space="preserve"> （1）专利药品。指国家知识产权局授予的保护期内或原研制国家知识产权保护部门授予的保护期内化合物专利、药物组合物专利、天然物提取物专利、微生物及其代谢物专利，不包括外观设计专利、实用新型专利或工艺流程、疗效、制备方法等专利药品。</w:t>
      </w:r>
    </w:p>
    <w:p>
      <w:pPr>
        <w:spacing w:line="620" w:lineRule="exact"/>
        <w:ind w:firstLine="640" w:firstLineChars="200"/>
        <w:rPr>
          <w:rFonts w:eastAsia="方正仿宋_GBK" w:cs="仿宋_GB2312"/>
        </w:rPr>
      </w:pPr>
      <w:r>
        <w:rPr>
          <w:rFonts w:hint="eastAsia" w:eastAsia="方正仿宋_GBK" w:cs="仿宋_GB2312"/>
        </w:rPr>
        <w:t>化合物专利药品：指</w:t>
      </w:r>
      <w:r>
        <w:rPr>
          <w:rFonts w:eastAsia="方正仿宋_GBK" w:cs="仿宋_GB2312"/>
        </w:rPr>
        <w:t>新化合物的发明专利，在其专利文件中应当有化合物的名称、结构或分子式等关键表征，保护的对象是化合物本身。</w:t>
      </w:r>
    </w:p>
    <w:p>
      <w:pPr>
        <w:spacing w:line="620" w:lineRule="exact"/>
        <w:ind w:firstLine="640" w:firstLineChars="200"/>
        <w:rPr>
          <w:rFonts w:eastAsia="方正仿宋_GBK" w:cs="仿宋_GB2312"/>
        </w:rPr>
      </w:pPr>
      <w:r>
        <w:rPr>
          <w:rFonts w:hint="eastAsia" w:eastAsia="方正仿宋_GBK" w:cs="仿宋_GB2312"/>
        </w:rPr>
        <w:t>药物组合物专利药品：仅指首家获得两种及以上有效成分或者药材的全新组合保护专利。不包括以有效成分和制剂辅料、溶媒等辅助成分构成的组合物，也不包括以改变配比为特征实施保护的组合物专利。</w:t>
      </w:r>
    </w:p>
    <w:p>
      <w:pPr>
        <w:spacing w:line="620" w:lineRule="exact"/>
        <w:ind w:firstLine="640" w:firstLineChars="200"/>
        <w:rPr>
          <w:rFonts w:eastAsia="方正仿宋_GBK" w:cs="仿宋_GB2312"/>
        </w:rPr>
      </w:pPr>
      <w:r>
        <w:rPr>
          <w:rFonts w:hint="eastAsia" w:eastAsia="方正仿宋_GBK" w:cs="仿宋_GB2312"/>
        </w:rPr>
        <w:t>天然物提取物专利药品：指首次从自然界分离或提取出来的物质保护专利，该物质结构、形态或者其它物理化学参数等应在其专利文件中被确切地表征。</w:t>
      </w:r>
    </w:p>
    <w:p>
      <w:pPr>
        <w:spacing w:line="620" w:lineRule="exact"/>
        <w:ind w:firstLine="640" w:firstLineChars="200"/>
        <w:rPr>
          <w:rFonts w:eastAsia="方正仿宋_GBK" w:cs="仿宋_GB2312"/>
        </w:rPr>
      </w:pPr>
      <w:r>
        <w:rPr>
          <w:rFonts w:hint="eastAsia" w:eastAsia="方正仿宋_GBK" w:cs="仿宋_GB2312"/>
        </w:rPr>
        <w:t>微生物及其代谢物专利药品：指对细菌、放线菌、真菌、病毒、原生动物、藻类等微生物种经过筛选、突变、重组等方法得到并分离的纯培养物和其代谢物质的保护专利。</w:t>
      </w:r>
    </w:p>
    <w:p>
      <w:pPr>
        <w:numPr>
          <w:ilvl w:val="0"/>
          <w:numId w:val="2"/>
        </w:numPr>
        <w:spacing w:line="620" w:lineRule="exact"/>
        <w:ind w:firstLine="640" w:firstLineChars="200"/>
        <w:rPr>
          <w:rFonts w:eastAsia="方正仿宋_GBK" w:cs="仿宋_GB2312"/>
        </w:rPr>
      </w:pPr>
      <w:r>
        <w:rPr>
          <w:rFonts w:hint="eastAsia" w:eastAsia="方正仿宋_GBK" w:cs="仿宋_GB2312"/>
        </w:rPr>
        <w:t>原研药品。指目前已过保护期的上述专利药品，国家药品监督管理局发布的仿制药参比制剂目录中标注的原研药品，包括地产化原研药，包括专利转让或唯一授权的已过保护期的上述专利药品，不包括专利合作等其他情况的专利药品。</w:t>
      </w:r>
    </w:p>
    <w:p>
      <w:pPr>
        <w:spacing w:line="620" w:lineRule="exact"/>
        <w:ind w:firstLine="640" w:firstLineChars="200"/>
        <w:rPr>
          <w:rFonts w:eastAsia="方正仿宋_GBK"/>
        </w:rPr>
      </w:pPr>
      <w:r>
        <w:rPr>
          <w:rFonts w:hint="eastAsia" w:eastAsia="方正仿宋_GBK" w:cs="仿宋_GB2312"/>
        </w:rPr>
        <w:t>（3）参比制剂。以国家药品监督管理局发布的仿制药参比制剂目录或《中国上市药品目录集》为依据，包括相同剂型不同规格的药品。</w:t>
      </w:r>
    </w:p>
    <w:p>
      <w:pPr>
        <w:widowControl/>
        <w:spacing w:line="620" w:lineRule="exact"/>
        <w:ind w:firstLine="640" w:firstLineChars="200"/>
        <w:rPr>
          <w:rFonts w:eastAsia="方正仿宋_GBK"/>
        </w:rPr>
      </w:pPr>
      <w:r>
        <w:rPr>
          <w:rFonts w:hint="eastAsia" w:eastAsia="方正仿宋_GBK"/>
        </w:rPr>
        <w:t xml:space="preserve">（4）通过质量和疗效一致性评价的仿制药品。通过国家药品监督管理部门质量和疗效一致性评价的国产仿制药品；在原生产国家或地区已通过一致性评价的进口药品,必须经国家药品监督管理部门认可。 </w:t>
      </w:r>
    </w:p>
    <w:p>
      <w:pPr>
        <w:widowControl/>
        <w:spacing w:line="620" w:lineRule="exact"/>
        <w:ind w:firstLine="640" w:firstLineChars="200"/>
        <w:rPr>
          <w:rFonts w:eastAsia="方正仿宋_GBK"/>
        </w:rPr>
      </w:pPr>
      <w:r>
        <w:rPr>
          <w:rFonts w:hint="eastAsia" w:eastAsia="方正仿宋_GBK"/>
        </w:rPr>
        <w:t>（5）化学药品新注册分类批准药品。根据《国家食品药品监督管理总局关于发布化学药品注册分类改革工作方案的公告》〔2016 年第 51 号〕，按化学药品新注册分类批准的仿制药品。</w:t>
      </w:r>
    </w:p>
    <w:p>
      <w:pPr>
        <w:widowControl/>
        <w:spacing w:line="620" w:lineRule="exact"/>
        <w:ind w:firstLine="640" w:firstLineChars="200"/>
        <w:rPr>
          <w:rFonts w:eastAsia="方正仿宋_GBK"/>
        </w:rPr>
      </w:pPr>
      <w:r>
        <w:rPr>
          <w:rFonts w:hint="eastAsia" w:eastAsia="方正仿宋_GBK"/>
        </w:rPr>
        <w:t>（6）纳入《中国上市药品目录集》的药品。国家药监局药品审评中心官方网站最新中国上市药品目录集数据库或国家药监局颁发的《药品补充申请批件》为依据。</w:t>
      </w:r>
    </w:p>
    <w:p>
      <w:pPr>
        <w:widowControl/>
        <w:spacing w:line="620" w:lineRule="exact"/>
        <w:ind w:firstLine="640" w:firstLineChars="200"/>
        <w:rPr>
          <w:rFonts w:eastAsia="方正仿宋_GBK" w:cs="Arial"/>
          <w:kern w:val="0"/>
        </w:rPr>
      </w:pPr>
      <w:r>
        <w:rPr>
          <w:rFonts w:hint="eastAsia" w:eastAsia="方正仿宋_GBK"/>
        </w:rPr>
        <w:t>（7）出口药（出口到国际主流市场药）：在我国境内生产，获欧盟主流国家（仅指法国和德国）CGMP，英国MHRA、美国FDA，日本JGMP认证，且最近连续的3个会计年度内有出口到上述认证国的药品，最近3年内需</w:t>
      </w:r>
      <w:r>
        <w:rPr>
          <w:rFonts w:hint="eastAsia" w:eastAsia="方正仿宋_GBK" w:cs="Arial"/>
          <w:kern w:val="0"/>
        </w:rPr>
        <w:t>得到认证国的复检证明，其中药物制剂在上述认证国及欧盟地区的出口总额按当年汇率折算累计不低于1000万元人民币（按通用名统计），并在当地实际销售的药品品种（仅指药物制剂，不包括原料药）。以同时具备认证证书、认证国进口批文、近3年认证国的复检证明、海关出口退税证明、出口国实际销售凭证以及出口国为法国和德国的，欧盟EMA网站可查且GMP有本企业制剂产品信息；出口国为美国的，FDA橙皮书数据库可查并能提供本企业药品批准上市证明；出口国为日本的，日本MA证书有本企业产品及生产场地信息等材料作为认定依据，属外文材料的，须附经公证的中文翻译件。</w:t>
      </w:r>
    </w:p>
    <w:p>
      <w:pPr>
        <w:spacing w:line="620" w:lineRule="exact"/>
        <w:ind w:firstLine="640" w:firstLineChars="200"/>
        <w:rPr>
          <w:rFonts w:eastAsia="方正楷体_GBK" w:cs="方正仿宋_GBK"/>
        </w:rPr>
      </w:pPr>
      <w:r>
        <w:rPr>
          <w:rFonts w:hint="eastAsia" w:eastAsia="方正楷体_GBK" w:cs="方正仿宋_GBK"/>
        </w:rPr>
        <w:t>（四）申报报价</w:t>
      </w:r>
    </w:p>
    <w:p>
      <w:pPr>
        <w:spacing w:line="620" w:lineRule="exact"/>
        <w:ind w:firstLine="640" w:firstLineChars="200"/>
        <w:rPr>
          <w:rFonts w:eastAsia="方正仿宋_GBK" w:cs="方正仿宋_GBK"/>
        </w:rPr>
      </w:pPr>
      <w:r>
        <w:rPr>
          <w:rFonts w:hint="eastAsia" w:eastAsia="方正仿宋_GBK" w:cs="方正仿宋_GBK"/>
        </w:rPr>
        <w:t>1．申报价以人民币填报，单位为“元”，保留到小数点后2位，以最小零售包装（如：盒）为计价单位。未在规定时间内完成报价或报价为零的，视为放弃报价。本次药品带量采购所涉药品差比价关系，参照已执行的规则计算。</w:t>
      </w:r>
    </w:p>
    <w:p>
      <w:pPr>
        <w:spacing w:line="620" w:lineRule="exact"/>
        <w:ind w:firstLine="640" w:firstLineChars="200"/>
        <w:rPr>
          <w:rFonts w:eastAsia="方正仿宋_GBK" w:cs="方正仿宋_GBK"/>
        </w:rPr>
      </w:pPr>
      <w:r>
        <w:rPr>
          <w:rFonts w:hint="eastAsia" w:eastAsia="方正仿宋_GBK" w:cs="方正仿宋_GBK"/>
        </w:rPr>
        <w:t>2．申报价为申报企业的实际供应价，应包含税费、配送费等所有费用。</w:t>
      </w:r>
    </w:p>
    <w:p>
      <w:pPr>
        <w:spacing w:line="620" w:lineRule="exact"/>
        <w:ind w:firstLine="640" w:firstLineChars="200"/>
        <w:rPr>
          <w:rFonts w:eastAsia="方正仿宋_GBK" w:cs="方正仿宋_GBK"/>
        </w:rPr>
      </w:pPr>
      <w:r>
        <w:rPr>
          <w:rFonts w:hint="eastAsia" w:eastAsia="方正仿宋_GBK" w:cs="方正仿宋_GBK"/>
        </w:rPr>
        <w:t>3．申报价不得高于其在申报信息截至日的全国最低价（同制剂规格省级集中采购平台挂网执行的最低价，不含自报价和备案价），否则视为放弃报价。本企业品种未在省级集中采购平台挂网的，按不高于同质量层次同产品评审组已挂网企业的最低挂网价报价。</w:t>
      </w:r>
    </w:p>
    <w:p>
      <w:pPr>
        <w:spacing w:line="620" w:lineRule="exact"/>
        <w:ind w:firstLine="640" w:firstLineChars="200"/>
        <w:rPr>
          <w:rFonts w:eastAsia="方正仿宋_GBK" w:cs="方正仿宋_GBK"/>
        </w:rPr>
      </w:pPr>
      <w:r>
        <w:rPr>
          <w:rFonts w:hint="eastAsia" w:eastAsia="方正仿宋_GBK" w:cs="方正仿宋_GBK"/>
        </w:rPr>
        <w:t>如同质量层次同产品评审组申报产品在省级集中采购平台均无挂网价格，组织专家议定报价限价。</w:t>
      </w:r>
    </w:p>
    <w:p>
      <w:pPr>
        <w:spacing w:line="620" w:lineRule="exact"/>
        <w:ind w:firstLine="640" w:firstLineChars="200"/>
        <w:rPr>
          <w:rFonts w:eastAsia="方正仿宋_GBK" w:cs="方正仿宋_GBK"/>
        </w:rPr>
      </w:pPr>
      <w:r>
        <w:rPr>
          <w:rFonts w:hint="eastAsia" w:eastAsia="方正仿宋_GBK" w:cs="方正仿宋_GBK"/>
        </w:rPr>
        <w:t>4．申报价填写在《药品价格申报表》（附件5）中，</w:t>
      </w:r>
      <w:r>
        <w:rPr>
          <w:rFonts w:hint="eastAsia" w:eastAsia="方正仿宋_GBK"/>
        </w:rPr>
        <w:t>须登录“重庆药品交易平台”申报产品资质审查通过后，方可下载打印。</w:t>
      </w:r>
      <w:r>
        <w:rPr>
          <w:rFonts w:hint="eastAsia" w:eastAsia="方正仿宋_GBK" w:cs="方正仿宋_GBK"/>
        </w:rPr>
        <w:t>企业申报报价具有法律效力，申报企业须承担相应责任。</w:t>
      </w:r>
    </w:p>
    <w:p>
      <w:pPr>
        <w:spacing w:line="620" w:lineRule="exact"/>
        <w:ind w:firstLine="640" w:firstLineChars="200"/>
        <w:rPr>
          <w:rFonts w:eastAsia="方正仿宋_GBK" w:cs="方正仿宋_GBK"/>
        </w:rPr>
      </w:pPr>
      <w:r>
        <w:rPr>
          <w:rFonts w:hint="eastAsia" w:eastAsia="方正仿宋_GBK" w:cs="方正仿宋_GBK"/>
        </w:rPr>
        <w:t>5．申报价按药品差比价规则折算至最小计量单位（指单片/单瓶/单支等）后的价格作为“单位申报价”（四舍五入保留小数点后4位）。</w:t>
      </w:r>
    </w:p>
    <w:p>
      <w:pPr>
        <w:spacing w:line="620" w:lineRule="exact"/>
        <w:ind w:firstLine="640" w:firstLineChars="200"/>
        <w:rPr>
          <w:rFonts w:eastAsia="方正仿宋_GBK" w:cs="方正仿宋_GBK"/>
        </w:rPr>
      </w:pPr>
      <w:r>
        <w:rPr>
          <w:rFonts w:eastAsia="方正仿宋_GBK" w:cs="方正仿宋_GBK"/>
        </w:rPr>
        <w:t>6</w:t>
      </w:r>
      <w:r>
        <w:rPr>
          <w:rFonts w:hint="eastAsia" w:eastAsia="方正仿宋_GBK" w:cs="方正仿宋_GBK"/>
        </w:rPr>
        <w:t>．本次药品集中采购所涉及药品差比价关系参照现有规则，根据剂型、规格、包装数量计算。</w:t>
      </w:r>
    </w:p>
    <w:p>
      <w:pPr>
        <w:spacing w:line="620" w:lineRule="exact"/>
        <w:rPr>
          <w:rFonts w:eastAsia="方正仿宋_GBK" w:cs="方正仿宋_GBK"/>
        </w:rPr>
      </w:pPr>
      <w:r>
        <w:rPr>
          <w:rFonts w:hint="eastAsia" w:eastAsia="方正仿宋_GBK" w:cs="方正仿宋_GBK"/>
        </w:rPr>
        <w:t xml:space="preserve">    7. 头孢他啶不区分精氨酸和碳酸钠。</w:t>
      </w:r>
    </w:p>
    <w:p>
      <w:pPr>
        <w:spacing w:line="620" w:lineRule="exact"/>
        <w:ind w:firstLine="640" w:firstLineChars="200"/>
        <w:rPr>
          <w:rFonts w:eastAsia="方正仿宋_GBK" w:cs="方正仿宋_GBK"/>
        </w:rPr>
      </w:pPr>
      <w:r>
        <w:rPr>
          <w:rFonts w:hint="eastAsia" w:eastAsia="方正仿宋_GBK" w:cs="方正仿宋_GBK"/>
        </w:rPr>
        <w:t>8. 奥硝唑氯化钠以同规格玻璃瓶包装的价格为基础，塑料瓶包装加1元；软袋（指在不通空气情况下完成输液的包装）加4元。玻璃瓶、塑料瓶和软袋包装各自采用的具体形式和材料有差异的，不区分价格。</w:t>
      </w:r>
    </w:p>
    <w:p>
      <w:pPr>
        <w:spacing w:line="620" w:lineRule="exact"/>
        <w:ind w:firstLine="640" w:firstLineChars="200"/>
        <w:rPr>
          <w:rFonts w:eastAsia="方正仿宋_GBK" w:cs="方正仿宋_GBK"/>
          <w:highlight w:val="yellow"/>
        </w:rPr>
      </w:pPr>
      <w:r>
        <w:rPr>
          <w:rFonts w:hint="eastAsia" w:eastAsia="方正仿宋_GBK" w:cs="方正仿宋_GBK"/>
        </w:rPr>
        <w:t>9．噻托溴铵以同规格不含装置包装的价格为基础，带装置包装的价格按中选不带装置产品价格的降幅进行同步降价。</w:t>
      </w:r>
    </w:p>
    <w:p>
      <w:pPr>
        <w:spacing w:line="620" w:lineRule="exact"/>
        <w:ind w:firstLine="640" w:firstLineChars="200"/>
        <w:rPr>
          <w:rFonts w:eastAsia="方正楷体_GBK" w:cs="方正仿宋_GBK"/>
        </w:rPr>
      </w:pPr>
      <w:r>
        <w:rPr>
          <w:rFonts w:hint="eastAsia" w:eastAsia="方正楷体_GBK" w:cs="方正仿宋_GBK"/>
        </w:rPr>
        <w:t>（五）申报材料的式样和签署</w:t>
      </w:r>
    </w:p>
    <w:p>
      <w:pPr>
        <w:spacing w:line="620" w:lineRule="exact"/>
        <w:ind w:firstLine="640" w:firstLineChars="200"/>
        <w:rPr>
          <w:rFonts w:eastAsia="方正仿宋_GBK" w:cs="方正仿宋_GBK"/>
        </w:rPr>
      </w:pPr>
      <w:r>
        <w:rPr>
          <w:rFonts w:hint="eastAsia" w:eastAsia="方正仿宋_GBK" w:cs="方正仿宋_GBK"/>
        </w:rPr>
        <w:t>1．申报材料须打印或用不褪色书写工具书写，并由申报企业加盖公章。</w:t>
      </w:r>
    </w:p>
    <w:p>
      <w:pPr>
        <w:spacing w:line="620" w:lineRule="exact"/>
        <w:ind w:firstLine="640" w:firstLineChars="200"/>
        <w:rPr>
          <w:rFonts w:eastAsia="方正仿宋_GBK" w:cs="方正仿宋_GBK"/>
        </w:rPr>
      </w:pPr>
      <w:r>
        <w:rPr>
          <w:rFonts w:hint="eastAsia" w:eastAsia="方正仿宋_GBK" w:cs="方正仿宋_GBK"/>
        </w:rPr>
        <w:t>2．申报企业除对笔误等作勘误外，不得行间插字、涂改或增删。如有修改处，必须由企业法定代表人或其授权代理人签字或加盖公司公章。</w:t>
      </w:r>
    </w:p>
    <w:p>
      <w:pPr>
        <w:pStyle w:val="3"/>
        <w:spacing w:before="0" w:after="0" w:line="600" w:lineRule="exact"/>
        <w:rPr>
          <w:rFonts w:ascii="Times New Roman" w:hAnsi="Times New Roman" w:eastAsia="方正黑体_GBK" w:cs="方正黑体_GBK"/>
          <w:b w:val="0"/>
          <w:bCs w:val="0"/>
          <w:kern w:val="32"/>
        </w:rPr>
      </w:pPr>
      <w:bookmarkStart w:id="33" w:name="_Toc17072"/>
      <w:bookmarkStart w:id="34" w:name="_Toc53152585"/>
      <w:r>
        <w:rPr>
          <w:rFonts w:hint="eastAsia" w:ascii="Times New Roman" w:hAnsi="Times New Roman" w:eastAsia="方正黑体_GBK" w:cs="方正黑体_GBK"/>
          <w:b w:val="0"/>
          <w:bCs w:val="0"/>
          <w:kern w:val="32"/>
        </w:rPr>
        <w:t>三、申报材料递交</w:t>
      </w:r>
      <w:bookmarkEnd w:id="33"/>
      <w:bookmarkEnd w:id="34"/>
    </w:p>
    <w:p>
      <w:pPr>
        <w:spacing w:line="620" w:lineRule="exact"/>
        <w:ind w:firstLine="640" w:firstLineChars="200"/>
        <w:rPr>
          <w:rFonts w:eastAsia="方正楷体_GBK" w:cs="方正仿宋_GBK"/>
        </w:rPr>
      </w:pPr>
      <w:r>
        <w:rPr>
          <w:rFonts w:hint="eastAsia" w:eastAsia="方正楷体_GBK" w:cs="方正仿宋_GBK"/>
        </w:rPr>
        <w:t>（一）申报材料的封装和标记</w:t>
      </w:r>
    </w:p>
    <w:p>
      <w:pPr>
        <w:spacing w:line="620" w:lineRule="exact"/>
        <w:ind w:firstLine="640" w:firstLineChars="200"/>
        <w:rPr>
          <w:rFonts w:eastAsia="方正仿宋_GBK" w:cs="方正仿宋_GBK"/>
        </w:rPr>
      </w:pPr>
      <w:r>
        <w:rPr>
          <w:rFonts w:hint="eastAsia" w:eastAsia="方正仿宋_GBK" w:cs="方正仿宋_GBK"/>
        </w:rPr>
        <w:t>1．申报企业应将附件1、附件2、附件3</w:t>
      </w:r>
      <w:r>
        <w:rPr>
          <w:rFonts w:hint="eastAsia" w:eastAsia="方正仿宋_GBK"/>
        </w:rPr>
        <w:t>和附件4</w:t>
      </w:r>
      <w:r>
        <w:rPr>
          <w:rFonts w:hint="eastAsia" w:eastAsia="方正仿宋_GBK" w:cs="方正仿宋_GBK"/>
        </w:rPr>
        <w:t>共同装入1个信封，用于现场审查。将“药品价格申报表”（附件5）单独装入1个信封，封口处用封条密封，并标明申报截止时间前不得启封。封口处加盖企业公章或由企业授权代理人签字。</w:t>
      </w:r>
    </w:p>
    <w:p>
      <w:pPr>
        <w:spacing w:line="620" w:lineRule="exact"/>
        <w:ind w:firstLine="640" w:firstLineChars="200"/>
        <w:rPr>
          <w:rFonts w:eastAsia="方正仿宋_GBK" w:cs="方正仿宋_GBK"/>
        </w:rPr>
      </w:pPr>
      <w:r>
        <w:rPr>
          <w:rFonts w:hint="eastAsia" w:eastAsia="方正仿宋_GBK" w:cs="方正仿宋_GBK"/>
        </w:rPr>
        <w:t>2．如果因信封密封不严，申报材料非人为因素提前启封造成的后果，由申报企业自行承担。</w:t>
      </w:r>
    </w:p>
    <w:p>
      <w:pPr>
        <w:spacing w:line="620" w:lineRule="exact"/>
        <w:ind w:firstLine="640" w:firstLineChars="200"/>
        <w:rPr>
          <w:rFonts w:eastAsia="方正楷体_GBK" w:cs="方正仿宋_GBK"/>
        </w:rPr>
      </w:pPr>
      <w:r>
        <w:rPr>
          <w:rFonts w:hint="eastAsia" w:eastAsia="方正楷体_GBK" w:cs="方正仿宋_GBK"/>
        </w:rPr>
        <w:t>（二）申报截止时间</w:t>
      </w:r>
    </w:p>
    <w:p>
      <w:pPr>
        <w:spacing w:line="620" w:lineRule="exact"/>
        <w:ind w:firstLine="640" w:firstLineChars="200"/>
        <w:rPr>
          <w:rFonts w:eastAsia="方正仿宋_GBK" w:cs="方正仿宋_GBK"/>
        </w:rPr>
      </w:pPr>
      <w:r>
        <w:rPr>
          <w:rFonts w:hint="eastAsia" w:eastAsia="方正仿宋_GBK" w:cs="方正仿宋_GBK"/>
        </w:rPr>
        <w:t>1．申报企业应在规定地点和截止时间前递交申报材料。</w:t>
      </w:r>
    </w:p>
    <w:p>
      <w:pPr>
        <w:spacing w:line="620" w:lineRule="exact"/>
        <w:ind w:firstLine="640" w:firstLineChars="200"/>
        <w:rPr>
          <w:rFonts w:eastAsia="方正仿宋_GBK" w:cs="方正仿宋_GBK"/>
        </w:rPr>
      </w:pPr>
      <w:r>
        <w:rPr>
          <w:rFonts w:hint="eastAsia" w:eastAsia="方正仿宋_GBK" w:cs="方正仿宋_GBK"/>
        </w:rPr>
        <w:t>2．申报截止时间后，申报企业不得对其申报材料做任何修改。</w:t>
      </w:r>
    </w:p>
    <w:p>
      <w:pPr>
        <w:pStyle w:val="3"/>
        <w:spacing w:before="0" w:after="0" w:line="600" w:lineRule="exact"/>
        <w:rPr>
          <w:rFonts w:ascii="Times New Roman" w:hAnsi="Times New Roman" w:eastAsia="方正黑体_GBK" w:cs="方正黑体_GBK"/>
          <w:b w:val="0"/>
          <w:bCs w:val="0"/>
          <w:kern w:val="32"/>
        </w:rPr>
      </w:pPr>
      <w:bookmarkStart w:id="35" w:name="_Toc53152586"/>
      <w:bookmarkStart w:id="36" w:name="_Toc30870"/>
      <w:r>
        <w:rPr>
          <w:rFonts w:hint="eastAsia" w:ascii="Times New Roman" w:hAnsi="Times New Roman" w:eastAsia="方正黑体_GBK" w:cs="方正黑体_GBK"/>
          <w:b w:val="0"/>
          <w:bCs w:val="0"/>
          <w:kern w:val="32"/>
        </w:rPr>
        <w:t>四、申报信息公开</w:t>
      </w:r>
      <w:bookmarkEnd w:id="35"/>
      <w:bookmarkEnd w:id="36"/>
    </w:p>
    <w:p>
      <w:pPr>
        <w:spacing w:line="620" w:lineRule="exact"/>
        <w:ind w:firstLine="480" w:firstLineChars="150"/>
        <w:rPr>
          <w:rFonts w:eastAsia="方正仿宋_GBK" w:cs="方正仿宋_GBK"/>
        </w:rPr>
      </w:pPr>
      <w:r>
        <w:rPr>
          <w:rFonts w:hint="eastAsia" w:eastAsia="方正仿宋_GBK" w:cs="方正仿宋_GBK"/>
        </w:rPr>
        <w:t>申报信息公开时邀请所有申报企业、公证机构和有关部门参加，对申报信息公开的全过程进行监督。</w:t>
      </w:r>
    </w:p>
    <w:p>
      <w:pPr>
        <w:pStyle w:val="3"/>
        <w:spacing w:before="0" w:after="0" w:line="600" w:lineRule="exact"/>
        <w:rPr>
          <w:rFonts w:ascii="Times New Roman" w:hAnsi="Times New Roman" w:eastAsia="方正黑体_GBK" w:cs="方正黑体_GBK"/>
          <w:b w:val="0"/>
          <w:bCs w:val="0"/>
          <w:kern w:val="32"/>
        </w:rPr>
      </w:pPr>
      <w:bookmarkStart w:id="37" w:name="_Toc28835"/>
      <w:bookmarkStart w:id="38" w:name="_Toc29568"/>
      <w:bookmarkStart w:id="39" w:name="_Toc53152587"/>
      <w:r>
        <w:rPr>
          <w:rFonts w:hint="eastAsia" w:ascii="Times New Roman" w:hAnsi="Times New Roman" w:eastAsia="方正黑体_GBK" w:cs="方正黑体_GBK"/>
          <w:b w:val="0"/>
          <w:bCs w:val="0"/>
          <w:kern w:val="32"/>
        </w:rPr>
        <w:t>五、拟中选</w:t>
      </w:r>
      <w:bookmarkEnd w:id="37"/>
      <w:r>
        <w:rPr>
          <w:rFonts w:hint="eastAsia" w:ascii="Times New Roman" w:hAnsi="Times New Roman" w:eastAsia="方正黑体_GBK" w:cs="方正黑体_GBK"/>
          <w:b w:val="0"/>
          <w:bCs w:val="0"/>
          <w:kern w:val="32"/>
        </w:rPr>
        <w:t>企业确定</w:t>
      </w:r>
      <w:bookmarkEnd w:id="38"/>
      <w:bookmarkEnd w:id="39"/>
    </w:p>
    <w:p>
      <w:pPr>
        <w:spacing w:line="620" w:lineRule="exact"/>
        <w:ind w:firstLine="640" w:firstLineChars="200"/>
        <w:rPr>
          <w:rFonts w:eastAsia="方正楷体_GBK" w:cs="方正仿宋_GBK"/>
        </w:rPr>
      </w:pPr>
      <w:r>
        <w:rPr>
          <w:rFonts w:hint="eastAsia" w:eastAsia="方正楷体_GBK" w:cs="方正仿宋_GBK"/>
        </w:rPr>
        <w:t xml:space="preserve">（一）中选企业数量确定原则 </w:t>
      </w:r>
    </w:p>
    <w:p>
      <w:pPr>
        <w:spacing w:line="620" w:lineRule="exact"/>
        <w:ind w:firstLine="640" w:firstLineChars="200"/>
        <w:rPr>
          <w:rFonts w:eastAsia="方正仿宋_GBK" w:cs="方正仿宋_GBK"/>
        </w:rPr>
      </w:pPr>
      <w:r>
        <w:rPr>
          <w:rFonts w:hint="eastAsia" w:eastAsia="方正仿宋_GBK" w:cs="方正仿宋_GBK"/>
        </w:rPr>
        <w:t>同分组同质量层次产品，根据符合申报资格的实际申报企业数，确定中选企业数量，同分组同质量层次内符合申报品种资格的实际申报企业数≥3家，最多中选2家，同分组同质量层次内符合申报品种资格的实际申报企业数1-2家，最多中选1家。</w:t>
      </w:r>
    </w:p>
    <w:p>
      <w:pPr>
        <w:spacing w:line="620" w:lineRule="exact"/>
        <w:ind w:firstLine="640" w:firstLineChars="200"/>
        <w:rPr>
          <w:rFonts w:eastAsia="方正仿宋_GBK" w:cs="方正仿宋_GBK"/>
        </w:rPr>
      </w:pPr>
      <w:r>
        <w:rPr>
          <w:rFonts w:hint="eastAsia" w:eastAsia="方正仿宋_GBK" w:cs="方正仿宋_GBK"/>
        </w:rPr>
        <w:t>不保证所有分组一定有中选结果。</w:t>
      </w:r>
    </w:p>
    <w:p>
      <w:pPr>
        <w:spacing w:line="620" w:lineRule="exact"/>
        <w:ind w:firstLine="640" w:firstLineChars="200"/>
        <w:rPr>
          <w:rFonts w:eastAsia="方正楷体_GBK" w:cs="方正仿宋_GBK"/>
        </w:rPr>
      </w:pPr>
      <w:r>
        <w:rPr>
          <w:rFonts w:hint="eastAsia" w:eastAsia="方正楷体_GBK" w:cs="方正仿宋_GBK"/>
        </w:rPr>
        <w:t>（二）拟中选企业确定方式</w:t>
      </w:r>
    </w:p>
    <w:p>
      <w:pPr>
        <w:pStyle w:val="24"/>
        <w:spacing w:line="620" w:lineRule="exact"/>
        <w:ind w:firstLine="640"/>
        <w:rPr>
          <w:rFonts w:eastAsia="方正仿宋_GBK" w:cs="方正仿宋_GBK"/>
        </w:rPr>
      </w:pPr>
      <w:r>
        <w:rPr>
          <w:rFonts w:hint="eastAsia" w:eastAsia="方正仿宋_GBK" w:cs="方正仿宋_GBK"/>
        </w:rPr>
        <w:t>以采购品种目录中同分组同质量层次任一规格作为代表规格，按药品差比价规则折算最小计量单位后的价格作为“单位可比价”（四舍五入保留小数点后4位）。</w:t>
      </w:r>
    </w:p>
    <w:p>
      <w:pPr>
        <w:pStyle w:val="24"/>
        <w:spacing w:line="620" w:lineRule="exact"/>
        <w:ind w:firstLine="640"/>
        <w:rPr>
          <w:rFonts w:eastAsia="方正仿宋_GBK" w:cs="方正仿宋_GBK"/>
        </w:rPr>
      </w:pPr>
      <w:r>
        <w:rPr>
          <w:rFonts w:hint="eastAsia" w:eastAsia="方正仿宋_GBK" w:cs="方正仿宋_GBK"/>
        </w:rPr>
        <w:t>1．综合评审与议价相结合，同分组同质量层次中选价格相统一的原则，确定拟中选企业。</w:t>
      </w:r>
    </w:p>
    <w:p>
      <w:pPr>
        <w:pStyle w:val="24"/>
        <w:spacing w:line="620" w:lineRule="exact"/>
        <w:ind w:firstLine="640"/>
        <w:rPr>
          <w:rFonts w:eastAsia="方正仿宋_GBK" w:cs="方正仿宋_GBK"/>
        </w:rPr>
      </w:pPr>
      <w:r>
        <w:rPr>
          <w:rFonts w:hint="eastAsia" w:eastAsia="方正仿宋_GBK" w:cs="方正仿宋_GBK"/>
        </w:rPr>
        <w:t>同分组同质量层次申报企业在3家及以上的，根据综合评审得分确定2家入围企业，并以入围企业中最低单位可比价作为该药品评审组中选价，且为第一顺位拟中选企业。若综合评审得分相同，则按单位可比价（由低到高）、医疗机构覆盖率顺序确定入围企业。若入围企业单位可比价相同时，综合得分较高的企业为第一顺位拟中选企业</w:t>
      </w:r>
      <w:r>
        <w:rPr>
          <w:rFonts w:hint="eastAsia" w:eastAsia="方正仿宋_GBK" w:cs="方正仿宋_GBK"/>
          <w:lang w:val="en-US" w:eastAsia="zh-CN"/>
        </w:rPr>
        <w:t>；</w:t>
      </w:r>
      <w:r>
        <w:rPr>
          <w:rFonts w:hint="eastAsia" w:eastAsia="方正仿宋_GBK" w:cs="方正仿宋_GBK"/>
        </w:rPr>
        <w:t>综合评分和最低单位可比价均相同，则按医疗机构覆盖率顺序，确定第一顺位拟中选企业。</w:t>
      </w:r>
    </w:p>
    <w:p>
      <w:pPr>
        <w:pStyle w:val="24"/>
        <w:spacing w:line="620" w:lineRule="exact"/>
        <w:ind w:firstLine="640"/>
        <w:rPr>
          <w:rFonts w:eastAsia="方正仿宋_GBK" w:cs="方正仿宋_GBK"/>
        </w:rPr>
      </w:pPr>
      <w:r>
        <w:rPr>
          <w:rFonts w:hint="eastAsia" w:eastAsia="方正仿宋_GBK" w:cs="方正仿宋_GBK"/>
        </w:rPr>
        <w:t>第一步综合评审：对每个药品的企业单位可比价、医疗机构覆盖率、采购量占比等因素进行综合评审，分值比重分别为60%、 20%、 20%，三项分数相加为综合评审得分，确定2家入围企业。</w:t>
      </w:r>
    </w:p>
    <w:p>
      <w:pPr>
        <w:pStyle w:val="24"/>
        <w:spacing w:line="1200" w:lineRule="exact"/>
        <w:ind w:firstLine="0" w:firstLineChars="0"/>
        <w:rPr>
          <w:rFonts w:eastAsia="方正仿宋_GBK" w:cs="方正仿宋_GBK"/>
        </w:rPr>
      </w:pPr>
      <w:r>
        <w:rPr>
          <w:rFonts w:hint="eastAsia" w:eastAsia="方正仿宋_GBK" w:cs="方正仿宋_GBK"/>
          <w:sz w:val="22"/>
          <w:szCs w:val="22"/>
        </w:rPr>
        <w:t xml:space="preserve">        企业报价得分</w:t>
      </w:r>
      <w:r>
        <w:rPr>
          <w:rFonts w:hint="eastAsia" w:eastAsia="方正仿宋_GBK" w:cs="方正仿宋_GBK"/>
        </w:rPr>
        <w:t>=</w:t>
      </w:r>
      <m:oMath>
        <m:f>
          <m:fPr>
            <m:ctrlPr>
              <w:rPr>
                <w:rFonts w:ascii="Cambria Math" w:hAnsi="Cambria Math" w:eastAsia="方正仿宋_GBK" w:cs="方正仿宋_GBK"/>
              </w:rPr>
            </m:ctrlPr>
          </m:fPr>
          <m:num>
            <m:r>
              <m:rPr>
                <m:sty m:val="p"/>
              </m:rPr>
              <w:rPr>
                <w:rFonts w:ascii="Cambria Math" w:hAnsi="Cambria Math" w:eastAsia="方正仿宋_GBK" w:cs="方正仿宋_GBK"/>
              </w:rPr>
              <m:t>1</m:t>
            </m:r>
            <m:ctrlPr>
              <w:rPr>
                <w:rFonts w:ascii="Cambria Math" w:hAnsi="Cambria Math" w:eastAsia="方正仿宋_GBK" w:cs="方正仿宋_GBK"/>
              </w:rPr>
            </m:ctrlPr>
          </m:num>
          <m:den>
            <m:r>
              <m:rPr>
                <m:sty m:val="p"/>
              </m:rPr>
              <w:rPr>
                <w:rFonts w:ascii="Cambria Math" w:hAnsi="Cambria Math" w:eastAsia="方正仿宋_GBK" w:cs="方正仿宋_GBK"/>
              </w:rPr>
              <m:t>n-1</m:t>
            </m:r>
            <m:ctrlPr>
              <w:rPr>
                <w:rFonts w:ascii="Cambria Math" w:hAnsi="Cambria Math" w:eastAsia="方正仿宋_GBK" w:cs="方正仿宋_GBK"/>
              </w:rPr>
            </m:ctrlPr>
          </m:den>
        </m:f>
      </m:oMath>
      <w:r>
        <w:rPr>
          <w:rFonts w:hint="eastAsia" w:eastAsia="方正仿宋_GBK" w:cs="方正仿宋_GBK"/>
        </w:rPr>
        <w:t>(1-</w:t>
      </w:r>
      <m:oMath>
        <m:f>
          <m:fPr>
            <m:ctrlPr>
              <w:rPr>
                <w:rFonts w:ascii="Cambria Math" w:hAnsi="Cambria Math" w:eastAsia="方正仿宋_GBK" w:cs="方正仿宋_GBK"/>
              </w:rPr>
            </m:ctrlPr>
          </m:fPr>
          <m:num>
            <m:sSub>
              <m:sSubPr>
                <m:ctrlPr>
                  <w:rPr>
                    <w:rFonts w:ascii="Cambria Math" w:hAnsi="Cambria Math" w:eastAsia="方正仿宋_GBK" w:cs="方正仿宋_GBK"/>
                  </w:rPr>
                </m:ctrlPr>
              </m:sSubPr>
              <m:e>
                <m:r>
                  <m:rPr>
                    <m:sty m:val="p"/>
                  </m:rPr>
                  <w:rPr>
                    <w:rFonts w:ascii="Cambria Math" w:hAnsi="Cambria Math" w:eastAsia="方正仿宋_GBK" w:cs="方正仿宋_GBK"/>
                  </w:rPr>
                  <m:t>p</m:t>
                </m:r>
                <m:ctrlPr>
                  <w:rPr>
                    <w:rFonts w:ascii="Cambria Math" w:hAnsi="Cambria Math" w:eastAsia="方正仿宋_GBK" w:cs="方正仿宋_GBK"/>
                  </w:rPr>
                </m:ctrlPr>
              </m:e>
              <m:sub>
                <m:r>
                  <m:rPr>
                    <m:sty m:val="p"/>
                  </m:rPr>
                  <w:rPr>
                    <w:rFonts w:ascii="Cambria Math" w:hAnsi="Cambria Math" w:eastAsia="方正仿宋_GBK" w:cs="方正仿宋_GBK"/>
                  </w:rPr>
                  <m:t>i</m:t>
                </m:r>
                <m:ctrlPr>
                  <w:rPr>
                    <w:rFonts w:ascii="Cambria Math" w:hAnsi="Cambria Math" w:eastAsia="方正仿宋_GBK" w:cs="方正仿宋_GBK"/>
                  </w:rPr>
                </m:ctrlPr>
              </m:sub>
            </m:sSub>
            <m:ctrlPr>
              <w:rPr>
                <w:rFonts w:ascii="Cambria Math" w:hAnsi="Cambria Math" w:eastAsia="方正仿宋_GBK" w:cs="方正仿宋_GBK"/>
              </w:rPr>
            </m:ctrlPr>
          </m:num>
          <m:den>
            <m:nary>
              <m:naryPr>
                <m:chr m:val="∑"/>
                <m:limLoc m:val="undOvr"/>
                <m:ctrlPr>
                  <w:rPr>
                    <w:rFonts w:ascii="Cambria Math" w:hAnsi="Cambria Math" w:eastAsia="方正仿宋_GBK" w:cs="方正仿宋_GBK"/>
                  </w:rPr>
                </m:ctrlPr>
              </m:naryPr>
              <m:sub>
                <m:r>
                  <m:rPr>
                    <m:sty m:val="p"/>
                  </m:rPr>
                  <w:rPr>
                    <w:rFonts w:ascii="Cambria Math" w:hAnsi="Cambria Math" w:eastAsia="方正仿宋_GBK" w:cs="方正仿宋_GBK"/>
                  </w:rPr>
                  <m:t>i=1</m:t>
                </m:r>
                <m:ctrlPr>
                  <w:rPr>
                    <w:rFonts w:ascii="Cambria Math" w:hAnsi="Cambria Math" w:eastAsia="方正仿宋_GBK" w:cs="方正仿宋_GBK"/>
                  </w:rPr>
                </m:ctrlPr>
              </m:sub>
              <m:sup>
                <m:r>
                  <m:rPr>
                    <m:sty m:val="p"/>
                  </m:rPr>
                  <w:rPr>
                    <w:rFonts w:ascii="Cambria Math" w:hAnsi="Cambria Math" w:eastAsia="方正仿宋_GBK" w:cs="方正仿宋_GBK"/>
                  </w:rPr>
                  <m:t>n</m:t>
                </m:r>
                <m:ctrlPr>
                  <w:rPr>
                    <w:rFonts w:ascii="Cambria Math" w:hAnsi="Cambria Math" w:eastAsia="方正仿宋_GBK" w:cs="方正仿宋_GBK"/>
                  </w:rPr>
                </m:ctrlPr>
              </m:sup>
              <m:e>
                <m:sSub>
                  <m:sSubPr>
                    <m:ctrlPr>
                      <w:rPr>
                        <w:rFonts w:ascii="Cambria Math" w:hAnsi="Cambria Math" w:eastAsia="方正仿宋_GBK" w:cs="方正仿宋_GBK"/>
                      </w:rPr>
                    </m:ctrlPr>
                  </m:sSubPr>
                  <m:e>
                    <m:r>
                      <m:rPr>
                        <m:sty m:val="p"/>
                      </m:rPr>
                      <w:rPr>
                        <w:rFonts w:ascii="Cambria Math" w:hAnsi="Cambria Math" w:eastAsia="方正仿宋_GBK" w:cs="方正仿宋_GBK"/>
                      </w:rPr>
                      <m:t>p</m:t>
                    </m:r>
                    <m:ctrlPr>
                      <w:rPr>
                        <w:rFonts w:ascii="Cambria Math" w:hAnsi="Cambria Math" w:eastAsia="方正仿宋_GBK" w:cs="方正仿宋_GBK"/>
                      </w:rPr>
                    </m:ctrlPr>
                  </m:e>
                  <m:sub>
                    <m:r>
                      <m:rPr>
                        <m:sty m:val="p"/>
                      </m:rPr>
                      <w:rPr>
                        <w:rFonts w:ascii="Cambria Math" w:hAnsi="Cambria Math" w:eastAsia="方正仿宋_GBK" w:cs="方正仿宋_GBK"/>
                      </w:rPr>
                      <m:t>i</m:t>
                    </m:r>
                    <m:ctrlPr>
                      <w:rPr>
                        <w:rFonts w:ascii="Cambria Math" w:hAnsi="Cambria Math" w:eastAsia="方正仿宋_GBK" w:cs="方正仿宋_GBK"/>
                      </w:rPr>
                    </m:ctrlPr>
                  </m:sub>
                </m:sSub>
                <m:ctrlPr>
                  <w:rPr>
                    <w:rFonts w:ascii="Cambria Math" w:hAnsi="Cambria Math" w:eastAsia="方正仿宋_GBK" w:cs="方正仿宋_GBK"/>
                  </w:rPr>
                </m:ctrlPr>
              </m:e>
            </m:nary>
            <m:ctrlPr>
              <w:rPr>
                <w:rFonts w:ascii="Cambria Math" w:hAnsi="Cambria Math" w:eastAsia="方正仿宋_GBK" w:cs="方正仿宋_GBK"/>
              </w:rPr>
            </m:ctrlPr>
          </m:den>
        </m:f>
      </m:oMath>
      <w:r>
        <w:rPr>
          <w:rFonts w:hint="eastAsia" w:eastAsia="方正仿宋_GBK" w:cs="方正仿宋_GBK"/>
        </w:rPr>
        <w:t xml:space="preserve">)×100×60%    </w:t>
      </w:r>
    </w:p>
    <w:p>
      <w:pPr>
        <w:pStyle w:val="24"/>
        <w:spacing w:line="620" w:lineRule="exact"/>
        <w:ind w:firstLine="640"/>
        <w:rPr>
          <w:rFonts w:eastAsia="方正仿宋_GBK" w:cs="方正仿宋_GBK"/>
        </w:rPr>
      </w:pPr>
      <w:r>
        <w:rPr>
          <w:rFonts w:hint="eastAsia" w:eastAsia="方正仿宋_GBK" w:cs="方正仿宋_GBK"/>
        </w:rPr>
        <w:t>其中，n为同质量层次同组有效申报企业数，</w:t>
      </w:r>
      <m:oMath>
        <m:sSub>
          <m:sSubPr>
            <m:ctrlPr>
              <w:rPr>
                <w:rFonts w:ascii="Cambria Math" w:hAnsi="Cambria Math" w:eastAsia="方正仿宋_GBK" w:cs="方正仿宋_GBK"/>
              </w:rPr>
            </m:ctrlPr>
          </m:sSubPr>
          <m:e>
            <m:r>
              <m:rPr>
                <m:sty m:val="p"/>
              </m:rPr>
              <w:rPr>
                <w:rFonts w:ascii="Cambria Math" w:hAnsi="Cambria Math" w:eastAsia="方正仿宋_GBK" w:cs="方正仿宋_GBK"/>
              </w:rPr>
              <m:t>p</m:t>
            </m:r>
            <m:ctrlPr>
              <w:rPr>
                <w:rFonts w:ascii="Cambria Math" w:hAnsi="Cambria Math" w:eastAsia="方正仿宋_GBK" w:cs="方正仿宋_GBK"/>
              </w:rPr>
            </m:ctrlPr>
          </m:e>
          <m:sub>
            <m:r>
              <m:rPr>
                <m:sty m:val="p"/>
              </m:rPr>
              <w:rPr>
                <w:rFonts w:ascii="Cambria Math" w:hAnsi="Cambria Math" w:eastAsia="方正仿宋_GBK" w:cs="方正仿宋_GBK"/>
              </w:rPr>
              <m:t>i</m:t>
            </m:r>
            <m:ctrlPr>
              <w:rPr>
                <w:rFonts w:ascii="Cambria Math" w:hAnsi="Cambria Math" w:eastAsia="方正仿宋_GBK" w:cs="方正仿宋_GBK"/>
              </w:rPr>
            </m:ctrlPr>
          </m:sub>
        </m:sSub>
      </m:oMath>
      <w:r>
        <w:rPr>
          <w:rFonts w:hint="eastAsia" w:eastAsia="方正仿宋_GBK" w:cs="方正仿宋_GBK"/>
        </w:rPr>
        <w:t>为该企业单位可比价,</w:t>
      </w:r>
      <m:oMath>
        <m:nary>
          <m:naryPr>
            <m:chr m:val="∑"/>
            <m:limLoc m:val="undOvr"/>
            <m:ctrlPr>
              <w:rPr>
                <w:rFonts w:ascii="Cambria Math" w:hAnsi="Cambria Math" w:eastAsia="方正仿宋_GBK" w:cs="方正仿宋_GBK"/>
              </w:rPr>
            </m:ctrlPr>
          </m:naryPr>
          <m:sub>
            <m:r>
              <m:rPr>
                <m:sty m:val="p"/>
              </m:rPr>
              <w:rPr>
                <w:rFonts w:ascii="Cambria Math" w:hAnsi="Cambria Math" w:eastAsia="方正仿宋_GBK" w:cs="方正仿宋_GBK"/>
              </w:rPr>
              <m:t>i=1</m:t>
            </m:r>
            <m:ctrlPr>
              <w:rPr>
                <w:rFonts w:ascii="Cambria Math" w:hAnsi="Cambria Math" w:eastAsia="方正仿宋_GBK" w:cs="方正仿宋_GBK"/>
              </w:rPr>
            </m:ctrlPr>
          </m:sub>
          <m:sup>
            <m:r>
              <m:rPr>
                <m:sty m:val="p"/>
              </m:rPr>
              <w:rPr>
                <w:rFonts w:ascii="Cambria Math" w:hAnsi="Cambria Math" w:eastAsia="方正仿宋_GBK" w:cs="方正仿宋_GBK"/>
              </w:rPr>
              <m:t>n</m:t>
            </m:r>
            <m:ctrlPr>
              <w:rPr>
                <w:rFonts w:ascii="Cambria Math" w:hAnsi="Cambria Math" w:eastAsia="方正仿宋_GBK" w:cs="方正仿宋_GBK"/>
              </w:rPr>
            </m:ctrlPr>
          </m:sup>
          <m:e>
            <m:sSub>
              <m:sSubPr>
                <m:ctrlPr>
                  <w:rPr>
                    <w:rFonts w:ascii="Cambria Math" w:hAnsi="Cambria Math" w:eastAsia="方正仿宋_GBK" w:cs="方正仿宋_GBK"/>
                  </w:rPr>
                </m:ctrlPr>
              </m:sSubPr>
              <m:e>
                <m:r>
                  <m:rPr>
                    <m:sty m:val="p"/>
                  </m:rPr>
                  <w:rPr>
                    <w:rFonts w:ascii="Cambria Math" w:hAnsi="Cambria Math" w:eastAsia="方正仿宋_GBK" w:cs="方正仿宋_GBK"/>
                  </w:rPr>
                  <m:t>p</m:t>
                </m:r>
                <m:ctrlPr>
                  <w:rPr>
                    <w:rFonts w:ascii="Cambria Math" w:hAnsi="Cambria Math" w:eastAsia="方正仿宋_GBK" w:cs="方正仿宋_GBK"/>
                  </w:rPr>
                </m:ctrlPr>
              </m:e>
              <m:sub>
                <m:r>
                  <m:rPr>
                    <m:sty m:val="p"/>
                  </m:rPr>
                  <w:rPr>
                    <w:rFonts w:ascii="Cambria Math" w:hAnsi="Cambria Math" w:eastAsia="方正仿宋_GBK" w:cs="方正仿宋_GBK"/>
                  </w:rPr>
                  <m:t>i</m:t>
                </m:r>
                <m:ctrlPr>
                  <w:rPr>
                    <w:rFonts w:ascii="Cambria Math" w:hAnsi="Cambria Math" w:eastAsia="方正仿宋_GBK" w:cs="方正仿宋_GBK"/>
                  </w:rPr>
                </m:ctrlPr>
              </m:sub>
            </m:sSub>
            <m:ctrlPr>
              <w:rPr>
                <w:rFonts w:ascii="Cambria Math" w:hAnsi="Cambria Math" w:eastAsia="方正仿宋_GBK" w:cs="方正仿宋_GBK"/>
              </w:rPr>
            </m:ctrlPr>
          </m:e>
        </m:nary>
        <m:r>
          <m:rPr>
            <m:sty m:val="p"/>
          </m:rPr>
          <w:rPr>
            <w:rFonts w:hint="eastAsia" w:ascii="Cambria Math" w:hAnsi="Cambria Math" w:eastAsia="方正仿宋_GBK" w:cs="方正仿宋_GBK"/>
          </w:rPr>
          <m:t>为</m:t>
        </m:r>
        <m:sSub>
          <m:sSubPr>
            <m:ctrlPr>
              <w:rPr>
                <w:rFonts w:ascii="Cambria Math" w:hAnsi="Cambria Math" w:eastAsia="方正仿宋_GBK" w:cs="方正仿宋_GBK"/>
              </w:rPr>
            </m:ctrlPr>
          </m:sSubPr>
          <m:e>
            <m:r>
              <m:rPr>
                <m:sty m:val="p"/>
              </m:rPr>
              <w:rPr>
                <w:rFonts w:ascii="Cambria Math" w:hAnsi="Cambria Math" w:eastAsia="方正仿宋_GBK" w:cs="方正仿宋_GBK"/>
              </w:rPr>
              <m:t>p</m:t>
            </m:r>
            <m:ctrlPr>
              <w:rPr>
                <w:rFonts w:ascii="Cambria Math" w:hAnsi="Cambria Math" w:eastAsia="方正仿宋_GBK" w:cs="方正仿宋_GBK"/>
              </w:rPr>
            </m:ctrlPr>
          </m:e>
          <m:sub>
            <m:r>
              <m:rPr>
                <m:sty m:val="p"/>
              </m:rPr>
              <w:rPr>
                <w:rFonts w:hint="eastAsia" w:ascii="Cambria Math" w:hAnsi="Cambria Math" w:eastAsia="方正仿宋_GBK" w:cs="方正仿宋_GBK"/>
              </w:rPr>
              <m:t>1</m:t>
            </m:r>
            <m:ctrlPr>
              <w:rPr>
                <w:rFonts w:ascii="Cambria Math" w:hAnsi="Cambria Math" w:eastAsia="方正仿宋_GBK" w:cs="方正仿宋_GBK"/>
              </w:rPr>
            </m:ctrlPr>
          </m:sub>
        </m:sSub>
        <m:sSub>
          <m:sSubPr>
            <m:ctrlPr>
              <w:rPr>
                <w:rFonts w:ascii="Cambria Math" w:hAnsi="Cambria Math" w:eastAsia="方正仿宋_GBK" w:cs="方正仿宋_GBK"/>
              </w:rPr>
            </m:ctrlPr>
          </m:sSubPr>
          <m:e>
            <m:r>
              <m:rPr>
                <m:sty m:val="p"/>
              </m:rPr>
              <w:rPr>
                <w:rFonts w:hint="eastAsia" w:ascii="Cambria Math" w:hAnsi="Cambria Math" w:eastAsia="方正仿宋_GBK" w:cs="方正仿宋_GBK"/>
              </w:rPr>
              <m:t>+</m:t>
            </m:r>
            <m:r>
              <m:rPr>
                <m:sty m:val="p"/>
              </m:rPr>
              <w:rPr>
                <w:rFonts w:ascii="Cambria Math" w:hAnsi="Cambria Math" w:eastAsia="方正仿宋_GBK" w:cs="方正仿宋_GBK"/>
              </w:rPr>
              <m:t>p</m:t>
            </m:r>
            <m:ctrlPr>
              <w:rPr>
                <w:rFonts w:ascii="Cambria Math" w:hAnsi="Cambria Math" w:eastAsia="方正仿宋_GBK" w:cs="方正仿宋_GBK"/>
              </w:rPr>
            </m:ctrlPr>
          </m:e>
          <m:sub>
            <m:r>
              <m:rPr>
                <m:sty m:val="p"/>
              </m:rPr>
              <w:rPr>
                <w:rFonts w:hint="eastAsia" w:ascii="Cambria Math" w:hAnsi="Cambria Math" w:eastAsia="方正仿宋_GBK" w:cs="方正仿宋_GBK"/>
              </w:rPr>
              <m:t>2</m:t>
            </m:r>
            <m:ctrlPr>
              <w:rPr>
                <w:rFonts w:ascii="Cambria Math" w:hAnsi="Cambria Math" w:eastAsia="方正仿宋_GBK" w:cs="方正仿宋_GBK"/>
              </w:rPr>
            </m:ctrlPr>
          </m:sub>
        </m:sSub>
        <m:r>
          <m:rPr>
            <m:sty m:val="p"/>
          </m:rPr>
          <w:rPr>
            <w:rFonts w:ascii="Cambria Math" w:hAnsi="Cambria Math" w:eastAsia="方正仿宋_GBK" w:cs="方正仿宋_GBK"/>
          </w:rPr>
          <m:t>……</m:t>
        </m:r>
        <m:r>
          <m:rPr>
            <m:sty m:val="p"/>
          </m:rPr>
          <w:rPr>
            <w:rFonts w:hint="eastAsia" w:ascii="Cambria Math" w:hAnsi="Cambria Math" w:eastAsia="方正仿宋_GBK" w:cs="方正仿宋_GBK"/>
          </w:rPr>
          <m:t>+</m:t>
        </m:r>
        <m:sSub>
          <m:sSubPr>
            <m:ctrlPr>
              <w:rPr>
                <w:rFonts w:ascii="Cambria Math" w:hAnsi="Cambria Math" w:eastAsia="方正仿宋_GBK" w:cs="方正仿宋_GBK"/>
              </w:rPr>
            </m:ctrlPr>
          </m:sSubPr>
          <m:e>
            <m:r>
              <m:rPr>
                <m:sty m:val="p"/>
              </m:rPr>
              <w:rPr>
                <w:rFonts w:ascii="Cambria Math" w:hAnsi="Cambria Math" w:eastAsia="方正仿宋_GBK" w:cs="方正仿宋_GBK"/>
              </w:rPr>
              <m:t>p</m:t>
            </m:r>
            <m:ctrlPr>
              <w:rPr>
                <w:rFonts w:ascii="Cambria Math" w:hAnsi="Cambria Math" w:eastAsia="方正仿宋_GBK" w:cs="方正仿宋_GBK"/>
              </w:rPr>
            </m:ctrlPr>
          </m:e>
          <m:sub>
            <m:r>
              <m:rPr>
                <m:sty m:val="p"/>
              </m:rPr>
              <w:rPr>
                <w:rFonts w:ascii="Cambria Math" w:hAnsi="Cambria Math" w:eastAsia="方正仿宋_GBK" w:cs="方正仿宋_GBK"/>
              </w:rPr>
              <m:t>n</m:t>
            </m:r>
            <m:ctrlPr>
              <w:rPr>
                <w:rFonts w:ascii="Cambria Math" w:hAnsi="Cambria Math" w:eastAsia="方正仿宋_GBK" w:cs="方正仿宋_GBK"/>
              </w:rPr>
            </m:ctrlPr>
          </m:sub>
        </m:sSub>
      </m:oMath>
      <w:r>
        <w:rPr>
          <w:rFonts w:hint="eastAsia" w:eastAsia="方正仿宋_GBK" w:cs="方正仿宋_GBK"/>
        </w:rPr>
        <w:t>所有有效申报企业的单位可比价之和。</w:t>
      </w:r>
    </w:p>
    <w:p>
      <w:pPr>
        <w:pStyle w:val="24"/>
        <w:spacing w:line="1200" w:lineRule="exact"/>
        <w:ind w:firstLine="1280" w:firstLineChars="400"/>
        <w:rPr>
          <w:rFonts w:eastAsia="方正仿宋_GBK" w:cs="方正仿宋_GBK"/>
          <w:sz w:val="28"/>
          <w:szCs w:val="28"/>
        </w:rPr>
      </w:pPr>
      <w:r>
        <w:rPr>
          <w:rFonts w:eastAsia="方正仿宋_GBK" w:cs="方正仿宋_GBK"/>
        </w:rPr>
        <mc:AlternateContent>
          <mc:Choice Requires="wps">
            <w:drawing>
              <wp:anchor distT="0" distB="0" distL="114300" distR="114300" simplePos="0" relativeHeight="252035072" behindDoc="1" locked="0" layoutInCell="1" allowOverlap="1">
                <wp:simplePos x="0" y="0"/>
                <wp:positionH relativeFrom="column">
                  <wp:posOffset>-107950</wp:posOffset>
                </wp:positionH>
                <wp:positionV relativeFrom="paragraph">
                  <wp:posOffset>323850</wp:posOffset>
                </wp:positionV>
                <wp:extent cx="1520190" cy="387985"/>
                <wp:effectExtent l="4445" t="0" r="0" b="3810"/>
                <wp:wrapNone/>
                <wp:docPr id="4" name="Text Box 1055"/>
                <wp:cNvGraphicFramePr/>
                <a:graphic xmlns:a="http://schemas.openxmlformats.org/drawingml/2006/main">
                  <a:graphicData uri="http://schemas.microsoft.com/office/word/2010/wordprocessingShape">
                    <wps:wsp>
                      <wps:cNvSpPr txBox="1">
                        <a:spLocks noChangeArrowheads="1"/>
                      </wps:cNvSpPr>
                      <wps:spPr bwMode="auto">
                        <a:xfrm>
                          <a:off x="0" y="0"/>
                          <a:ext cx="1520190" cy="387985"/>
                        </a:xfrm>
                        <a:prstGeom prst="rect">
                          <a:avLst/>
                        </a:prstGeom>
                        <a:solidFill>
                          <a:srgbClr val="FFFFFF"/>
                        </a:solidFill>
                        <a:ln>
                          <a:noFill/>
                        </a:ln>
                      </wps:spPr>
                      <wps:txbx>
                        <w:txbxContent>
                          <w:p>
                            <w:pPr>
                              <w:rPr>
                                <w:sz w:val="21"/>
                                <w:szCs w:val="21"/>
                              </w:rPr>
                            </w:pPr>
                            <w:r>
                              <w:rPr>
                                <w:rFonts w:hint="eastAsia" w:ascii="方正仿宋_GBK" w:hAnsi="方正仿宋_GBK" w:eastAsia="方正仿宋_GBK" w:cs="方正仿宋_GBK"/>
                                <w:sz w:val="21"/>
                                <w:szCs w:val="21"/>
                              </w:rPr>
                              <w:t>医疗机构覆盖率得分</w:t>
                            </w:r>
                          </w:p>
                        </w:txbxContent>
                      </wps:txbx>
                      <wps:bodyPr rot="0" vert="horz" wrap="square" lIns="91440" tIns="45720" rIns="91440" bIns="45720" anchor="t" anchorCtr="0" upright="1">
                        <a:noAutofit/>
                      </wps:bodyPr>
                    </wps:wsp>
                  </a:graphicData>
                </a:graphic>
              </wp:anchor>
            </w:drawing>
          </mc:Choice>
          <mc:Fallback>
            <w:pict>
              <v:shape id="Text Box 1055" o:spid="_x0000_s1026" o:spt="202" type="#_x0000_t202" style="position:absolute;left:0pt;margin-left:-8.5pt;margin-top:25.5pt;height:30.55pt;width:119.7pt;z-index:-251281408;mso-width-relative:page;mso-height-relative:page;" fillcolor="#FFFFFF" filled="t" stroked="f" coordsize="21600,21600" o:gfxdata="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r8O+ntgAAAAKAQAADwAAAAAAAAABACAAAAAiAAAAZHJzL2Rv&#10;d25yZXYueG1sUEsBAhQAFAAAAAgAh07iQHl+GEIBAgAA8gMAAA4AAAAAAAAAAQAgAAAAJwEAAGRy&#10;cy9lMm9Eb2MueG1sUEsFBgAAAAAGAAYAWQEAAJoFAAAAAA==&#10;">
                <v:fill on="t" focussize="0,0"/>
                <v:stroke on="f"/>
                <v:imagedata o:title=""/>
                <o:lock v:ext="edit" aspectratio="f"/>
                <v:textbox>
                  <w:txbxContent>
                    <w:p>
                      <w:pPr>
                        <w:rPr>
                          <w:sz w:val="21"/>
                          <w:szCs w:val="21"/>
                        </w:rPr>
                      </w:pPr>
                      <w:r>
                        <w:rPr>
                          <w:rFonts w:hint="eastAsia" w:ascii="方正仿宋_GBK" w:hAnsi="方正仿宋_GBK" w:eastAsia="方正仿宋_GBK" w:cs="方正仿宋_GBK"/>
                          <w:sz w:val="21"/>
                          <w:szCs w:val="21"/>
                        </w:rPr>
                        <w:t>医疗机构覆盖率得分</w:t>
                      </w:r>
                    </w:p>
                  </w:txbxContent>
                </v:textbox>
              </v:shape>
            </w:pict>
          </mc:Fallback>
        </mc:AlternateContent>
      </w:r>
      <w:r>
        <w:rPr>
          <w:rFonts w:hint="eastAsia" w:eastAsia="方正仿宋_GBK" w:cs="方正仿宋_GBK"/>
        </w:rPr>
        <w:t xml:space="preserve">    =</w:t>
      </w:r>
      <m:oMath>
        <m:f>
          <m:fPr>
            <m:ctrlPr>
              <w:rPr>
                <w:rFonts w:ascii="Cambria Math" w:hAnsi="Cambria Math" w:eastAsia="方正仿宋_GBK" w:cs="方正仿宋_GBK"/>
              </w:rPr>
            </m:ctrlPr>
          </m:fPr>
          <m:num>
            <m:r>
              <m:rPr>
                <m:sty m:val="p"/>
              </m:rPr>
              <w:rPr>
                <w:rFonts w:ascii="Cambria Math" w:hAnsi="Cambria Math" w:eastAsia="方正仿宋_GBK" w:cs="方正仿宋_GBK"/>
              </w:rPr>
              <m:t>申报企业</m:t>
            </m:r>
            <m:r>
              <m:rPr>
                <m:sty m:val="p"/>
              </m:rPr>
              <w:rPr>
                <w:rFonts w:hint="eastAsia" w:ascii="Cambria Math" w:hAnsi="Cambria Math" w:eastAsia="方正仿宋_GBK" w:cs="方正仿宋_GBK"/>
              </w:rPr>
              <m:t>同通用名该品规2019年医疗机构数量</m:t>
            </m:r>
            <m:ctrlPr>
              <w:rPr>
                <w:rFonts w:ascii="Cambria Math" w:hAnsi="Cambria Math" w:eastAsia="方正仿宋_GBK" w:cs="方正仿宋_GBK"/>
              </w:rPr>
            </m:ctrlPr>
          </m:num>
          <m:den>
            <m:r>
              <m:rPr>
                <m:sty m:val="p"/>
              </m:rPr>
              <w:rPr>
                <w:rFonts w:ascii="Cambria Math" w:hAnsi="Cambria Math" w:eastAsia="方正仿宋_GBK" w:cs="方正仿宋_GBK"/>
              </w:rPr>
              <m:t>采购该品规</m:t>
            </m:r>
            <m:r>
              <m:rPr>
                <m:sty m:val="p"/>
              </m:rPr>
              <w:rPr>
                <w:rFonts w:hint="eastAsia" w:ascii="Cambria Math" w:hAnsi="Cambria Math" w:eastAsia="方正仿宋_GBK" w:cs="方正仿宋_GBK"/>
              </w:rPr>
              <m:t>2019年</m:t>
            </m:r>
            <m:r>
              <m:rPr>
                <m:sty m:val="p"/>
              </m:rPr>
              <w:rPr>
                <w:rFonts w:hint="eastAsia" w:ascii="Cambria Math" w:hAnsi="Cambria Math" w:eastAsia="方正仿宋_GBK"/>
              </w:rPr>
              <m:t>联合采购地区</m:t>
            </m:r>
            <m:r>
              <m:rPr>
                <m:sty m:val="p"/>
              </m:rPr>
              <w:rPr>
                <w:rFonts w:hint="eastAsia" w:ascii="Cambria Math" w:hAnsi="Cambria Math" w:eastAsia="方正仿宋_GBK" w:cs="方正仿宋_GBK"/>
              </w:rPr>
              <m:t>医疗机构</m:t>
            </m:r>
            <m:r>
              <m:rPr>
                <m:sty m:val="p"/>
              </m:rPr>
              <w:rPr>
                <w:rFonts w:ascii="Cambria Math" w:hAnsi="Cambria Math" w:eastAsia="方正仿宋_GBK" w:cs="方正仿宋_GBK"/>
              </w:rPr>
              <m:t>总</m:t>
            </m:r>
            <m:r>
              <m:rPr>
                <m:sty m:val="p"/>
              </m:rPr>
              <w:rPr>
                <w:rFonts w:hint="eastAsia" w:ascii="Cambria Math" w:hAnsi="Cambria Math" w:eastAsia="方正仿宋_GBK" w:cs="方正仿宋_GBK"/>
              </w:rPr>
              <m:t>数量</m:t>
            </m:r>
            <m:ctrlPr>
              <w:rPr>
                <w:rFonts w:ascii="Cambria Math" w:hAnsi="Cambria Math" w:eastAsia="方正仿宋_GBK" w:cs="方正仿宋_GBK"/>
              </w:rPr>
            </m:ctrlPr>
          </m:den>
        </m:f>
      </m:oMath>
      <w:r>
        <w:rPr>
          <w:rFonts w:hint="eastAsia" w:eastAsia="方正仿宋_GBK" w:cs="方正仿宋_GBK"/>
          <w:sz w:val="28"/>
          <w:szCs w:val="28"/>
        </w:rPr>
        <w:t>×100×20%</w:t>
      </w:r>
    </w:p>
    <w:p>
      <w:pPr>
        <w:pStyle w:val="24"/>
        <w:spacing w:line="1200" w:lineRule="exact"/>
        <w:ind w:firstLine="1280" w:firstLineChars="400"/>
        <w:rPr>
          <w:rFonts w:eastAsia="方正仿宋_GBK" w:cs="方正仿宋_GBK"/>
          <w:sz w:val="24"/>
          <w:szCs w:val="24"/>
        </w:rPr>
      </w:pPr>
      <w:r>
        <w:rPr>
          <w:rFonts w:eastAsia="方正仿宋_GBK" w:cs="方正仿宋_GBK"/>
        </w:rPr>
        <mc:AlternateContent>
          <mc:Choice Requires="wps">
            <w:drawing>
              <wp:anchor distT="0" distB="0" distL="114300" distR="114300" simplePos="0" relativeHeight="252036096" behindDoc="1" locked="0" layoutInCell="1" allowOverlap="1">
                <wp:simplePos x="0" y="0"/>
                <wp:positionH relativeFrom="column">
                  <wp:posOffset>-107950</wp:posOffset>
                </wp:positionH>
                <wp:positionV relativeFrom="paragraph">
                  <wp:posOffset>342900</wp:posOffset>
                </wp:positionV>
                <wp:extent cx="1216025" cy="426720"/>
                <wp:effectExtent l="4445" t="0" r="0" b="3175"/>
                <wp:wrapNone/>
                <wp:docPr id="3" name="Text Box 1056"/>
                <wp:cNvGraphicFramePr/>
                <a:graphic xmlns:a="http://schemas.openxmlformats.org/drawingml/2006/main">
                  <a:graphicData uri="http://schemas.microsoft.com/office/word/2010/wordprocessingShape">
                    <wps:wsp>
                      <wps:cNvSpPr txBox="1">
                        <a:spLocks noChangeArrowheads="1"/>
                      </wps:cNvSpPr>
                      <wps:spPr bwMode="auto">
                        <a:xfrm>
                          <a:off x="0" y="0"/>
                          <a:ext cx="1216025" cy="426720"/>
                        </a:xfrm>
                        <a:prstGeom prst="rect">
                          <a:avLst/>
                        </a:prstGeom>
                        <a:solidFill>
                          <a:srgbClr val="FFFFFF"/>
                        </a:solidFill>
                        <a:ln>
                          <a:noFill/>
                        </a:ln>
                      </wps:spPr>
                      <wps:txbx>
                        <w:txbxContent>
                          <w:p>
                            <w:pPr>
                              <w:rPr>
                                <w:sz w:val="21"/>
                                <w:szCs w:val="21"/>
                              </w:rPr>
                            </w:pPr>
                            <w:r>
                              <w:rPr>
                                <w:rFonts w:hint="eastAsia" w:ascii="方正仿宋_GBK" w:hAnsi="方正仿宋_GBK" w:eastAsia="方正仿宋_GBK" w:cs="方正仿宋_GBK"/>
                                <w:sz w:val="21"/>
                                <w:szCs w:val="21"/>
                              </w:rPr>
                              <w:t>采购量占比得分</w:t>
                            </w:r>
                          </w:p>
                        </w:txbxContent>
                      </wps:txbx>
                      <wps:bodyPr rot="0" vert="horz" wrap="square" lIns="91440" tIns="45720" rIns="91440" bIns="45720" anchor="t" anchorCtr="0" upright="1">
                        <a:noAutofit/>
                      </wps:bodyPr>
                    </wps:wsp>
                  </a:graphicData>
                </a:graphic>
              </wp:anchor>
            </w:drawing>
          </mc:Choice>
          <mc:Fallback>
            <w:pict>
              <v:shape id="Text Box 1056" o:spid="_x0000_s1026" o:spt="202" type="#_x0000_t202" style="position:absolute;left:0pt;margin-left:-8.5pt;margin-top:27pt;height:33.6pt;width:95.75pt;z-index:-251280384;mso-width-relative:page;mso-height-relative:page;" fillcolor="#FFFFFF" filled="t" stroked="f" coordsize="21600,21600" o:gfxdata="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Z8Xhx1wAAAAoBAAAPAAAAAAAAAAEAIAAAACIAAABkcnMvZG93&#10;bnJldi54bWxQSwECFAAUAAAACACHTuJArvFg7wECAADyAwAADgAAAAAAAAABACAAAAAmAQAAZHJz&#10;L2Uyb0RvYy54bWxQSwUGAAAAAAYABgBZAQAAmQUAAAAA&#10;">
                <v:fill on="t" focussize="0,0"/>
                <v:stroke on="f"/>
                <v:imagedata o:title=""/>
                <o:lock v:ext="edit" aspectratio="f"/>
                <v:textbox>
                  <w:txbxContent>
                    <w:p>
                      <w:pPr>
                        <w:rPr>
                          <w:sz w:val="21"/>
                          <w:szCs w:val="21"/>
                        </w:rPr>
                      </w:pPr>
                      <w:r>
                        <w:rPr>
                          <w:rFonts w:hint="eastAsia" w:ascii="方正仿宋_GBK" w:hAnsi="方正仿宋_GBK" w:eastAsia="方正仿宋_GBK" w:cs="方正仿宋_GBK"/>
                          <w:sz w:val="21"/>
                          <w:szCs w:val="21"/>
                        </w:rPr>
                        <w:t>采购量占比得分</w:t>
                      </w:r>
                    </w:p>
                  </w:txbxContent>
                </v:textbox>
              </v:shape>
            </w:pict>
          </mc:Fallback>
        </mc:AlternateContent>
      </w:r>
      <w:r>
        <w:rPr>
          <w:rFonts w:hint="eastAsia" w:eastAsia="方正仿宋_GBK" w:cs="方正仿宋_GBK"/>
        </w:rPr>
        <w:t xml:space="preserve">     =</w:t>
      </w:r>
      <m:oMath>
        <m:f>
          <m:fPr>
            <m:ctrlPr>
              <w:rPr>
                <w:rFonts w:ascii="Cambria Math" w:hAnsi="Cambria Math" w:eastAsia="方正仿宋_GBK" w:cs="方正仿宋_GBK"/>
              </w:rPr>
            </m:ctrlPr>
          </m:fPr>
          <m:num>
            <m:r>
              <m:rPr>
                <m:sty m:val="p"/>
              </m:rPr>
              <w:rPr>
                <w:rFonts w:ascii="Cambria Math" w:hAnsi="Cambria Math" w:eastAsia="方正仿宋_GBK" w:cs="方正仿宋_GBK"/>
              </w:rPr>
              <m:t>申报企业</m:t>
            </m:r>
            <m:r>
              <m:rPr>
                <m:sty m:val="p"/>
              </m:rPr>
              <w:rPr>
                <w:rFonts w:hint="eastAsia" w:ascii="Cambria Math" w:hAnsi="Cambria Math" w:eastAsia="方正仿宋_GBK" w:cs="方正仿宋_GBK"/>
              </w:rPr>
              <m:t>同通用名该品规2019年采购量</m:t>
            </m:r>
            <m:ctrlPr>
              <w:rPr>
                <w:rFonts w:ascii="Cambria Math" w:hAnsi="Cambria Math" w:eastAsia="方正仿宋_GBK" w:cs="方正仿宋_GBK"/>
              </w:rPr>
            </m:ctrlPr>
          </m:num>
          <m:den>
            <m:r>
              <m:rPr>
                <m:sty m:val="p"/>
              </m:rPr>
              <w:rPr>
                <w:rFonts w:hint="eastAsia" w:ascii="Cambria Math" w:hAnsi="Cambria Math" w:eastAsia="方正仿宋_GBK" w:cs="方正仿宋_GBK"/>
              </w:rPr>
              <m:t>同通用名该品规2019年</m:t>
            </m:r>
            <m:r>
              <m:rPr>
                <m:sty m:val="p"/>
              </m:rPr>
              <w:rPr>
                <w:rFonts w:ascii="Cambria Math" w:hAnsi="Cambria Math" w:eastAsia="方正仿宋_GBK" w:cs="方正仿宋_GBK"/>
              </w:rPr>
              <m:t>联合采购地区</m:t>
            </m:r>
            <m:r>
              <m:rPr>
                <m:sty m:val="p"/>
              </m:rPr>
              <w:rPr>
                <w:rFonts w:hint="eastAsia" w:ascii="Cambria Math" w:hAnsi="Cambria Math" w:eastAsia="方正仿宋_GBK" w:cs="方正仿宋_GBK"/>
              </w:rPr>
              <m:t>累计采购总量</m:t>
            </m:r>
            <m:ctrlPr>
              <w:rPr>
                <w:rFonts w:ascii="Cambria Math" w:hAnsi="Cambria Math" w:eastAsia="方正仿宋_GBK" w:cs="方正仿宋_GBK"/>
              </w:rPr>
            </m:ctrlPr>
          </m:den>
        </m:f>
      </m:oMath>
      <w:r>
        <w:rPr>
          <w:rFonts w:hint="eastAsia" w:eastAsia="方正仿宋_GBK" w:cs="方正仿宋_GBK"/>
        </w:rPr>
        <w:t>×</w:t>
      </w:r>
      <w:r>
        <w:rPr>
          <w:rFonts w:hint="eastAsia" w:eastAsia="方正仿宋_GBK" w:cs="方正仿宋_GBK"/>
          <w:sz w:val="24"/>
          <w:szCs w:val="24"/>
        </w:rPr>
        <w:t xml:space="preserve">100×20% </w:t>
      </w:r>
    </w:p>
    <w:p>
      <w:pPr>
        <w:pStyle w:val="24"/>
        <w:spacing w:line="1200" w:lineRule="exact"/>
        <w:ind w:firstLine="640"/>
        <w:rPr>
          <w:rFonts w:eastAsia="方正仿宋_GBK" w:cs="方正仿宋_GBK"/>
        </w:rPr>
      </w:pPr>
      <w:r>
        <w:rPr>
          <w:rFonts w:hint="eastAsia" w:eastAsia="方正仿宋_GBK" w:cs="方正仿宋_GBK"/>
        </w:rPr>
        <w:t>注：1.目录中涉及2个规格的，合并计算。</w:t>
      </w:r>
    </w:p>
    <w:p>
      <w:pPr>
        <w:spacing w:line="620" w:lineRule="exact"/>
        <w:ind w:firstLine="640" w:firstLineChars="200"/>
        <w:rPr>
          <w:rFonts w:eastAsia="方正仿宋_GBK" w:cs="方正仿宋_GBK"/>
        </w:rPr>
      </w:pPr>
      <w:r>
        <w:rPr>
          <w:rFonts w:hint="eastAsia"/>
        </w:rPr>
        <w:t xml:space="preserve">    2.</w:t>
      </w:r>
      <w:r>
        <w:rPr>
          <w:rFonts w:hint="eastAsia" w:eastAsia="方正仿宋_GBK" w:cs="方正仿宋_GBK"/>
        </w:rPr>
        <w:t>奥硝唑氯化钠计算医疗机构数量及采购量包括不同包材的药品。</w:t>
      </w:r>
    </w:p>
    <w:p>
      <w:pPr>
        <w:spacing w:line="620" w:lineRule="exact"/>
        <w:ind w:firstLine="1280" w:firstLineChars="400"/>
        <w:rPr>
          <w:rFonts w:eastAsia="方正仿宋_GBK" w:cs="方正仿宋_GBK"/>
        </w:rPr>
      </w:pPr>
      <w:r>
        <w:rPr>
          <w:rFonts w:hint="eastAsia" w:eastAsia="方正仿宋_GBK" w:cs="方正仿宋_GBK"/>
        </w:rPr>
        <w:t>3.噻托溴铵计算医疗机构数量及采购量包括带装置和不带装置的药品。</w:t>
      </w:r>
    </w:p>
    <w:p>
      <w:pPr>
        <w:pStyle w:val="24"/>
        <w:spacing w:line="620" w:lineRule="exact"/>
        <w:ind w:firstLine="640"/>
        <w:rPr>
          <w:rFonts w:eastAsia="方正仿宋_GBK" w:cs="方正仿宋_GBK"/>
        </w:rPr>
      </w:pPr>
      <w:r>
        <w:rPr>
          <w:rFonts w:hint="eastAsia" w:eastAsia="方正仿宋_GBK" w:cs="方正仿宋_GBK"/>
        </w:rPr>
        <w:t>第二步议价：按照中选价（同组同质量层次入围最低单位可比价）与同组同质量层次入围单位可比价较高的第二家企业（次低价）进行议价，接受中选价的，则该产品为第二顺位拟中选企业。不接受中选价的，视同放弃。</w:t>
      </w:r>
    </w:p>
    <w:p>
      <w:pPr>
        <w:pStyle w:val="24"/>
        <w:numPr>
          <w:ilvl w:val="0"/>
          <w:numId w:val="3"/>
        </w:numPr>
        <w:spacing w:line="570" w:lineRule="exact"/>
        <w:ind w:firstLine="640"/>
        <w:rPr>
          <w:rFonts w:ascii="方正仿宋_GBK" w:hAnsi="方正仿宋_GBK" w:eastAsia="方正仿宋_GBK" w:cs="方正仿宋_GBK"/>
        </w:rPr>
      </w:pPr>
      <w:r>
        <w:rPr>
          <w:rFonts w:hint="eastAsia" w:eastAsia="方正仿宋_GBK" w:cs="方正仿宋_GBK"/>
        </w:rPr>
        <w:t>议价谈判方式确定拟中选企业。同分组同质量层次申报企业为2家及以下的确定1家拟中选企业，采取议价谈判采购的方式，参照所有评审组中3家及以上申报企业评审组中选价的平均降幅，进行议价。若同分组同质量层次1家议价，不低于议价降幅标准的，确定为拟中选产品；若同分组同质量层次2家议价，不低于议价降幅标准且单位可比价最低的，确定为拟中选产品，若单位可比价相同，则以医疗机构覆盖率顺序，确定为拟中选产品。</w:t>
      </w:r>
    </w:p>
    <w:p>
      <w:pPr>
        <w:spacing w:line="620" w:lineRule="exact"/>
        <w:ind w:firstLine="640" w:firstLineChars="200"/>
        <w:rPr>
          <w:rFonts w:eastAsia="方正楷体_GBK" w:cs="方正仿宋_GBK"/>
        </w:rPr>
      </w:pPr>
      <w:r>
        <w:rPr>
          <w:rFonts w:hint="eastAsia" w:eastAsia="方正楷体_GBK" w:cs="方正仿宋_GBK"/>
        </w:rPr>
        <w:t>（三）价格纠偏</w:t>
      </w:r>
    </w:p>
    <w:p>
      <w:pPr>
        <w:pStyle w:val="24"/>
        <w:spacing w:line="620" w:lineRule="exact"/>
        <w:ind w:firstLine="640"/>
        <w:rPr>
          <w:rFonts w:eastAsia="方正仿宋_GBK" w:cs="方正仿宋_GBK"/>
        </w:rPr>
      </w:pPr>
      <w:r>
        <w:rPr>
          <w:rFonts w:hint="eastAsia" w:eastAsia="方正仿宋_GBK" w:cs="方正仿宋_GBK"/>
        </w:rPr>
        <w:t>对同分组不同质量层次之间价格异常的，以及不符合报价限价要求但企业有合理诉求且有利于竞争的，原则上可进行价格纠偏，必要时组织专家进行价格纠偏谈判。对价格异常但不接受价格纠偏的，可取消其拟中选资格或中标资格。</w:t>
      </w:r>
    </w:p>
    <w:p>
      <w:pPr>
        <w:spacing w:line="620" w:lineRule="exact"/>
        <w:ind w:firstLine="640" w:firstLineChars="200"/>
        <w:rPr>
          <w:rFonts w:eastAsia="方正楷体_GBK" w:cs="方正仿宋_GBK"/>
        </w:rPr>
      </w:pPr>
      <w:r>
        <w:rPr>
          <w:rFonts w:hint="eastAsia" w:eastAsia="方正楷体_GBK" w:cs="方正仿宋_GBK"/>
        </w:rPr>
        <w:t>（四）中选品种确定</w:t>
      </w:r>
    </w:p>
    <w:p>
      <w:pPr>
        <w:widowControl/>
        <w:spacing w:line="620" w:lineRule="exact"/>
        <w:ind w:firstLine="640" w:firstLineChars="200"/>
        <w:rPr>
          <w:rFonts w:eastAsia="方正仿宋_GBK" w:cs="方正仿宋_GBK"/>
        </w:rPr>
      </w:pPr>
      <w:r>
        <w:rPr>
          <w:rFonts w:hint="eastAsia" w:eastAsia="方正仿宋_GBK" w:cs="方正仿宋_GBK"/>
        </w:rPr>
        <w:t>1．拟中选结果公示</w:t>
      </w:r>
    </w:p>
    <w:p>
      <w:pPr>
        <w:widowControl/>
        <w:spacing w:line="620" w:lineRule="exact"/>
        <w:ind w:firstLine="640" w:firstLineChars="200"/>
        <w:rPr>
          <w:rFonts w:eastAsia="方正仿宋_GBK" w:cs="方正仿宋_GBK"/>
        </w:rPr>
      </w:pPr>
      <w:r>
        <w:rPr>
          <w:rFonts w:hint="eastAsia" w:eastAsia="方正仿宋_GBK" w:cs="方正仿宋_GBK"/>
        </w:rPr>
        <w:t>以拟中选企业最终报价作为该企业申报产品的拟中选价格。拟中选结果（不含中选价）在平台予以公示，并在规定时间内接受实名制申投诉。申投诉需递交企业授权代理人身份证复印件和加盖企业公章的对应纸质资料。</w:t>
      </w:r>
    </w:p>
    <w:p>
      <w:pPr>
        <w:widowControl/>
        <w:spacing w:line="620" w:lineRule="exact"/>
        <w:ind w:firstLine="640" w:firstLineChars="200"/>
        <w:rPr>
          <w:rFonts w:eastAsia="方正仿宋_GBK" w:cs="方正仿宋_GBK"/>
        </w:rPr>
      </w:pPr>
      <w:r>
        <w:rPr>
          <w:rFonts w:hint="eastAsia" w:eastAsia="方正仿宋_GBK" w:cs="方正仿宋_GBK"/>
        </w:rPr>
        <w:t>2．中选结果公布</w:t>
      </w:r>
    </w:p>
    <w:p>
      <w:pPr>
        <w:widowControl/>
        <w:spacing w:line="620" w:lineRule="exact"/>
        <w:ind w:firstLine="640" w:firstLineChars="200"/>
        <w:rPr>
          <w:rFonts w:eastAsia="方正仿宋_GBK" w:cs="方正仿宋_GBK"/>
        </w:rPr>
      </w:pPr>
      <w:r>
        <w:rPr>
          <w:rFonts w:hint="eastAsia" w:eastAsia="方正仿宋_GBK" w:cs="方正仿宋_GBK"/>
        </w:rPr>
        <w:t>拟中选结果公示无异议后，中选结果公布并挂网执行。</w:t>
      </w:r>
      <w:bookmarkStart w:id="40" w:name="_Toc32706"/>
    </w:p>
    <w:p>
      <w:pPr>
        <w:spacing w:line="620" w:lineRule="exact"/>
        <w:ind w:firstLine="640" w:firstLineChars="200"/>
        <w:rPr>
          <w:rFonts w:eastAsia="方正楷体_GBK" w:cs="方正仿宋_GBK"/>
        </w:rPr>
      </w:pPr>
      <w:r>
        <w:rPr>
          <w:rFonts w:hint="eastAsia" w:eastAsia="方正楷体_GBK" w:cs="方正仿宋_GBK"/>
        </w:rPr>
        <w:t>（</w:t>
      </w:r>
      <w:bookmarkEnd w:id="40"/>
      <w:bookmarkStart w:id="41" w:name="_Toc8833"/>
      <w:r>
        <w:rPr>
          <w:rFonts w:hint="eastAsia" w:eastAsia="方正楷体_GBK" w:cs="方正仿宋_GBK"/>
        </w:rPr>
        <w:t>四）药品购销</w:t>
      </w:r>
      <w:bookmarkEnd w:id="41"/>
      <w:r>
        <w:rPr>
          <w:rFonts w:hint="eastAsia" w:eastAsia="方正楷体_GBK" w:cs="方正仿宋_GBK"/>
        </w:rPr>
        <w:t>协议</w:t>
      </w:r>
    </w:p>
    <w:p>
      <w:pPr>
        <w:spacing w:line="620" w:lineRule="exact"/>
        <w:ind w:firstLine="640" w:firstLineChars="200"/>
        <w:rPr>
          <w:rFonts w:eastAsia="方正仿宋_GBK" w:cs="方正仿宋_GBK"/>
        </w:rPr>
      </w:pPr>
      <w:r>
        <w:rPr>
          <w:rFonts w:hint="eastAsia" w:eastAsia="方正仿宋_GBK" w:cs="方正仿宋_GBK"/>
        </w:rPr>
        <w:t>1．采购办公室发布中选通知后，按照中选药品及其中选价格在重庆药品采购平台上完成挂网工作，按要求组织签订购销协议并执行。</w:t>
      </w:r>
    </w:p>
    <w:p>
      <w:pPr>
        <w:spacing w:line="620" w:lineRule="exact"/>
        <w:ind w:firstLine="652" w:firstLineChars="204"/>
        <w:rPr>
          <w:rFonts w:eastAsia="方正仿宋_GBK" w:cs="方正仿宋_GBK"/>
        </w:rPr>
      </w:pPr>
      <w:r>
        <w:rPr>
          <w:rFonts w:hint="eastAsia" w:eastAsia="方正仿宋_GBK" w:cs="方正仿宋_GBK"/>
        </w:rPr>
        <w:t>2．购销协议必须如实反映实际供应价格和采购量，参与本次采购的医疗机构要统一回款方式，从药品验收入库并于采购平台确认之日算起，平均回款时间不超过30天。</w:t>
      </w:r>
    </w:p>
    <w:p>
      <w:pPr>
        <w:spacing w:line="620" w:lineRule="exact"/>
        <w:ind w:firstLine="640" w:firstLineChars="200"/>
        <w:rPr>
          <w:rFonts w:eastAsia="方正仿宋_GBK" w:cs="方正仿宋_GBK"/>
        </w:rPr>
      </w:pPr>
      <w:r>
        <w:rPr>
          <w:rFonts w:hint="eastAsia" w:eastAsia="方正仿宋_GBK" w:cs="方正仿宋_GBK"/>
        </w:rPr>
        <w:t>3．购销协议签订后，医疗机构与中选企业不得再订立背离协议实质性内容的其他协议，或提出除协议之外的任何利益性要求。</w:t>
      </w:r>
    </w:p>
    <w:p>
      <w:pPr>
        <w:spacing w:line="620" w:lineRule="exact"/>
        <w:rPr>
          <w:rFonts w:eastAsia="方正仿宋_GBK" w:cs="方正仿宋_GBK"/>
        </w:rPr>
      </w:pPr>
      <w:r>
        <w:rPr>
          <w:rFonts w:hint="eastAsia"/>
        </w:rPr>
        <w:t xml:space="preserve">    4．</w:t>
      </w:r>
      <w:r>
        <w:rPr>
          <w:rFonts w:hint="eastAsia" w:eastAsia="方正仿宋_GBK" w:cs="方正仿宋_GBK"/>
        </w:rPr>
        <w:t>实行医保预付金政策，购销协议签订10个工作日内，将中选品种不低于约定采购量需求对应采购金额的30%预付给协议公立医疗机构，在采购期第6个月末，将剩余金额预付给协议公立医疗机构。若采购地区有特殊预付金规定的，由采购地区自行确定。</w:t>
      </w:r>
    </w:p>
    <w:p>
      <w:pPr>
        <w:pStyle w:val="3"/>
        <w:spacing w:before="0" w:after="0" w:line="600" w:lineRule="exact"/>
        <w:rPr>
          <w:rFonts w:ascii="Times New Roman" w:hAnsi="Times New Roman" w:eastAsia="方正黑体_GBK" w:cs="方正黑体_GBK"/>
          <w:b w:val="0"/>
          <w:bCs w:val="0"/>
          <w:kern w:val="32"/>
        </w:rPr>
      </w:pPr>
      <w:bookmarkStart w:id="42" w:name="_Toc53152588"/>
      <w:bookmarkStart w:id="43" w:name="_Toc22111"/>
      <w:r>
        <w:rPr>
          <w:rFonts w:hint="eastAsia" w:ascii="Times New Roman" w:hAnsi="Times New Roman" w:eastAsia="方正黑体_GBK" w:cs="方正黑体_GBK"/>
          <w:b w:val="0"/>
          <w:bCs w:val="0"/>
          <w:kern w:val="32"/>
        </w:rPr>
        <w:t>六、其他</w:t>
      </w:r>
      <w:bookmarkEnd w:id="42"/>
      <w:bookmarkEnd w:id="43"/>
    </w:p>
    <w:p>
      <w:pPr>
        <w:spacing w:line="620" w:lineRule="exact"/>
        <w:ind w:firstLine="640" w:firstLineChars="200"/>
        <w:rPr>
          <w:rFonts w:hint="eastAsia" w:ascii="方正仿宋_GBK" w:hAnsi="方正仿宋_GBK" w:eastAsia="方正仿宋_GBK" w:cs="方正仿宋_GBK"/>
          <w:b/>
          <w:bCs/>
        </w:rPr>
      </w:pPr>
      <w:bookmarkStart w:id="44" w:name="_Toc16889"/>
      <w:r>
        <w:rPr>
          <w:rFonts w:hint="eastAsia" w:ascii="方正仿宋_GBK" w:hAnsi="方正仿宋_GBK" w:eastAsia="方正仿宋_GBK" w:cs="方正仿宋_GBK"/>
          <w:b/>
          <w:bCs/>
        </w:rPr>
        <w:t>（一）非中选和未纳入带量采购产品监控</w:t>
      </w:r>
    </w:p>
    <w:p>
      <w:pPr>
        <w:spacing w:line="620" w:lineRule="exact"/>
        <w:ind w:firstLine="640" w:firstLineChars="200"/>
        <w:rPr>
          <w:rFonts w:eastAsia="方正仿宋_GBK" w:cs="方正仿宋_GBK"/>
        </w:rPr>
      </w:pPr>
      <w:r>
        <w:rPr>
          <w:rFonts w:hint="eastAsia" w:eastAsia="方正仿宋_GBK" w:cs="方正仿宋_GBK"/>
        </w:rPr>
        <w:t>非中选产品和未纳入带量采购同通用名同给药途径的产品全部纳入监控管理，其采购量原则上不得高于上一年度历史采购量，不得超过中选药品采购数量。</w:t>
      </w:r>
    </w:p>
    <w:p>
      <w:pPr>
        <w:spacing w:line="620" w:lineRule="exact"/>
        <w:ind w:firstLine="640" w:firstLineChars="200"/>
        <w:rPr>
          <w:rFonts w:hint="eastAsia" w:ascii="方正仿宋_GBK" w:hAnsi="方正仿宋_GBK" w:eastAsia="方正仿宋_GBK" w:cs="方正仿宋_GBK"/>
          <w:b/>
          <w:bCs/>
        </w:rPr>
      </w:pPr>
      <w:r>
        <w:rPr>
          <w:rFonts w:hint="eastAsia" w:ascii="方正仿宋_GBK" w:hAnsi="方正仿宋_GBK" w:eastAsia="方正仿宋_GBK" w:cs="方正仿宋_GBK"/>
          <w:b/>
          <w:bCs/>
        </w:rPr>
        <w:t>（二）申报企业、中选企业、配送企业如有以下行为，经有关部门认定情节严重的将被列入“违规名单”</w:t>
      </w:r>
      <w:bookmarkEnd w:id="44"/>
      <w:r>
        <w:rPr>
          <w:rFonts w:hint="eastAsia" w:ascii="方正仿宋_GBK" w:hAnsi="方正仿宋_GBK" w:eastAsia="方正仿宋_GBK" w:cs="方正仿宋_GBK"/>
          <w:b/>
          <w:bCs/>
        </w:rPr>
        <w:t>：</w:t>
      </w:r>
    </w:p>
    <w:p>
      <w:pPr>
        <w:spacing w:line="620" w:lineRule="exact"/>
        <w:ind w:firstLine="640" w:firstLineChars="200"/>
        <w:rPr>
          <w:rFonts w:eastAsia="方正仿宋_GBK" w:cs="方正仿宋_GBK"/>
        </w:rPr>
      </w:pPr>
      <w:r>
        <w:rPr>
          <w:rFonts w:hint="eastAsia" w:eastAsia="方正仿宋_GBK" w:cs="方正仿宋_GBK"/>
        </w:rPr>
        <w:t>1．提供回扣或其他商业贿赂，进行非法促销活动。</w:t>
      </w:r>
    </w:p>
    <w:p>
      <w:pPr>
        <w:spacing w:line="620" w:lineRule="exact"/>
        <w:ind w:firstLine="640" w:firstLineChars="200"/>
        <w:rPr>
          <w:rFonts w:eastAsia="方正仿宋_GBK" w:cs="方正仿宋_GBK"/>
        </w:rPr>
      </w:pPr>
      <w:r>
        <w:rPr>
          <w:rFonts w:hint="eastAsia" w:eastAsia="方正仿宋_GBK" w:cs="方正仿宋_GBK"/>
        </w:rPr>
        <w:t>2．以低于成本的价格恶意申报，扰乱市场秩序。</w:t>
      </w:r>
    </w:p>
    <w:p>
      <w:pPr>
        <w:spacing w:line="620" w:lineRule="exact"/>
        <w:ind w:firstLine="640" w:firstLineChars="200"/>
        <w:rPr>
          <w:rFonts w:eastAsia="方正仿宋_GBK" w:cs="方正仿宋_GBK"/>
        </w:rPr>
      </w:pPr>
      <w:r>
        <w:rPr>
          <w:rFonts w:hint="eastAsia" w:eastAsia="方正仿宋_GBK" w:cs="方正仿宋_GBK"/>
        </w:rPr>
        <w:t>3．相互串通申报，排斥其他申报企业的公平竞争，损害医疗机构或者其他申报企业的合法利益。</w:t>
      </w:r>
    </w:p>
    <w:p>
      <w:pPr>
        <w:spacing w:line="620" w:lineRule="exact"/>
        <w:ind w:firstLine="640" w:firstLineChars="200"/>
        <w:rPr>
          <w:rFonts w:eastAsia="方正仿宋_GBK" w:cs="方正仿宋_GBK"/>
        </w:rPr>
      </w:pPr>
      <w:r>
        <w:rPr>
          <w:rFonts w:hint="eastAsia" w:eastAsia="方正仿宋_GBK" w:cs="方正仿宋_GBK"/>
        </w:rPr>
        <w:t>4．以向医疗机构、采购办公室行贿等手段牟取中选。</w:t>
      </w:r>
    </w:p>
    <w:p>
      <w:pPr>
        <w:spacing w:line="620" w:lineRule="exact"/>
        <w:ind w:firstLine="640" w:firstLineChars="200"/>
        <w:rPr>
          <w:rFonts w:eastAsia="方正仿宋_GBK" w:cs="方正仿宋_GBK"/>
        </w:rPr>
      </w:pPr>
      <w:r>
        <w:rPr>
          <w:rFonts w:hint="eastAsia" w:eastAsia="方正仿宋_GBK" w:cs="方正仿宋_GBK"/>
        </w:rPr>
        <w:t>5．蓄意干扰带量采购相关工作秩序。</w:t>
      </w:r>
    </w:p>
    <w:p>
      <w:pPr>
        <w:spacing w:line="620" w:lineRule="exact"/>
        <w:ind w:firstLine="640" w:firstLineChars="200"/>
        <w:rPr>
          <w:rFonts w:eastAsia="方正仿宋_GBK" w:cs="方正仿宋_GBK"/>
        </w:rPr>
      </w:pPr>
      <w:r>
        <w:rPr>
          <w:rFonts w:hint="eastAsia" w:eastAsia="方正仿宋_GBK" w:cs="方正仿宋_GBK"/>
        </w:rPr>
        <w:t>6．提供虚假证明文件及文献资料，或者以其他方式弄虚作假，骗取中选。</w:t>
      </w:r>
    </w:p>
    <w:p>
      <w:pPr>
        <w:spacing w:line="620" w:lineRule="exact"/>
        <w:ind w:firstLine="640" w:firstLineChars="200"/>
        <w:rPr>
          <w:rFonts w:eastAsia="方正仿宋_GBK" w:cs="方正仿宋_GBK"/>
        </w:rPr>
      </w:pPr>
      <w:r>
        <w:rPr>
          <w:rFonts w:hint="eastAsia" w:eastAsia="方正仿宋_GBK" w:cs="方正仿宋_GBK"/>
        </w:rPr>
        <w:t>7．在规定期限内不签订购销协议。</w:t>
      </w:r>
    </w:p>
    <w:p>
      <w:pPr>
        <w:spacing w:line="620" w:lineRule="exact"/>
        <w:ind w:firstLine="640" w:firstLineChars="200"/>
        <w:rPr>
          <w:rFonts w:eastAsia="方正仿宋_GBK" w:cs="方正仿宋_GBK"/>
        </w:rPr>
      </w:pPr>
      <w:r>
        <w:rPr>
          <w:rFonts w:hint="eastAsia" w:eastAsia="方正仿宋_GBK" w:cs="方正仿宋_GBK"/>
        </w:rPr>
        <w:t>8．中选企业、配送企业未按医疗机构及法律法规要求实行配送。</w:t>
      </w:r>
    </w:p>
    <w:p>
      <w:pPr>
        <w:spacing w:line="620" w:lineRule="exact"/>
        <w:ind w:firstLine="640" w:firstLineChars="200"/>
        <w:rPr>
          <w:rFonts w:eastAsia="方正仿宋_GBK" w:cs="方正仿宋_GBK"/>
        </w:rPr>
      </w:pPr>
      <w:r>
        <w:rPr>
          <w:rFonts w:hint="eastAsia" w:eastAsia="方正仿宋_GBK" w:cs="方正仿宋_GBK"/>
        </w:rPr>
        <w:t>9．中选后放弃中选资格。</w:t>
      </w:r>
    </w:p>
    <w:p>
      <w:pPr>
        <w:spacing w:line="620" w:lineRule="exact"/>
        <w:ind w:firstLine="640" w:firstLineChars="200"/>
        <w:rPr>
          <w:rFonts w:eastAsia="方正仿宋_GBK" w:cs="方正仿宋_GBK"/>
        </w:rPr>
      </w:pPr>
      <w:r>
        <w:rPr>
          <w:rFonts w:hint="eastAsia" w:eastAsia="方正仿宋_GBK" w:cs="方正仿宋_GBK"/>
        </w:rPr>
        <w:t>10．不履行供货承诺，影响到临床使用。</w:t>
      </w:r>
    </w:p>
    <w:p>
      <w:pPr>
        <w:spacing w:line="620" w:lineRule="exact"/>
        <w:ind w:firstLine="640" w:firstLineChars="200"/>
        <w:rPr>
          <w:rFonts w:eastAsia="方正仿宋_GBK" w:cs="方正仿宋_GBK"/>
        </w:rPr>
      </w:pPr>
      <w:r>
        <w:rPr>
          <w:rFonts w:hint="eastAsia" w:eastAsia="方正仿宋_GBK" w:cs="方正仿宋_GBK"/>
        </w:rPr>
        <w:t>11．中选产品发生严重质量问题。</w:t>
      </w:r>
    </w:p>
    <w:p>
      <w:pPr>
        <w:spacing w:line="620" w:lineRule="exact"/>
        <w:ind w:firstLine="640" w:firstLineChars="200"/>
        <w:rPr>
          <w:rFonts w:eastAsia="方正仿宋_GBK" w:cs="方正仿宋_GBK"/>
        </w:rPr>
      </w:pPr>
      <w:r>
        <w:rPr>
          <w:rFonts w:hint="eastAsia" w:eastAsia="方正仿宋_GBK" w:cs="方正仿宋_GBK"/>
        </w:rPr>
        <w:t>12．在抽检或飞行检查中发现中选企业严重违背在申报材料中作出的承诺。</w:t>
      </w:r>
    </w:p>
    <w:p>
      <w:pPr>
        <w:spacing w:line="620" w:lineRule="exact"/>
        <w:ind w:firstLine="640" w:firstLineChars="200"/>
        <w:rPr>
          <w:rFonts w:eastAsia="方正仿宋_GBK" w:cs="方正仿宋_GBK"/>
        </w:rPr>
      </w:pPr>
      <w:r>
        <w:rPr>
          <w:rFonts w:hint="eastAsia" w:eastAsia="方正仿宋_GBK" w:cs="方正仿宋_GBK"/>
        </w:rPr>
        <w:t>13．通过恶意投诉等不正当手段竞争的企业。</w:t>
      </w:r>
    </w:p>
    <w:p>
      <w:pPr>
        <w:spacing w:line="620" w:lineRule="exact"/>
        <w:ind w:firstLine="640" w:firstLineChars="200"/>
        <w:rPr>
          <w:rFonts w:eastAsia="方正仿宋_GBK" w:cs="方正仿宋_GBK"/>
        </w:rPr>
      </w:pPr>
      <w:r>
        <w:rPr>
          <w:rFonts w:hint="eastAsia" w:eastAsia="方正仿宋_GBK" w:cs="方正仿宋_GBK"/>
        </w:rPr>
        <w:t>14．其他违反法律法规的行为。</w:t>
      </w:r>
    </w:p>
    <w:p>
      <w:pPr>
        <w:spacing w:line="620" w:lineRule="exact"/>
        <w:ind w:firstLine="640" w:firstLineChars="200"/>
        <w:rPr>
          <w:rFonts w:hint="eastAsia" w:ascii="方正仿宋_GBK" w:hAnsi="方正仿宋_GBK" w:eastAsia="方正仿宋_GBK" w:cs="方正仿宋_GBK"/>
          <w:b/>
          <w:bCs/>
        </w:rPr>
      </w:pPr>
      <w:r>
        <w:rPr>
          <w:rFonts w:hint="eastAsia" w:ascii="方正仿宋_GBK" w:hAnsi="方正仿宋_GBK" w:eastAsia="方正仿宋_GBK" w:cs="方正仿宋_GBK"/>
          <w:b/>
          <w:bCs/>
        </w:rPr>
        <w:t>（三）列入“违规名单”的，按以下条款处理</w:t>
      </w:r>
    </w:p>
    <w:p>
      <w:pPr>
        <w:spacing w:line="620" w:lineRule="exact"/>
        <w:ind w:firstLine="640" w:firstLineChars="200"/>
        <w:rPr>
          <w:rFonts w:eastAsia="方正仿宋_GBK" w:cs="方正仿宋_GBK"/>
        </w:rPr>
      </w:pPr>
      <w:r>
        <w:rPr>
          <w:rFonts w:hint="eastAsia" w:eastAsia="方正仿宋_GBK" w:cs="方正仿宋_GBK"/>
        </w:rPr>
        <w:t>1．申报企业列入“违规名单”的，取消该企业的申报资格；中选企业列入“违规名单”的，取消中选资格。同时视情节轻重取消上述企业在列入“违规名单”之日起2年内参与联合采购地区药品耗材集中采购活动的资格，并将相关信息通报国家医保局和各省（市）医保、卫生健康、市场监管、药监等部门。</w:t>
      </w:r>
    </w:p>
    <w:p>
      <w:pPr>
        <w:spacing w:line="620" w:lineRule="exact"/>
        <w:ind w:firstLine="640" w:firstLineChars="200"/>
        <w:rPr>
          <w:rFonts w:eastAsia="方正仿宋_GBK" w:cs="方正仿宋_GBK"/>
        </w:rPr>
      </w:pPr>
      <w:r>
        <w:rPr>
          <w:rFonts w:hint="eastAsia" w:eastAsia="方正仿宋_GBK" w:cs="方正仿宋_GBK"/>
        </w:rPr>
        <w:t>2．配送企业列入“违规名单”的，取消该企业的配送资格及列入“违规名单”之日起2年内参与联合采购地区药品耗材集中采购配送的资格。</w:t>
      </w:r>
    </w:p>
    <w:p>
      <w:pPr>
        <w:spacing w:line="620" w:lineRule="exact"/>
        <w:ind w:firstLine="640" w:firstLineChars="200"/>
        <w:rPr>
          <w:rFonts w:eastAsia="方正楷体_GBK" w:cs="方正仿宋_GBK"/>
        </w:rPr>
      </w:pPr>
      <w:r>
        <w:rPr>
          <w:rFonts w:hint="eastAsia" w:eastAsia="方正楷体_GBK" w:cs="方正仿宋_GBK"/>
        </w:rPr>
        <w:t>（四）报送库存</w:t>
      </w:r>
    </w:p>
    <w:p>
      <w:pPr>
        <w:spacing w:line="620" w:lineRule="exact"/>
        <w:ind w:firstLine="640" w:firstLineChars="200"/>
        <w:rPr>
          <w:rFonts w:eastAsia="方正仿宋_GBK" w:cs="方正仿宋_GBK"/>
        </w:rPr>
      </w:pPr>
      <w:r>
        <w:rPr>
          <w:rFonts w:hint="eastAsia" w:eastAsia="方正仿宋_GBK" w:cs="方正仿宋_GBK"/>
        </w:rPr>
        <w:t>各中选企业应每月向采购办公室报送中选药品的库存数量。</w:t>
      </w:r>
    </w:p>
    <w:p>
      <w:pPr>
        <w:spacing w:line="620" w:lineRule="exact"/>
        <w:ind w:firstLine="640" w:firstLineChars="200"/>
        <w:rPr>
          <w:rFonts w:eastAsia="方正楷体_GBK" w:cs="方正仿宋_GBK"/>
        </w:rPr>
      </w:pPr>
      <w:r>
        <w:rPr>
          <w:rFonts w:hint="eastAsia" w:eastAsia="方正楷体_GBK" w:cs="方正仿宋_GBK"/>
        </w:rPr>
        <w:t>（五）其他事项</w:t>
      </w:r>
    </w:p>
    <w:p>
      <w:pPr>
        <w:spacing w:line="560" w:lineRule="exact"/>
        <w:ind w:firstLine="640" w:firstLineChars="200"/>
        <w:rPr>
          <w:rFonts w:eastAsia="方正仿宋_GBK" w:cs="方正仿宋_GBK"/>
          <w:iCs/>
        </w:rPr>
      </w:pPr>
      <w:r>
        <w:rPr>
          <w:rFonts w:hint="eastAsia" w:eastAsia="方正仿宋_GBK" w:cs="方正仿宋_GBK"/>
          <w:iCs/>
        </w:rPr>
        <w:t>1．采购周期内，中选企业出现无法保证供应等情况，致使协议无法继续履行时，采购办公室与该企业协商后，从本次药品带量采购该品种其他中选企业中确定替补的供应企业。因保障供应产生的额外支出由无法履行协议的原中选企业承担。</w:t>
      </w:r>
    </w:p>
    <w:p>
      <w:pPr>
        <w:spacing w:line="560" w:lineRule="exact"/>
        <w:ind w:firstLine="640" w:firstLineChars="200"/>
        <w:rPr>
          <w:rFonts w:eastAsia="方正仿宋_GBK" w:cs="方正仿宋_GBK"/>
          <w:iCs/>
        </w:rPr>
      </w:pPr>
      <w:r>
        <w:rPr>
          <w:rFonts w:hint="eastAsia" w:eastAsia="方正仿宋_GBK" w:cs="方正仿宋_GBK"/>
          <w:iCs/>
        </w:rPr>
        <w:t>2．采购周期内，若中选药品配送企业被列入“违规名单”，采购办公室应及时处理，组织中选企业选择其他配送企业，确保中选药品及时配送。</w:t>
      </w:r>
    </w:p>
    <w:p>
      <w:pPr>
        <w:spacing w:line="560" w:lineRule="exact"/>
        <w:ind w:firstLine="640" w:firstLineChars="200"/>
        <w:rPr>
          <w:rFonts w:eastAsia="方正仿宋_GBK" w:cs="方正仿宋_GBK"/>
          <w:iCs/>
        </w:rPr>
      </w:pPr>
      <w:r>
        <w:rPr>
          <w:rFonts w:hint="eastAsia" w:eastAsia="方正仿宋_GBK" w:cs="方正仿宋_GBK"/>
          <w:iCs/>
        </w:rPr>
        <w:t>3．患者因使用中选药品生产质量问题造成的损失，按照相关规定，由中选企业承担全部赔偿责任。</w:t>
      </w:r>
    </w:p>
    <w:p>
      <w:pPr>
        <w:spacing w:line="560" w:lineRule="exact"/>
        <w:ind w:firstLine="480" w:firstLineChars="150"/>
        <w:rPr>
          <w:rFonts w:eastAsia="方正仿宋_GBK" w:cs="方正仿宋_GBK"/>
          <w:iCs/>
        </w:rPr>
      </w:pPr>
      <w:r>
        <w:rPr>
          <w:rFonts w:hint="eastAsia" w:eastAsia="方正仿宋_GBK" w:cs="方正仿宋_GBK"/>
          <w:iCs/>
        </w:rPr>
        <w:t>（六）本采购文件仅适用于本药品带量采购所述项目的药品，最终解释权归采购办公室。</w:t>
      </w:r>
    </w:p>
    <w:p>
      <w:pPr>
        <w:pStyle w:val="2"/>
      </w:pPr>
    </w:p>
    <w:p>
      <w:pPr>
        <w:pStyle w:val="2"/>
        <w:numPr>
          <w:ilvl w:val="0"/>
          <w:numId w:val="1"/>
        </w:numPr>
        <w:spacing w:before="0" w:after="0" w:line="570" w:lineRule="exact"/>
        <w:jc w:val="center"/>
        <w:rPr>
          <w:rFonts w:ascii="方正小标宋_GBK" w:hAnsi="方正小标宋_GBK" w:eastAsia="方正小标宋_GBK" w:cs="方正小标宋_GBK"/>
          <w:b w:val="0"/>
        </w:rPr>
      </w:pPr>
      <w:bookmarkStart w:id="45" w:name="_Toc53152589"/>
      <w:r>
        <w:rPr>
          <w:rFonts w:hint="eastAsia" w:ascii="方正小标宋_GBK" w:hAnsi="方正小标宋_GBK" w:eastAsia="方正小标宋_GBK" w:cs="方正小标宋_GBK"/>
          <w:b w:val="0"/>
        </w:rPr>
        <w:t xml:space="preserve"> 附件</w:t>
      </w:r>
      <w:bookmarkEnd w:id="45"/>
    </w:p>
    <w:p/>
    <w:p>
      <w:pPr>
        <w:pStyle w:val="3"/>
        <w:spacing w:before="0" w:after="0" w:line="570" w:lineRule="exact"/>
        <w:ind w:firstLine="0" w:firstLineChars="0"/>
        <w:rPr>
          <w:rFonts w:ascii="Times New Roman" w:hAnsi="Times New Roman" w:eastAsia="方正仿宋_GBK" w:cs="方正仿宋_GBK"/>
          <w:b w:val="0"/>
        </w:rPr>
      </w:pPr>
      <w:bookmarkStart w:id="46" w:name="_Toc53152590"/>
      <w:r>
        <w:rPr>
          <w:rFonts w:hint="eastAsia" w:ascii="Times New Roman" w:hAnsi="Times New Roman" w:eastAsia="方正黑体_GBK" w:cs="方正仿宋_GBK"/>
          <w:b w:val="0"/>
        </w:rPr>
        <w:t>附件1</w:t>
      </w:r>
    </w:p>
    <w:p>
      <w:pPr>
        <w:pStyle w:val="3"/>
        <w:spacing w:before="0" w:after="0" w:line="570" w:lineRule="exact"/>
        <w:ind w:firstLine="0" w:firstLineChars="0"/>
        <w:rPr>
          <w:rFonts w:ascii="Times New Roman" w:hAnsi="Times New Roman" w:eastAsia="方正仿宋_GBK" w:cs="方正仿宋_GBK"/>
          <w:b w:val="0"/>
        </w:rPr>
      </w:pPr>
    </w:p>
    <w:p>
      <w:pPr>
        <w:pStyle w:val="3"/>
        <w:spacing w:before="0" w:after="0" w:line="570" w:lineRule="exact"/>
        <w:ind w:firstLine="0" w:firstLineChars="0"/>
        <w:jc w:val="center"/>
        <w:rPr>
          <w:rFonts w:ascii="方正小标宋_GBK" w:hAnsi="方正小标宋_GBK" w:eastAsia="方正小标宋_GBK" w:cs="方正小标宋_GBK"/>
          <w:b w:val="0"/>
          <w:sz w:val="36"/>
          <w:szCs w:val="36"/>
        </w:rPr>
      </w:pPr>
      <w:r>
        <w:rPr>
          <w:rFonts w:hint="eastAsia" w:ascii="方正小标宋_GBK" w:hAnsi="方正小标宋_GBK" w:eastAsia="方正小标宋_GBK" w:cs="方正小标宋_GBK"/>
          <w:b w:val="0"/>
          <w:sz w:val="36"/>
          <w:szCs w:val="36"/>
        </w:rPr>
        <w:t>药品带量采购申报函</w:t>
      </w:r>
      <w:bookmarkEnd w:id="46"/>
    </w:p>
    <w:p>
      <w:pPr>
        <w:spacing w:line="600" w:lineRule="exact"/>
        <w:jc w:val="left"/>
        <w:rPr>
          <w:rFonts w:eastAsia="方正仿宋_GBK" w:cs="方正仿宋_GBK"/>
        </w:rPr>
      </w:pPr>
      <w:r>
        <w:rPr>
          <w:rFonts w:hint="eastAsia" w:eastAsia="方正仿宋_GBK" w:cs="方正仿宋_GBK"/>
        </w:rPr>
        <w:t>采购办公室：</w:t>
      </w:r>
    </w:p>
    <w:p>
      <w:pPr>
        <w:spacing w:line="600" w:lineRule="exact"/>
        <w:ind w:firstLine="600"/>
        <w:rPr>
          <w:rFonts w:eastAsia="方正仿宋_GBK" w:cs="方正仿宋_GBK"/>
        </w:rPr>
      </w:pPr>
      <w:r>
        <w:rPr>
          <w:rFonts w:hint="eastAsia" w:eastAsia="方正仿宋_GBK" w:cs="方正仿宋_GBK"/>
        </w:rPr>
        <w:t>在充分理解《</w:t>
      </w:r>
      <w:r>
        <w:rPr>
          <w:rFonts w:hint="eastAsia" w:eastAsia="方正仿宋_GBK"/>
        </w:rPr>
        <w:t>重庆市贵州省云南省湖南省广西壮族自治区第一批常用药品联合带量采购文件</w:t>
      </w:r>
      <w:r>
        <w:rPr>
          <w:rFonts w:hint="eastAsia" w:eastAsia="方正仿宋_GBK" w:cs="方正仿宋_GBK"/>
        </w:rPr>
        <w:t>》（编号：</w:t>
      </w:r>
      <w:r>
        <w:rPr>
          <w:rFonts w:hint="eastAsia" w:eastAsia="方正仿宋简体"/>
        </w:rPr>
        <w:t>CGYHG—</w:t>
      </w:r>
      <w:r>
        <w:rPr>
          <w:rFonts w:hint="eastAsia" w:eastAsia="方正黑体_GBK"/>
        </w:rPr>
        <w:t>YP</w:t>
      </w:r>
      <w:r>
        <w:rPr>
          <w:rFonts w:hint="eastAsia" w:eastAsia="方正仿宋简体"/>
        </w:rPr>
        <w:t>DL2020-1</w:t>
      </w:r>
      <w:r>
        <w:rPr>
          <w:rFonts w:hint="eastAsia" w:eastAsia="方正仿宋_GBK" w:cs="方正仿宋_GBK"/>
        </w:rPr>
        <w:t>）后，我方决定按照采购文件的规定参与申报。我方保证申报价格及所提供全部证明材料的真实性、合法性、有效性。</w:t>
      </w:r>
    </w:p>
    <w:p>
      <w:pPr>
        <w:spacing w:line="600" w:lineRule="exact"/>
        <w:ind w:firstLine="600"/>
        <w:rPr>
          <w:rFonts w:eastAsia="方正仿宋_GBK" w:cs="方正仿宋_GBK"/>
        </w:rPr>
      </w:pPr>
      <w:r>
        <w:rPr>
          <w:rFonts w:hint="eastAsia" w:eastAsia="方正仿宋_GBK" w:cs="方正仿宋_GBK"/>
        </w:rPr>
        <w:t>我方已充分考虑到原材料价格等因素，并以此申报。我方承诺申报价不低于本企业该品种成本价。我方完全理解并遵守采购文件中的中选药品确认准则，理解贵方不一定要接受最低申报价的申报，所有分组不一定有中选结果。</w:t>
      </w:r>
    </w:p>
    <w:p>
      <w:pPr>
        <w:spacing w:line="600" w:lineRule="exact"/>
        <w:ind w:firstLine="600"/>
        <w:rPr>
          <w:rFonts w:eastAsia="方正仿宋_GBK" w:cs="方正仿宋_GBK"/>
        </w:rPr>
      </w:pPr>
      <w:r>
        <w:rPr>
          <w:rFonts w:hint="eastAsia" w:eastAsia="方正仿宋_GBK" w:cs="方正仿宋_GBK"/>
        </w:rPr>
        <w:t>我方承诺确保在采购周期内满足采购地区中选药品约定采购量需求，具有履行协议必须具备的药品供应能力，对药品的质量和供应负责。如果我方药品中选，将按要求及时组织生产，及时向配送企业发送药品，满足医疗机构临床使用需求，确保中选药品的价格、质量和数量等一切要素按照购销协议履行。</w:t>
      </w:r>
    </w:p>
    <w:p>
      <w:pPr>
        <w:spacing w:line="600" w:lineRule="exact"/>
        <w:ind w:firstLine="640" w:firstLineChars="200"/>
        <w:rPr>
          <w:rFonts w:eastAsia="方正仿宋_GBK"/>
        </w:rPr>
      </w:pPr>
      <w:r>
        <w:rPr>
          <w:rFonts w:hint="eastAsia" w:eastAsia="方正仿宋_GBK" w:cs="方正仿宋_GBK"/>
        </w:rPr>
        <w:t>我方承诺</w:t>
      </w:r>
      <w:r>
        <w:rPr>
          <w:rFonts w:hint="eastAsia" w:eastAsia="方正仿宋_GBK"/>
        </w:rPr>
        <w:t>申报的药品符合国家药品标准和经国家药品监督管理部门核准的药品质量标准，并按照国家药监局药审中心关于发布《化学药物中亚硝胺类杂质研究技术指导原则（试行）》的通告（2020 年1号）组织生产。</w:t>
      </w:r>
    </w:p>
    <w:p>
      <w:pPr>
        <w:spacing w:line="600" w:lineRule="exact"/>
        <w:ind w:firstLine="600"/>
        <w:rPr>
          <w:rFonts w:eastAsia="方正仿宋_GBK" w:cs="方正仿宋_GBK"/>
        </w:rPr>
      </w:pPr>
      <w:r>
        <w:rPr>
          <w:rFonts w:hint="eastAsia" w:eastAsia="方正仿宋_GBK" w:cs="方正仿宋_GBK"/>
        </w:rPr>
        <w:t>我方承诺申报品种不存在违反《专利法》《反不正当竞争法》等相关法律法规的情形，该承诺在采购周期内持续有效，若产生相关纠纷，给医疗机构造成的损失由我方承担。</w:t>
      </w:r>
    </w:p>
    <w:p>
      <w:pPr>
        <w:tabs>
          <w:tab w:val="left" w:pos="7980"/>
        </w:tabs>
        <w:spacing w:line="600" w:lineRule="exact"/>
        <w:ind w:firstLine="640" w:firstLineChars="200"/>
        <w:rPr>
          <w:rFonts w:eastAsia="方正仿宋_GBK" w:cs="方正仿宋_GBK"/>
        </w:rPr>
      </w:pPr>
      <w:r>
        <w:rPr>
          <w:rFonts w:hint="eastAsia" w:eastAsia="方正仿宋_GBK" w:cs="方正仿宋_GBK"/>
        </w:rPr>
        <w:t>我方承诺同采购办公室无利益关系，不会为达成此项目与采购方进行任何不正当联系，不与其他企业串通申报、协商报价，不与申报同品种的其他企业存在直接控股、管理的关系或企业负责人为同一人的情况。不干扰集中采购相关工作秩序，不会在申报过程中有任何违法违规行为。在正式协议签订前，本申报函和中选结果通知将构成约束双方的协议。</w:t>
      </w:r>
    </w:p>
    <w:p>
      <w:pPr>
        <w:spacing w:line="600" w:lineRule="exact"/>
        <w:ind w:firstLine="5120" w:firstLineChars="1600"/>
        <w:rPr>
          <w:rFonts w:eastAsia="方正仿宋_GBK" w:cs="方正仿宋_GBK"/>
        </w:rPr>
      </w:pPr>
    </w:p>
    <w:p>
      <w:pPr>
        <w:spacing w:line="600" w:lineRule="exact"/>
        <w:ind w:firstLine="5120" w:firstLineChars="1600"/>
        <w:rPr>
          <w:rFonts w:eastAsia="方正仿宋_GBK" w:cs="方正仿宋_GBK"/>
        </w:rPr>
      </w:pPr>
    </w:p>
    <w:p>
      <w:pPr>
        <w:spacing w:line="600" w:lineRule="exact"/>
        <w:ind w:firstLine="3200" w:firstLineChars="1000"/>
        <w:rPr>
          <w:rFonts w:eastAsia="方正仿宋_GBK" w:cs="方正仿宋_GBK"/>
          <w:u w:val="single"/>
        </w:rPr>
      </w:pPr>
      <w:r>
        <w:rPr>
          <w:rFonts w:hint="eastAsia" w:eastAsia="方正仿宋_GBK" w:cs="方正仿宋_GBK"/>
        </w:rPr>
        <w:t>　　　　　　　申报企业（盖章）：</w:t>
      </w:r>
    </w:p>
    <w:p>
      <w:pPr>
        <w:spacing w:line="600" w:lineRule="exact"/>
        <w:ind w:firstLine="5184" w:firstLineChars="1620"/>
        <w:rPr>
          <w:rFonts w:eastAsia="方正仿宋_GBK" w:cs="方正仿宋_GBK"/>
        </w:rPr>
      </w:pPr>
      <w:r>
        <w:rPr>
          <w:rFonts w:hint="eastAsia" w:eastAsia="方正仿宋_GBK" w:cs="方正仿宋_GBK"/>
        </w:rPr>
        <w:t>　日期：　年　月 日</w:t>
      </w:r>
    </w:p>
    <w:p>
      <w:pPr>
        <w:pStyle w:val="6"/>
        <w:spacing w:line="570" w:lineRule="exact"/>
        <w:rPr>
          <w:rFonts w:ascii="Times New Roman" w:eastAsia="方正仿宋_GBK" w:cs="方正仿宋_GBK"/>
          <w:sz w:val="32"/>
          <w:szCs w:val="32"/>
        </w:rPr>
      </w:pPr>
    </w:p>
    <w:p>
      <w:pPr>
        <w:pStyle w:val="6"/>
        <w:spacing w:line="570" w:lineRule="exact"/>
        <w:rPr>
          <w:rFonts w:ascii="Times New Roman" w:eastAsia="方正仿宋_GBK" w:cs="方正仿宋_GBK"/>
          <w:sz w:val="32"/>
          <w:szCs w:val="32"/>
        </w:rPr>
      </w:pPr>
    </w:p>
    <w:p>
      <w:pPr>
        <w:pStyle w:val="3"/>
        <w:spacing w:before="0" w:after="0" w:line="570" w:lineRule="exact"/>
        <w:ind w:firstLine="0" w:firstLineChars="0"/>
        <w:rPr>
          <w:rFonts w:ascii="Times New Roman" w:hAnsi="Times New Roman" w:eastAsia="方正仿宋_GBK" w:cs="方正仿宋_GBK"/>
          <w:b w:val="0"/>
        </w:rPr>
      </w:pPr>
      <w:bookmarkStart w:id="47" w:name="_Toc43738642"/>
      <w:bookmarkStart w:id="48" w:name="_Toc53152591"/>
      <w:r>
        <w:rPr>
          <w:rFonts w:hint="eastAsia" w:ascii="Times New Roman" w:hAnsi="Times New Roman" w:eastAsia="方正黑体_GBK" w:cs="方正仿宋_GBK"/>
          <w:b w:val="0"/>
        </w:rPr>
        <w:t>附件2</w:t>
      </w:r>
      <w:bookmarkEnd w:id="47"/>
    </w:p>
    <w:p/>
    <w:p>
      <w:pPr>
        <w:pStyle w:val="3"/>
        <w:spacing w:before="0" w:after="0" w:line="530" w:lineRule="exact"/>
        <w:ind w:firstLine="0" w:firstLineChars="0"/>
        <w:jc w:val="center"/>
        <w:rPr>
          <w:rFonts w:ascii="方正小标宋_GBK" w:hAnsi="方正小标宋_GBK" w:eastAsia="方正小标宋_GBK" w:cs="方正小标宋_GBK"/>
          <w:b w:val="0"/>
          <w:sz w:val="36"/>
          <w:szCs w:val="36"/>
        </w:rPr>
      </w:pPr>
      <w:r>
        <w:rPr>
          <w:rFonts w:hint="eastAsia" w:ascii="方正小标宋_GBK" w:hAnsi="方正小标宋_GBK" w:eastAsia="方正小标宋_GBK" w:cs="方正小标宋_GBK"/>
          <w:b w:val="0"/>
          <w:sz w:val="36"/>
          <w:szCs w:val="36"/>
        </w:rPr>
        <w:t>药品带量采购项目法定代表人授权书</w:t>
      </w:r>
      <w:bookmarkEnd w:id="48"/>
    </w:p>
    <w:p>
      <w:pPr>
        <w:spacing w:line="570" w:lineRule="exact"/>
        <w:ind w:firstLine="600"/>
        <w:rPr>
          <w:rFonts w:eastAsia="方正仿宋_GBK" w:cs="方正仿宋_GBK"/>
        </w:rPr>
      </w:pPr>
    </w:p>
    <w:p>
      <w:pPr>
        <w:spacing w:line="490" w:lineRule="exact"/>
        <w:ind w:firstLine="601"/>
        <w:rPr>
          <w:rFonts w:eastAsia="方正仿宋_GBK" w:cs="方正仿宋_GBK"/>
        </w:rPr>
      </w:pPr>
      <w:r>
        <w:rPr>
          <w:rFonts w:hint="eastAsia" w:eastAsia="方正仿宋_GBK" w:cs="方正仿宋_GBK"/>
        </w:rPr>
        <w:t>本授权书声明：注册于                    （地址）的                公司的           （法定代表人姓名、职务）授权本公司              （企业授权代理人的姓名、职务）为公司的合法代理人，就本次</w:t>
      </w:r>
      <w:r>
        <w:rPr>
          <w:rFonts w:hint="eastAsia" w:eastAsia="方正仿宋_GBK"/>
        </w:rPr>
        <w:t>重庆市贵州省云南省湖南省广西壮族自治区第一批常用药品联合带量采购</w:t>
      </w:r>
      <w:r>
        <w:rPr>
          <w:rFonts w:hint="eastAsia" w:eastAsia="方正仿宋_GBK" w:cs="方正仿宋_GBK"/>
        </w:rPr>
        <w:t>（编号</w:t>
      </w:r>
      <w:r>
        <w:rPr>
          <w:rFonts w:hint="eastAsia" w:eastAsia="方正仿宋简体"/>
        </w:rPr>
        <w:t>CGYHG—</w:t>
      </w:r>
      <w:r>
        <w:rPr>
          <w:rFonts w:hint="eastAsia" w:eastAsia="方正黑体_GBK"/>
        </w:rPr>
        <w:t>YP</w:t>
      </w:r>
      <w:r>
        <w:rPr>
          <w:rFonts w:hint="eastAsia" w:eastAsia="方正仿宋简体"/>
        </w:rPr>
        <w:t>DL2020-1</w:t>
      </w:r>
      <w:r>
        <w:rPr>
          <w:rFonts w:hint="eastAsia" w:eastAsia="方正仿宋_GBK" w:cs="方正仿宋_GBK"/>
        </w:rPr>
        <w:t>）项目，以本公司名义参与产品申报、报价、谈判、供应地区确认等一切与之相关的事务，本公司认可被授权人签署的相关说明、协议等法律文书的效力以及其作出的相关行为。本公司与被授权人共同承诺本次申报的真实性、合法性、有效性。</w:t>
      </w:r>
    </w:p>
    <w:p>
      <w:pPr>
        <w:spacing w:line="490" w:lineRule="exact"/>
        <w:ind w:firstLine="601"/>
        <w:rPr>
          <w:rFonts w:eastAsia="方正仿宋_GBK" w:cs="方正仿宋_GBK"/>
        </w:rPr>
      </w:pPr>
      <w:r>
        <w:rPr>
          <w:rFonts w:hint="eastAsia" w:eastAsia="方正仿宋_GBK" w:cs="方正仿宋_GBK"/>
        </w:rPr>
        <w:t>本授权书于       年       月      日签字生效，有效期至本次药品带量采购工作截止日止。</w:t>
      </w:r>
    </w:p>
    <w:p>
      <w:pPr>
        <w:spacing w:line="490" w:lineRule="exact"/>
        <w:ind w:firstLine="601"/>
        <w:rPr>
          <w:rFonts w:eastAsia="方正仿宋_GBK" w:cs="方正仿宋_GBK"/>
        </w:rPr>
      </w:pPr>
      <w:r>
        <w:rPr>
          <w:rFonts w:hint="eastAsia" w:eastAsia="方正仿宋_GBK" w:cs="方正仿宋_GBK"/>
        </w:rPr>
        <w:t>特此声明。</w:t>
      </w:r>
    </w:p>
    <w:p>
      <w:pPr>
        <w:spacing w:line="490" w:lineRule="exact"/>
        <w:ind w:firstLine="601"/>
        <w:rPr>
          <w:rFonts w:eastAsia="方正仿宋_GBK" w:cs="方正仿宋_GBK"/>
        </w:rPr>
      </w:pPr>
      <w:r>
        <w:rPr>
          <w:rFonts w:hint="eastAsia" w:eastAsia="方正仿宋_GBK" w:cs="方正仿宋_GBK"/>
        </w:rPr>
        <w:t xml:space="preserve">授权法定代表人签字或盖章：                </w:t>
      </w:r>
    </w:p>
    <w:p>
      <w:pPr>
        <w:spacing w:line="490" w:lineRule="exact"/>
        <w:ind w:firstLine="601"/>
        <w:rPr>
          <w:rFonts w:eastAsia="方正仿宋_GBK" w:cs="方正仿宋_GBK"/>
        </w:rPr>
      </w:pPr>
      <w:r>
        <w:rPr>
          <w:rFonts w:hint="eastAsia" w:eastAsia="方正仿宋_GBK" w:cs="方正仿宋_GBK"/>
        </w:rPr>
        <w:t xml:space="preserve">被授权人签字或盖章：               </w:t>
      </w:r>
    </w:p>
    <w:p>
      <w:pPr>
        <w:spacing w:line="490" w:lineRule="exact"/>
        <w:ind w:firstLine="601"/>
        <w:rPr>
          <w:rFonts w:eastAsia="方正仿宋_GBK" w:cs="方正仿宋_GBK"/>
        </w:rPr>
      </w:pPr>
      <w:r>
        <w:rPr>
          <w:rFonts w:hint="eastAsia" w:eastAsia="方正仿宋_GBK" w:cs="方正仿宋_GBK"/>
        </w:rPr>
        <w:t xml:space="preserve">被授权人联系方式（手机）：                                    </w:t>
      </w:r>
    </w:p>
    <w:p>
      <w:pPr>
        <w:spacing w:line="570" w:lineRule="exact"/>
        <w:rPr>
          <w:rFonts w:eastAsia="方正仿宋_GBK" w:cs="方正仿宋_GBK"/>
        </w:rPr>
      </w:pPr>
      <w:r>
        <w:rPr>
          <w:rFonts w:eastAsia="方正仿宋_GBK" w:cs="方正仿宋_GBK"/>
        </w:rPr>
        <mc:AlternateContent>
          <mc:Choice Requires="wps">
            <w:drawing>
              <wp:anchor distT="0" distB="0" distL="114300" distR="114300" simplePos="0" relativeHeight="251661312" behindDoc="0" locked="0" layoutInCell="1" allowOverlap="1">
                <wp:simplePos x="0" y="0"/>
                <wp:positionH relativeFrom="column">
                  <wp:posOffset>2933700</wp:posOffset>
                </wp:positionH>
                <wp:positionV relativeFrom="paragraph">
                  <wp:posOffset>170815</wp:posOffset>
                </wp:positionV>
                <wp:extent cx="2757170" cy="1387475"/>
                <wp:effectExtent l="0" t="0" r="5080" b="3175"/>
                <wp:wrapNone/>
                <wp:docPr id="1029" name="矩形 3"/>
                <wp:cNvGraphicFramePr/>
                <a:graphic xmlns:a="http://schemas.openxmlformats.org/drawingml/2006/main">
                  <a:graphicData uri="http://schemas.microsoft.com/office/word/2010/wordprocessingShape">
                    <wps:wsp>
                      <wps:cNvSpPr/>
                      <wps:spPr>
                        <a:xfrm>
                          <a:off x="0" y="0"/>
                          <a:ext cx="2757170" cy="138747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ind w:firstLine="560"/>
                              <w:jc w:val="center"/>
                              <w:rPr>
                                <w:rFonts w:ascii="仿宋_GB2312" w:hAnsi="宋体" w:eastAsia="仿宋_GB2312"/>
                                <w:bCs/>
                                <w:sz w:val="28"/>
                              </w:rPr>
                            </w:pPr>
                          </w:p>
                          <w:p>
                            <w:pPr>
                              <w:ind w:firstLine="560"/>
                              <w:jc w:val="center"/>
                              <w:rPr>
                                <w:rFonts w:ascii="仿宋_GB2312" w:hAnsi="宋体" w:eastAsia="仿宋_GB2312"/>
                                <w:bCs/>
                                <w:sz w:val="28"/>
                              </w:rPr>
                            </w:pPr>
                            <w:r>
                              <w:rPr>
                                <w:rFonts w:hint="eastAsia" w:ascii="仿宋_GB2312" w:hAnsi="宋体" w:eastAsia="仿宋_GB2312"/>
                                <w:bCs/>
                                <w:sz w:val="28"/>
                              </w:rPr>
                              <w:t>被授权人（申报代表）</w:t>
                            </w:r>
                          </w:p>
                          <w:p>
                            <w:pPr>
                              <w:ind w:firstLine="560"/>
                              <w:jc w:val="center"/>
                              <w:rPr>
                                <w:rFonts w:ascii="仿宋_GB2312" w:hAnsi="宋体" w:eastAsia="仿宋_GB2312"/>
                                <w:bCs/>
                                <w:sz w:val="28"/>
                              </w:rPr>
                            </w:pPr>
                            <w:r>
                              <w:rPr>
                                <w:rFonts w:hint="eastAsia" w:ascii="仿宋_GB2312" w:hAnsi="宋体" w:eastAsia="仿宋_GB2312"/>
                                <w:bCs/>
                                <w:sz w:val="28"/>
                              </w:rPr>
                              <w:t>居民身份证复印件反面</w:t>
                            </w:r>
                          </w:p>
                          <w:p>
                            <w:pPr>
                              <w:ind w:firstLine="560"/>
                              <w:jc w:val="center"/>
                              <w:rPr>
                                <w:rFonts w:ascii="仿宋_GB2312" w:hAnsi="宋体" w:eastAsia="仿宋_GB2312"/>
                                <w:bCs/>
                                <w:sz w:val="28"/>
                              </w:rPr>
                            </w:pPr>
                            <w:r>
                              <w:rPr>
                                <w:rFonts w:hint="eastAsia" w:ascii="仿宋_GB2312" w:hAnsi="宋体" w:eastAsia="仿宋_GB2312"/>
                                <w:bCs/>
                                <w:sz w:val="28"/>
                              </w:rPr>
                              <w:t>粘贴处</w:t>
                            </w:r>
                          </w:p>
                          <w:p>
                            <w:pPr>
                              <w:ind w:firstLine="560"/>
                              <w:jc w:val="center"/>
                              <w:rPr>
                                <w:rFonts w:ascii="仿宋_GB2312" w:hAnsi="宋体" w:eastAsia="仿宋_GB2312"/>
                                <w:bCs/>
                                <w:sz w:val="28"/>
                              </w:rPr>
                            </w:pPr>
                          </w:p>
                        </w:txbxContent>
                      </wps:txbx>
                      <wps:bodyPr upright="1"/>
                    </wps:wsp>
                  </a:graphicData>
                </a:graphic>
              </wp:anchor>
            </w:drawing>
          </mc:Choice>
          <mc:Fallback>
            <w:pict>
              <v:rect id="矩形 3" o:spid="_x0000_s1026" o:spt="1" style="position:absolute;left:0pt;margin-left:231pt;margin-top:13.45pt;height:109.25pt;width:217.1pt;z-index:251661312;mso-width-relative:page;mso-height-relative:page;" fillcolor="#FFFFFF" filled="t" stroked="t" coordsize="21600,21600" o:gfxdata="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F2M8YNkAAAAKAQAADwAAAAAAAAABACAAAAAiAAAAZHJzL2Rvd25yZXYueG1sUEsBAhQAFAAA&#10;AAgAh07iQJh4BKvuAQAA7QMAAA4AAAAAAAAAAQAgAAAAKAEAAGRycy9lMm9Eb2MueG1sUEsFBgAA&#10;AAAGAAYAWQEAAIgFAAAAAA==&#10;">
                <v:fill on="t" focussize="0,0"/>
                <v:stroke color="#000000" joinstyle="miter"/>
                <v:imagedata o:title=""/>
                <o:lock v:ext="edit" aspectratio="f"/>
                <v:textbox>
                  <w:txbxContent>
                    <w:p>
                      <w:pPr>
                        <w:ind w:firstLine="560"/>
                        <w:jc w:val="center"/>
                        <w:rPr>
                          <w:rFonts w:ascii="仿宋_GB2312" w:hAnsi="宋体" w:eastAsia="仿宋_GB2312"/>
                          <w:bCs/>
                          <w:sz w:val="28"/>
                        </w:rPr>
                      </w:pPr>
                    </w:p>
                    <w:p>
                      <w:pPr>
                        <w:ind w:firstLine="560"/>
                        <w:jc w:val="center"/>
                        <w:rPr>
                          <w:rFonts w:ascii="仿宋_GB2312" w:hAnsi="宋体" w:eastAsia="仿宋_GB2312"/>
                          <w:bCs/>
                          <w:sz w:val="28"/>
                        </w:rPr>
                      </w:pPr>
                      <w:r>
                        <w:rPr>
                          <w:rFonts w:hint="eastAsia" w:ascii="仿宋_GB2312" w:hAnsi="宋体" w:eastAsia="仿宋_GB2312"/>
                          <w:bCs/>
                          <w:sz w:val="28"/>
                        </w:rPr>
                        <w:t>被授权人（申报代表）</w:t>
                      </w:r>
                    </w:p>
                    <w:p>
                      <w:pPr>
                        <w:ind w:firstLine="560"/>
                        <w:jc w:val="center"/>
                        <w:rPr>
                          <w:rFonts w:ascii="仿宋_GB2312" w:hAnsi="宋体" w:eastAsia="仿宋_GB2312"/>
                          <w:bCs/>
                          <w:sz w:val="28"/>
                        </w:rPr>
                      </w:pPr>
                      <w:r>
                        <w:rPr>
                          <w:rFonts w:hint="eastAsia" w:ascii="仿宋_GB2312" w:hAnsi="宋体" w:eastAsia="仿宋_GB2312"/>
                          <w:bCs/>
                          <w:sz w:val="28"/>
                        </w:rPr>
                        <w:t>居民身份证复印件反面</w:t>
                      </w:r>
                    </w:p>
                    <w:p>
                      <w:pPr>
                        <w:ind w:firstLine="560"/>
                        <w:jc w:val="center"/>
                        <w:rPr>
                          <w:rFonts w:ascii="仿宋_GB2312" w:hAnsi="宋体" w:eastAsia="仿宋_GB2312"/>
                          <w:bCs/>
                          <w:sz w:val="28"/>
                        </w:rPr>
                      </w:pPr>
                      <w:r>
                        <w:rPr>
                          <w:rFonts w:hint="eastAsia" w:ascii="仿宋_GB2312" w:hAnsi="宋体" w:eastAsia="仿宋_GB2312"/>
                          <w:bCs/>
                          <w:sz w:val="28"/>
                        </w:rPr>
                        <w:t>粘贴处</w:t>
                      </w:r>
                    </w:p>
                    <w:p>
                      <w:pPr>
                        <w:ind w:firstLine="560"/>
                        <w:jc w:val="center"/>
                        <w:rPr>
                          <w:rFonts w:ascii="仿宋_GB2312" w:hAnsi="宋体" w:eastAsia="仿宋_GB2312"/>
                          <w:bCs/>
                          <w:sz w:val="28"/>
                        </w:rPr>
                      </w:pPr>
                    </w:p>
                  </w:txbxContent>
                </v:textbox>
              </v:rect>
            </w:pict>
          </mc:Fallback>
        </mc:AlternateContent>
      </w:r>
      <w:r>
        <w:rPr>
          <w:rFonts w:eastAsia="方正仿宋_GBK" w:cs="方正仿宋_GBK"/>
        </w:rPr>
        <mc:AlternateContent>
          <mc:Choice Requires="wps">
            <w:drawing>
              <wp:anchor distT="0" distB="0" distL="114300" distR="114300" simplePos="0" relativeHeight="251660288" behindDoc="0" locked="0" layoutInCell="1" allowOverlap="1">
                <wp:simplePos x="0" y="0"/>
                <wp:positionH relativeFrom="column">
                  <wp:posOffset>-31115</wp:posOffset>
                </wp:positionH>
                <wp:positionV relativeFrom="paragraph">
                  <wp:posOffset>158115</wp:posOffset>
                </wp:positionV>
                <wp:extent cx="2628900" cy="1390650"/>
                <wp:effectExtent l="0" t="0" r="0" b="0"/>
                <wp:wrapNone/>
                <wp:docPr id="1028" name="矩形 2"/>
                <wp:cNvGraphicFramePr/>
                <a:graphic xmlns:a="http://schemas.openxmlformats.org/drawingml/2006/main">
                  <a:graphicData uri="http://schemas.microsoft.com/office/word/2010/wordprocessingShape">
                    <wps:wsp>
                      <wps:cNvSpPr/>
                      <wps:spPr>
                        <a:xfrm>
                          <a:off x="0" y="0"/>
                          <a:ext cx="2628900" cy="139065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ascii="仿宋_GB2312" w:hAnsi="宋体" w:eastAsia="仿宋_GB2312"/>
                                <w:bCs/>
                                <w:sz w:val="28"/>
                              </w:rPr>
                            </w:pPr>
                          </w:p>
                          <w:p>
                            <w:pPr>
                              <w:jc w:val="center"/>
                              <w:rPr>
                                <w:rFonts w:ascii="仿宋_GB2312" w:hAnsi="宋体" w:eastAsia="仿宋_GB2312"/>
                                <w:bCs/>
                                <w:sz w:val="28"/>
                              </w:rPr>
                            </w:pPr>
                            <w:r>
                              <w:rPr>
                                <w:rFonts w:hint="eastAsia" w:ascii="仿宋_GB2312" w:hAnsi="宋体" w:eastAsia="仿宋_GB2312"/>
                                <w:bCs/>
                                <w:sz w:val="28"/>
                              </w:rPr>
                              <w:t>被授权人（申报代表）</w:t>
                            </w:r>
                          </w:p>
                          <w:p>
                            <w:pPr>
                              <w:jc w:val="center"/>
                              <w:rPr>
                                <w:rFonts w:ascii="仿宋_GB2312" w:hAnsi="宋体" w:eastAsia="仿宋_GB2312"/>
                                <w:bCs/>
                                <w:sz w:val="28"/>
                              </w:rPr>
                            </w:pPr>
                            <w:r>
                              <w:rPr>
                                <w:rFonts w:hint="eastAsia" w:ascii="仿宋_GB2312" w:hAnsi="宋体" w:eastAsia="仿宋_GB2312"/>
                                <w:bCs/>
                                <w:sz w:val="28"/>
                              </w:rPr>
                              <w:t>居民身份证复印件正面</w:t>
                            </w:r>
                          </w:p>
                          <w:p>
                            <w:pPr>
                              <w:jc w:val="center"/>
                              <w:rPr>
                                <w:rFonts w:ascii="仿宋_GB2312" w:hAnsi="宋体" w:eastAsia="仿宋_GB2312"/>
                                <w:bCs/>
                                <w:sz w:val="28"/>
                              </w:rPr>
                            </w:pPr>
                            <w:r>
                              <w:rPr>
                                <w:rFonts w:hint="eastAsia" w:ascii="仿宋_GB2312" w:hAnsi="宋体" w:eastAsia="仿宋_GB2312"/>
                                <w:bCs/>
                                <w:sz w:val="28"/>
                              </w:rPr>
                              <w:t>粘贴处</w:t>
                            </w:r>
                          </w:p>
                          <w:p>
                            <w:pPr>
                              <w:ind w:firstLine="560"/>
                              <w:jc w:val="center"/>
                              <w:rPr>
                                <w:rFonts w:ascii="仿宋_GB2312" w:hAnsi="宋体" w:eastAsia="仿宋_GB2312"/>
                                <w:bCs/>
                                <w:sz w:val="28"/>
                              </w:rPr>
                            </w:pPr>
                          </w:p>
                        </w:txbxContent>
                      </wps:txbx>
                      <wps:bodyPr upright="1"/>
                    </wps:wsp>
                  </a:graphicData>
                </a:graphic>
              </wp:anchor>
            </w:drawing>
          </mc:Choice>
          <mc:Fallback>
            <w:pict>
              <v:rect id="矩形 2" o:spid="_x0000_s1026" o:spt="1" style="position:absolute;left:0pt;margin-left:-2.45pt;margin-top:12.45pt;height:109.5pt;width:207pt;z-index:251660288;mso-width-relative:page;mso-height-relative:page;" fillcolor="#FFFFFF" filled="t" stroked="t" coordsize="21600,21600" o:gfxdata="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7zn/09cAAAAJAQAADwAAAAAAAAABACAAAAAiAAAAZHJzL2Rvd25yZXYueG1sUEsBAhQAFAAA&#10;AAgAh07iQFkMwvjwAQAA7QMAAA4AAAAAAAAAAQAgAAAAJgEAAGRycy9lMm9Eb2MueG1sUEsFBgAA&#10;AAAGAAYAWQEAAIgFAAAAAA==&#10;">
                <v:fill on="t" focussize="0,0"/>
                <v:stroke color="#000000" joinstyle="miter"/>
                <v:imagedata o:title=""/>
                <o:lock v:ext="edit" aspectratio="f"/>
                <v:textbox>
                  <w:txbxContent>
                    <w:p>
                      <w:pPr>
                        <w:jc w:val="center"/>
                        <w:rPr>
                          <w:rFonts w:ascii="仿宋_GB2312" w:hAnsi="宋体" w:eastAsia="仿宋_GB2312"/>
                          <w:bCs/>
                          <w:sz w:val="28"/>
                        </w:rPr>
                      </w:pPr>
                    </w:p>
                    <w:p>
                      <w:pPr>
                        <w:jc w:val="center"/>
                        <w:rPr>
                          <w:rFonts w:ascii="仿宋_GB2312" w:hAnsi="宋体" w:eastAsia="仿宋_GB2312"/>
                          <w:bCs/>
                          <w:sz w:val="28"/>
                        </w:rPr>
                      </w:pPr>
                      <w:r>
                        <w:rPr>
                          <w:rFonts w:hint="eastAsia" w:ascii="仿宋_GB2312" w:hAnsi="宋体" w:eastAsia="仿宋_GB2312"/>
                          <w:bCs/>
                          <w:sz w:val="28"/>
                        </w:rPr>
                        <w:t>被授权人（申报代表）</w:t>
                      </w:r>
                    </w:p>
                    <w:p>
                      <w:pPr>
                        <w:jc w:val="center"/>
                        <w:rPr>
                          <w:rFonts w:ascii="仿宋_GB2312" w:hAnsi="宋体" w:eastAsia="仿宋_GB2312"/>
                          <w:bCs/>
                          <w:sz w:val="28"/>
                        </w:rPr>
                      </w:pPr>
                      <w:r>
                        <w:rPr>
                          <w:rFonts w:hint="eastAsia" w:ascii="仿宋_GB2312" w:hAnsi="宋体" w:eastAsia="仿宋_GB2312"/>
                          <w:bCs/>
                          <w:sz w:val="28"/>
                        </w:rPr>
                        <w:t>居民身份证复印件正面</w:t>
                      </w:r>
                    </w:p>
                    <w:p>
                      <w:pPr>
                        <w:jc w:val="center"/>
                        <w:rPr>
                          <w:rFonts w:ascii="仿宋_GB2312" w:hAnsi="宋体" w:eastAsia="仿宋_GB2312"/>
                          <w:bCs/>
                          <w:sz w:val="28"/>
                        </w:rPr>
                      </w:pPr>
                      <w:r>
                        <w:rPr>
                          <w:rFonts w:hint="eastAsia" w:ascii="仿宋_GB2312" w:hAnsi="宋体" w:eastAsia="仿宋_GB2312"/>
                          <w:bCs/>
                          <w:sz w:val="28"/>
                        </w:rPr>
                        <w:t>粘贴处</w:t>
                      </w:r>
                    </w:p>
                    <w:p>
                      <w:pPr>
                        <w:ind w:firstLine="560"/>
                        <w:jc w:val="center"/>
                        <w:rPr>
                          <w:rFonts w:ascii="仿宋_GB2312" w:hAnsi="宋体" w:eastAsia="仿宋_GB2312"/>
                          <w:bCs/>
                          <w:sz w:val="28"/>
                        </w:rPr>
                      </w:pPr>
                    </w:p>
                  </w:txbxContent>
                </v:textbox>
              </v:rect>
            </w:pict>
          </mc:Fallback>
        </mc:AlternateContent>
      </w:r>
    </w:p>
    <w:p>
      <w:pPr>
        <w:spacing w:line="570" w:lineRule="exact"/>
        <w:ind w:firstLine="600"/>
        <w:rPr>
          <w:rFonts w:eastAsia="方正仿宋_GBK" w:cs="方正仿宋_GBK"/>
        </w:rPr>
      </w:pPr>
    </w:p>
    <w:p>
      <w:pPr>
        <w:spacing w:line="570" w:lineRule="exact"/>
        <w:ind w:firstLine="600"/>
        <w:rPr>
          <w:rFonts w:eastAsia="方正仿宋_GBK" w:cs="方正仿宋_GBK"/>
        </w:rPr>
      </w:pPr>
    </w:p>
    <w:p>
      <w:pPr>
        <w:spacing w:line="570" w:lineRule="exact"/>
        <w:ind w:firstLine="600"/>
        <w:rPr>
          <w:rFonts w:eastAsia="方正仿宋_GBK" w:cs="方正仿宋_GBK"/>
        </w:rPr>
      </w:pPr>
    </w:p>
    <w:p>
      <w:pPr>
        <w:widowControl/>
        <w:spacing w:line="570" w:lineRule="exact"/>
        <w:jc w:val="left"/>
        <w:rPr>
          <w:rFonts w:eastAsia="方正仿宋_GBK" w:cs="方正仿宋_GBK"/>
        </w:rPr>
        <w:sectPr>
          <w:footerReference r:id="rId11" w:type="default"/>
          <w:pgSz w:w="11906" w:h="16838"/>
          <w:pgMar w:top="2098" w:right="1474" w:bottom="1984" w:left="1587" w:header="851" w:footer="992" w:gutter="0"/>
          <w:pgNumType w:fmt="numberInDash" w:start="1"/>
          <w:cols w:space="0" w:num="1"/>
          <w:formProt w:val="0"/>
          <w:docGrid w:type="lines" w:linePitch="439" w:charSpace="0"/>
        </w:sectPr>
      </w:pPr>
      <w:r>
        <w:rPr>
          <w:rFonts w:hint="eastAsia" w:eastAsia="方正仿宋_GBK" w:cs="方正仿宋_GBK"/>
        </w:rPr>
        <w:t>注：身份证粘贴处要加盖企业鲜章</w:t>
      </w:r>
    </w:p>
    <w:tbl>
      <w:tblPr>
        <w:tblStyle w:val="15"/>
        <w:tblpPr w:leftFromText="180" w:rightFromText="180" w:vertAnchor="text" w:horzAnchor="margin" w:tblpXSpec="center" w:tblpY="1064"/>
        <w:tblOverlap w:val="never"/>
        <w:tblW w:w="15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0"/>
        <w:gridCol w:w="1562"/>
        <w:gridCol w:w="1841"/>
        <w:gridCol w:w="1417"/>
        <w:gridCol w:w="1345"/>
        <w:gridCol w:w="1550"/>
        <w:gridCol w:w="1393"/>
        <w:gridCol w:w="1244"/>
        <w:gridCol w:w="1134"/>
        <w:gridCol w:w="1137"/>
        <w:gridCol w:w="1126"/>
        <w:gridCol w:w="1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8" w:hRule="atLeast"/>
        </w:trPr>
        <w:tc>
          <w:tcPr>
            <w:tcW w:w="1100" w:type="dxa"/>
            <w:tcBorders>
              <w:top w:val="single" w:color="auto" w:sz="4" w:space="0"/>
              <w:left w:val="single" w:color="auto" w:sz="4" w:space="0"/>
              <w:bottom w:val="single" w:color="auto" w:sz="4" w:space="0"/>
              <w:right w:val="single" w:color="auto" w:sz="4" w:space="0"/>
            </w:tcBorders>
            <w:vAlign w:val="center"/>
          </w:tcPr>
          <w:p>
            <w:pPr>
              <w:widowControl/>
              <w:spacing w:line="570" w:lineRule="exact"/>
              <w:jc w:val="center"/>
              <w:rPr>
                <w:rFonts w:eastAsia="方正仿宋_GBK" w:cs="宋体"/>
                <w:bCs/>
                <w:kern w:val="0"/>
                <w:sz w:val="18"/>
                <w:szCs w:val="18"/>
              </w:rPr>
            </w:pPr>
            <w:r>
              <w:rPr>
                <w:rFonts w:hint="eastAsia" w:eastAsia="方正仿宋_GBK" w:cs="宋体"/>
                <w:bCs/>
                <w:kern w:val="0"/>
                <w:sz w:val="18"/>
                <w:szCs w:val="18"/>
              </w:rPr>
              <w:t>目录序号</w:t>
            </w:r>
          </w:p>
        </w:tc>
        <w:tc>
          <w:tcPr>
            <w:tcW w:w="1562"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平台产品标识号</w:t>
            </w:r>
          </w:p>
        </w:tc>
        <w:tc>
          <w:tcPr>
            <w:tcW w:w="1841"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药品通用名</w:t>
            </w:r>
          </w:p>
        </w:tc>
        <w:tc>
          <w:tcPr>
            <w:tcW w:w="1417"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剂型</w:t>
            </w:r>
          </w:p>
        </w:tc>
        <w:tc>
          <w:tcPr>
            <w:tcW w:w="1345"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规格</w:t>
            </w:r>
          </w:p>
        </w:tc>
        <w:tc>
          <w:tcPr>
            <w:tcW w:w="1550" w:type="dxa"/>
            <w:vAlign w:val="center"/>
          </w:tcPr>
          <w:p>
            <w:pPr>
              <w:widowControl/>
              <w:spacing w:line="570" w:lineRule="exact"/>
              <w:ind w:firstLine="264" w:firstLineChars="147"/>
              <w:jc w:val="center"/>
              <w:rPr>
                <w:rFonts w:eastAsia="方正仿宋_GBK" w:cs="宋体"/>
                <w:bCs/>
                <w:color w:val="000000"/>
                <w:kern w:val="0"/>
                <w:sz w:val="18"/>
                <w:szCs w:val="18"/>
              </w:rPr>
            </w:pPr>
            <w:r>
              <w:rPr>
                <w:rFonts w:hint="eastAsia" w:eastAsia="方正仿宋_GBK" w:cs="宋体"/>
                <w:bCs/>
                <w:color w:val="000000"/>
                <w:kern w:val="0"/>
                <w:sz w:val="18"/>
                <w:szCs w:val="18"/>
              </w:rPr>
              <w:t>包装规格</w:t>
            </w:r>
          </w:p>
        </w:tc>
        <w:tc>
          <w:tcPr>
            <w:tcW w:w="1393"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生产企业</w:t>
            </w:r>
          </w:p>
        </w:tc>
        <w:tc>
          <w:tcPr>
            <w:tcW w:w="1244" w:type="dxa"/>
            <w:vAlign w:val="center"/>
          </w:tcPr>
          <w:p>
            <w:pPr>
              <w:widowControl/>
              <w:spacing w:line="570" w:lineRule="exact"/>
              <w:ind w:firstLine="90" w:firstLineChars="50"/>
              <w:rPr>
                <w:rFonts w:eastAsia="方正仿宋_GBK" w:cs="宋体"/>
                <w:bCs/>
                <w:color w:val="000000"/>
                <w:kern w:val="0"/>
                <w:sz w:val="18"/>
                <w:szCs w:val="18"/>
              </w:rPr>
            </w:pPr>
            <w:r>
              <w:rPr>
                <w:rFonts w:hint="eastAsia" w:eastAsia="方正仿宋_GBK" w:cs="宋体"/>
                <w:bCs/>
                <w:color w:val="000000"/>
                <w:kern w:val="0"/>
                <w:sz w:val="18"/>
                <w:szCs w:val="18"/>
              </w:rPr>
              <w:t>申报企业</w:t>
            </w:r>
          </w:p>
        </w:tc>
        <w:tc>
          <w:tcPr>
            <w:tcW w:w="1134" w:type="dxa"/>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计价单位</w:t>
            </w:r>
          </w:p>
        </w:tc>
        <w:tc>
          <w:tcPr>
            <w:tcW w:w="1137" w:type="dxa"/>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在执行全国最低价(元)</w:t>
            </w:r>
          </w:p>
        </w:tc>
        <w:tc>
          <w:tcPr>
            <w:tcW w:w="1126" w:type="dxa"/>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在执行全国最低价省份</w:t>
            </w:r>
          </w:p>
        </w:tc>
        <w:tc>
          <w:tcPr>
            <w:tcW w:w="1126"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5" w:hRule="atLeast"/>
        </w:trPr>
        <w:tc>
          <w:tcPr>
            <w:tcW w:w="1100" w:type="dxa"/>
            <w:tcBorders>
              <w:top w:val="single" w:color="auto" w:sz="4" w:space="0"/>
              <w:left w:val="single" w:color="auto" w:sz="4" w:space="0"/>
              <w:bottom w:val="single" w:color="auto" w:sz="4" w:space="0"/>
              <w:right w:val="single" w:color="auto" w:sz="4" w:space="0"/>
            </w:tcBorders>
            <w:vAlign w:val="center"/>
          </w:tcPr>
          <w:p>
            <w:pPr>
              <w:widowControl/>
              <w:spacing w:line="570" w:lineRule="exact"/>
              <w:jc w:val="center"/>
              <w:rPr>
                <w:rFonts w:eastAsia="方正仿宋_GBK" w:cs="宋体"/>
                <w:color w:val="000000"/>
                <w:kern w:val="0"/>
                <w:sz w:val="18"/>
                <w:szCs w:val="18"/>
              </w:rPr>
            </w:pPr>
            <w:r>
              <w:rPr>
                <w:rFonts w:hint="eastAsia" w:eastAsia="方正仿宋_GBK" w:cs="宋体"/>
                <w:color w:val="000000"/>
                <w:kern w:val="0"/>
                <w:sz w:val="18"/>
                <w:szCs w:val="18"/>
              </w:rPr>
              <w:t>3-1</w:t>
            </w:r>
          </w:p>
        </w:tc>
        <w:tc>
          <w:tcPr>
            <w:tcW w:w="1562"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1002020</w:t>
            </w:r>
          </w:p>
        </w:tc>
        <w:tc>
          <w:tcPr>
            <w:tcW w:w="1841"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注射用头孢他啶</w:t>
            </w:r>
          </w:p>
        </w:tc>
        <w:tc>
          <w:tcPr>
            <w:tcW w:w="1417"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溶媒结晶粉针</w:t>
            </w:r>
          </w:p>
        </w:tc>
        <w:tc>
          <w:tcPr>
            <w:tcW w:w="1345"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1g</w:t>
            </w:r>
          </w:p>
        </w:tc>
        <w:tc>
          <w:tcPr>
            <w:tcW w:w="1550"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1g*10支/盒</w:t>
            </w:r>
          </w:p>
        </w:tc>
        <w:tc>
          <w:tcPr>
            <w:tcW w:w="1393"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XXX XXX</w:t>
            </w:r>
          </w:p>
        </w:tc>
        <w:tc>
          <w:tcPr>
            <w:tcW w:w="1244"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XXX XXXX</w:t>
            </w:r>
          </w:p>
        </w:tc>
        <w:tc>
          <w:tcPr>
            <w:tcW w:w="1134" w:type="dxa"/>
            <w:vAlign w:val="center"/>
          </w:tcPr>
          <w:p>
            <w:pPr>
              <w:widowControl/>
              <w:spacing w:line="570" w:lineRule="exact"/>
              <w:ind w:firstLine="180" w:firstLineChars="100"/>
              <w:jc w:val="center"/>
              <w:rPr>
                <w:rFonts w:eastAsia="方正仿宋_GBK" w:cs="宋体"/>
                <w:bCs/>
                <w:color w:val="000000"/>
                <w:kern w:val="0"/>
                <w:sz w:val="18"/>
                <w:szCs w:val="18"/>
              </w:rPr>
            </w:pPr>
            <w:r>
              <w:rPr>
                <w:rFonts w:hint="eastAsia" w:eastAsia="方正仿宋_GBK" w:cs="宋体"/>
                <w:bCs/>
                <w:color w:val="000000"/>
                <w:kern w:val="0"/>
                <w:sz w:val="18"/>
                <w:szCs w:val="18"/>
              </w:rPr>
              <w:t>支</w:t>
            </w:r>
          </w:p>
        </w:tc>
        <w:tc>
          <w:tcPr>
            <w:tcW w:w="1137"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（示例）</w:t>
            </w:r>
          </w:p>
        </w:tc>
        <w:tc>
          <w:tcPr>
            <w:tcW w:w="1126" w:type="dxa"/>
            <w:vAlign w:val="center"/>
          </w:tcPr>
          <w:p>
            <w:pPr>
              <w:widowControl/>
              <w:spacing w:line="570" w:lineRule="exact"/>
              <w:jc w:val="center"/>
              <w:rPr>
                <w:rFonts w:eastAsia="方正仿宋_GBK" w:cs="宋体"/>
                <w:color w:val="000000"/>
                <w:kern w:val="0"/>
                <w:sz w:val="18"/>
                <w:szCs w:val="18"/>
              </w:rPr>
            </w:pPr>
          </w:p>
        </w:tc>
        <w:tc>
          <w:tcPr>
            <w:tcW w:w="1126" w:type="dxa"/>
          </w:tcPr>
          <w:p>
            <w:pPr>
              <w:widowControl/>
              <w:spacing w:line="570" w:lineRule="exact"/>
              <w:jc w:val="center"/>
              <w:rPr>
                <w:rFonts w:eastAsia="方正仿宋_GBK" w:cs="宋体"/>
                <w:color w:val="000000"/>
                <w:kern w:val="0"/>
                <w:sz w:val="18"/>
                <w:szCs w:val="18"/>
              </w:rPr>
            </w:pPr>
          </w:p>
        </w:tc>
      </w:tr>
    </w:tbl>
    <w:p>
      <w:pPr>
        <w:pStyle w:val="3"/>
        <w:spacing w:line="570" w:lineRule="exact"/>
        <w:ind w:firstLine="160" w:firstLineChars="50"/>
        <w:rPr>
          <w:rFonts w:ascii="方正小标宋_GBK" w:hAnsi="方正小标宋_GBK" w:eastAsia="方正小标宋_GBK" w:cs="方正小标宋_GBK"/>
          <w:b w:val="0"/>
          <w:sz w:val="44"/>
          <w:szCs w:val="44"/>
        </w:rPr>
      </w:pPr>
      <w:r>
        <w:rPr>
          <w:rFonts w:hint="eastAsia" w:ascii="Times New Roman" w:hAnsi="Times New Roman" w:eastAsia="方正黑体_GBK"/>
          <w:b w:val="0"/>
        </w:rPr>
        <w:t>附件3</w:t>
      </w:r>
      <w:bookmarkStart w:id="49" w:name="_Toc53152592"/>
      <w:r>
        <w:rPr>
          <w:rFonts w:hint="eastAsia" w:ascii="Times New Roman" w:hAnsi="Times New Roman" w:eastAsia="方正黑体_GBK"/>
          <w:b w:val="0"/>
        </w:rPr>
        <w:t xml:space="preserve">                         </w:t>
      </w:r>
      <w:r>
        <w:rPr>
          <w:rFonts w:hint="eastAsia" w:ascii="方正小标宋_GBK" w:hAnsi="方正小标宋_GBK" w:eastAsia="方正小标宋_GBK" w:cs="方正小标宋_GBK"/>
          <w:b w:val="0"/>
          <w:sz w:val="44"/>
          <w:szCs w:val="44"/>
        </w:rPr>
        <w:t>药品信息申报表</w:t>
      </w:r>
    </w:p>
    <w:p>
      <w:pPr>
        <w:keepNext w:val="0"/>
        <w:keepLines w:val="0"/>
        <w:pageBreakBefore w:val="0"/>
        <w:widowControl w:val="0"/>
        <w:kinsoku/>
        <w:wordWrap/>
        <w:overflowPunct/>
        <w:topLinePunct w:val="0"/>
        <w:autoSpaceDE/>
        <w:autoSpaceDN/>
        <w:bidi w:val="0"/>
        <w:adjustRightInd/>
        <w:snapToGrid w:val="0"/>
        <w:spacing w:line="410" w:lineRule="exact"/>
        <w:textAlignment w:val="auto"/>
        <w:rPr>
          <w:rFonts w:eastAsia="方正仿宋_GBK"/>
          <w:sz w:val="24"/>
        </w:rPr>
      </w:pPr>
      <w:r>
        <w:rPr>
          <w:rFonts w:hint="eastAsia" w:eastAsia="方正仿宋_GBK"/>
          <w:sz w:val="24"/>
        </w:rPr>
        <w:t>注：</w:t>
      </w:r>
      <w:bookmarkEnd w:id="49"/>
      <w:r>
        <w:rPr>
          <w:rFonts w:hint="eastAsia" w:eastAsia="方正仿宋_GBK"/>
          <w:sz w:val="24"/>
        </w:rPr>
        <w:t>1.同企业同品种有2个规格的，申报企业仅需填写其中一个规格，作为代表品填报在《药品信息申报表》中。</w:t>
      </w:r>
    </w:p>
    <w:p>
      <w:pPr>
        <w:keepNext w:val="0"/>
        <w:keepLines w:val="0"/>
        <w:pageBreakBefore w:val="0"/>
        <w:widowControl w:val="0"/>
        <w:kinsoku/>
        <w:wordWrap/>
        <w:overflowPunct/>
        <w:topLinePunct w:val="0"/>
        <w:autoSpaceDE/>
        <w:autoSpaceDN/>
        <w:bidi w:val="0"/>
        <w:adjustRightInd/>
        <w:spacing w:line="410" w:lineRule="exact"/>
        <w:ind w:firstLine="480" w:firstLineChars="200"/>
        <w:textAlignment w:val="auto"/>
        <w:rPr>
          <w:rFonts w:eastAsia="方正仿宋_GBK"/>
          <w:sz w:val="24"/>
        </w:rPr>
      </w:pPr>
      <w:r>
        <w:rPr>
          <w:rFonts w:hint="eastAsia" w:eastAsia="方正仿宋_GBK"/>
          <w:sz w:val="24"/>
        </w:rPr>
        <w:t>2．计价单位为最小零售包装（口服剂按盒，注射剂按支/瓶）。</w:t>
      </w:r>
    </w:p>
    <w:p>
      <w:pPr>
        <w:keepNext w:val="0"/>
        <w:keepLines w:val="0"/>
        <w:pageBreakBefore w:val="0"/>
        <w:widowControl w:val="0"/>
        <w:kinsoku/>
        <w:wordWrap/>
        <w:overflowPunct/>
        <w:topLinePunct w:val="0"/>
        <w:autoSpaceDE/>
        <w:autoSpaceDN/>
        <w:bidi w:val="0"/>
        <w:adjustRightInd/>
        <w:spacing w:line="410" w:lineRule="exact"/>
        <w:ind w:firstLine="480" w:firstLineChars="200"/>
        <w:textAlignment w:val="auto"/>
        <w:rPr>
          <w:rFonts w:eastAsia="方正仿宋_GBK"/>
          <w:sz w:val="24"/>
        </w:rPr>
      </w:pPr>
      <w:r>
        <w:rPr>
          <w:rFonts w:hint="eastAsia" w:eastAsia="方正仿宋_GBK"/>
          <w:sz w:val="24"/>
        </w:rPr>
        <w:t>3．在执行全国最低价为同制剂规格省级集中采购平台挂网执行的最低价，最低价以人民币填报，单位为“元”，保留到小数点后2位。</w:t>
      </w:r>
    </w:p>
    <w:p>
      <w:pPr>
        <w:keepNext w:val="0"/>
        <w:keepLines w:val="0"/>
        <w:pageBreakBefore w:val="0"/>
        <w:widowControl w:val="0"/>
        <w:kinsoku/>
        <w:wordWrap/>
        <w:overflowPunct/>
        <w:topLinePunct w:val="0"/>
        <w:autoSpaceDE/>
        <w:autoSpaceDN/>
        <w:bidi w:val="0"/>
        <w:adjustRightInd/>
        <w:spacing w:line="410" w:lineRule="exact"/>
        <w:ind w:firstLine="360" w:firstLineChars="150"/>
        <w:textAlignment w:val="auto"/>
        <w:rPr>
          <w:rFonts w:eastAsia="方正仿宋_GBK"/>
          <w:sz w:val="24"/>
        </w:rPr>
      </w:pPr>
      <w:r>
        <w:rPr>
          <w:rFonts w:hint="eastAsia" w:eastAsia="方正仿宋_GBK"/>
          <w:sz w:val="24"/>
        </w:rPr>
        <w:t xml:space="preserve"> 4．每个目录序号对应一个“药品信息申报表”，该项申报材料须登录“重庆药品交易平台”，申报产品审查通过后，方可下载打印，并现场报价时递交。</w:t>
      </w:r>
    </w:p>
    <w:p>
      <w:pPr>
        <w:keepNext w:val="0"/>
        <w:keepLines w:val="0"/>
        <w:pageBreakBefore w:val="0"/>
        <w:widowControl w:val="0"/>
        <w:kinsoku/>
        <w:wordWrap/>
        <w:overflowPunct/>
        <w:topLinePunct w:val="0"/>
        <w:autoSpaceDE/>
        <w:autoSpaceDN/>
        <w:bidi w:val="0"/>
        <w:adjustRightInd/>
        <w:spacing w:line="410" w:lineRule="exact"/>
        <w:ind w:firstLine="480" w:firstLineChars="200"/>
        <w:textAlignment w:val="auto"/>
        <w:rPr>
          <w:rFonts w:eastAsia="方正仿宋_GBK"/>
          <w:sz w:val="24"/>
        </w:rPr>
      </w:pPr>
      <w:r>
        <w:rPr>
          <w:rFonts w:hint="eastAsia" w:eastAsia="方正仿宋_GBK"/>
          <w:sz w:val="24"/>
        </w:rPr>
        <w:t>5．“X-1”代表第一质量层次，“X-2”代表第二质量层次，如“3-1”代表目录序号3中的第一质量层次组。</w:t>
      </w:r>
    </w:p>
    <w:p>
      <w:pPr>
        <w:keepNext w:val="0"/>
        <w:keepLines w:val="0"/>
        <w:pageBreakBefore w:val="0"/>
        <w:widowControl w:val="0"/>
        <w:kinsoku/>
        <w:wordWrap/>
        <w:overflowPunct/>
        <w:topLinePunct w:val="0"/>
        <w:autoSpaceDE/>
        <w:autoSpaceDN/>
        <w:bidi w:val="0"/>
        <w:adjustRightInd/>
        <w:spacing w:line="410" w:lineRule="exact"/>
        <w:ind w:firstLine="480" w:firstLineChars="200"/>
        <w:textAlignment w:val="auto"/>
        <w:rPr>
          <w:rFonts w:eastAsia="方正仿宋_GBK"/>
          <w:sz w:val="24"/>
        </w:rPr>
      </w:pPr>
      <w:r>
        <w:rPr>
          <w:rFonts w:hint="eastAsia" w:eastAsia="方正仿宋_GBK"/>
          <w:sz w:val="24"/>
        </w:rPr>
        <w:t>6. 大容量注射液还需在“备注”栏，列明包材（如玻璃瓶、塑料瓶 、软袋等）。</w:t>
      </w:r>
    </w:p>
    <w:p>
      <w:pPr>
        <w:keepNext w:val="0"/>
        <w:keepLines w:val="0"/>
        <w:pageBreakBefore w:val="0"/>
        <w:widowControl w:val="0"/>
        <w:kinsoku/>
        <w:wordWrap/>
        <w:overflowPunct/>
        <w:topLinePunct w:val="0"/>
        <w:autoSpaceDE/>
        <w:autoSpaceDN/>
        <w:bidi w:val="0"/>
        <w:adjustRightInd/>
        <w:spacing w:line="410" w:lineRule="exact"/>
        <w:ind w:firstLine="8960" w:firstLineChars="2800"/>
        <w:textAlignment w:val="auto"/>
        <w:rPr>
          <w:rFonts w:eastAsia="方正仿宋_GBK"/>
        </w:rPr>
      </w:pPr>
      <w:r>
        <w:rPr>
          <w:rFonts w:hint="eastAsia" w:eastAsia="方正仿宋_GBK"/>
        </w:rPr>
        <w:t>申报企业（盖章）：</w:t>
      </w:r>
    </w:p>
    <w:p>
      <w:pPr>
        <w:keepNext w:val="0"/>
        <w:keepLines w:val="0"/>
        <w:pageBreakBefore w:val="0"/>
        <w:widowControl w:val="0"/>
        <w:kinsoku/>
        <w:wordWrap/>
        <w:overflowPunct/>
        <w:topLinePunct w:val="0"/>
        <w:autoSpaceDE/>
        <w:autoSpaceDN/>
        <w:bidi w:val="0"/>
        <w:adjustRightInd/>
        <w:spacing w:line="410" w:lineRule="exact"/>
        <w:ind w:firstLine="8960" w:firstLineChars="2800"/>
        <w:textAlignment w:val="auto"/>
        <w:rPr>
          <w:rFonts w:eastAsia="方正仿宋_GBK"/>
        </w:rPr>
      </w:pPr>
      <w:r>
        <w:rPr>
          <w:rFonts w:hint="eastAsia" w:eastAsia="方正仿宋_GBK"/>
        </w:rPr>
        <w:t>日期： 年 月 日</w:t>
      </w:r>
    </w:p>
    <w:tbl>
      <w:tblPr>
        <w:tblStyle w:val="15"/>
        <w:tblpPr w:leftFromText="180" w:rightFromText="180" w:vertAnchor="text" w:horzAnchor="margin" w:tblpY="1148"/>
        <w:tblOverlap w:val="never"/>
        <w:tblW w:w="133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
        <w:gridCol w:w="1476"/>
        <w:gridCol w:w="1476"/>
        <w:gridCol w:w="1296"/>
        <w:gridCol w:w="711"/>
        <w:gridCol w:w="1271"/>
        <w:gridCol w:w="1309"/>
        <w:gridCol w:w="1753"/>
        <w:gridCol w:w="1350"/>
        <w:gridCol w:w="17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trPr>
        <w:tc>
          <w:tcPr>
            <w:tcW w:w="936" w:type="dxa"/>
            <w:tcBorders>
              <w:top w:val="single" w:color="auto" w:sz="4" w:space="0"/>
              <w:left w:val="single" w:color="auto" w:sz="4" w:space="0"/>
              <w:bottom w:val="single" w:color="auto" w:sz="4" w:space="0"/>
              <w:right w:val="single" w:color="auto" w:sz="4" w:space="0"/>
            </w:tcBorders>
            <w:vAlign w:val="center"/>
          </w:tcPr>
          <w:p>
            <w:pPr>
              <w:widowControl/>
              <w:spacing w:line="570" w:lineRule="exact"/>
              <w:jc w:val="center"/>
              <w:rPr>
                <w:rFonts w:eastAsia="方正仿宋_GBK" w:cs="宋体"/>
                <w:bCs/>
                <w:kern w:val="0"/>
                <w:sz w:val="18"/>
                <w:szCs w:val="18"/>
              </w:rPr>
            </w:pPr>
            <w:r>
              <w:rPr>
                <w:rFonts w:hint="eastAsia" w:eastAsia="方正仿宋_GBK" w:cs="宋体"/>
                <w:bCs/>
                <w:kern w:val="0"/>
                <w:sz w:val="18"/>
                <w:szCs w:val="18"/>
              </w:rPr>
              <w:t>目录序号</w:t>
            </w:r>
          </w:p>
        </w:tc>
        <w:tc>
          <w:tcPr>
            <w:tcW w:w="1476"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平台产品标识号</w:t>
            </w:r>
          </w:p>
        </w:tc>
        <w:tc>
          <w:tcPr>
            <w:tcW w:w="1476"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药品通用名</w:t>
            </w:r>
          </w:p>
        </w:tc>
        <w:tc>
          <w:tcPr>
            <w:tcW w:w="1296"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剂型</w:t>
            </w:r>
          </w:p>
        </w:tc>
        <w:tc>
          <w:tcPr>
            <w:tcW w:w="711"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规格</w:t>
            </w:r>
          </w:p>
        </w:tc>
        <w:tc>
          <w:tcPr>
            <w:tcW w:w="1271" w:type="dxa"/>
            <w:vAlign w:val="center"/>
          </w:tcPr>
          <w:p>
            <w:pPr>
              <w:widowControl/>
              <w:spacing w:line="570" w:lineRule="exact"/>
              <w:ind w:firstLine="264" w:firstLineChars="147"/>
              <w:jc w:val="center"/>
              <w:rPr>
                <w:rFonts w:eastAsia="方正仿宋_GBK" w:cs="宋体"/>
                <w:bCs/>
                <w:color w:val="000000"/>
                <w:kern w:val="0"/>
                <w:sz w:val="18"/>
                <w:szCs w:val="18"/>
              </w:rPr>
            </w:pPr>
            <w:r>
              <w:rPr>
                <w:rFonts w:hint="eastAsia" w:eastAsia="方正仿宋_GBK" w:cs="宋体"/>
                <w:bCs/>
                <w:color w:val="000000"/>
                <w:kern w:val="0"/>
                <w:sz w:val="18"/>
                <w:szCs w:val="18"/>
              </w:rPr>
              <w:t>包装规格</w:t>
            </w:r>
          </w:p>
        </w:tc>
        <w:tc>
          <w:tcPr>
            <w:tcW w:w="1309"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生产企业</w:t>
            </w:r>
          </w:p>
        </w:tc>
        <w:tc>
          <w:tcPr>
            <w:tcW w:w="1753" w:type="dxa"/>
            <w:vAlign w:val="center"/>
          </w:tcPr>
          <w:p>
            <w:pPr>
              <w:widowControl/>
              <w:spacing w:line="570" w:lineRule="exact"/>
              <w:ind w:firstLine="180" w:firstLineChars="100"/>
              <w:jc w:val="center"/>
              <w:rPr>
                <w:rFonts w:eastAsia="方正仿宋_GBK" w:cs="宋体"/>
                <w:bCs/>
                <w:color w:val="000000"/>
                <w:kern w:val="0"/>
                <w:sz w:val="18"/>
                <w:szCs w:val="18"/>
              </w:rPr>
            </w:pPr>
            <w:r>
              <w:rPr>
                <w:rFonts w:hint="eastAsia" w:eastAsia="方正仿宋_GBK" w:cs="宋体"/>
                <w:bCs/>
                <w:color w:val="000000"/>
                <w:kern w:val="0"/>
                <w:sz w:val="18"/>
                <w:szCs w:val="18"/>
              </w:rPr>
              <w:t>申报企业</w:t>
            </w:r>
          </w:p>
        </w:tc>
        <w:tc>
          <w:tcPr>
            <w:tcW w:w="1350"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是否为代表品</w:t>
            </w:r>
          </w:p>
        </w:tc>
        <w:tc>
          <w:tcPr>
            <w:tcW w:w="1770"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5" w:hRule="atLeast"/>
        </w:trPr>
        <w:tc>
          <w:tcPr>
            <w:tcW w:w="936" w:type="dxa"/>
            <w:tcBorders>
              <w:top w:val="single" w:color="auto" w:sz="4" w:space="0"/>
              <w:left w:val="single" w:color="auto" w:sz="4" w:space="0"/>
              <w:bottom w:val="single" w:color="auto" w:sz="4" w:space="0"/>
              <w:right w:val="single" w:color="auto" w:sz="4" w:space="0"/>
            </w:tcBorders>
            <w:vAlign w:val="center"/>
          </w:tcPr>
          <w:p>
            <w:pPr>
              <w:widowControl/>
              <w:spacing w:line="570" w:lineRule="exact"/>
              <w:jc w:val="center"/>
              <w:rPr>
                <w:rFonts w:eastAsia="方正仿宋_GBK" w:cs="宋体"/>
                <w:color w:val="000000"/>
                <w:kern w:val="0"/>
                <w:sz w:val="18"/>
                <w:szCs w:val="18"/>
              </w:rPr>
            </w:pPr>
            <w:r>
              <w:rPr>
                <w:rFonts w:hint="eastAsia" w:eastAsia="方正仿宋_GBK" w:cs="宋体"/>
                <w:color w:val="000000"/>
                <w:kern w:val="0"/>
                <w:sz w:val="18"/>
                <w:szCs w:val="18"/>
              </w:rPr>
              <w:t>3-1</w:t>
            </w:r>
          </w:p>
        </w:tc>
        <w:tc>
          <w:tcPr>
            <w:tcW w:w="1476"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1002020</w:t>
            </w:r>
          </w:p>
        </w:tc>
        <w:tc>
          <w:tcPr>
            <w:tcW w:w="1476"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注射用头孢他啶</w:t>
            </w:r>
          </w:p>
        </w:tc>
        <w:tc>
          <w:tcPr>
            <w:tcW w:w="1296"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溶媒结晶粉针</w:t>
            </w:r>
          </w:p>
        </w:tc>
        <w:tc>
          <w:tcPr>
            <w:tcW w:w="711"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1g</w:t>
            </w:r>
          </w:p>
        </w:tc>
        <w:tc>
          <w:tcPr>
            <w:tcW w:w="1271"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1g*10支/盒</w:t>
            </w:r>
          </w:p>
        </w:tc>
        <w:tc>
          <w:tcPr>
            <w:tcW w:w="1309"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XXX XXX</w:t>
            </w:r>
          </w:p>
        </w:tc>
        <w:tc>
          <w:tcPr>
            <w:tcW w:w="1753" w:type="dxa"/>
            <w:vAlign w:val="center"/>
          </w:tcPr>
          <w:p>
            <w:pPr>
              <w:widowControl/>
              <w:spacing w:line="570" w:lineRule="exact"/>
              <w:ind w:firstLine="90" w:firstLineChars="50"/>
              <w:jc w:val="center"/>
              <w:rPr>
                <w:rFonts w:eastAsia="方正仿宋_GBK" w:cs="宋体"/>
                <w:bCs/>
                <w:color w:val="000000"/>
                <w:kern w:val="0"/>
                <w:sz w:val="18"/>
                <w:szCs w:val="18"/>
              </w:rPr>
            </w:pPr>
            <w:r>
              <w:rPr>
                <w:rFonts w:hint="eastAsia" w:eastAsia="方正仿宋_GBK" w:cs="宋体"/>
                <w:bCs/>
                <w:color w:val="000000"/>
                <w:kern w:val="0"/>
                <w:sz w:val="18"/>
                <w:szCs w:val="18"/>
              </w:rPr>
              <w:t>XXX XXXX</w:t>
            </w:r>
          </w:p>
        </w:tc>
        <w:tc>
          <w:tcPr>
            <w:tcW w:w="1350" w:type="dxa"/>
            <w:vAlign w:val="center"/>
          </w:tcPr>
          <w:p>
            <w:pPr>
              <w:widowControl/>
              <w:spacing w:line="570" w:lineRule="exact"/>
              <w:jc w:val="center"/>
              <w:rPr>
                <w:rFonts w:eastAsia="方正仿宋_GBK" w:cs="宋体"/>
                <w:color w:val="000000"/>
                <w:kern w:val="0"/>
                <w:sz w:val="18"/>
                <w:szCs w:val="18"/>
              </w:rPr>
            </w:pPr>
            <w:r>
              <w:rPr>
                <w:rFonts w:hint="eastAsia" w:eastAsia="方正仿宋_GBK" w:cs="宋体"/>
                <w:color w:val="000000"/>
                <w:kern w:val="0"/>
                <w:sz w:val="18"/>
                <w:szCs w:val="18"/>
              </w:rPr>
              <w:t>是</w:t>
            </w:r>
          </w:p>
          <w:p>
            <w:pPr>
              <w:widowControl/>
              <w:spacing w:line="570" w:lineRule="exact"/>
              <w:ind w:firstLine="180" w:firstLineChars="100"/>
              <w:jc w:val="center"/>
              <w:rPr>
                <w:rFonts w:eastAsia="方正仿宋_GBK" w:cs="宋体"/>
                <w:color w:val="000000"/>
                <w:kern w:val="0"/>
                <w:sz w:val="18"/>
                <w:szCs w:val="18"/>
              </w:rPr>
            </w:pPr>
            <w:r>
              <w:rPr>
                <w:rFonts w:hint="eastAsia" w:eastAsia="方正仿宋_GBK" w:cs="宋体"/>
                <w:color w:val="000000"/>
                <w:kern w:val="0"/>
                <w:sz w:val="18"/>
                <w:szCs w:val="18"/>
              </w:rPr>
              <w:t>（示例）</w:t>
            </w:r>
          </w:p>
        </w:tc>
        <w:tc>
          <w:tcPr>
            <w:tcW w:w="1770" w:type="dxa"/>
            <w:vAlign w:val="center"/>
          </w:tcPr>
          <w:p>
            <w:pPr>
              <w:widowControl/>
              <w:spacing w:line="570" w:lineRule="exact"/>
              <w:ind w:firstLine="180" w:firstLineChars="100"/>
              <w:jc w:val="center"/>
              <w:rPr>
                <w:rFonts w:eastAsia="方正仿宋_GBK" w:cs="宋体"/>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5" w:hRule="atLeast"/>
        </w:trPr>
        <w:tc>
          <w:tcPr>
            <w:tcW w:w="936" w:type="dxa"/>
            <w:tcBorders>
              <w:top w:val="single" w:color="auto" w:sz="4" w:space="0"/>
              <w:left w:val="single" w:color="auto" w:sz="4" w:space="0"/>
              <w:bottom w:val="single" w:color="auto" w:sz="4" w:space="0"/>
              <w:right w:val="single" w:color="auto" w:sz="4" w:space="0"/>
            </w:tcBorders>
            <w:vAlign w:val="center"/>
          </w:tcPr>
          <w:p>
            <w:pPr>
              <w:widowControl/>
              <w:spacing w:line="570" w:lineRule="exact"/>
              <w:jc w:val="center"/>
              <w:rPr>
                <w:rFonts w:eastAsia="方正仿宋_GBK" w:cs="宋体"/>
                <w:color w:val="000000"/>
                <w:kern w:val="0"/>
                <w:sz w:val="18"/>
                <w:szCs w:val="18"/>
              </w:rPr>
            </w:pPr>
            <w:r>
              <w:rPr>
                <w:rFonts w:hint="eastAsia" w:eastAsia="方正仿宋_GBK" w:cs="宋体"/>
                <w:color w:val="000000"/>
                <w:kern w:val="0"/>
                <w:sz w:val="18"/>
                <w:szCs w:val="18"/>
              </w:rPr>
              <w:t>3-1</w:t>
            </w:r>
          </w:p>
        </w:tc>
        <w:tc>
          <w:tcPr>
            <w:tcW w:w="1476"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1002021</w:t>
            </w:r>
          </w:p>
        </w:tc>
        <w:tc>
          <w:tcPr>
            <w:tcW w:w="1476"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注射用头孢他啶</w:t>
            </w:r>
          </w:p>
        </w:tc>
        <w:tc>
          <w:tcPr>
            <w:tcW w:w="1296"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溶媒结晶粉针</w:t>
            </w:r>
          </w:p>
        </w:tc>
        <w:tc>
          <w:tcPr>
            <w:tcW w:w="711"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2g</w:t>
            </w:r>
          </w:p>
        </w:tc>
        <w:tc>
          <w:tcPr>
            <w:tcW w:w="1271"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2g*1支/盒</w:t>
            </w:r>
          </w:p>
        </w:tc>
        <w:tc>
          <w:tcPr>
            <w:tcW w:w="1309"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XXX XXX</w:t>
            </w:r>
          </w:p>
        </w:tc>
        <w:tc>
          <w:tcPr>
            <w:tcW w:w="1753" w:type="dxa"/>
            <w:vAlign w:val="center"/>
          </w:tcPr>
          <w:p>
            <w:pPr>
              <w:widowControl/>
              <w:spacing w:line="570" w:lineRule="exact"/>
              <w:ind w:firstLine="90" w:firstLineChars="50"/>
              <w:jc w:val="center"/>
              <w:rPr>
                <w:rFonts w:eastAsia="方正仿宋_GBK" w:cs="宋体"/>
                <w:bCs/>
                <w:color w:val="000000"/>
                <w:kern w:val="0"/>
                <w:sz w:val="18"/>
                <w:szCs w:val="18"/>
              </w:rPr>
            </w:pPr>
            <w:r>
              <w:rPr>
                <w:rFonts w:hint="eastAsia" w:eastAsia="方正仿宋_GBK" w:cs="宋体"/>
                <w:bCs/>
                <w:color w:val="000000"/>
                <w:kern w:val="0"/>
                <w:sz w:val="18"/>
                <w:szCs w:val="18"/>
              </w:rPr>
              <w:t>XXX XXXX</w:t>
            </w:r>
          </w:p>
        </w:tc>
        <w:tc>
          <w:tcPr>
            <w:tcW w:w="1350" w:type="dxa"/>
            <w:vAlign w:val="center"/>
          </w:tcPr>
          <w:p>
            <w:pPr>
              <w:widowControl/>
              <w:spacing w:line="570" w:lineRule="exact"/>
              <w:jc w:val="center"/>
              <w:rPr>
                <w:rFonts w:eastAsia="方正仿宋_GBK" w:cs="宋体"/>
                <w:color w:val="000000"/>
                <w:kern w:val="0"/>
                <w:sz w:val="18"/>
                <w:szCs w:val="18"/>
              </w:rPr>
            </w:pPr>
            <w:r>
              <w:rPr>
                <w:rFonts w:hint="eastAsia" w:eastAsia="方正仿宋_GBK" w:cs="宋体"/>
                <w:color w:val="000000"/>
                <w:kern w:val="0"/>
                <w:sz w:val="18"/>
                <w:szCs w:val="18"/>
              </w:rPr>
              <w:t>否</w:t>
            </w:r>
          </w:p>
          <w:p>
            <w:pPr>
              <w:widowControl/>
              <w:spacing w:line="570" w:lineRule="exact"/>
              <w:jc w:val="center"/>
              <w:rPr>
                <w:rFonts w:eastAsia="方正仿宋_GBK" w:cs="宋体"/>
                <w:color w:val="000000"/>
                <w:kern w:val="0"/>
                <w:sz w:val="18"/>
                <w:szCs w:val="18"/>
              </w:rPr>
            </w:pPr>
            <w:r>
              <w:rPr>
                <w:rFonts w:hint="eastAsia" w:eastAsia="方正仿宋_GBK" w:cs="宋体"/>
                <w:color w:val="000000"/>
                <w:kern w:val="0"/>
                <w:sz w:val="18"/>
                <w:szCs w:val="18"/>
              </w:rPr>
              <w:t>（示例）</w:t>
            </w:r>
          </w:p>
        </w:tc>
        <w:tc>
          <w:tcPr>
            <w:tcW w:w="1770" w:type="dxa"/>
            <w:vAlign w:val="center"/>
          </w:tcPr>
          <w:p>
            <w:pPr>
              <w:widowControl/>
              <w:spacing w:line="570" w:lineRule="exact"/>
              <w:jc w:val="center"/>
              <w:rPr>
                <w:rFonts w:eastAsia="方正仿宋_GBK" w:cs="宋体"/>
                <w:color w:val="000000"/>
                <w:kern w:val="0"/>
                <w:sz w:val="18"/>
                <w:szCs w:val="18"/>
              </w:rPr>
            </w:pPr>
          </w:p>
        </w:tc>
      </w:tr>
    </w:tbl>
    <w:p>
      <w:pPr>
        <w:pStyle w:val="3"/>
        <w:spacing w:line="570" w:lineRule="exact"/>
        <w:ind w:firstLine="160" w:firstLineChars="50"/>
        <w:rPr>
          <w:rFonts w:ascii="方正小标宋_GBK" w:hAnsi="方正小标宋_GBK" w:eastAsia="方正小标宋_GBK" w:cs="方正小标宋_GBK"/>
          <w:b w:val="0"/>
          <w:sz w:val="44"/>
          <w:szCs w:val="44"/>
        </w:rPr>
      </w:pPr>
      <w:r>
        <w:rPr>
          <w:rFonts w:hint="eastAsia" w:ascii="Times New Roman" w:hAnsi="Times New Roman" w:eastAsia="方正黑体_GBK"/>
          <w:b w:val="0"/>
        </w:rPr>
        <w:t>附件4</w:t>
      </w:r>
      <w:bookmarkStart w:id="50" w:name="_Toc53152593"/>
      <w:r>
        <w:rPr>
          <w:rFonts w:hint="eastAsia" w:ascii="Times New Roman" w:hAnsi="Times New Roman" w:eastAsia="方正黑体_GBK"/>
          <w:b w:val="0"/>
        </w:rPr>
        <w:t xml:space="preserve">                             </w:t>
      </w:r>
      <w:r>
        <w:rPr>
          <w:rFonts w:hint="eastAsia" w:ascii="方正小标宋_GBK" w:hAnsi="方正小标宋_GBK" w:eastAsia="方正小标宋_GBK" w:cs="方正小标宋_GBK"/>
          <w:b w:val="0"/>
          <w:sz w:val="44"/>
          <w:szCs w:val="44"/>
        </w:rPr>
        <w:t>供应品种清单</w:t>
      </w:r>
    </w:p>
    <w:p>
      <w:pPr>
        <w:ind w:firstLine="600" w:firstLineChars="250"/>
        <w:rPr>
          <w:rFonts w:eastAsia="方正仿宋_GBK"/>
          <w:sz w:val="24"/>
        </w:rPr>
      </w:pPr>
    </w:p>
    <w:p>
      <w:pPr>
        <w:ind w:firstLine="600" w:firstLineChars="250"/>
        <w:rPr>
          <w:rFonts w:eastAsia="方正仿宋_GBK"/>
          <w:sz w:val="24"/>
        </w:rPr>
      </w:pPr>
    </w:p>
    <w:p>
      <w:pPr>
        <w:ind w:firstLine="600" w:firstLineChars="250"/>
        <w:rPr>
          <w:rFonts w:eastAsia="方正仿宋_GBK"/>
          <w:sz w:val="24"/>
        </w:rPr>
      </w:pPr>
    </w:p>
    <w:p>
      <w:pPr>
        <w:ind w:firstLine="600" w:firstLineChars="250"/>
        <w:rPr>
          <w:rFonts w:eastAsia="方正仿宋_GBK"/>
          <w:sz w:val="24"/>
        </w:rPr>
      </w:pPr>
    </w:p>
    <w:p>
      <w:pPr>
        <w:ind w:firstLine="600" w:firstLineChars="250"/>
        <w:rPr>
          <w:rFonts w:eastAsia="方正仿宋_GBK"/>
          <w:sz w:val="24"/>
        </w:rPr>
      </w:pPr>
    </w:p>
    <w:p>
      <w:pPr>
        <w:ind w:firstLine="600" w:firstLineChars="250"/>
        <w:rPr>
          <w:rFonts w:eastAsia="方正仿宋_GBK"/>
          <w:sz w:val="24"/>
        </w:rPr>
      </w:pPr>
    </w:p>
    <w:p>
      <w:pPr>
        <w:ind w:firstLine="600" w:firstLineChars="250"/>
        <w:rPr>
          <w:rFonts w:eastAsia="方正仿宋_GBK"/>
          <w:sz w:val="24"/>
        </w:rPr>
      </w:pPr>
    </w:p>
    <w:p>
      <w:pPr>
        <w:ind w:firstLine="600" w:firstLineChars="250"/>
        <w:rPr>
          <w:rFonts w:eastAsia="方正仿宋_GBK"/>
          <w:sz w:val="24"/>
        </w:rPr>
      </w:pPr>
    </w:p>
    <w:p>
      <w:pPr>
        <w:ind w:firstLine="600" w:firstLineChars="250"/>
        <w:rPr>
          <w:rFonts w:eastAsia="方正仿宋_GBK"/>
          <w:sz w:val="24"/>
        </w:rPr>
      </w:pPr>
      <w:r>
        <w:rPr>
          <w:rFonts w:hint="eastAsia" w:eastAsia="方正仿宋_GBK"/>
          <w:sz w:val="24"/>
        </w:rPr>
        <w:t>注：</w:t>
      </w:r>
      <w:bookmarkEnd w:id="50"/>
      <w:r>
        <w:rPr>
          <w:rFonts w:hint="eastAsia" w:eastAsia="方正仿宋_GBK"/>
          <w:sz w:val="24"/>
        </w:rPr>
        <w:t>1．拟在联合采购地区供应的符合申报品种资格的所有临床常用产品（不限于目录中的规格，大容量注射液包括所有包材）均须申报在《供应品种清单》。</w:t>
      </w:r>
    </w:p>
    <w:p>
      <w:pPr>
        <w:ind w:firstLine="960" w:firstLineChars="400"/>
        <w:rPr>
          <w:rFonts w:eastAsia="方正仿宋_GBK"/>
          <w:sz w:val="24"/>
        </w:rPr>
      </w:pPr>
      <w:r>
        <w:rPr>
          <w:rFonts w:hint="eastAsia" w:eastAsia="方正仿宋_GBK"/>
          <w:sz w:val="24"/>
        </w:rPr>
        <w:t xml:space="preserve"> 2．企业须待申报产品资质审查通过后，登录“重庆药品交易平台”下载打印《供应品种清单》递交报价现场。</w:t>
      </w:r>
    </w:p>
    <w:p>
      <w:pPr>
        <w:ind w:firstLine="1080" w:firstLineChars="450"/>
        <w:rPr>
          <w:rFonts w:eastAsia="方正仿宋_GBK"/>
          <w:sz w:val="24"/>
        </w:rPr>
      </w:pPr>
      <w:r>
        <w:rPr>
          <w:rFonts w:hint="eastAsia" w:eastAsia="方正仿宋_GBK"/>
          <w:sz w:val="24"/>
        </w:rPr>
        <w:t>3. 噻托溴铵带装置药品还需提供省级集中采购平台挂网执行的最低价，最低价以人民币填报，单位为“元”，保留到小数点后2位。</w:t>
      </w:r>
    </w:p>
    <w:p>
      <w:pPr>
        <w:ind w:firstLine="1080" w:firstLineChars="450"/>
        <w:rPr>
          <w:rFonts w:eastAsia="方正仿宋_GBK"/>
          <w:sz w:val="24"/>
        </w:rPr>
      </w:pPr>
      <w:r>
        <w:rPr>
          <w:rFonts w:hint="eastAsia" w:eastAsia="方正仿宋_GBK"/>
          <w:sz w:val="24"/>
        </w:rPr>
        <w:t>4. 大容量注射液还需在“备注”栏，列明包材（如玻璃瓶、塑料瓶 、软袋等）。</w:t>
      </w:r>
    </w:p>
    <w:p>
      <w:pPr>
        <w:spacing w:line="570" w:lineRule="exact"/>
        <w:ind w:firstLine="8960" w:firstLineChars="2800"/>
        <w:rPr>
          <w:rFonts w:eastAsia="方正仿宋_GBK"/>
        </w:rPr>
      </w:pPr>
      <w:r>
        <w:rPr>
          <w:rFonts w:hint="eastAsia" w:eastAsia="方正仿宋_GBK"/>
        </w:rPr>
        <w:t>申报企业（盖章）：</w:t>
      </w:r>
    </w:p>
    <w:p>
      <w:pPr>
        <w:spacing w:line="570" w:lineRule="exact"/>
        <w:ind w:firstLine="8960" w:firstLineChars="2800"/>
        <w:rPr>
          <w:rFonts w:eastAsia="方正仿宋_GBK"/>
        </w:rPr>
      </w:pPr>
      <w:r>
        <w:rPr>
          <w:rFonts w:hint="eastAsia" w:eastAsia="方正仿宋_GBK"/>
        </w:rPr>
        <w:t>日期： 年 月 日</w:t>
      </w:r>
    </w:p>
    <w:p>
      <w:pPr>
        <w:pStyle w:val="2"/>
        <w:spacing w:line="570" w:lineRule="exact"/>
        <w:rPr>
          <w:rFonts w:ascii="方正小标宋_GBK" w:hAnsi="方正小标宋_GBK" w:eastAsia="方正小标宋_GBK" w:cs="方正小标宋_GBK"/>
          <w:b w:val="0"/>
        </w:rPr>
      </w:pPr>
      <w:r>
        <w:rPr>
          <w:rFonts w:hint="eastAsia" w:eastAsia="方正仿宋_GBK"/>
          <w:szCs w:val="24"/>
          <w:u w:val="single"/>
        </w:rPr>
        <w:br w:type="page"/>
      </w:r>
      <w:r>
        <w:rPr>
          <w:rFonts w:hint="eastAsia" w:eastAsia="方正黑体_GBK" w:cs="宋体"/>
          <w:b w:val="0"/>
          <w:kern w:val="2"/>
          <w:sz w:val="32"/>
          <w:szCs w:val="32"/>
        </w:rPr>
        <w:t>附件5</w:t>
      </w:r>
      <w:bookmarkStart w:id="51" w:name="_Toc53152594"/>
      <w:r>
        <w:rPr>
          <w:rFonts w:hint="eastAsia" w:eastAsia="方正黑体_GBK" w:cs="宋体"/>
          <w:b w:val="0"/>
          <w:kern w:val="2"/>
          <w:sz w:val="32"/>
          <w:szCs w:val="32"/>
        </w:rPr>
        <w:t xml:space="preserve">  </w:t>
      </w:r>
      <w:r>
        <w:rPr>
          <w:rFonts w:hint="eastAsia" w:ascii="方正小标宋_GBK" w:hAnsi="方正小标宋_GBK" w:eastAsia="方正小标宋_GBK" w:cs="方正小标宋_GBK"/>
          <w:b w:val="0"/>
        </w:rPr>
        <w:t xml:space="preserve">                    药品价格申报表</w:t>
      </w:r>
    </w:p>
    <w:bookmarkEnd w:id="51"/>
    <w:tbl>
      <w:tblPr>
        <w:tblStyle w:val="15"/>
        <w:tblpPr w:leftFromText="180" w:rightFromText="180" w:vertAnchor="text" w:horzAnchor="margin" w:tblpXSpec="center" w:tblpY="108"/>
        <w:tblOverlap w:val="never"/>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7"/>
        <w:gridCol w:w="1512"/>
        <w:gridCol w:w="1284"/>
        <w:gridCol w:w="1293"/>
        <w:gridCol w:w="1123"/>
        <w:gridCol w:w="1060"/>
        <w:gridCol w:w="1193"/>
        <w:gridCol w:w="1193"/>
        <w:gridCol w:w="1074"/>
        <w:gridCol w:w="1049"/>
        <w:gridCol w:w="1193"/>
        <w:gridCol w:w="11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trPr>
        <w:tc>
          <w:tcPr>
            <w:tcW w:w="1007" w:type="dxa"/>
            <w:tcBorders>
              <w:top w:val="single" w:color="auto" w:sz="4" w:space="0"/>
              <w:left w:val="single" w:color="auto" w:sz="4" w:space="0"/>
              <w:bottom w:val="single" w:color="auto" w:sz="4" w:space="0"/>
              <w:right w:val="single" w:color="auto" w:sz="4" w:space="0"/>
            </w:tcBorders>
            <w:vAlign w:val="center"/>
          </w:tcPr>
          <w:p>
            <w:pPr>
              <w:widowControl/>
              <w:spacing w:line="570" w:lineRule="exact"/>
              <w:jc w:val="center"/>
              <w:rPr>
                <w:rFonts w:eastAsia="方正仿宋_GBK" w:cs="宋体"/>
                <w:bCs/>
                <w:kern w:val="0"/>
                <w:sz w:val="18"/>
                <w:szCs w:val="18"/>
              </w:rPr>
            </w:pPr>
            <w:r>
              <w:rPr>
                <w:rFonts w:hint="eastAsia" w:eastAsia="方正仿宋_GBK" w:cs="宋体"/>
                <w:bCs/>
                <w:kern w:val="0"/>
                <w:sz w:val="18"/>
                <w:szCs w:val="18"/>
              </w:rPr>
              <w:t>目录序号</w:t>
            </w:r>
          </w:p>
        </w:tc>
        <w:tc>
          <w:tcPr>
            <w:tcW w:w="1512"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平台产品标识号</w:t>
            </w:r>
          </w:p>
        </w:tc>
        <w:tc>
          <w:tcPr>
            <w:tcW w:w="1284"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药品通用名</w:t>
            </w:r>
          </w:p>
        </w:tc>
        <w:tc>
          <w:tcPr>
            <w:tcW w:w="1293"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剂型</w:t>
            </w:r>
          </w:p>
        </w:tc>
        <w:tc>
          <w:tcPr>
            <w:tcW w:w="1123"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规格</w:t>
            </w:r>
          </w:p>
        </w:tc>
        <w:tc>
          <w:tcPr>
            <w:tcW w:w="1060" w:type="dxa"/>
            <w:vAlign w:val="center"/>
          </w:tcPr>
          <w:p>
            <w:pPr>
              <w:widowControl/>
              <w:spacing w:line="570" w:lineRule="exact"/>
              <w:rPr>
                <w:rFonts w:eastAsia="方正仿宋_GBK" w:cs="宋体"/>
                <w:bCs/>
                <w:color w:val="000000"/>
                <w:kern w:val="0"/>
                <w:sz w:val="18"/>
                <w:szCs w:val="18"/>
              </w:rPr>
            </w:pPr>
            <w:r>
              <w:rPr>
                <w:rFonts w:hint="eastAsia" w:eastAsia="方正仿宋_GBK" w:cs="宋体"/>
                <w:bCs/>
                <w:color w:val="000000"/>
                <w:kern w:val="0"/>
                <w:sz w:val="18"/>
                <w:szCs w:val="18"/>
              </w:rPr>
              <w:t>包装规格</w:t>
            </w:r>
          </w:p>
        </w:tc>
        <w:tc>
          <w:tcPr>
            <w:tcW w:w="1193"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生产企业</w:t>
            </w:r>
          </w:p>
        </w:tc>
        <w:tc>
          <w:tcPr>
            <w:tcW w:w="1193" w:type="dxa"/>
            <w:vAlign w:val="center"/>
          </w:tcPr>
          <w:p>
            <w:pPr>
              <w:widowControl/>
              <w:spacing w:line="570" w:lineRule="exact"/>
              <w:ind w:firstLine="180" w:firstLineChars="100"/>
              <w:jc w:val="center"/>
              <w:rPr>
                <w:rFonts w:eastAsia="方正仿宋_GBK" w:cs="宋体"/>
                <w:bCs/>
                <w:color w:val="000000"/>
                <w:kern w:val="0"/>
                <w:sz w:val="18"/>
                <w:szCs w:val="18"/>
              </w:rPr>
            </w:pPr>
            <w:r>
              <w:rPr>
                <w:rFonts w:hint="eastAsia" w:eastAsia="方正仿宋_GBK" w:cs="宋体"/>
                <w:bCs/>
                <w:color w:val="000000"/>
                <w:kern w:val="0"/>
                <w:sz w:val="18"/>
                <w:szCs w:val="18"/>
              </w:rPr>
              <w:t>申报企业</w:t>
            </w:r>
          </w:p>
        </w:tc>
        <w:tc>
          <w:tcPr>
            <w:tcW w:w="1074"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计价单位</w:t>
            </w:r>
          </w:p>
        </w:tc>
        <w:tc>
          <w:tcPr>
            <w:tcW w:w="1049" w:type="dxa"/>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产品报价（元）</w:t>
            </w:r>
          </w:p>
        </w:tc>
        <w:tc>
          <w:tcPr>
            <w:tcW w:w="1193"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被授权人签字</w:t>
            </w:r>
          </w:p>
        </w:tc>
        <w:tc>
          <w:tcPr>
            <w:tcW w:w="1193" w:type="dxa"/>
            <w:vAlign w:val="center"/>
          </w:tcPr>
          <w:p>
            <w:pPr>
              <w:widowControl/>
              <w:spacing w:line="570" w:lineRule="exact"/>
              <w:jc w:val="center"/>
              <w:rPr>
                <w:rFonts w:eastAsia="方正仿宋_GBK" w:cs="宋体"/>
                <w:bCs/>
                <w:color w:val="000000"/>
                <w:kern w:val="0"/>
                <w:sz w:val="18"/>
                <w:szCs w:val="18"/>
              </w:rPr>
            </w:pPr>
            <w:r>
              <w:rPr>
                <w:rFonts w:hint="eastAsia" w:eastAsia="方正仿宋_GBK" w:cs="宋体"/>
                <w:bCs/>
                <w:color w:val="000000"/>
                <w:kern w:val="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trPr>
        <w:tc>
          <w:tcPr>
            <w:tcW w:w="1007" w:type="dxa"/>
            <w:tcBorders>
              <w:top w:val="single" w:color="auto" w:sz="4" w:space="0"/>
              <w:left w:val="single" w:color="auto" w:sz="4" w:space="0"/>
              <w:bottom w:val="single" w:color="auto" w:sz="4" w:space="0"/>
              <w:right w:val="single" w:color="auto" w:sz="4" w:space="0"/>
            </w:tcBorders>
            <w:vAlign w:val="center"/>
          </w:tcPr>
          <w:p>
            <w:pPr>
              <w:widowControl/>
              <w:spacing w:line="570" w:lineRule="exact"/>
              <w:jc w:val="center"/>
              <w:rPr>
                <w:rFonts w:eastAsia="方正仿宋_GBK" w:cs="宋体"/>
                <w:color w:val="000000"/>
                <w:kern w:val="0"/>
                <w:sz w:val="18"/>
                <w:szCs w:val="18"/>
              </w:rPr>
            </w:pPr>
          </w:p>
        </w:tc>
        <w:tc>
          <w:tcPr>
            <w:tcW w:w="1512" w:type="dxa"/>
          </w:tcPr>
          <w:p>
            <w:pPr>
              <w:widowControl/>
              <w:spacing w:line="570" w:lineRule="exact"/>
              <w:jc w:val="center"/>
              <w:rPr>
                <w:rFonts w:eastAsia="方正仿宋_GBK" w:cs="宋体"/>
                <w:bCs/>
                <w:color w:val="000000"/>
                <w:kern w:val="0"/>
                <w:sz w:val="18"/>
                <w:szCs w:val="18"/>
              </w:rPr>
            </w:pPr>
          </w:p>
        </w:tc>
        <w:tc>
          <w:tcPr>
            <w:tcW w:w="1284" w:type="dxa"/>
          </w:tcPr>
          <w:p>
            <w:pPr>
              <w:widowControl/>
              <w:spacing w:line="570" w:lineRule="exact"/>
              <w:jc w:val="center"/>
              <w:rPr>
                <w:rFonts w:eastAsia="方正仿宋_GBK" w:cs="宋体"/>
                <w:bCs/>
                <w:color w:val="000000"/>
                <w:kern w:val="0"/>
                <w:sz w:val="18"/>
                <w:szCs w:val="18"/>
              </w:rPr>
            </w:pPr>
          </w:p>
        </w:tc>
        <w:tc>
          <w:tcPr>
            <w:tcW w:w="1293" w:type="dxa"/>
          </w:tcPr>
          <w:p>
            <w:pPr>
              <w:widowControl/>
              <w:spacing w:line="570" w:lineRule="exact"/>
              <w:jc w:val="center"/>
              <w:rPr>
                <w:rFonts w:eastAsia="方正仿宋_GBK" w:cs="宋体"/>
                <w:bCs/>
                <w:color w:val="000000"/>
                <w:kern w:val="0"/>
                <w:sz w:val="18"/>
                <w:szCs w:val="18"/>
              </w:rPr>
            </w:pPr>
          </w:p>
        </w:tc>
        <w:tc>
          <w:tcPr>
            <w:tcW w:w="1123" w:type="dxa"/>
          </w:tcPr>
          <w:p>
            <w:pPr>
              <w:widowControl/>
              <w:spacing w:line="570" w:lineRule="exact"/>
              <w:jc w:val="center"/>
              <w:rPr>
                <w:rFonts w:eastAsia="方正仿宋_GBK" w:cs="宋体"/>
                <w:bCs/>
                <w:color w:val="000000"/>
                <w:kern w:val="0"/>
                <w:sz w:val="18"/>
                <w:szCs w:val="18"/>
              </w:rPr>
            </w:pPr>
          </w:p>
        </w:tc>
        <w:tc>
          <w:tcPr>
            <w:tcW w:w="1060" w:type="dxa"/>
          </w:tcPr>
          <w:p>
            <w:pPr>
              <w:widowControl/>
              <w:spacing w:line="570" w:lineRule="exact"/>
              <w:jc w:val="center"/>
              <w:rPr>
                <w:rFonts w:eastAsia="方正仿宋_GBK" w:cs="宋体"/>
                <w:bCs/>
                <w:color w:val="000000"/>
                <w:kern w:val="0"/>
                <w:sz w:val="18"/>
                <w:szCs w:val="18"/>
              </w:rPr>
            </w:pPr>
          </w:p>
        </w:tc>
        <w:tc>
          <w:tcPr>
            <w:tcW w:w="1193" w:type="dxa"/>
          </w:tcPr>
          <w:p>
            <w:pPr>
              <w:widowControl/>
              <w:spacing w:line="570" w:lineRule="exact"/>
              <w:jc w:val="center"/>
              <w:rPr>
                <w:rFonts w:eastAsia="方正仿宋_GBK" w:cs="宋体"/>
                <w:bCs/>
                <w:color w:val="000000"/>
                <w:kern w:val="0"/>
                <w:sz w:val="18"/>
                <w:szCs w:val="18"/>
              </w:rPr>
            </w:pPr>
          </w:p>
        </w:tc>
        <w:tc>
          <w:tcPr>
            <w:tcW w:w="1193" w:type="dxa"/>
          </w:tcPr>
          <w:p>
            <w:pPr>
              <w:widowControl/>
              <w:spacing w:line="570" w:lineRule="exact"/>
              <w:ind w:firstLine="90" w:firstLineChars="50"/>
              <w:rPr>
                <w:rFonts w:eastAsia="方正仿宋_GBK" w:cs="宋体"/>
                <w:color w:val="000000"/>
                <w:kern w:val="0"/>
                <w:sz w:val="18"/>
                <w:szCs w:val="18"/>
              </w:rPr>
            </w:pPr>
          </w:p>
        </w:tc>
        <w:tc>
          <w:tcPr>
            <w:tcW w:w="1074" w:type="dxa"/>
          </w:tcPr>
          <w:p>
            <w:pPr>
              <w:widowControl/>
              <w:spacing w:line="570" w:lineRule="exact"/>
              <w:ind w:firstLine="180" w:firstLineChars="100"/>
              <w:rPr>
                <w:rFonts w:eastAsia="方正仿宋_GBK" w:cs="宋体"/>
                <w:color w:val="000000"/>
                <w:kern w:val="0"/>
                <w:sz w:val="18"/>
                <w:szCs w:val="18"/>
              </w:rPr>
            </w:pPr>
          </w:p>
        </w:tc>
        <w:tc>
          <w:tcPr>
            <w:tcW w:w="1049" w:type="dxa"/>
          </w:tcPr>
          <w:p>
            <w:pPr>
              <w:widowControl/>
              <w:spacing w:line="570" w:lineRule="exact"/>
              <w:rPr>
                <w:rFonts w:eastAsia="方正仿宋_GBK" w:cs="宋体"/>
                <w:color w:val="000000"/>
                <w:kern w:val="0"/>
                <w:sz w:val="18"/>
                <w:szCs w:val="18"/>
              </w:rPr>
            </w:pPr>
          </w:p>
        </w:tc>
        <w:tc>
          <w:tcPr>
            <w:tcW w:w="1193" w:type="dxa"/>
          </w:tcPr>
          <w:p>
            <w:pPr>
              <w:widowControl/>
              <w:spacing w:line="570" w:lineRule="exact"/>
              <w:rPr>
                <w:rFonts w:eastAsia="方正仿宋_GBK" w:cs="宋体"/>
                <w:color w:val="000000"/>
                <w:kern w:val="0"/>
                <w:sz w:val="18"/>
                <w:szCs w:val="18"/>
              </w:rPr>
            </w:pPr>
          </w:p>
        </w:tc>
        <w:tc>
          <w:tcPr>
            <w:tcW w:w="1193" w:type="dxa"/>
          </w:tcPr>
          <w:p>
            <w:pPr>
              <w:widowControl/>
              <w:spacing w:line="570" w:lineRule="exact"/>
              <w:rPr>
                <w:rFonts w:eastAsia="方正仿宋_GBK" w:cs="宋体"/>
                <w:color w:val="000000"/>
                <w:kern w:val="0"/>
                <w:sz w:val="18"/>
                <w:szCs w:val="18"/>
              </w:rPr>
            </w:pPr>
          </w:p>
        </w:tc>
      </w:tr>
    </w:tbl>
    <w:p>
      <w:pPr>
        <w:spacing w:line="570" w:lineRule="exact"/>
        <w:ind w:firstLine="1080" w:firstLineChars="450"/>
        <w:rPr>
          <w:rFonts w:eastAsia="方正仿宋_GBK"/>
          <w:sz w:val="24"/>
        </w:rPr>
      </w:pPr>
      <w:r>
        <w:rPr>
          <w:rFonts w:hint="eastAsia" w:eastAsia="方正仿宋_GBK"/>
          <w:sz w:val="24"/>
        </w:rPr>
        <w:t>注：1．同企业同品种有2个规格的，申报企业仅填写代表品的申报价。</w:t>
      </w:r>
    </w:p>
    <w:p>
      <w:pPr>
        <w:spacing w:line="570" w:lineRule="exact"/>
        <w:ind w:firstLine="1560" w:firstLineChars="650"/>
        <w:rPr>
          <w:rFonts w:eastAsia="方正仿宋_GBK"/>
          <w:sz w:val="24"/>
        </w:rPr>
      </w:pPr>
      <w:r>
        <w:rPr>
          <w:rFonts w:hint="eastAsia" w:eastAsia="方正仿宋_GBK"/>
          <w:sz w:val="24"/>
        </w:rPr>
        <w:t>2．计价单位为最小零售包装（口服剂按盒，注射剂按支/瓶）。</w:t>
      </w:r>
    </w:p>
    <w:p>
      <w:pPr>
        <w:spacing w:line="570" w:lineRule="exact"/>
        <w:ind w:firstLine="1560" w:firstLineChars="650"/>
        <w:rPr>
          <w:rFonts w:eastAsia="方正仿宋_GBK"/>
          <w:sz w:val="24"/>
        </w:rPr>
      </w:pPr>
      <w:r>
        <w:rPr>
          <w:rFonts w:hint="eastAsia" w:eastAsia="方正仿宋_GBK"/>
          <w:sz w:val="24"/>
        </w:rPr>
        <w:t>3．该项申报材料需现场报价时递交。</w:t>
      </w:r>
    </w:p>
    <w:p>
      <w:pPr>
        <w:spacing w:line="570" w:lineRule="exact"/>
        <w:ind w:firstLine="1560" w:firstLineChars="650"/>
        <w:rPr>
          <w:rFonts w:eastAsia="方正仿宋_GBK"/>
          <w:sz w:val="24"/>
        </w:rPr>
      </w:pPr>
      <w:r>
        <w:rPr>
          <w:rFonts w:hint="eastAsia" w:eastAsia="方正仿宋_GBK"/>
          <w:sz w:val="24"/>
        </w:rPr>
        <w:t>4．每个目录序号对应一个“药品价格申报表”，该项申报材料须登录“重庆药品交易平台”，申报产品审查通过后，方可下载打印，进行产品报价填报。</w:t>
      </w:r>
    </w:p>
    <w:p>
      <w:pPr>
        <w:ind w:firstLine="1560" w:firstLineChars="650"/>
        <w:rPr>
          <w:rFonts w:eastAsia="方正仿宋_GBK"/>
          <w:sz w:val="24"/>
        </w:rPr>
      </w:pPr>
      <w:r>
        <w:rPr>
          <w:rFonts w:hint="eastAsia" w:eastAsia="方正仿宋_GBK"/>
          <w:sz w:val="24"/>
        </w:rPr>
        <w:t>5. 大容量注射液还需在“备注”栏，列明包材（如玻璃瓶、塑料瓶 、软袋等）。</w:t>
      </w:r>
    </w:p>
    <w:p>
      <w:pPr>
        <w:spacing w:line="570" w:lineRule="exact"/>
        <w:rPr>
          <w:rFonts w:eastAsia="方正仿宋_GBK"/>
          <w:sz w:val="24"/>
        </w:rPr>
      </w:pPr>
    </w:p>
    <w:p>
      <w:pPr>
        <w:spacing w:line="570" w:lineRule="exact"/>
        <w:ind w:firstLine="8960" w:firstLineChars="2800"/>
        <w:rPr>
          <w:rFonts w:eastAsia="方正仿宋_GBK"/>
        </w:rPr>
      </w:pPr>
      <w:r>
        <w:rPr>
          <w:rFonts w:hint="eastAsia" w:eastAsia="方正仿宋_GBK"/>
        </w:rPr>
        <w:t>申报企业（盖章）：</w:t>
      </w:r>
    </w:p>
    <w:p>
      <w:pPr>
        <w:spacing w:line="570" w:lineRule="exact"/>
        <w:ind w:firstLine="8960" w:firstLineChars="2800"/>
        <w:rPr>
          <w:rFonts w:eastAsia="方正仿宋_GBK"/>
        </w:rPr>
      </w:pPr>
      <w:r>
        <w:rPr>
          <w:rFonts w:hint="eastAsia" w:eastAsia="方正仿宋_GBK"/>
        </w:rPr>
        <w:t>日期： 年 月 日</w:t>
      </w:r>
    </w:p>
    <w:sectPr>
      <w:headerReference r:id="rId14" w:type="first"/>
      <w:headerReference r:id="rId12" w:type="default"/>
      <w:footerReference r:id="rId15" w:type="default"/>
      <w:headerReference r:id="rId13" w:type="even"/>
      <w:pgSz w:w="16838" w:h="11906" w:orient="landscape"/>
      <w:pgMar w:top="1800" w:right="1440" w:bottom="1800" w:left="1440" w:header="851" w:footer="992" w:gutter="0"/>
      <w:pgNumType w:fmt="numberInDash"/>
      <w:cols w:space="720" w:num="1"/>
      <w:formProt w:val="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A0204"/>
    <w:charset w:val="00"/>
    <w:family w:val="roman"/>
    <w:pitch w:val="default"/>
    <w:sig w:usb0="E00002FF" w:usb1="4000045F" w:usb2="00000000" w:usb3="00000000" w:csb0="2000019F" w:csb1="00000000"/>
  </w:font>
  <w:font w:name="楷体">
    <w:panose1 w:val="02010609060101010101"/>
    <w:charset w:val="86"/>
    <w:family w:val="modern"/>
    <w:pitch w:val="default"/>
    <w:sig w:usb0="800002BF" w:usb1="38CF7CFA" w:usb2="0000001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方正仿宋_GBK">
    <w:altName w:val="微软雅黑"/>
    <w:panose1 w:val="03000509000000000000"/>
    <w:charset w:val="86"/>
    <w:family w:val="script"/>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方正仿宋简体">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楷体_GBK">
    <w:altName w:val="微软雅黑"/>
    <w:panose1 w:val="03000509000000000000"/>
    <w:charset w:val="86"/>
    <w:family w:val="script"/>
    <w:pitch w:val="default"/>
    <w:sig w:usb0="00000000" w:usb1="00000000" w:usb2="00000000" w:usb3="00000000" w:csb0="00040000" w:csb1="00000000"/>
  </w:font>
  <w:font w:name="Cambria Math">
    <w:altName w:val="Cambria"/>
    <w:panose1 w:val="02040503050406030204"/>
    <w:charset w:val="00"/>
    <w:family w:val="roman"/>
    <w:pitch w:val="default"/>
    <w:sig w:usb0="00000000" w:usb1="00000000" w:usb2="00000000"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360"/>
      <w:jc w:val="right"/>
      <w:rPr>
        <w:rFonts w:ascii="仿宋" w:hAnsi="仿宋" w:eastAsia="仿宋"/>
        <w:sz w:val="24"/>
        <w:szCs w:val="24"/>
      </w:rPr>
    </w:pP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7"/>
      </w:rPr>
    </w:pPr>
    <w:r>
      <w:rPr>
        <w:rStyle w:val="17"/>
      </w:rPr>
      <w:fldChar w:fldCharType="begin"/>
    </w:r>
    <w:r>
      <w:rPr>
        <w:rStyle w:val="17"/>
      </w:rPr>
      <w:instrText xml:space="preserve">PAGE  </w:instrText>
    </w:r>
    <w:r>
      <w:rPr>
        <w:rStyle w:val="17"/>
      </w:rPr>
      <w:fldChar w:fldCharType="end"/>
    </w:r>
  </w:p>
  <w:p>
    <w:pPr>
      <w:pStyle w:val="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360"/>
      <w:jc w:val="right"/>
      <w:rPr>
        <w:rFonts w:ascii="仿宋" w:hAnsi="仿宋" w:eastAsia="仿宋"/>
        <w:sz w:val="24"/>
        <w:szCs w:val="24"/>
      </w:rPr>
    </w:pPr>
  </w:p>
  <w:p>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360"/>
      <w:jc w:val="right"/>
      <w:rPr>
        <w:rFonts w:ascii="仿宋" w:hAnsi="仿宋" w:eastAsia="仿宋"/>
        <w:sz w:val="24"/>
        <w:szCs w:val="24"/>
      </w:rPr>
    </w:pPr>
  </w:p>
  <w:p>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360"/>
      <w:jc w:val="right"/>
      <w:rPr>
        <w:rFonts w:ascii="仿宋" w:hAnsi="仿宋" w:eastAsia="仿宋"/>
        <w:sz w:val="24"/>
        <w:szCs w:val="24"/>
      </w:rPr>
    </w:pPr>
    <w:r>
      <w:rPr>
        <w:sz w:val="24"/>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445135" cy="230505"/>
              <wp:effectExtent l="2540" t="0" r="0" b="0"/>
              <wp:wrapNone/>
              <wp:docPr id="2" name="Text Box 5"/>
              <wp:cNvGraphicFramePr/>
              <a:graphic xmlns:a="http://schemas.openxmlformats.org/drawingml/2006/main">
                <a:graphicData uri="http://schemas.microsoft.com/office/word/2010/wordprocessingShape">
                  <wps:wsp>
                    <wps:cNvSpPr txBox="1">
                      <a:spLocks noChangeArrowheads="1"/>
                    </wps:cNvSpPr>
                    <wps:spPr bwMode="auto">
                      <a:xfrm>
                        <a:off x="0" y="0"/>
                        <a:ext cx="445135" cy="230505"/>
                      </a:xfrm>
                      <a:prstGeom prst="rect">
                        <a:avLst/>
                      </a:prstGeom>
                      <a:noFill/>
                      <a:ln>
                        <a:noFill/>
                      </a:ln>
                    </wps:spPr>
                    <wps:txbx>
                      <w:txbxContent>
                        <w:p>
                          <w:pPr>
                            <w:pStyle w:val="9"/>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- 18 -</w:t>
                          </w:r>
                          <w:r>
                            <w:rPr>
                              <w:rFonts w:hint="eastAsia" w:ascii="宋体" w:hAnsi="宋体" w:cs="宋体"/>
                              <w:sz w:val="28"/>
                              <w:szCs w:val="28"/>
                            </w:rPr>
                            <w:fldChar w:fldCharType="end"/>
                          </w:r>
                        </w:p>
                      </w:txbxContent>
                    </wps:txbx>
                    <wps:bodyPr rot="0" vert="horz" wrap="none" lIns="0" tIns="0" rIns="0" bIns="0" anchor="t" anchorCtr="0" upright="1">
                      <a:spAutoFit/>
                    </wps:bodyPr>
                  </wps:wsp>
                </a:graphicData>
              </a:graphic>
            </wp:anchor>
          </w:drawing>
        </mc:Choice>
        <mc:Fallback>
          <w:pict>
            <v:shape id="Text Box 5" o:spid="_x0000_s1026" o:spt="202" type="#_x0000_t202" style="position:absolute;left:0pt;margin-top:0pt;height:18.15pt;width:35.05pt;mso-position-horizontal:center;mso-position-horizontal-relative:margin;mso-wrap-style:none;z-index:251667456;mso-width-relative:page;mso-height-relative:page;" filled="f" stroked="f" coordsize="21600,21600" o:gfxdata="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JvOISfRAAAAAwEAAA8AAAAAAAAA&#10;AQAgAAAAIgAAAGRycy9kb3ducmV2LnhtbFBLAQIUABQAAAAIAIdO4kCkBUz13wEAALMDAAAOAAAA&#10;AAAAAAEAIAAAACABAABkcnMvZTJvRG9jLnhtbFBLBQYAAAAABgAGAFkBAABxBQAAAAA=&#10;">
              <v:fill on="f" focussize="0,0"/>
              <v:stroke on="f"/>
              <v:imagedata o:title=""/>
              <o:lock v:ext="edit" aspectratio="f"/>
              <v:textbox inset="0mm,0mm,0mm,0mm" style="mso-fit-shape-to-text:t;">
                <w:txbxContent>
                  <w:p>
                    <w:pPr>
                      <w:pStyle w:val="9"/>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- 18 -</w:t>
                    </w:r>
                    <w:r>
                      <w:rPr>
                        <w:rFonts w:hint="eastAsia" w:ascii="宋体" w:hAnsi="宋体" w:cs="宋体"/>
                        <w:sz w:val="28"/>
                        <w:szCs w:val="28"/>
                      </w:rPr>
                      <w:fldChar w:fldCharType="end"/>
                    </w:r>
                  </w:p>
                </w:txbxContent>
              </v:textbox>
            </v:shape>
          </w:pict>
        </mc:Fallback>
      </mc:AlternateContent>
    </w:r>
  </w:p>
  <w:p>
    <w:pPr>
      <w:pStyle w:val="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534035" cy="230505"/>
              <wp:effectExtent l="1905" t="0" r="0" b="0"/>
              <wp:wrapNone/>
              <wp:docPr id="1" name="Text Box 3"/>
              <wp:cNvGraphicFramePr/>
              <a:graphic xmlns:a="http://schemas.openxmlformats.org/drawingml/2006/main">
                <a:graphicData uri="http://schemas.microsoft.com/office/word/2010/wordprocessingShape">
                  <wps:wsp>
                    <wps:cNvSpPr txBox="1">
                      <a:spLocks noChangeArrowheads="1"/>
                    </wps:cNvSpPr>
                    <wps:spPr bwMode="auto">
                      <a:xfrm>
                        <a:off x="0" y="0"/>
                        <a:ext cx="534035" cy="230505"/>
                      </a:xfrm>
                      <a:prstGeom prst="rect">
                        <a:avLst/>
                      </a:prstGeom>
                      <a:noFill/>
                      <a:ln>
                        <a:noFill/>
                      </a:ln>
                    </wps:spPr>
                    <wps:txbx>
                      <w:txbxContent>
                        <w:p>
                          <w:pPr>
                            <w:pStyle w:val="9"/>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- 30 -</w:t>
                          </w:r>
                          <w:r>
                            <w:rPr>
                              <w:rFonts w:hint="eastAsia" w:ascii="宋体" w:hAnsi="宋体" w:cs="宋体"/>
                              <w:sz w:val="28"/>
                              <w:szCs w:val="28"/>
                            </w:rPr>
                            <w:fldChar w:fldCharType="end"/>
                          </w:r>
                        </w:p>
                      </w:txbxContent>
                    </wps:txbx>
                    <wps:bodyPr rot="0" vert="horz" wrap="none" lIns="0" tIns="0" rIns="0" bIns="0" anchor="t" anchorCtr="0" upright="1">
                      <a:spAutoFit/>
                    </wps:bodyPr>
                  </wps:wsp>
                </a:graphicData>
              </a:graphic>
            </wp:anchor>
          </w:drawing>
        </mc:Choice>
        <mc:Fallback>
          <w:pict>
            <v:shape id="Text Box 3" o:spid="_x0000_s1026" o:spt="202" type="#_x0000_t202" style="position:absolute;left:0pt;margin-top:0pt;height:18.15pt;width:42.05pt;mso-position-horizontal:center;mso-position-horizontal-relative:margin;mso-wrap-style:none;z-index:251660288;mso-width-relative:page;mso-height-relative:page;" filled="f" stroked="f" coordsize="21600,21600" o:gfxdata="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w9kx90QAAAAMBAAAPAAAAAAAAAAEA&#10;IAAAACIAAABkcnMvZG93bnJldi54bWxQSwECFAAUAAAACACHTuJARncsC90BAACzAwAADgAAAAAA&#10;AAABACAAAAAgAQAAZHJzL2Uyb0RvYy54bWxQSwUGAAAAAAYABgBZAQAAbwUAAAAA&#10;">
              <v:fill on="f" focussize="0,0"/>
              <v:stroke on="f"/>
              <v:imagedata o:title=""/>
              <o:lock v:ext="edit" aspectratio="f"/>
              <v:textbox inset="0mm,0mm,0mm,0mm" style="mso-fit-shape-to-text:t;">
                <w:txbxContent>
                  <w:p>
                    <w:pPr>
                      <w:pStyle w:val="9"/>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- 30 -</w:t>
                    </w:r>
                    <w:r>
                      <w:rPr>
                        <w:rFonts w:hint="eastAsia" w:ascii="宋体" w:hAnsi="宋体" w:cs="宋体"/>
                        <w:sz w:val="28"/>
                        <w:szCs w:val="28"/>
                      </w:rPr>
                      <w:fldChar w:fldCharType="end"/>
                    </w:r>
                  </w:p>
                </w:txbxContent>
              </v:textbox>
            </v:shape>
          </w:pict>
        </mc:Fallback>
      </mc:AlternateContent>
    </w:r>
    <w:sdt>
      <w:sdtPr>
        <w:id w:val="9918820"/>
      </w:sdtPr>
      <w:sdtContent/>
    </w:sdt>
  </w:p>
  <w:p>
    <w:pPr>
      <w:pStyle w:val="9"/>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7A5205"/>
    <w:multiLevelType w:val="singleLevel"/>
    <w:tmpl w:val="247A5205"/>
    <w:lvl w:ilvl="0" w:tentative="0">
      <w:start w:val="2"/>
      <w:numFmt w:val="chineseCounting"/>
      <w:suff w:val="space"/>
      <w:lvlText w:val="第%1部分"/>
      <w:lvlJc w:val="left"/>
      <w:rPr>
        <w:rFonts w:hint="eastAsia"/>
      </w:rPr>
    </w:lvl>
  </w:abstractNum>
  <w:abstractNum w:abstractNumId="1">
    <w:nsid w:val="39754A57"/>
    <w:multiLevelType w:val="singleLevel"/>
    <w:tmpl w:val="39754A57"/>
    <w:lvl w:ilvl="0" w:tentative="0">
      <w:start w:val="2"/>
      <w:numFmt w:val="decimal"/>
      <w:suff w:val="nothing"/>
      <w:lvlText w:val="%1．"/>
      <w:lvlJc w:val="left"/>
    </w:lvl>
  </w:abstractNum>
  <w:abstractNum w:abstractNumId="2">
    <w:nsid w:val="772A43B4"/>
    <w:multiLevelType w:val="singleLevel"/>
    <w:tmpl w:val="772A43B4"/>
    <w:lvl w:ilvl="0" w:tentative="0">
      <w:start w:val="2"/>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dit="forms" w:enforcement="1"/>
  <w:defaultTabStop w:val="420"/>
  <w:drawingGridHorizontalSpacing w:val="160"/>
  <w:drawingGridVerticalSpacing w:val="220"/>
  <w:displayVerticalDrawingGridEvery w:val="2"/>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232510"/>
    <w:rsid w:val="00000D69"/>
    <w:rsid w:val="00002E28"/>
    <w:rsid w:val="000038D3"/>
    <w:rsid w:val="0001597C"/>
    <w:rsid w:val="00015E74"/>
    <w:rsid w:val="00024FC6"/>
    <w:rsid w:val="0002555C"/>
    <w:rsid w:val="0002561F"/>
    <w:rsid w:val="00026D42"/>
    <w:rsid w:val="00027783"/>
    <w:rsid w:val="00032CD3"/>
    <w:rsid w:val="00033023"/>
    <w:rsid w:val="000342CB"/>
    <w:rsid w:val="00034365"/>
    <w:rsid w:val="0004008D"/>
    <w:rsid w:val="00040E79"/>
    <w:rsid w:val="00041793"/>
    <w:rsid w:val="00053465"/>
    <w:rsid w:val="0005522E"/>
    <w:rsid w:val="00062380"/>
    <w:rsid w:val="00063BAA"/>
    <w:rsid w:val="00066F7A"/>
    <w:rsid w:val="00074A94"/>
    <w:rsid w:val="0007796F"/>
    <w:rsid w:val="00083ED5"/>
    <w:rsid w:val="000859CE"/>
    <w:rsid w:val="00087BF6"/>
    <w:rsid w:val="00093DFA"/>
    <w:rsid w:val="00096F06"/>
    <w:rsid w:val="000A532E"/>
    <w:rsid w:val="000A5B03"/>
    <w:rsid w:val="000A6D95"/>
    <w:rsid w:val="000A7691"/>
    <w:rsid w:val="000B5E3D"/>
    <w:rsid w:val="000C19E0"/>
    <w:rsid w:val="000C1A60"/>
    <w:rsid w:val="000C2D55"/>
    <w:rsid w:val="000C2E5A"/>
    <w:rsid w:val="000C5EA1"/>
    <w:rsid w:val="000C63BB"/>
    <w:rsid w:val="000C695B"/>
    <w:rsid w:val="000D1A1D"/>
    <w:rsid w:val="000D26CD"/>
    <w:rsid w:val="000D7369"/>
    <w:rsid w:val="000E2859"/>
    <w:rsid w:val="000E3F48"/>
    <w:rsid w:val="000E4D04"/>
    <w:rsid w:val="000F0B5E"/>
    <w:rsid w:val="000F1F1D"/>
    <w:rsid w:val="000F43F6"/>
    <w:rsid w:val="000F5D59"/>
    <w:rsid w:val="000F7FFD"/>
    <w:rsid w:val="0010738B"/>
    <w:rsid w:val="0011071B"/>
    <w:rsid w:val="00110900"/>
    <w:rsid w:val="0011423E"/>
    <w:rsid w:val="0012627E"/>
    <w:rsid w:val="001321E2"/>
    <w:rsid w:val="0013416B"/>
    <w:rsid w:val="00141D06"/>
    <w:rsid w:val="00145D95"/>
    <w:rsid w:val="00147BA2"/>
    <w:rsid w:val="00155DC9"/>
    <w:rsid w:val="00161914"/>
    <w:rsid w:val="001674FB"/>
    <w:rsid w:val="0017378E"/>
    <w:rsid w:val="001751DC"/>
    <w:rsid w:val="00177F3D"/>
    <w:rsid w:val="00180886"/>
    <w:rsid w:val="001813D8"/>
    <w:rsid w:val="001845AB"/>
    <w:rsid w:val="00190DD2"/>
    <w:rsid w:val="00192BFD"/>
    <w:rsid w:val="001A123B"/>
    <w:rsid w:val="001A1837"/>
    <w:rsid w:val="001B0C63"/>
    <w:rsid w:val="001B256D"/>
    <w:rsid w:val="001B5689"/>
    <w:rsid w:val="001B5919"/>
    <w:rsid w:val="001B63F5"/>
    <w:rsid w:val="001C0551"/>
    <w:rsid w:val="001D0ABB"/>
    <w:rsid w:val="001D0F6D"/>
    <w:rsid w:val="001D37DE"/>
    <w:rsid w:val="001D3FA4"/>
    <w:rsid w:val="001D5785"/>
    <w:rsid w:val="001D61CC"/>
    <w:rsid w:val="001D6BBC"/>
    <w:rsid w:val="001E148C"/>
    <w:rsid w:val="001E5936"/>
    <w:rsid w:val="001E6752"/>
    <w:rsid w:val="001F2003"/>
    <w:rsid w:val="001F4B3B"/>
    <w:rsid w:val="00200A6D"/>
    <w:rsid w:val="00200F8C"/>
    <w:rsid w:val="00223A8D"/>
    <w:rsid w:val="00225677"/>
    <w:rsid w:val="00226997"/>
    <w:rsid w:val="00226B27"/>
    <w:rsid w:val="00234C86"/>
    <w:rsid w:val="00235967"/>
    <w:rsid w:val="002428E3"/>
    <w:rsid w:val="00253397"/>
    <w:rsid w:val="002538AA"/>
    <w:rsid w:val="0025426E"/>
    <w:rsid w:val="00256BC5"/>
    <w:rsid w:val="00260C52"/>
    <w:rsid w:val="00260C6C"/>
    <w:rsid w:val="00266357"/>
    <w:rsid w:val="00270610"/>
    <w:rsid w:val="00275165"/>
    <w:rsid w:val="00276076"/>
    <w:rsid w:val="00277B65"/>
    <w:rsid w:val="00281960"/>
    <w:rsid w:val="00281FB1"/>
    <w:rsid w:val="00282CD3"/>
    <w:rsid w:val="002941E6"/>
    <w:rsid w:val="00296001"/>
    <w:rsid w:val="002A002F"/>
    <w:rsid w:val="002A143F"/>
    <w:rsid w:val="002B013F"/>
    <w:rsid w:val="002B1DC2"/>
    <w:rsid w:val="002B4C0F"/>
    <w:rsid w:val="002B5225"/>
    <w:rsid w:val="002C352D"/>
    <w:rsid w:val="002C3AC9"/>
    <w:rsid w:val="002C5957"/>
    <w:rsid w:val="002D0A4A"/>
    <w:rsid w:val="002D1C8E"/>
    <w:rsid w:val="002D317A"/>
    <w:rsid w:val="002D45C7"/>
    <w:rsid w:val="002E6A17"/>
    <w:rsid w:val="002E7A11"/>
    <w:rsid w:val="002E7A6C"/>
    <w:rsid w:val="002F153C"/>
    <w:rsid w:val="002F16BD"/>
    <w:rsid w:val="002F599D"/>
    <w:rsid w:val="00305E2C"/>
    <w:rsid w:val="00311193"/>
    <w:rsid w:val="00311DFF"/>
    <w:rsid w:val="003130DB"/>
    <w:rsid w:val="00323F98"/>
    <w:rsid w:val="00325584"/>
    <w:rsid w:val="003262BB"/>
    <w:rsid w:val="0032697E"/>
    <w:rsid w:val="0033384D"/>
    <w:rsid w:val="00334AA1"/>
    <w:rsid w:val="00337ED5"/>
    <w:rsid w:val="00340F0B"/>
    <w:rsid w:val="00341C05"/>
    <w:rsid w:val="00345FC4"/>
    <w:rsid w:val="003464F8"/>
    <w:rsid w:val="0035312D"/>
    <w:rsid w:val="0035538E"/>
    <w:rsid w:val="00355A76"/>
    <w:rsid w:val="003602B7"/>
    <w:rsid w:val="00361444"/>
    <w:rsid w:val="003626AE"/>
    <w:rsid w:val="0036364B"/>
    <w:rsid w:val="00365545"/>
    <w:rsid w:val="00371AAA"/>
    <w:rsid w:val="00373DB2"/>
    <w:rsid w:val="00373EC2"/>
    <w:rsid w:val="003745D4"/>
    <w:rsid w:val="00376D82"/>
    <w:rsid w:val="00376E02"/>
    <w:rsid w:val="00377168"/>
    <w:rsid w:val="003854A6"/>
    <w:rsid w:val="003857DA"/>
    <w:rsid w:val="0039186E"/>
    <w:rsid w:val="00391B65"/>
    <w:rsid w:val="00397B62"/>
    <w:rsid w:val="003A020B"/>
    <w:rsid w:val="003A2B97"/>
    <w:rsid w:val="003B16C1"/>
    <w:rsid w:val="003B2E53"/>
    <w:rsid w:val="003B4470"/>
    <w:rsid w:val="003B5FD3"/>
    <w:rsid w:val="003C5CE4"/>
    <w:rsid w:val="003D1F09"/>
    <w:rsid w:val="003D5153"/>
    <w:rsid w:val="003E05A9"/>
    <w:rsid w:val="003E3B33"/>
    <w:rsid w:val="003E5580"/>
    <w:rsid w:val="003E69EB"/>
    <w:rsid w:val="003E7965"/>
    <w:rsid w:val="003F023C"/>
    <w:rsid w:val="003F329E"/>
    <w:rsid w:val="003F5057"/>
    <w:rsid w:val="003F5F81"/>
    <w:rsid w:val="003F66C0"/>
    <w:rsid w:val="003F756A"/>
    <w:rsid w:val="0040589C"/>
    <w:rsid w:val="004064AE"/>
    <w:rsid w:val="0041232A"/>
    <w:rsid w:val="00415492"/>
    <w:rsid w:val="0041695B"/>
    <w:rsid w:val="004204D0"/>
    <w:rsid w:val="00420C30"/>
    <w:rsid w:val="00421C70"/>
    <w:rsid w:val="00424D08"/>
    <w:rsid w:val="00430A29"/>
    <w:rsid w:val="0043328F"/>
    <w:rsid w:val="00440245"/>
    <w:rsid w:val="00442266"/>
    <w:rsid w:val="00442B17"/>
    <w:rsid w:val="00443E8A"/>
    <w:rsid w:val="00444717"/>
    <w:rsid w:val="00444CC9"/>
    <w:rsid w:val="00450369"/>
    <w:rsid w:val="00450905"/>
    <w:rsid w:val="00452CEE"/>
    <w:rsid w:val="00453E6A"/>
    <w:rsid w:val="00457B7F"/>
    <w:rsid w:val="004633B9"/>
    <w:rsid w:val="00470FA4"/>
    <w:rsid w:val="00470FED"/>
    <w:rsid w:val="004727DD"/>
    <w:rsid w:val="00473707"/>
    <w:rsid w:val="004737D9"/>
    <w:rsid w:val="00475D67"/>
    <w:rsid w:val="00480AA3"/>
    <w:rsid w:val="00480D3F"/>
    <w:rsid w:val="004848CF"/>
    <w:rsid w:val="00486D7C"/>
    <w:rsid w:val="0049474E"/>
    <w:rsid w:val="00495D09"/>
    <w:rsid w:val="00496FC4"/>
    <w:rsid w:val="004A0BD4"/>
    <w:rsid w:val="004A1544"/>
    <w:rsid w:val="004A1D59"/>
    <w:rsid w:val="004B26FC"/>
    <w:rsid w:val="004B2A21"/>
    <w:rsid w:val="004B65D5"/>
    <w:rsid w:val="004C09B2"/>
    <w:rsid w:val="004C0DC8"/>
    <w:rsid w:val="004C28B3"/>
    <w:rsid w:val="004D3E79"/>
    <w:rsid w:val="004E7231"/>
    <w:rsid w:val="004F1DD1"/>
    <w:rsid w:val="004F21BD"/>
    <w:rsid w:val="004F243D"/>
    <w:rsid w:val="004F4A9A"/>
    <w:rsid w:val="005005EE"/>
    <w:rsid w:val="005016E6"/>
    <w:rsid w:val="00501BD6"/>
    <w:rsid w:val="00510269"/>
    <w:rsid w:val="00510F85"/>
    <w:rsid w:val="005211B7"/>
    <w:rsid w:val="005216E2"/>
    <w:rsid w:val="00523C33"/>
    <w:rsid w:val="00526528"/>
    <w:rsid w:val="00535A92"/>
    <w:rsid w:val="005361C7"/>
    <w:rsid w:val="00537FC5"/>
    <w:rsid w:val="005403B8"/>
    <w:rsid w:val="0054559E"/>
    <w:rsid w:val="00551012"/>
    <w:rsid w:val="0055200D"/>
    <w:rsid w:val="00553D00"/>
    <w:rsid w:val="00556AED"/>
    <w:rsid w:val="00564D11"/>
    <w:rsid w:val="00566D43"/>
    <w:rsid w:val="0056726A"/>
    <w:rsid w:val="00567B0F"/>
    <w:rsid w:val="00567DC6"/>
    <w:rsid w:val="00576165"/>
    <w:rsid w:val="00580D09"/>
    <w:rsid w:val="0058494C"/>
    <w:rsid w:val="005853B5"/>
    <w:rsid w:val="00595E98"/>
    <w:rsid w:val="00597E62"/>
    <w:rsid w:val="005A7D43"/>
    <w:rsid w:val="005B35A0"/>
    <w:rsid w:val="005B6F4D"/>
    <w:rsid w:val="005D1366"/>
    <w:rsid w:val="005D1DDF"/>
    <w:rsid w:val="005D314F"/>
    <w:rsid w:val="005D387E"/>
    <w:rsid w:val="005D4C96"/>
    <w:rsid w:val="005E015B"/>
    <w:rsid w:val="005E057D"/>
    <w:rsid w:val="005E2F07"/>
    <w:rsid w:val="005E38A2"/>
    <w:rsid w:val="005E6EF0"/>
    <w:rsid w:val="005E7E15"/>
    <w:rsid w:val="005F0D54"/>
    <w:rsid w:val="005F1669"/>
    <w:rsid w:val="005F395C"/>
    <w:rsid w:val="00601726"/>
    <w:rsid w:val="00602DCD"/>
    <w:rsid w:val="0060365A"/>
    <w:rsid w:val="006063F6"/>
    <w:rsid w:val="00611AC7"/>
    <w:rsid w:val="006120FD"/>
    <w:rsid w:val="00612FBE"/>
    <w:rsid w:val="0061341B"/>
    <w:rsid w:val="00621D86"/>
    <w:rsid w:val="006239FE"/>
    <w:rsid w:val="0062670A"/>
    <w:rsid w:val="006330B5"/>
    <w:rsid w:val="006344C9"/>
    <w:rsid w:val="00634DA7"/>
    <w:rsid w:val="006359ED"/>
    <w:rsid w:val="00635E29"/>
    <w:rsid w:val="00637334"/>
    <w:rsid w:val="00637F9C"/>
    <w:rsid w:val="0064119C"/>
    <w:rsid w:val="0064163F"/>
    <w:rsid w:val="00644AEA"/>
    <w:rsid w:val="006513F6"/>
    <w:rsid w:val="00652BA7"/>
    <w:rsid w:val="00653DF3"/>
    <w:rsid w:val="006556BB"/>
    <w:rsid w:val="0066089D"/>
    <w:rsid w:val="00660C1C"/>
    <w:rsid w:val="00661FEF"/>
    <w:rsid w:val="006658E5"/>
    <w:rsid w:val="00666A9A"/>
    <w:rsid w:val="006704CD"/>
    <w:rsid w:val="0067051F"/>
    <w:rsid w:val="00675F9E"/>
    <w:rsid w:val="006847CC"/>
    <w:rsid w:val="00686DAE"/>
    <w:rsid w:val="00686E28"/>
    <w:rsid w:val="0068709D"/>
    <w:rsid w:val="006870D6"/>
    <w:rsid w:val="00687789"/>
    <w:rsid w:val="00690D78"/>
    <w:rsid w:val="006935CB"/>
    <w:rsid w:val="00697F3E"/>
    <w:rsid w:val="006A0B6D"/>
    <w:rsid w:val="006A2BA3"/>
    <w:rsid w:val="006A5EFE"/>
    <w:rsid w:val="006A710C"/>
    <w:rsid w:val="006B2DDE"/>
    <w:rsid w:val="006B37E5"/>
    <w:rsid w:val="006B7FC8"/>
    <w:rsid w:val="006C00D1"/>
    <w:rsid w:val="006C0CE4"/>
    <w:rsid w:val="006C25A3"/>
    <w:rsid w:val="006C38C8"/>
    <w:rsid w:val="006D7337"/>
    <w:rsid w:val="006E4A13"/>
    <w:rsid w:val="006F012D"/>
    <w:rsid w:val="006F4BC4"/>
    <w:rsid w:val="006F4C85"/>
    <w:rsid w:val="00701097"/>
    <w:rsid w:val="00704F87"/>
    <w:rsid w:val="00705003"/>
    <w:rsid w:val="007124B8"/>
    <w:rsid w:val="00716F5C"/>
    <w:rsid w:val="00716F99"/>
    <w:rsid w:val="00732A08"/>
    <w:rsid w:val="0073751A"/>
    <w:rsid w:val="00737DAD"/>
    <w:rsid w:val="00740386"/>
    <w:rsid w:val="00744184"/>
    <w:rsid w:val="00745234"/>
    <w:rsid w:val="00745789"/>
    <w:rsid w:val="007466CD"/>
    <w:rsid w:val="007475A8"/>
    <w:rsid w:val="0076014F"/>
    <w:rsid w:val="00761844"/>
    <w:rsid w:val="00765090"/>
    <w:rsid w:val="00766D7F"/>
    <w:rsid w:val="00774E47"/>
    <w:rsid w:val="00782CE5"/>
    <w:rsid w:val="007845EE"/>
    <w:rsid w:val="0078590E"/>
    <w:rsid w:val="00790545"/>
    <w:rsid w:val="00792C1F"/>
    <w:rsid w:val="00792E3E"/>
    <w:rsid w:val="007A1485"/>
    <w:rsid w:val="007A1BD8"/>
    <w:rsid w:val="007A31D3"/>
    <w:rsid w:val="007A3B41"/>
    <w:rsid w:val="007C0027"/>
    <w:rsid w:val="007C1BC0"/>
    <w:rsid w:val="007C2C6C"/>
    <w:rsid w:val="007C4EB0"/>
    <w:rsid w:val="007C688F"/>
    <w:rsid w:val="007C78E6"/>
    <w:rsid w:val="007D066A"/>
    <w:rsid w:val="007D13E3"/>
    <w:rsid w:val="007D3C13"/>
    <w:rsid w:val="007E68F3"/>
    <w:rsid w:val="007E6EE5"/>
    <w:rsid w:val="007F1802"/>
    <w:rsid w:val="007F2CD6"/>
    <w:rsid w:val="007F383C"/>
    <w:rsid w:val="007F471E"/>
    <w:rsid w:val="00801111"/>
    <w:rsid w:val="00803900"/>
    <w:rsid w:val="00810744"/>
    <w:rsid w:val="00812A3F"/>
    <w:rsid w:val="00814C14"/>
    <w:rsid w:val="00820E8D"/>
    <w:rsid w:val="008307C7"/>
    <w:rsid w:val="008312E7"/>
    <w:rsid w:val="00835E58"/>
    <w:rsid w:val="00841201"/>
    <w:rsid w:val="00847E3B"/>
    <w:rsid w:val="0085025E"/>
    <w:rsid w:val="00850EF3"/>
    <w:rsid w:val="00851F34"/>
    <w:rsid w:val="008534BA"/>
    <w:rsid w:val="008568E4"/>
    <w:rsid w:val="00856DF0"/>
    <w:rsid w:val="00867388"/>
    <w:rsid w:val="00867AB1"/>
    <w:rsid w:val="00867CD2"/>
    <w:rsid w:val="008739D0"/>
    <w:rsid w:val="00874803"/>
    <w:rsid w:val="008755A7"/>
    <w:rsid w:val="008776AD"/>
    <w:rsid w:val="008807AD"/>
    <w:rsid w:val="008854F3"/>
    <w:rsid w:val="00890DD3"/>
    <w:rsid w:val="00891E0E"/>
    <w:rsid w:val="00893566"/>
    <w:rsid w:val="00895C34"/>
    <w:rsid w:val="008A2247"/>
    <w:rsid w:val="008A54BE"/>
    <w:rsid w:val="008B18C1"/>
    <w:rsid w:val="008B4B75"/>
    <w:rsid w:val="008B539F"/>
    <w:rsid w:val="008C21D0"/>
    <w:rsid w:val="008C3E3F"/>
    <w:rsid w:val="008C7338"/>
    <w:rsid w:val="008D19FA"/>
    <w:rsid w:val="008D3163"/>
    <w:rsid w:val="008D32DE"/>
    <w:rsid w:val="008D5818"/>
    <w:rsid w:val="008E0C1B"/>
    <w:rsid w:val="008E124F"/>
    <w:rsid w:val="008E3531"/>
    <w:rsid w:val="008E615D"/>
    <w:rsid w:val="008F0991"/>
    <w:rsid w:val="008F4570"/>
    <w:rsid w:val="008F728E"/>
    <w:rsid w:val="00905B7D"/>
    <w:rsid w:val="009069D6"/>
    <w:rsid w:val="00915C28"/>
    <w:rsid w:val="0092028B"/>
    <w:rsid w:val="00920622"/>
    <w:rsid w:val="00925778"/>
    <w:rsid w:val="00925FDA"/>
    <w:rsid w:val="0093274A"/>
    <w:rsid w:val="0093428D"/>
    <w:rsid w:val="00935F9B"/>
    <w:rsid w:val="0093712F"/>
    <w:rsid w:val="00941F19"/>
    <w:rsid w:val="00942E99"/>
    <w:rsid w:val="0095218E"/>
    <w:rsid w:val="00956399"/>
    <w:rsid w:val="0095658D"/>
    <w:rsid w:val="0095660F"/>
    <w:rsid w:val="00956B92"/>
    <w:rsid w:val="00960022"/>
    <w:rsid w:val="00960D90"/>
    <w:rsid w:val="00962577"/>
    <w:rsid w:val="00963937"/>
    <w:rsid w:val="0096612F"/>
    <w:rsid w:val="00967975"/>
    <w:rsid w:val="0097014F"/>
    <w:rsid w:val="00971FAD"/>
    <w:rsid w:val="00973C79"/>
    <w:rsid w:val="00975CCD"/>
    <w:rsid w:val="00976B72"/>
    <w:rsid w:val="00977719"/>
    <w:rsid w:val="00984E74"/>
    <w:rsid w:val="00987198"/>
    <w:rsid w:val="00987796"/>
    <w:rsid w:val="00990E41"/>
    <w:rsid w:val="009A098C"/>
    <w:rsid w:val="009A1CE4"/>
    <w:rsid w:val="009A2FB6"/>
    <w:rsid w:val="009A3575"/>
    <w:rsid w:val="009A5BDB"/>
    <w:rsid w:val="009B156A"/>
    <w:rsid w:val="009B481C"/>
    <w:rsid w:val="009B63FD"/>
    <w:rsid w:val="009B65B2"/>
    <w:rsid w:val="009C2197"/>
    <w:rsid w:val="009C2662"/>
    <w:rsid w:val="009C37E1"/>
    <w:rsid w:val="009D0511"/>
    <w:rsid w:val="009D296C"/>
    <w:rsid w:val="009D373E"/>
    <w:rsid w:val="009D4D88"/>
    <w:rsid w:val="009E1A77"/>
    <w:rsid w:val="009E47AC"/>
    <w:rsid w:val="009F0622"/>
    <w:rsid w:val="009F5382"/>
    <w:rsid w:val="009F5E9D"/>
    <w:rsid w:val="00A013B8"/>
    <w:rsid w:val="00A055B4"/>
    <w:rsid w:val="00A061EE"/>
    <w:rsid w:val="00A07F58"/>
    <w:rsid w:val="00A12C5D"/>
    <w:rsid w:val="00A14AD7"/>
    <w:rsid w:val="00A21CA3"/>
    <w:rsid w:val="00A241A5"/>
    <w:rsid w:val="00A340C1"/>
    <w:rsid w:val="00A3670B"/>
    <w:rsid w:val="00A409CC"/>
    <w:rsid w:val="00A45E25"/>
    <w:rsid w:val="00A60104"/>
    <w:rsid w:val="00A613F5"/>
    <w:rsid w:val="00A6348D"/>
    <w:rsid w:val="00A745E5"/>
    <w:rsid w:val="00A74F54"/>
    <w:rsid w:val="00A75C97"/>
    <w:rsid w:val="00A7788B"/>
    <w:rsid w:val="00A83445"/>
    <w:rsid w:val="00A908C8"/>
    <w:rsid w:val="00A92FD3"/>
    <w:rsid w:val="00A94246"/>
    <w:rsid w:val="00A94991"/>
    <w:rsid w:val="00A9572B"/>
    <w:rsid w:val="00A958B5"/>
    <w:rsid w:val="00AA1AB3"/>
    <w:rsid w:val="00AA252D"/>
    <w:rsid w:val="00AA40AE"/>
    <w:rsid w:val="00AA5CFE"/>
    <w:rsid w:val="00AA7D6C"/>
    <w:rsid w:val="00AA7E33"/>
    <w:rsid w:val="00AB5376"/>
    <w:rsid w:val="00AC04EE"/>
    <w:rsid w:val="00AC1D45"/>
    <w:rsid w:val="00AC3A15"/>
    <w:rsid w:val="00AC3B5C"/>
    <w:rsid w:val="00AC4478"/>
    <w:rsid w:val="00AC53AE"/>
    <w:rsid w:val="00AC6C71"/>
    <w:rsid w:val="00AC7791"/>
    <w:rsid w:val="00AD0102"/>
    <w:rsid w:val="00AD1529"/>
    <w:rsid w:val="00AD389E"/>
    <w:rsid w:val="00AD3EC2"/>
    <w:rsid w:val="00AD4734"/>
    <w:rsid w:val="00AD6CC7"/>
    <w:rsid w:val="00AE0C30"/>
    <w:rsid w:val="00AE31CE"/>
    <w:rsid w:val="00AE3D85"/>
    <w:rsid w:val="00AE4086"/>
    <w:rsid w:val="00AE4EEC"/>
    <w:rsid w:val="00AE6606"/>
    <w:rsid w:val="00AF0300"/>
    <w:rsid w:val="00AF0592"/>
    <w:rsid w:val="00AF7018"/>
    <w:rsid w:val="00B00B02"/>
    <w:rsid w:val="00B03722"/>
    <w:rsid w:val="00B03782"/>
    <w:rsid w:val="00B03809"/>
    <w:rsid w:val="00B06C14"/>
    <w:rsid w:val="00B11356"/>
    <w:rsid w:val="00B13B2E"/>
    <w:rsid w:val="00B164AB"/>
    <w:rsid w:val="00B24FC0"/>
    <w:rsid w:val="00B4125B"/>
    <w:rsid w:val="00B52848"/>
    <w:rsid w:val="00B637EB"/>
    <w:rsid w:val="00B66846"/>
    <w:rsid w:val="00B7686E"/>
    <w:rsid w:val="00B76E84"/>
    <w:rsid w:val="00B804CE"/>
    <w:rsid w:val="00B81500"/>
    <w:rsid w:val="00B85522"/>
    <w:rsid w:val="00B859F0"/>
    <w:rsid w:val="00B95DE8"/>
    <w:rsid w:val="00B97920"/>
    <w:rsid w:val="00BA2884"/>
    <w:rsid w:val="00BA4E3D"/>
    <w:rsid w:val="00BB2E69"/>
    <w:rsid w:val="00BB47F4"/>
    <w:rsid w:val="00BB7D21"/>
    <w:rsid w:val="00BC0AB5"/>
    <w:rsid w:val="00BC3099"/>
    <w:rsid w:val="00BC4FFC"/>
    <w:rsid w:val="00BC55E0"/>
    <w:rsid w:val="00BC7E99"/>
    <w:rsid w:val="00BD0961"/>
    <w:rsid w:val="00BD5083"/>
    <w:rsid w:val="00BD634B"/>
    <w:rsid w:val="00BE16E5"/>
    <w:rsid w:val="00BE2C40"/>
    <w:rsid w:val="00BE2FAB"/>
    <w:rsid w:val="00BE4B14"/>
    <w:rsid w:val="00BE7FC8"/>
    <w:rsid w:val="00BF0795"/>
    <w:rsid w:val="00BF40A7"/>
    <w:rsid w:val="00BF506D"/>
    <w:rsid w:val="00BF5639"/>
    <w:rsid w:val="00BF60E0"/>
    <w:rsid w:val="00BF7859"/>
    <w:rsid w:val="00BF79BE"/>
    <w:rsid w:val="00C001F2"/>
    <w:rsid w:val="00C00443"/>
    <w:rsid w:val="00C0400B"/>
    <w:rsid w:val="00C0644B"/>
    <w:rsid w:val="00C1328D"/>
    <w:rsid w:val="00C20320"/>
    <w:rsid w:val="00C21C6E"/>
    <w:rsid w:val="00C26757"/>
    <w:rsid w:val="00C33823"/>
    <w:rsid w:val="00C34731"/>
    <w:rsid w:val="00C37564"/>
    <w:rsid w:val="00C37AB6"/>
    <w:rsid w:val="00C405AD"/>
    <w:rsid w:val="00C42414"/>
    <w:rsid w:val="00C42D1B"/>
    <w:rsid w:val="00C44FCE"/>
    <w:rsid w:val="00C45E5C"/>
    <w:rsid w:val="00C50CB7"/>
    <w:rsid w:val="00C51FDB"/>
    <w:rsid w:val="00C535ED"/>
    <w:rsid w:val="00C54BD5"/>
    <w:rsid w:val="00C55973"/>
    <w:rsid w:val="00C56EF6"/>
    <w:rsid w:val="00C60161"/>
    <w:rsid w:val="00C616E5"/>
    <w:rsid w:val="00C6305A"/>
    <w:rsid w:val="00C63084"/>
    <w:rsid w:val="00C6608E"/>
    <w:rsid w:val="00C676C0"/>
    <w:rsid w:val="00C67964"/>
    <w:rsid w:val="00C67B12"/>
    <w:rsid w:val="00C71B8E"/>
    <w:rsid w:val="00C72082"/>
    <w:rsid w:val="00C74F7A"/>
    <w:rsid w:val="00C758ED"/>
    <w:rsid w:val="00C80F48"/>
    <w:rsid w:val="00C8485D"/>
    <w:rsid w:val="00C8780D"/>
    <w:rsid w:val="00C90206"/>
    <w:rsid w:val="00C935FA"/>
    <w:rsid w:val="00C94A88"/>
    <w:rsid w:val="00C94DB3"/>
    <w:rsid w:val="00C97D78"/>
    <w:rsid w:val="00CA16F8"/>
    <w:rsid w:val="00CA1D02"/>
    <w:rsid w:val="00CA52AC"/>
    <w:rsid w:val="00CA6AD8"/>
    <w:rsid w:val="00CB2FBE"/>
    <w:rsid w:val="00CB3B70"/>
    <w:rsid w:val="00CB3D7D"/>
    <w:rsid w:val="00CB3E0F"/>
    <w:rsid w:val="00CB43C6"/>
    <w:rsid w:val="00CD42F3"/>
    <w:rsid w:val="00CE51FB"/>
    <w:rsid w:val="00CE710A"/>
    <w:rsid w:val="00CF1272"/>
    <w:rsid w:val="00CF326C"/>
    <w:rsid w:val="00CF4339"/>
    <w:rsid w:val="00D0327E"/>
    <w:rsid w:val="00D04D11"/>
    <w:rsid w:val="00D12937"/>
    <w:rsid w:val="00D1736C"/>
    <w:rsid w:val="00D21307"/>
    <w:rsid w:val="00D2239C"/>
    <w:rsid w:val="00D23625"/>
    <w:rsid w:val="00D27849"/>
    <w:rsid w:val="00D33294"/>
    <w:rsid w:val="00D346D5"/>
    <w:rsid w:val="00D46637"/>
    <w:rsid w:val="00D526D2"/>
    <w:rsid w:val="00D53DA8"/>
    <w:rsid w:val="00D55D9E"/>
    <w:rsid w:val="00D5601F"/>
    <w:rsid w:val="00D56475"/>
    <w:rsid w:val="00D61544"/>
    <w:rsid w:val="00D61803"/>
    <w:rsid w:val="00D64943"/>
    <w:rsid w:val="00D66B32"/>
    <w:rsid w:val="00D70F4C"/>
    <w:rsid w:val="00D7652A"/>
    <w:rsid w:val="00D7717F"/>
    <w:rsid w:val="00D82EEA"/>
    <w:rsid w:val="00D8415C"/>
    <w:rsid w:val="00D84ADB"/>
    <w:rsid w:val="00D8649E"/>
    <w:rsid w:val="00D865A8"/>
    <w:rsid w:val="00D906EA"/>
    <w:rsid w:val="00DA07E4"/>
    <w:rsid w:val="00DB0912"/>
    <w:rsid w:val="00DB28A0"/>
    <w:rsid w:val="00DB3052"/>
    <w:rsid w:val="00DB44AF"/>
    <w:rsid w:val="00DC0B8D"/>
    <w:rsid w:val="00DD13A3"/>
    <w:rsid w:val="00DD1FAC"/>
    <w:rsid w:val="00DD37B3"/>
    <w:rsid w:val="00DD6BA7"/>
    <w:rsid w:val="00DD7871"/>
    <w:rsid w:val="00DE1BB3"/>
    <w:rsid w:val="00DE26E3"/>
    <w:rsid w:val="00DE54EE"/>
    <w:rsid w:val="00DE5F65"/>
    <w:rsid w:val="00DF400B"/>
    <w:rsid w:val="00DF4744"/>
    <w:rsid w:val="00E01675"/>
    <w:rsid w:val="00E0463B"/>
    <w:rsid w:val="00E07BCE"/>
    <w:rsid w:val="00E07D06"/>
    <w:rsid w:val="00E10370"/>
    <w:rsid w:val="00E1047A"/>
    <w:rsid w:val="00E14852"/>
    <w:rsid w:val="00E24E0C"/>
    <w:rsid w:val="00E25969"/>
    <w:rsid w:val="00E273EF"/>
    <w:rsid w:val="00E30E77"/>
    <w:rsid w:val="00E328B5"/>
    <w:rsid w:val="00E3484A"/>
    <w:rsid w:val="00E450AB"/>
    <w:rsid w:val="00E464C0"/>
    <w:rsid w:val="00E54AC1"/>
    <w:rsid w:val="00E56074"/>
    <w:rsid w:val="00E566F3"/>
    <w:rsid w:val="00E56A6A"/>
    <w:rsid w:val="00E574F1"/>
    <w:rsid w:val="00E608B4"/>
    <w:rsid w:val="00E61234"/>
    <w:rsid w:val="00E632D6"/>
    <w:rsid w:val="00E64D96"/>
    <w:rsid w:val="00E77325"/>
    <w:rsid w:val="00E92B45"/>
    <w:rsid w:val="00E934F3"/>
    <w:rsid w:val="00E94E89"/>
    <w:rsid w:val="00E96BB2"/>
    <w:rsid w:val="00EA0E9F"/>
    <w:rsid w:val="00EA229F"/>
    <w:rsid w:val="00EA42E1"/>
    <w:rsid w:val="00EB25FC"/>
    <w:rsid w:val="00EB3434"/>
    <w:rsid w:val="00EC73C8"/>
    <w:rsid w:val="00ED3CEF"/>
    <w:rsid w:val="00EE0859"/>
    <w:rsid w:val="00EE45FA"/>
    <w:rsid w:val="00EE4BB3"/>
    <w:rsid w:val="00EE7931"/>
    <w:rsid w:val="00EF131E"/>
    <w:rsid w:val="00EF176F"/>
    <w:rsid w:val="00EF35D8"/>
    <w:rsid w:val="00EF4799"/>
    <w:rsid w:val="00EF5EEC"/>
    <w:rsid w:val="00F00CDB"/>
    <w:rsid w:val="00F02311"/>
    <w:rsid w:val="00F07CE7"/>
    <w:rsid w:val="00F10B2F"/>
    <w:rsid w:val="00F136CF"/>
    <w:rsid w:val="00F13770"/>
    <w:rsid w:val="00F13EBE"/>
    <w:rsid w:val="00F16FB2"/>
    <w:rsid w:val="00F3234D"/>
    <w:rsid w:val="00F32463"/>
    <w:rsid w:val="00F40618"/>
    <w:rsid w:val="00F41B1B"/>
    <w:rsid w:val="00F46138"/>
    <w:rsid w:val="00F46558"/>
    <w:rsid w:val="00F5206E"/>
    <w:rsid w:val="00F70FE5"/>
    <w:rsid w:val="00F80282"/>
    <w:rsid w:val="00F81368"/>
    <w:rsid w:val="00F84A6A"/>
    <w:rsid w:val="00F86790"/>
    <w:rsid w:val="00F90DE5"/>
    <w:rsid w:val="00F930DA"/>
    <w:rsid w:val="00F954BF"/>
    <w:rsid w:val="00F95BD3"/>
    <w:rsid w:val="00F96850"/>
    <w:rsid w:val="00FA2900"/>
    <w:rsid w:val="00FA6471"/>
    <w:rsid w:val="00FA6924"/>
    <w:rsid w:val="00FB1B81"/>
    <w:rsid w:val="00FB5979"/>
    <w:rsid w:val="00FB7AF4"/>
    <w:rsid w:val="00FC0FC2"/>
    <w:rsid w:val="00FC2040"/>
    <w:rsid w:val="00FC5BEE"/>
    <w:rsid w:val="00FC6DEA"/>
    <w:rsid w:val="00FD3AAA"/>
    <w:rsid w:val="00FE1437"/>
    <w:rsid w:val="00FE16D0"/>
    <w:rsid w:val="00FE3A13"/>
    <w:rsid w:val="00FE5B53"/>
    <w:rsid w:val="00FF299E"/>
    <w:rsid w:val="00FF338B"/>
    <w:rsid w:val="00FF6D51"/>
    <w:rsid w:val="00FF738B"/>
    <w:rsid w:val="0104311B"/>
    <w:rsid w:val="011F2947"/>
    <w:rsid w:val="012D6FB9"/>
    <w:rsid w:val="01390A04"/>
    <w:rsid w:val="014A3A3E"/>
    <w:rsid w:val="01544154"/>
    <w:rsid w:val="01592EDB"/>
    <w:rsid w:val="015C76D5"/>
    <w:rsid w:val="01715409"/>
    <w:rsid w:val="018F787A"/>
    <w:rsid w:val="0193245F"/>
    <w:rsid w:val="019A4983"/>
    <w:rsid w:val="01AB74D8"/>
    <w:rsid w:val="01CB2ADE"/>
    <w:rsid w:val="020A2C1C"/>
    <w:rsid w:val="0212794D"/>
    <w:rsid w:val="022A0BF5"/>
    <w:rsid w:val="022A7B83"/>
    <w:rsid w:val="02425274"/>
    <w:rsid w:val="0262764D"/>
    <w:rsid w:val="02931DD2"/>
    <w:rsid w:val="02994E52"/>
    <w:rsid w:val="029B1784"/>
    <w:rsid w:val="02B14AD2"/>
    <w:rsid w:val="02D1681E"/>
    <w:rsid w:val="02D56AEC"/>
    <w:rsid w:val="02EC6F31"/>
    <w:rsid w:val="032B6185"/>
    <w:rsid w:val="03480898"/>
    <w:rsid w:val="03495CF0"/>
    <w:rsid w:val="0379637C"/>
    <w:rsid w:val="038B7B56"/>
    <w:rsid w:val="03B103BD"/>
    <w:rsid w:val="03C535F4"/>
    <w:rsid w:val="03C92A9B"/>
    <w:rsid w:val="040976E3"/>
    <w:rsid w:val="04363373"/>
    <w:rsid w:val="04417763"/>
    <w:rsid w:val="044241F2"/>
    <w:rsid w:val="04425122"/>
    <w:rsid w:val="044D642A"/>
    <w:rsid w:val="04696102"/>
    <w:rsid w:val="047A1EFE"/>
    <w:rsid w:val="04AF00EF"/>
    <w:rsid w:val="04B04930"/>
    <w:rsid w:val="056749BD"/>
    <w:rsid w:val="056B23DD"/>
    <w:rsid w:val="059B4A80"/>
    <w:rsid w:val="059C3DC4"/>
    <w:rsid w:val="059C53F7"/>
    <w:rsid w:val="05EB1E26"/>
    <w:rsid w:val="06242341"/>
    <w:rsid w:val="062E4DD7"/>
    <w:rsid w:val="0634002D"/>
    <w:rsid w:val="063C14E7"/>
    <w:rsid w:val="06436978"/>
    <w:rsid w:val="064A2E0A"/>
    <w:rsid w:val="0650256C"/>
    <w:rsid w:val="06862A9D"/>
    <w:rsid w:val="06A10D2D"/>
    <w:rsid w:val="06B57C5A"/>
    <w:rsid w:val="06C8444B"/>
    <w:rsid w:val="06D51316"/>
    <w:rsid w:val="06F91E50"/>
    <w:rsid w:val="072E2714"/>
    <w:rsid w:val="074C4C41"/>
    <w:rsid w:val="07542420"/>
    <w:rsid w:val="076028C5"/>
    <w:rsid w:val="076406C5"/>
    <w:rsid w:val="078B0B00"/>
    <w:rsid w:val="07A60031"/>
    <w:rsid w:val="07D25039"/>
    <w:rsid w:val="080B4A4E"/>
    <w:rsid w:val="082B1684"/>
    <w:rsid w:val="082F5622"/>
    <w:rsid w:val="083A37E4"/>
    <w:rsid w:val="083B5F67"/>
    <w:rsid w:val="08457FEF"/>
    <w:rsid w:val="08504E13"/>
    <w:rsid w:val="085D4F44"/>
    <w:rsid w:val="08675217"/>
    <w:rsid w:val="08BE0A53"/>
    <w:rsid w:val="08FC50DA"/>
    <w:rsid w:val="09135B41"/>
    <w:rsid w:val="09291E16"/>
    <w:rsid w:val="09441ACD"/>
    <w:rsid w:val="096206F4"/>
    <w:rsid w:val="09785D8F"/>
    <w:rsid w:val="09945AB1"/>
    <w:rsid w:val="099C3230"/>
    <w:rsid w:val="099C4EFD"/>
    <w:rsid w:val="09B51E26"/>
    <w:rsid w:val="09B54C00"/>
    <w:rsid w:val="09D02614"/>
    <w:rsid w:val="09D112A0"/>
    <w:rsid w:val="09D40D7C"/>
    <w:rsid w:val="09D9153A"/>
    <w:rsid w:val="0A387468"/>
    <w:rsid w:val="0A391954"/>
    <w:rsid w:val="0A48563C"/>
    <w:rsid w:val="0A562AC7"/>
    <w:rsid w:val="0A6E4EDF"/>
    <w:rsid w:val="0A775027"/>
    <w:rsid w:val="0A8A2C7F"/>
    <w:rsid w:val="0AA362EE"/>
    <w:rsid w:val="0ABB7CBC"/>
    <w:rsid w:val="0AE37032"/>
    <w:rsid w:val="0AEA2F2E"/>
    <w:rsid w:val="0AF15735"/>
    <w:rsid w:val="0B291D55"/>
    <w:rsid w:val="0B4E726D"/>
    <w:rsid w:val="0B6934B3"/>
    <w:rsid w:val="0B6B4B5B"/>
    <w:rsid w:val="0B6D152C"/>
    <w:rsid w:val="0B865CBA"/>
    <w:rsid w:val="0BA15F22"/>
    <w:rsid w:val="0BD8401E"/>
    <w:rsid w:val="0BDE72E1"/>
    <w:rsid w:val="0BF04063"/>
    <w:rsid w:val="0C3412D7"/>
    <w:rsid w:val="0C3B7049"/>
    <w:rsid w:val="0C7E087C"/>
    <w:rsid w:val="0C7E3093"/>
    <w:rsid w:val="0C984E5A"/>
    <w:rsid w:val="0CDF1775"/>
    <w:rsid w:val="0CFF5538"/>
    <w:rsid w:val="0D066F1B"/>
    <w:rsid w:val="0D072C63"/>
    <w:rsid w:val="0D101B12"/>
    <w:rsid w:val="0D122859"/>
    <w:rsid w:val="0D316439"/>
    <w:rsid w:val="0D3549DE"/>
    <w:rsid w:val="0D5821D6"/>
    <w:rsid w:val="0DAD203C"/>
    <w:rsid w:val="0DD45212"/>
    <w:rsid w:val="0DE30DF9"/>
    <w:rsid w:val="0DF82AF0"/>
    <w:rsid w:val="0DF94539"/>
    <w:rsid w:val="0E093E8B"/>
    <w:rsid w:val="0E196111"/>
    <w:rsid w:val="0E2D358D"/>
    <w:rsid w:val="0E3C1565"/>
    <w:rsid w:val="0E724E1B"/>
    <w:rsid w:val="0E7C2363"/>
    <w:rsid w:val="0E8D2A39"/>
    <w:rsid w:val="0EAD1759"/>
    <w:rsid w:val="0EAD26AC"/>
    <w:rsid w:val="0EB952F8"/>
    <w:rsid w:val="0EBA42F4"/>
    <w:rsid w:val="0EC97034"/>
    <w:rsid w:val="0F1C443F"/>
    <w:rsid w:val="0F7E37AF"/>
    <w:rsid w:val="0FC43065"/>
    <w:rsid w:val="0FE834C4"/>
    <w:rsid w:val="0FE84D39"/>
    <w:rsid w:val="10074690"/>
    <w:rsid w:val="10131C57"/>
    <w:rsid w:val="10304852"/>
    <w:rsid w:val="10380942"/>
    <w:rsid w:val="10995295"/>
    <w:rsid w:val="10F23E77"/>
    <w:rsid w:val="10FB06B8"/>
    <w:rsid w:val="11305E98"/>
    <w:rsid w:val="1144003C"/>
    <w:rsid w:val="11520A00"/>
    <w:rsid w:val="116A2DA4"/>
    <w:rsid w:val="11804FB5"/>
    <w:rsid w:val="1183437B"/>
    <w:rsid w:val="119219EE"/>
    <w:rsid w:val="119245E1"/>
    <w:rsid w:val="119B0C4D"/>
    <w:rsid w:val="11BD1629"/>
    <w:rsid w:val="11C43645"/>
    <w:rsid w:val="11DA5BF3"/>
    <w:rsid w:val="11FA4E16"/>
    <w:rsid w:val="12455559"/>
    <w:rsid w:val="125158EC"/>
    <w:rsid w:val="12564C79"/>
    <w:rsid w:val="126229C3"/>
    <w:rsid w:val="128E2CFE"/>
    <w:rsid w:val="129D160D"/>
    <w:rsid w:val="129E6FE8"/>
    <w:rsid w:val="12A42E6A"/>
    <w:rsid w:val="12BA087D"/>
    <w:rsid w:val="12C07E84"/>
    <w:rsid w:val="12FE449C"/>
    <w:rsid w:val="13233139"/>
    <w:rsid w:val="1349713D"/>
    <w:rsid w:val="138B4B4F"/>
    <w:rsid w:val="13AC255D"/>
    <w:rsid w:val="13CB719C"/>
    <w:rsid w:val="13DA134A"/>
    <w:rsid w:val="13F601C1"/>
    <w:rsid w:val="143036BE"/>
    <w:rsid w:val="143F52D5"/>
    <w:rsid w:val="14472AFF"/>
    <w:rsid w:val="146773B2"/>
    <w:rsid w:val="146B5343"/>
    <w:rsid w:val="147B2ED0"/>
    <w:rsid w:val="14950B7B"/>
    <w:rsid w:val="1495656B"/>
    <w:rsid w:val="14976A19"/>
    <w:rsid w:val="14A03675"/>
    <w:rsid w:val="14B10CA6"/>
    <w:rsid w:val="14BC5838"/>
    <w:rsid w:val="14BD69CE"/>
    <w:rsid w:val="153F6B1B"/>
    <w:rsid w:val="156A030B"/>
    <w:rsid w:val="15B0587F"/>
    <w:rsid w:val="15B53A8E"/>
    <w:rsid w:val="15DB5A05"/>
    <w:rsid w:val="15E36EEC"/>
    <w:rsid w:val="15E815C1"/>
    <w:rsid w:val="15EB7426"/>
    <w:rsid w:val="15F864FC"/>
    <w:rsid w:val="15FA7195"/>
    <w:rsid w:val="160D0619"/>
    <w:rsid w:val="161D7183"/>
    <w:rsid w:val="1641011C"/>
    <w:rsid w:val="16753646"/>
    <w:rsid w:val="16C43AFE"/>
    <w:rsid w:val="16CD11FF"/>
    <w:rsid w:val="16DB1946"/>
    <w:rsid w:val="16E904AD"/>
    <w:rsid w:val="170B3C5F"/>
    <w:rsid w:val="172C33A3"/>
    <w:rsid w:val="17435BDF"/>
    <w:rsid w:val="17981230"/>
    <w:rsid w:val="179817BA"/>
    <w:rsid w:val="17AB68B5"/>
    <w:rsid w:val="17C25272"/>
    <w:rsid w:val="17ED6BD5"/>
    <w:rsid w:val="17F32338"/>
    <w:rsid w:val="18081C9C"/>
    <w:rsid w:val="18090E55"/>
    <w:rsid w:val="180F3F33"/>
    <w:rsid w:val="1820398E"/>
    <w:rsid w:val="18271FD2"/>
    <w:rsid w:val="18274B89"/>
    <w:rsid w:val="185C14AB"/>
    <w:rsid w:val="18846DD6"/>
    <w:rsid w:val="188568A2"/>
    <w:rsid w:val="1887374F"/>
    <w:rsid w:val="188A2B9F"/>
    <w:rsid w:val="18A02089"/>
    <w:rsid w:val="18A2189A"/>
    <w:rsid w:val="18D164D6"/>
    <w:rsid w:val="18D76CFB"/>
    <w:rsid w:val="19124407"/>
    <w:rsid w:val="1913681C"/>
    <w:rsid w:val="1925436C"/>
    <w:rsid w:val="1951740A"/>
    <w:rsid w:val="1997786E"/>
    <w:rsid w:val="19A5662F"/>
    <w:rsid w:val="19B51B11"/>
    <w:rsid w:val="19F857F7"/>
    <w:rsid w:val="1A0108BD"/>
    <w:rsid w:val="1A4B0DA3"/>
    <w:rsid w:val="1A802C0E"/>
    <w:rsid w:val="1A945B72"/>
    <w:rsid w:val="1A981608"/>
    <w:rsid w:val="1A9C50FE"/>
    <w:rsid w:val="1AA054AD"/>
    <w:rsid w:val="1AA66759"/>
    <w:rsid w:val="1AAA13DD"/>
    <w:rsid w:val="1AB25224"/>
    <w:rsid w:val="1AC0348F"/>
    <w:rsid w:val="1AC6142A"/>
    <w:rsid w:val="1AD21D03"/>
    <w:rsid w:val="1ADB7DE9"/>
    <w:rsid w:val="1AF77282"/>
    <w:rsid w:val="1B205147"/>
    <w:rsid w:val="1B3D0FC0"/>
    <w:rsid w:val="1B40161F"/>
    <w:rsid w:val="1B497910"/>
    <w:rsid w:val="1B4E11D5"/>
    <w:rsid w:val="1B5259D4"/>
    <w:rsid w:val="1B7A2104"/>
    <w:rsid w:val="1B8A7063"/>
    <w:rsid w:val="1BA909DD"/>
    <w:rsid w:val="1BBE1EB0"/>
    <w:rsid w:val="1BC2172D"/>
    <w:rsid w:val="1BC322E9"/>
    <w:rsid w:val="1BC37B7A"/>
    <w:rsid w:val="1BC7372A"/>
    <w:rsid w:val="1C067481"/>
    <w:rsid w:val="1C155416"/>
    <w:rsid w:val="1C1D0BF0"/>
    <w:rsid w:val="1C290AB8"/>
    <w:rsid w:val="1C2D1094"/>
    <w:rsid w:val="1C472EFA"/>
    <w:rsid w:val="1C5032E0"/>
    <w:rsid w:val="1C537FCD"/>
    <w:rsid w:val="1C56657F"/>
    <w:rsid w:val="1C9E296D"/>
    <w:rsid w:val="1CA93FF3"/>
    <w:rsid w:val="1CC10D90"/>
    <w:rsid w:val="1CC81C25"/>
    <w:rsid w:val="1CCB37D1"/>
    <w:rsid w:val="1CCE25DE"/>
    <w:rsid w:val="1CEB1055"/>
    <w:rsid w:val="1CF92621"/>
    <w:rsid w:val="1CF97934"/>
    <w:rsid w:val="1D037822"/>
    <w:rsid w:val="1D374FD7"/>
    <w:rsid w:val="1D663CE2"/>
    <w:rsid w:val="1D8813FF"/>
    <w:rsid w:val="1D997E96"/>
    <w:rsid w:val="1D9E3213"/>
    <w:rsid w:val="1DAF111D"/>
    <w:rsid w:val="1DE44336"/>
    <w:rsid w:val="1DF02754"/>
    <w:rsid w:val="1DF24900"/>
    <w:rsid w:val="1E055C2C"/>
    <w:rsid w:val="1E47635A"/>
    <w:rsid w:val="1E555EF2"/>
    <w:rsid w:val="1E582082"/>
    <w:rsid w:val="1E795D10"/>
    <w:rsid w:val="1EB74194"/>
    <w:rsid w:val="1EBC134E"/>
    <w:rsid w:val="1EC30C45"/>
    <w:rsid w:val="1ECF73E5"/>
    <w:rsid w:val="1ED462AF"/>
    <w:rsid w:val="1EF453BE"/>
    <w:rsid w:val="1F052FB4"/>
    <w:rsid w:val="1F1038BB"/>
    <w:rsid w:val="1F211115"/>
    <w:rsid w:val="1F22471F"/>
    <w:rsid w:val="1F290373"/>
    <w:rsid w:val="1F492B8D"/>
    <w:rsid w:val="1F5E0366"/>
    <w:rsid w:val="1FF37E8E"/>
    <w:rsid w:val="201F396D"/>
    <w:rsid w:val="20206913"/>
    <w:rsid w:val="20374F72"/>
    <w:rsid w:val="20473A4B"/>
    <w:rsid w:val="204958B0"/>
    <w:rsid w:val="204A7F77"/>
    <w:rsid w:val="20911CF8"/>
    <w:rsid w:val="20927C44"/>
    <w:rsid w:val="20B44677"/>
    <w:rsid w:val="20E83E19"/>
    <w:rsid w:val="20F30662"/>
    <w:rsid w:val="20F97FD5"/>
    <w:rsid w:val="21106587"/>
    <w:rsid w:val="21111F5D"/>
    <w:rsid w:val="21377F8C"/>
    <w:rsid w:val="217A26BB"/>
    <w:rsid w:val="217B5DCC"/>
    <w:rsid w:val="2183581E"/>
    <w:rsid w:val="22067D2A"/>
    <w:rsid w:val="22084D15"/>
    <w:rsid w:val="22126BDA"/>
    <w:rsid w:val="22191547"/>
    <w:rsid w:val="222F4D71"/>
    <w:rsid w:val="22411B2F"/>
    <w:rsid w:val="22436655"/>
    <w:rsid w:val="22653B32"/>
    <w:rsid w:val="227678E8"/>
    <w:rsid w:val="22840C08"/>
    <w:rsid w:val="2284212D"/>
    <w:rsid w:val="228E76A0"/>
    <w:rsid w:val="229842D5"/>
    <w:rsid w:val="22C60596"/>
    <w:rsid w:val="22D31463"/>
    <w:rsid w:val="22F05D0C"/>
    <w:rsid w:val="22F46207"/>
    <w:rsid w:val="22F541FE"/>
    <w:rsid w:val="237C4863"/>
    <w:rsid w:val="2391373E"/>
    <w:rsid w:val="239A3288"/>
    <w:rsid w:val="23CF5EB8"/>
    <w:rsid w:val="23D7609F"/>
    <w:rsid w:val="23F46350"/>
    <w:rsid w:val="23F56D44"/>
    <w:rsid w:val="24037431"/>
    <w:rsid w:val="240A7E97"/>
    <w:rsid w:val="2411132B"/>
    <w:rsid w:val="242A096B"/>
    <w:rsid w:val="24534E46"/>
    <w:rsid w:val="245F1498"/>
    <w:rsid w:val="246F7801"/>
    <w:rsid w:val="2470298F"/>
    <w:rsid w:val="24912FB7"/>
    <w:rsid w:val="251D7583"/>
    <w:rsid w:val="25325CAE"/>
    <w:rsid w:val="253C7296"/>
    <w:rsid w:val="254759AB"/>
    <w:rsid w:val="255848C8"/>
    <w:rsid w:val="256076EB"/>
    <w:rsid w:val="25696263"/>
    <w:rsid w:val="2589134C"/>
    <w:rsid w:val="25902DAE"/>
    <w:rsid w:val="25D05A69"/>
    <w:rsid w:val="25D15E62"/>
    <w:rsid w:val="25E55F07"/>
    <w:rsid w:val="25F805AA"/>
    <w:rsid w:val="260278BA"/>
    <w:rsid w:val="260B7803"/>
    <w:rsid w:val="261B2D31"/>
    <w:rsid w:val="26433DC4"/>
    <w:rsid w:val="264A1723"/>
    <w:rsid w:val="267848B2"/>
    <w:rsid w:val="267C4C51"/>
    <w:rsid w:val="268A6495"/>
    <w:rsid w:val="26D27DE7"/>
    <w:rsid w:val="26E565C8"/>
    <w:rsid w:val="26E650C9"/>
    <w:rsid w:val="26FD6343"/>
    <w:rsid w:val="27394F2D"/>
    <w:rsid w:val="277D38D9"/>
    <w:rsid w:val="27910A11"/>
    <w:rsid w:val="279A6B1E"/>
    <w:rsid w:val="279E57E5"/>
    <w:rsid w:val="27D53522"/>
    <w:rsid w:val="27FA68D1"/>
    <w:rsid w:val="28073B18"/>
    <w:rsid w:val="28074257"/>
    <w:rsid w:val="281660F5"/>
    <w:rsid w:val="282B2A9B"/>
    <w:rsid w:val="285731AB"/>
    <w:rsid w:val="286A0AD2"/>
    <w:rsid w:val="286F4404"/>
    <w:rsid w:val="288152F7"/>
    <w:rsid w:val="28931BE8"/>
    <w:rsid w:val="28B261A9"/>
    <w:rsid w:val="28BF54ED"/>
    <w:rsid w:val="28D91CA1"/>
    <w:rsid w:val="28EA4BBE"/>
    <w:rsid w:val="293463D1"/>
    <w:rsid w:val="29462087"/>
    <w:rsid w:val="29BF482A"/>
    <w:rsid w:val="29EF6DDC"/>
    <w:rsid w:val="29EF763F"/>
    <w:rsid w:val="29F7449B"/>
    <w:rsid w:val="29F84908"/>
    <w:rsid w:val="29FB77A0"/>
    <w:rsid w:val="29FE0626"/>
    <w:rsid w:val="2A13476D"/>
    <w:rsid w:val="2A2221E2"/>
    <w:rsid w:val="2A2C0F80"/>
    <w:rsid w:val="2A5D6C4E"/>
    <w:rsid w:val="2A5F04FA"/>
    <w:rsid w:val="2AC90D37"/>
    <w:rsid w:val="2AEE7713"/>
    <w:rsid w:val="2B1F1E57"/>
    <w:rsid w:val="2B2616AF"/>
    <w:rsid w:val="2B385185"/>
    <w:rsid w:val="2B6238EA"/>
    <w:rsid w:val="2B801309"/>
    <w:rsid w:val="2B861D12"/>
    <w:rsid w:val="2B9D17E5"/>
    <w:rsid w:val="2BA62214"/>
    <w:rsid w:val="2BB05646"/>
    <w:rsid w:val="2BBE7ED5"/>
    <w:rsid w:val="2BE33479"/>
    <w:rsid w:val="2BF61B8E"/>
    <w:rsid w:val="2C3225F0"/>
    <w:rsid w:val="2C7C21A5"/>
    <w:rsid w:val="2C833AE0"/>
    <w:rsid w:val="2CA67349"/>
    <w:rsid w:val="2CA76987"/>
    <w:rsid w:val="2CBB4721"/>
    <w:rsid w:val="2CC814D6"/>
    <w:rsid w:val="2CD4535C"/>
    <w:rsid w:val="2D044A49"/>
    <w:rsid w:val="2D150B3C"/>
    <w:rsid w:val="2D2E617F"/>
    <w:rsid w:val="2D4937E1"/>
    <w:rsid w:val="2D5A7AE5"/>
    <w:rsid w:val="2D5B4772"/>
    <w:rsid w:val="2D655D3B"/>
    <w:rsid w:val="2D742FAF"/>
    <w:rsid w:val="2D8A1E64"/>
    <w:rsid w:val="2D8C48D5"/>
    <w:rsid w:val="2D8E1D99"/>
    <w:rsid w:val="2DA25210"/>
    <w:rsid w:val="2DA93BDB"/>
    <w:rsid w:val="2DF33A53"/>
    <w:rsid w:val="2DFE2F0C"/>
    <w:rsid w:val="2E1226FA"/>
    <w:rsid w:val="2E210AC9"/>
    <w:rsid w:val="2E2C0E18"/>
    <w:rsid w:val="2E6B2E24"/>
    <w:rsid w:val="2E7F3690"/>
    <w:rsid w:val="2E9E4F4A"/>
    <w:rsid w:val="2EAF6831"/>
    <w:rsid w:val="2EB47FCC"/>
    <w:rsid w:val="2EC573F3"/>
    <w:rsid w:val="2ED460DF"/>
    <w:rsid w:val="2EFE6BF1"/>
    <w:rsid w:val="2F0E5493"/>
    <w:rsid w:val="2F457358"/>
    <w:rsid w:val="2F650F96"/>
    <w:rsid w:val="2F8C178D"/>
    <w:rsid w:val="2F913DF8"/>
    <w:rsid w:val="2FA768C2"/>
    <w:rsid w:val="2FA83CAA"/>
    <w:rsid w:val="2FBB3457"/>
    <w:rsid w:val="2FCF07D0"/>
    <w:rsid w:val="301A730D"/>
    <w:rsid w:val="30275C11"/>
    <w:rsid w:val="30276695"/>
    <w:rsid w:val="30354E79"/>
    <w:rsid w:val="30521105"/>
    <w:rsid w:val="305B75D2"/>
    <w:rsid w:val="3092593C"/>
    <w:rsid w:val="30A05F3D"/>
    <w:rsid w:val="30A33E01"/>
    <w:rsid w:val="30A8166A"/>
    <w:rsid w:val="30AC5FE7"/>
    <w:rsid w:val="30B342A1"/>
    <w:rsid w:val="30B823A2"/>
    <w:rsid w:val="30B959A4"/>
    <w:rsid w:val="31165231"/>
    <w:rsid w:val="311A0FEE"/>
    <w:rsid w:val="31207874"/>
    <w:rsid w:val="31237CBA"/>
    <w:rsid w:val="3127284F"/>
    <w:rsid w:val="315645C2"/>
    <w:rsid w:val="318E09E1"/>
    <w:rsid w:val="31962073"/>
    <w:rsid w:val="31B61996"/>
    <w:rsid w:val="31D01B40"/>
    <w:rsid w:val="31E979C5"/>
    <w:rsid w:val="324E26D4"/>
    <w:rsid w:val="327502E0"/>
    <w:rsid w:val="327862B8"/>
    <w:rsid w:val="32C522F4"/>
    <w:rsid w:val="32C52344"/>
    <w:rsid w:val="32C57DC2"/>
    <w:rsid w:val="3308650A"/>
    <w:rsid w:val="33096112"/>
    <w:rsid w:val="330D6468"/>
    <w:rsid w:val="33204F56"/>
    <w:rsid w:val="332A064E"/>
    <w:rsid w:val="334F798B"/>
    <w:rsid w:val="33675B61"/>
    <w:rsid w:val="33B8461A"/>
    <w:rsid w:val="33EA0786"/>
    <w:rsid w:val="34052C25"/>
    <w:rsid w:val="340C23B3"/>
    <w:rsid w:val="34201F53"/>
    <w:rsid w:val="34466B5D"/>
    <w:rsid w:val="3449261A"/>
    <w:rsid w:val="347F5504"/>
    <w:rsid w:val="34A47E2D"/>
    <w:rsid w:val="34AF488D"/>
    <w:rsid w:val="34B77E92"/>
    <w:rsid w:val="34BD6BB0"/>
    <w:rsid w:val="34DC19CA"/>
    <w:rsid w:val="34F5795E"/>
    <w:rsid w:val="35077A67"/>
    <w:rsid w:val="35215C76"/>
    <w:rsid w:val="357C233A"/>
    <w:rsid w:val="35874B59"/>
    <w:rsid w:val="35A8668C"/>
    <w:rsid w:val="35BF40F6"/>
    <w:rsid w:val="35BF7E99"/>
    <w:rsid w:val="35F4052D"/>
    <w:rsid w:val="35F54B6B"/>
    <w:rsid w:val="360316FD"/>
    <w:rsid w:val="360904ED"/>
    <w:rsid w:val="36343725"/>
    <w:rsid w:val="364A5381"/>
    <w:rsid w:val="36907991"/>
    <w:rsid w:val="3699402C"/>
    <w:rsid w:val="369A4325"/>
    <w:rsid w:val="36C2585D"/>
    <w:rsid w:val="36C32EFF"/>
    <w:rsid w:val="36CF5F38"/>
    <w:rsid w:val="36CF6AF6"/>
    <w:rsid w:val="37244934"/>
    <w:rsid w:val="373E7E7F"/>
    <w:rsid w:val="374D5382"/>
    <w:rsid w:val="3778056C"/>
    <w:rsid w:val="37AD5CE2"/>
    <w:rsid w:val="381E1DC2"/>
    <w:rsid w:val="38446713"/>
    <w:rsid w:val="38603D4F"/>
    <w:rsid w:val="38824766"/>
    <w:rsid w:val="38871CA8"/>
    <w:rsid w:val="388C584A"/>
    <w:rsid w:val="38A14374"/>
    <w:rsid w:val="38AD728D"/>
    <w:rsid w:val="38C16AC8"/>
    <w:rsid w:val="38C74B4F"/>
    <w:rsid w:val="38D01D86"/>
    <w:rsid w:val="38DE1419"/>
    <w:rsid w:val="38DE7895"/>
    <w:rsid w:val="39205E1E"/>
    <w:rsid w:val="39261E85"/>
    <w:rsid w:val="392C264C"/>
    <w:rsid w:val="3951000A"/>
    <w:rsid w:val="39DF6B88"/>
    <w:rsid w:val="3A041553"/>
    <w:rsid w:val="3A3A4904"/>
    <w:rsid w:val="3A3F0B48"/>
    <w:rsid w:val="3A643DE2"/>
    <w:rsid w:val="3A651F42"/>
    <w:rsid w:val="3AA40475"/>
    <w:rsid w:val="3AAE7421"/>
    <w:rsid w:val="3AB66839"/>
    <w:rsid w:val="3ABB4203"/>
    <w:rsid w:val="3AE1747E"/>
    <w:rsid w:val="3B004389"/>
    <w:rsid w:val="3B194788"/>
    <w:rsid w:val="3B2F55C8"/>
    <w:rsid w:val="3B353249"/>
    <w:rsid w:val="3B370857"/>
    <w:rsid w:val="3B3A5D3A"/>
    <w:rsid w:val="3B3A7529"/>
    <w:rsid w:val="3B6C6420"/>
    <w:rsid w:val="3B8503BA"/>
    <w:rsid w:val="3BA64196"/>
    <w:rsid w:val="3BBE7A8F"/>
    <w:rsid w:val="3C0E6036"/>
    <w:rsid w:val="3C431EAF"/>
    <w:rsid w:val="3C4C0380"/>
    <w:rsid w:val="3C513BE9"/>
    <w:rsid w:val="3C796CC0"/>
    <w:rsid w:val="3C8500C7"/>
    <w:rsid w:val="3C8522F8"/>
    <w:rsid w:val="3CA11904"/>
    <w:rsid w:val="3CB26D72"/>
    <w:rsid w:val="3CBC6856"/>
    <w:rsid w:val="3DA25BD7"/>
    <w:rsid w:val="3DC750BA"/>
    <w:rsid w:val="3DC877C2"/>
    <w:rsid w:val="3E375C1B"/>
    <w:rsid w:val="3E455E29"/>
    <w:rsid w:val="3E4A321B"/>
    <w:rsid w:val="3E511173"/>
    <w:rsid w:val="3E7A4062"/>
    <w:rsid w:val="3ED00CD1"/>
    <w:rsid w:val="3EF24221"/>
    <w:rsid w:val="3F034B65"/>
    <w:rsid w:val="3F070FCA"/>
    <w:rsid w:val="3F226487"/>
    <w:rsid w:val="3F2E65FA"/>
    <w:rsid w:val="3F403B1D"/>
    <w:rsid w:val="3F624B21"/>
    <w:rsid w:val="3F7D4E92"/>
    <w:rsid w:val="3FA50381"/>
    <w:rsid w:val="3FAF0C80"/>
    <w:rsid w:val="3FCB17F3"/>
    <w:rsid w:val="3FCD5EE7"/>
    <w:rsid w:val="3FCF03A7"/>
    <w:rsid w:val="3FD406B0"/>
    <w:rsid w:val="3FE50BAB"/>
    <w:rsid w:val="401802FA"/>
    <w:rsid w:val="40221384"/>
    <w:rsid w:val="4022261E"/>
    <w:rsid w:val="40477925"/>
    <w:rsid w:val="404B43E5"/>
    <w:rsid w:val="40A30F15"/>
    <w:rsid w:val="40D00603"/>
    <w:rsid w:val="40E666FB"/>
    <w:rsid w:val="40EC7B1A"/>
    <w:rsid w:val="4100407F"/>
    <w:rsid w:val="41450918"/>
    <w:rsid w:val="414C1AD5"/>
    <w:rsid w:val="418B031D"/>
    <w:rsid w:val="418C6161"/>
    <w:rsid w:val="41940DAD"/>
    <w:rsid w:val="41954B05"/>
    <w:rsid w:val="41A34AE4"/>
    <w:rsid w:val="41B2036F"/>
    <w:rsid w:val="41CF52CB"/>
    <w:rsid w:val="41D30171"/>
    <w:rsid w:val="41D52AF9"/>
    <w:rsid w:val="421A24A5"/>
    <w:rsid w:val="422660C6"/>
    <w:rsid w:val="42491B03"/>
    <w:rsid w:val="426146AE"/>
    <w:rsid w:val="42770F5C"/>
    <w:rsid w:val="428F39EC"/>
    <w:rsid w:val="429278AF"/>
    <w:rsid w:val="42A1363D"/>
    <w:rsid w:val="42B16834"/>
    <w:rsid w:val="42C26EE2"/>
    <w:rsid w:val="42C82902"/>
    <w:rsid w:val="42D50CDB"/>
    <w:rsid w:val="42E7652C"/>
    <w:rsid w:val="42F37F85"/>
    <w:rsid w:val="43166F37"/>
    <w:rsid w:val="431744F3"/>
    <w:rsid w:val="4326376E"/>
    <w:rsid w:val="43455A1F"/>
    <w:rsid w:val="43583D7F"/>
    <w:rsid w:val="435B324E"/>
    <w:rsid w:val="43725EE8"/>
    <w:rsid w:val="43751BE3"/>
    <w:rsid w:val="43840662"/>
    <w:rsid w:val="43C627F5"/>
    <w:rsid w:val="43D8772C"/>
    <w:rsid w:val="43E835EC"/>
    <w:rsid w:val="443439AC"/>
    <w:rsid w:val="44591B86"/>
    <w:rsid w:val="445A536D"/>
    <w:rsid w:val="44625068"/>
    <w:rsid w:val="44AD7589"/>
    <w:rsid w:val="44B7675C"/>
    <w:rsid w:val="44D42440"/>
    <w:rsid w:val="45082636"/>
    <w:rsid w:val="451E3FA1"/>
    <w:rsid w:val="45386B5B"/>
    <w:rsid w:val="454A5C74"/>
    <w:rsid w:val="45670823"/>
    <w:rsid w:val="458264C7"/>
    <w:rsid w:val="458B0195"/>
    <w:rsid w:val="45E003C2"/>
    <w:rsid w:val="45FE05C4"/>
    <w:rsid w:val="46136C8C"/>
    <w:rsid w:val="464907F4"/>
    <w:rsid w:val="466342E2"/>
    <w:rsid w:val="467C2410"/>
    <w:rsid w:val="46827FF2"/>
    <w:rsid w:val="46D73F31"/>
    <w:rsid w:val="470E600B"/>
    <w:rsid w:val="4724382A"/>
    <w:rsid w:val="472C144A"/>
    <w:rsid w:val="473476F0"/>
    <w:rsid w:val="475B66BF"/>
    <w:rsid w:val="479D41B0"/>
    <w:rsid w:val="48111A40"/>
    <w:rsid w:val="48211B93"/>
    <w:rsid w:val="48702BD6"/>
    <w:rsid w:val="487368A6"/>
    <w:rsid w:val="488C4244"/>
    <w:rsid w:val="48A00CBB"/>
    <w:rsid w:val="48CB7A92"/>
    <w:rsid w:val="48DB76C9"/>
    <w:rsid w:val="48E44564"/>
    <w:rsid w:val="48E63968"/>
    <w:rsid w:val="48EB11F6"/>
    <w:rsid w:val="49061AC6"/>
    <w:rsid w:val="490A02AD"/>
    <w:rsid w:val="49133F5A"/>
    <w:rsid w:val="491C10B8"/>
    <w:rsid w:val="492551B0"/>
    <w:rsid w:val="492A0430"/>
    <w:rsid w:val="492C5205"/>
    <w:rsid w:val="4957624D"/>
    <w:rsid w:val="497C32C0"/>
    <w:rsid w:val="49D44D94"/>
    <w:rsid w:val="49D60D4C"/>
    <w:rsid w:val="4A045772"/>
    <w:rsid w:val="4A2451A5"/>
    <w:rsid w:val="4A323A5C"/>
    <w:rsid w:val="4A462E1D"/>
    <w:rsid w:val="4A497EFD"/>
    <w:rsid w:val="4A810000"/>
    <w:rsid w:val="4A915A7A"/>
    <w:rsid w:val="4A9B7ED2"/>
    <w:rsid w:val="4A9F21D0"/>
    <w:rsid w:val="4AB95CEE"/>
    <w:rsid w:val="4AC42BBB"/>
    <w:rsid w:val="4ADA7D2A"/>
    <w:rsid w:val="4AE36289"/>
    <w:rsid w:val="4B056ECA"/>
    <w:rsid w:val="4B335FF5"/>
    <w:rsid w:val="4B9A232E"/>
    <w:rsid w:val="4BB23427"/>
    <w:rsid w:val="4BDA5E4A"/>
    <w:rsid w:val="4C2060EB"/>
    <w:rsid w:val="4C6321F5"/>
    <w:rsid w:val="4C9C2BF7"/>
    <w:rsid w:val="4CA34F7E"/>
    <w:rsid w:val="4CF4116C"/>
    <w:rsid w:val="4CFF4ABF"/>
    <w:rsid w:val="4D0855B6"/>
    <w:rsid w:val="4D0E714F"/>
    <w:rsid w:val="4D1437D5"/>
    <w:rsid w:val="4D200F39"/>
    <w:rsid w:val="4D38541A"/>
    <w:rsid w:val="4D4974A1"/>
    <w:rsid w:val="4D722B3A"/>
    <w:rsid w:val="4D8B3289"/>
    <w:rsid w:val="4D931CC3"/>
    <w:rsid w:val="4D9D72AB"/>
    <w:rsid w:val="4DAD6BE8"/>
    <w:rsid w:val="4DE35CA6"/>
    <w:rsid w:val="4DE7527E"/>
    <w:rsid w:val="4DF02A52"/>
    <w:rsid w:val="4E2B015B"/>
    <w:rsid w:val="4E96706A"/>
    <w:rsid w:val="4EC1662C"/>
    <w:rsid w:val="4EEC6757"/>
    <w:rsid w:val="4F097813"/>
    <w:rsid w:val="4F0B18FA"/>
    <w:rsid w:val="4F345136"/>
    <w:rsid w:val="4F386D7D"/>
    <w:rsid w:val="4F3A5EFA"/>
    <w:rsid w:val="4F432962"/>
    <w:rsid w:val="4F5175BC"/>
    <w:rsid w:val="4F5D6705"/>
    <w:rsid w:val="4F5E66B4"/>
    <w:rsid w:val="4F6E3C1A"/>
    <w:rsid w:val="4F8F5C41"/>
    <w:rsid w:val="4FB619D4"/>
    <w:rsid w:val="4FE439C5"/>
    <w:rsid w:val="4FE629EF"/>
    <w:rsid w:val="4FF87CD1"/>
    <w:rsid w:val="501C7A3D"/>
    <w:rsid w:val="503A5538"/>
    <w:rsid w:val="504503ED"/>
    <w:rsid w:val="504D7ED8"/>
    <w:rsid w:val="505829A2"/>
    <w:rsid w:val="509537CC"/>
    <w:rsid w:val="509F2A45"/>
    <w:rsid w:val="50A90CA5"/>
    <w:rsid w:val="50AE614E"/>
    <w:rsid w:val="50B113AB"/>
    <w:rsid w:val="50CD6F52"/>
    <w:rsid w:val="50D25B31"/>
    <w:rsid w:val="50DF0B78"/>
    <w:rsid w:val="50F25362"/>
    <w:rsid w:val="510170AF"/>
    <w:rsid w:val="5105790A"/>
    <w:rsid w:val="510826BF"/>
    <w:rsid w:val="511145A2"/>
    <w:rsid w:val="51346D48"/>
    <w:rsid w:val="513E6144"/>
    <w:rsid w:val="5140421E"/>
    <w:rsid w:val="51435559"/>
    <w:rsid w:val="51557F5A"/>
    <w:rsid w:val="5160286C"/>
    <w:rsid w:val="51650D07"/>
    <w:rsid w:val="51C27F29"/>
    <w:rsid w:val="51E27393"/>
    <w:rsid w:val="51FB5A2E"/>
    <w:rsid w:val="51FC51C7"/>
    <w:rsid w:val="520B4930"/>
    <w:rsid w:val="52452862"/>
    <w:rsid w:val="527268C2"/>
    <w:rsid w:val="52AC28AB"/>
    <w:rsid w:val="52C11C3A"/>
    <w:rsid w:val="52DE444B"/>
    <w:rsid w:val="530454F7"/>
    <w:rsid w:val="53095410"/>
    <w:rsid w:val="53135E4B"/>
    <w:rsid w:val="53273F19"/>
    <w:rsid w:val="532D3196"/>
    <w:rsid w:val="53317B87"/>
    <w:rsid w:val="5366623F"/>
    <w:rsid w:val="536C4A84"/>
    <w:rsid w:val="537A02FD"/>
    <w:rsid w:val="53801BCD"/>
    <w:rsid w:val="53A017CD"/>
    <w:rsid w:val="53A03DB8"/>
    <w:rsid w:val="53A326F7"/>
    <w:rsid w:val="53B72654"/>
    <w:rsid w:val="53B829FE"/>
    <w:rsid w:val="53E4077E"/>
    <w:rsid w:val="53F11EA3"/>
    <w:rsid w:val="54670107"/>
    <w:rsid w:val="549B6A3E"/>
    <w:rsid w:val="54A52388"/>
    <w:rsid w:val="54AC3134"/>
    <w:rsid w:val="54C93F76"/>
    <w:rsid w:val="54CB0A2A"/>
    <w:rsid w:val="54CB20EB"/>
    <w:rsid w:val="54D1146C"/>
    <w:rsid w:val="54D14A7E"/>
    <w:rsid w:val="54D8253A"/>
    <w:rsid w:val="54E06F0A"/>
    <w:rsid w:val="54E177B5"/>
    <w:rsid w:val="54F926D2"/>
    <w:rsid w:val="552467E7"/>
    <w:rsid w:val="553527E7"/>
    <w:rsid w:val="554354A5"/>
    <w:rsid w:val="55463EFF"/>
    <w:rsid w:val="556229DA"/>
    <w:rsid w:val="556D6DC0"/>
    <w:rsid w:val="55CB4849"/>
    <w:rsid w:val="56065CE8"/>
    <w:rsid w:val="56165ECE"/>
    <w:rsid w:val="56456967"/>
    <w:rsid w:val="566F6526"/>
    <w:rsid w:val="568652F4"/>
    <w:rsid w:val="569B4B7B"/>
    <w:rsid w:val="56B90C4A"/>
    <w:rsid w:val="571902F6"/>
    <w:rsid w:val="5723159D"/>
    <w:rsid w:val="574A3411"/>
    <w:rsid w:val="5761288E"/>
    <w:rsid w:val="577D4D6F"/>
    <w:rsid w:val="57891BE4"/>
    <w:rsid w:val="57920C66"/>
    <w:rsid w:val="57962933"/>
    <w:rsid w:val="57A6358B"/>
    <w:rsid w:val="57C50A07"/>
    <w:rsid w:val="57C64509"/>
    <w:rsid w:val="57F209DB"/>
    <w:rsid w:val="58167F2B"/>
    <w:rsid w:val="581D5874"/>
    <w:rsid w:val="58293F96"/>
    <w:rsid w:val="582E4BFE"/>
    <w:rsid w:val="583E0C20"/>
    <w:rsid w:val="583E34C1"/>
    <w:rsid w:val="58445A2E"/>
    <w:rsid w:val="58532F3A"/>
    <w:rsid w:val="58895207"/>
    <w:rsid w:val="58A2445C"/>
    <w:rsid w:val="58A8205C"/>
    <w:rsid w:val="58BA7390"/>
    <w:rsid w:val="58C30D4B"/>
    <w:rsid w:val="58D7329B"/>
    <w:rsid w:val="58DE1A4C"/>
    <w:rsid w:val="58E2384E"/>
    <w:rsid w:val="58E42E7F"/>
    <w:rsid w:val="58F90854"/>
    <w:rsid w:val="59444F16"/>
    <w:rsid w:val="59512B19"/>
    <w:rsid w:val="597B2361"/>
    <w:rsid w:val="597C73B6"/>
    <w:rsid w:val="59B16BC3"/>
    <w:rsid w:val="59C548FA"/>
    <w:rsid w:val="59E0776C"/>
    <w:rsid w:val="59EC7FDD"/>
    <w:rsid w:val="5A0C028E"/>
    <w:rsid w:val="5A0E1A74"/>
    <w:rsid w:val="5A0F46F0"/>
    <w:rsid w:val="5A21074E"/>
    <w:rsid w:val="5A64295C"/>
    <w:rsid w:val="5A8200B8"/>
    <w:rsid w:val="5A8A3BCE"/>
    <w:rsid w:val="5A8C2FDB"/>
    <w:rsid w:val="5A9B22EC"/>
    <w:rsid w:val="5AB05A17"/>
    <w:rsid w:val="5AC32E37"/>
    <w:rsid w:val="5ACF35D9"/>
    <w:rsid w:val="5AFF75DA"/>
    <w:rsid w:val="5B001E91"/>
    <w:rsid w:val="5B0D6BB0"/>
    <w:rsid w:val="5B4C63BE"/>
    <w:rsid w:val="5B721826"/>
    <w:rsid w:val="5B7D54D0"/>
    <w:rsid w:val="5B804DEF"/>
    <w:rsid w:val="5B8B0657"/>
    <w:rsid w:val="5B921571"/>
    <w:rsid w:val="5B951D0E"/>
    <w:rsid w:val="5B975D34"/>
    <w:rsid w:val="5B9E4F35"/>
    <w:rsid w:val="5BDE2832"/>
    <w:rsid w:val="5BEC42F7"/>
    <w:rsid w:val="5C077E0E"/>
    <w:rsid w:val="5C1B6264"/>
    <w:rsid w:val="5C4D6F64"/>
    <w:rsid w:val="5C5570C3"/>
    <w:rsid w:val="5C8B014F"/>
    <w:rsid w:val="5CB14B2C"/>
    <w:rsid w:val="5CBE0CA8"/>
    <w:rsid w:val="5CE72874"/>
    <w:rsid w:val="5CFA339A"/>
    <w:rsid w:val="5D025EF0"/>
    <w:rsid w:val="5D1D4C2D"/>
    <w:rsid w:val="5D2A1BCB"/>
    <w:rsid w:val="5D651B92"/>
    <w:rsid w:val="5DA82B13"/>
    <w:rsid w:val="5DBB54EE"/>
    <w:rsid w:val="5DE410A9"/>
    <w:rsid w:val="5E0469AE"/>
    <w:rsid w:val="5E1A4FD1"/>
    <w:rsid w:val="5E1A583B"/>
    <w:rsid w:val="5E257542"/>
    <w:rsid w:val="5E28416D"/>
    <w:rsid w:val="5E52529C"/>
    <w:rsid w:val="5EA069F6"/>
    <w:rsid w:val="5EA32CC4"/>
    <w:rsid w:val="5EAA0704"/>
    <w:rsid w:val="5EC079C5"/>
    <w:rsid w:val="5EF67FBA"/>
    <w:rsid w:val="5F314ECC"/>
    <w:rsid w:val="5F454644"/>
    <w:rsid w:val="5F56699B"/>
    <w:rsid w:val="5F732C1C"/>
    <w:rsid w:val="5F7B7807"/>
    <w:rsid w:val="5F7D79EE"/>
    <w:rsid w:val="602E5208"/>
    <w:rsid w:val="604B7B41"/>
    <w:rsid w:val="60533462"/>
    <w:rsid w:val="608C0184"/>
    <w:rsid w:val="60B07778"/>
    <w:rsid w:val="60B64453"/>
    <w:rsid w:val="60CC2C82"/>
    <w:rsid w:val="60CF4373"/>
    <w:rsid w:val="60DB08D2"/>
    <w:rsid w:val="610D395F"/>
    <w:rsid w:val="6128485A"/>
    <w:rsid w:val="61337CBE"/>
    <w:rsid w:val="61555D4B"/>
    <w:rsid w:val="616F18FC"/>
    <w:rsid w:val="61AE5A0B"/>
    <w:rsid w:val="61B15A4B"/>
    <w:rsid w:val="61B427E8"/>
    <w:rsid w:val="61B9140C"/>
    <w:rsid w:val="61C44A09"/>
    <w:rsid w:val="61D427A7"/>
    <w:rsid w:val="61D75BEF"/>
    <w:rsid w:val="61D86BE2"/>
    <w:rsid w:val="620B7C39"/>
    <w:rsid w:val="62263AD2"/>
    <w:rsid w:val="622F2E78"/>
    <w:rsid w:val="623E5E46"/>
    <w:rsid w:val="624C1DCC"/>
    <w:rsid w:val="629E7043"/>
    <w:rsid w:val="62CA37A2"/>
    <w:rsid w:val="63187B69"/>
    <w:rsid w:val="63232510"/>
    <w:rsid w:val="633751EE"/>
    <w:rsid w:val="6353770F"/>
    <w:rsid w:val="63807044"/>
    <w:rsid w:val="63CB448A"/>
    <w:rsid w:val="63CE55AC"/>
    <w:rsid w:val="63E728B6"/>
    <w:rsid w:val="643A1E34"/>
    <w:rsid w:val="643A4EDE"/>
    <w:rsid w:val="643B43EB"/>
    <w:rsid w:val="646A2B57"/>
    <w:rsid w:val="646B29AE"/>
    <w:rsid w:val="646B4CD8"/>
    <w:rsid w:val="64964D04"/>
    <w:rsid w:val="64CB7BAE"/>
    <w:rsid w:val="64CE7353"/>
    <w:rsid w:val="64D06CF4"/>
    <w:rsid w:val="64D83DBB"/>
    <w:rsid w:val="650B33FF"/>
    <w:rsid w:val="650D48F4"/>
    <w:rsid w:val="65192B16"/>
    <w:rsid w:val="65502BFC"/>
    <w:rsid w:val="656B1F70"/>
    <w:rsid w:val="65806AE5"/>
    <w:rsid w:val="65C807F2"/>
    <w:rsid w:val="65DE15D9"/>
    <w:rsid w:val="65F61747"/>
    <w:rsid w:val="66070AAC"/>
    <w:rsid w:val="66072C43"/>
    <w:rsid w:val="66073383"/>
    <w:rsid w:val="66090BC3"/>
    <w:rsid w:val="66367229"/>
    <w:rsid w:val="664C4892"/>
    <w:rsid w:val="66527440"/>
    <w:rsid w:val="66603359"/>
    <w:rsid w:val="666C56FA"/>
    <w:rsid w:val="66C5579B"/>
    <w:rsid w:val="66C5709B"/>
    <w:rsid w:val="66F0476C"/>
    <w:rsid w:val="67042676"/>
    <w:rsid w:val="67253C4B"/>
    <w:rsid w:val="675A0427"/>
    <w:rsid w:val="67815114"/>
    <w:rsid w:val="67840EC4"/>
    <w:rsid w:val="67D92C0E"/>
    <w:rsid w:val="67E81182"/>
    <w:rsid w:val="67F76A44"/>
    <w:rsid w:val="68100B08"/>
    <w:rsid w:val="682374D9"/>
    <w:rsid w:val="683B081E"/>
    <w:rsid w:val="684A42CF"/>
    <w:rsid w:val="686F68D7"/>
    <w:rsid w:val="686F6DE1"/>
    <w:rsid w:val="687B5418"/>
    <w:rsid w:val="68BC2BD7"/>
    <w:rsid w:val="68DA0D59"/>
    <w:rsid w:val="68EE131B"/>
    <w:rsid w:val="68F86D1F"/>
    <w:rsid w:val="68FD274C"/>
    <w:rsid w:val="68FF1F0C"/>
    <w:rsid w:val="69020F96"/>
    <w:rsid w:val="69026935"/>
    <w:rsid w:val="691A3968"/>
    <w:rsid w:val="69285F27"/>
    <w:rsid w:val="69535063"/>
    <w:rsid w:val="69B82818"/>
    <w:rsid w:val="69BC5357"/>
    <w:rsid w:val="69D17186"/>
    <w:rsid w:val="69FD7D56"/>
    <w:rsid w:val="6A03665E"/>
    <w:rsid w:val="6A0B379A"/>
    <w:rsid w:val="6A0D59D0"/>
    <w:rsid w:val="6A33271D"/>
    <w:rsid w:val="6A4627A3"/>
    <w:rsid w:val="6A4A63DE"/>
    <w:rsid w:val="6A690EC5"/>
    <w:rsid w:val="6A725721"/>
    <w:rsid w:val="6A825911"/>
    <w:rsid w:val="6AB13CCF"/>
    <w:rsid w:val="6ADA0BD8"/>
    <w:rsid w:val="6AE35151"/>
    <w:rsid w:val="6B1A1C62"/>
    <w:rsid w:val="6B3C3614"/>
    <w:rsid w:val="6B7548CF"/>
    <w:rsid w:val="6B7B2F1E"/>
    <w:rsid w:val="6B7D00C3"/>
    <w:rsid w:val="6B810443"/>
    <w:rsid w:val="6B92675E"/>
    <w:rsid w:val="6B9B6A45"/>
    <w:rsid w:val="6B9F3A79"/>
    <w:rsid w:val="6BB3671C"/>
    <w:rsid w:val="6BBD22FE"/>
    <w:rsid w:val="6BCB5CD5"/>
    <w:rsid w:val="6BCD3836"/>
    <w:rsid w:val="6BD97184"/>
    <w:rsid w:val="6BDB16E9"/>
    <w:rsid w:val="6BFC37A9"/>
    <w:rsid w:val="6C007A51"/>
    <w:rsid w:val="6C69027E"/>
    <w:rsid w:val="6C770B05"/>
    <w:rsid w:val="6C797178"/>
    <w:rsid w:val="6C844612"/>
    <w:rsid w:val="6C846728"/>
    <w:rsid w:val="6CA415C3"/>
    <w:rsid w:val="6CAD20CD"/>
    <w:rsid w:val="6CB02EC7"/>
    <w:rsid w:val="6CB6249F"/>
    <w:rsid w:val="6CBF65FB"/>
    <w:rsid w:val="6CDD77B6"/>
    <w:rsid w:val="6CFB5BB6"/>
    <w:rsid w:val="6CFC3539"/>
    <w:rsid w:val="6D034E3F"/>
    <w:rsid w:val="6D280121"/>
    <w:rsid w:val="6D4423E8"/>
    <w:rsid w:val="6D4E403E"/>
    <w:rsid w:val="6D7432CD"/>
    <w:rsid w:val="6D7619B9"/>
    <w:rsid w:val="6DAB6D86"/>
    <w:rsid w:val="6DC57CC9"/>
    <w:rsid w:val="6DD9113D"/>
    <w:rsid w:val="6DE00329"/>
    <w:rsid w:val="6DE95BFD"/>
    <w:rsid w:val="6E242E2E"/>
    <w:rsid w:val="6E491206"/>
    <w:rsid w:val="6E877823"/>
    <w:rsid w:val="6E964F4C"/>
    <w:rsid w:val="6EC62082"/>
    <w:rsid w:val="6ED34B33"/>
    <w:rsid w:val="6ED60047"/>
    <w:rsid w:val="6EDC76D8"/>
    <w:rsid w:val="6EF1798C"/>
    <w:rsid w:val="6F031AB3"/>
    <w:rsid w:val="6F33080C"/>
    <w:rsid w:val="6F3F2E86"/>
    <w:rsid w:val="6F563096"/>
    <w:rsid w:val="6F5F32BB"/>
    <w:rsid w:val="6F853AE1"/>
    <w:rsid w:val="6FAC0B83"/>
    <w:rsid w:val="6FBB7663"/>
    <w:rsid w:val="6FD9299E"/>
    <w:rsid w:val="6FE64EFC"/>
    <w:rsid w:val="700A0706"/>
    <w:rsid w:val="70246F32"/>
    <w:rsid w:val="70641166"/>
    <w:rsid w:val="70A87E9C"/>
    <w:rsid w:val="70B75B8C"/>
    <w:rsid w:val="70BF01FF"/>
    <w:rsid w:val="70D75640"/>
    <w:rsid w:val="70D93C40"/>
    <w:rsid w:val="70DC43D8"/>
    <w:rsid w:val="70E25F2B"/>
    <w:rsid w:val="70E84535"/>
    <w:rsid w:val="710E4C35"/>
    <w:rsid w:val="711C3BFE"/>
    <w:rsid w:val="711F45FB"/>
    <w:rsid w:val="712224C0"/>
    <w:rsid w:val="716B689B"/>
    <w:rsid w:val="718B5DFA"/>
    <w:rsid w:val="72210DAF"/>
    <w:rsid w:val="722A2557"/>
    <w:rsid w:val="728D0DE4"/>
    <w:rsid w:val="728E6845"/>
    <w:rsid w:val="72973F4F"/>
    <w:rsid w:val="72A611AA"/>
    <w:rsid w:val="72AF5747"/>
    <w:rsid w:val="730940E4"/>
    <w:rsid w:val="73407D34"/>
    <w:rsid w:val="73B54AA2"/>
    <w:rsid w:val="73C428F9"/>
    <w:rsid w:val="73CE02EF"/>
    <w:rsid w:val="73D61B50"/>
    <w:rsid w:val="74105BB7"/>
    <w:rsid w:val="741B7603"/>
    <w:rsid w:val="7423629E"/>
    <w:rsid w:val="742A728E"/>
    <w:rsid w:val="74306EA7"/>
    <w:rsid w:val="74436F8D"/>
    <w:rsid w:val="744A676C"/>
    <w:rsid w:val="746464B2"/>
    <w:rsid w:val="74A850BC"/>
    <w:rsid w:val="74B968B6"/>
    <w:rsid w:val="74C838DF"/>
    <w:rsid w:val="74C9104E"/>
    <w:rsid w:val="74CA693D"/>
    <w:rsid w:val="74F33EE6"/>
    <w:rsid w:val="75066D00"/>
    <w:rsid w:val="75105205"/>
    <w:rsid w:val="75575E22"/>
    <w:rsid w:val="75955EFA"/>
    <w:rsid w:val="75BA6FE1"/>
    <w:rsid w:val="75CC0825"/>
    <w:rsid w:val="75D55EAC"/>
    <w:rsid w:val="75DA5906"/>
    <w:rsid w:val="75E460C0"/>
    <w:rsid w:val="75F758B1"/>
    <w:rsid w:val="764B241C"/>
    <w:rsid w:val="76830B59"/>
    <w:rsid w:val="76B34C28"/>
    <w:rsid w:val="76BB4A38"/>
    <w:rsid w:val="76C4068D"/>
    <w:rsid w:val="76E37DAA"/>
    <w:rsid w:val="77106F2F"/>
    <w:rsid w:val="771F381E"/>
    <w:rsid w:val="77264BBA"/>
    <w:rsid w:val="774D7938"/>
    <w:rsid w:val="7791565C"/>
    <w:rsid w:val="77E152DA"/>
    <w:rsid w:val="77F51FE5"/>
    <w:rsid w:val="77FA68A9"/>
    <w:rsid w:val="781B3F63"/>
    <w:rsid w:val="78225D08"/>
    <w:rsid w:val="78284D91"/>
    <w:rsid w:val="78295A66"/>
    <w:rsid w:val="783A6949"/>
    <w:rsid w:val="785B688B"/>
    <w:rsid w:val="78613B4A"/>
    <w:rsid w:val="787D68D1"/>
    <w:rsid w:val="78AE2484"/>
    <w:rsid w:val="78CD6696"/>
    <w:rsid w:val="78D6367A"/>
    <w:rsid w:val="78D828AD"/>
    <w:rsid w:val="78FB7857"/>
    <w:rsid w:val="78FE5D2F"/>
    <w:rsid w:val="791041EB"/>
    <w:rsid w:val="79225CD8"/>
    <w:rsid w:val="792C719B"/>
    <w:rsid w:val="7937131D"/>
    <w:rsid w:val="793F7A2C"/>
    <w:rsid w:val="79494824"/>
    <w:rsid w:val="7952761A"/>
    <w:rsid w:val="796005D8"/>
    <w:rsid w:val="797E0059"/>
    <w:rsid w:val="797F38DC"/>
    <w:rsid w:val="799968BD"/>
    <w:rsid w:val="79CE71A1"/>
    <w:rsid w:val="79D610B6"/>
    <w:rsid w:val="79E2366E"/>
    <w:rsid w:val="79EB6B35"/>
    <w:rsid w:val="7A37201E"/>
    <w:rsid w:val="7A3F373A"/>
    <w:rsid w:val="7A405787"/>
    <w:rsid w:val="7A6A6F28"/>
    <w:rsid w:val="7A992B1D"/>
    <w:rsid w:val="7AB93BE4"/>
    <w:rsid w:val="7AE47FBD"/>
    <w:rsid w:val="7AF50F3D"/>
    <w:rsid w:val="7AF973C0"/>
    <w:rsid w:val="7AFA35E1"/>
    <w:rsid w:val="7B1E77A8"/>
    <w:rsid w:val="7B235CE0"/>
    <w:rsid w:val="7B616F76"/>
    <w:rsid w:val="7B9157F5"/>
    <w:rsid w:val="7C0247C4"/>
    <w:rsid w:val="7C252C7E"/>
    <w:rsid w:val="7C504EBA"/>
    <w:rsid w:val="7C7331B4"/>
    <w:rsid w:val="7CAC4355"/>
    <w:rsid w:val="7CE8200C"/>
    <w:rsid w:val="7CF729DE"/>
    <w:rsid w:val="7CFD7A0D"/>
    <w:rsid w:val="7D073337"/>
    <w:rsid w:val="7D1B06E6"/>
    <w:rsid w:val="7D1D7F36"/>
    <w:rsid w:val="7D22240A"/>
    <w:rsid w:val="7D5A2A9E"/>
    <w:rsid w:val="7D6100FC"/>
    <w:rsid w:val="7D802F85"/>
    <w:rsid w:val="7D8137DE"/>
    <w:rsid w:val="7D855184"/>
    <w:rsid w:val="7DDF1211"/>
    <w:rsid w:val="7DFA6D61"/>
    <w:rsid w:val="7E177058"/>
    <w:rsid w:val="7E42053C"/>
    <w:rsid w:val="7E4A25FD"/>
    <w:rsid w:val="7E677525"/>
    <w:rsid w:val="7E7F401E"/>
    <w:rsid w:val="7E7F5398"/>
    <w:rsid w:val="7E88508F"/>
    <w:rsid w:val="7E935FB9"/>
    <w:rsid w:val="7ECB0D6E"/>
    <w:rsid w:val="7ECB4ADE"/>
    <w:rsid w:val="7EE56A7E"/>
    <w:rsid w:val="7EF22D8F"/>
    <w:rsid w:val="7EFA49E8"/>
    <w:rsid w:val="7EFC6059"/>
    <w:rsid w:val="7EFE7DC7"/>
    <w:rsid w:val="7F0E71B0"/>
    <w:rsid w:val="7F2A345C"/>
    <w:rsid w:val="7F6169AD"/>
    <w:rsid w:val="7F6A4B88"/>
    <w:rsid w:val="7F7D3296"/>
    <w:rsid w:val="7F821B39"/>
    <w:rsid w:val="7F86563D"/>
    <w:rsid w:val="7F88526B"/>
    <w:rsid w:val="7F95335B"/>
    <w:rsid w:val="7FA25FE8"/>
    <w:rsid w:val="7FB32894"/>
    <w:rsid w:val="7FB70B44"/>
    <w:rsid w:val="7FBD3AA1"/>
    <w:rsid w:val="7FC31875"/>
    <w:rsid w:val="7FE52607"/>
    <w:rsid w:val="7FEE2B80"/>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9" w:semiHidden="0" w:name="heading 2" w:locked="1"/>
    <w:lsdException w:qFormat="1" w:unhideWhenUsed="0"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uiPriority="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qFormat="1" w:unhideWhenUsed="0" w:uiPriority="99" w:semiHidden="0" w:name="Balloon Text"/>
    <w:lsdException w:unhideWhenUsed="0" w:uiPriority="59" w:semiHidden="0" w:name="Table Grid"/>
    <w:lsdException w:uiPriority="0" w:name="Table Theme" w:locked="1"/>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32"/>
      <w:szCs w:val="32"/>
      <w:lang w:val="en-US" w:eastAsia="zh-CN" w:bidi="ar-SA"/>
    </w:rPr>
  </w:style>
  <w:style w:type="paragraph" w:styleId="2">
    <w:name w:val="heading 1"/>
    <w:basedOn w:val="1"/>
    <w:next w:val="1"/>
    <w:link w:val="34"/>
    <w:qFormat/>
    <w:locked/>
    <w:uiPriority w:val="0"/>
    <w:pPr>
      <w:keepNext/>
      <w:keepLines/>
      <w:spacing w:before="340" w:after="330" w:line="578" w:lineRule="auto"/>
      <w:outlineLvl w:val="0"/>
    </w:pPr>
    <w:rPr>
      <w:b/>
      <w:bCs/>
      <w:kern w:val="44"/>
      <w:sz w:val="44"/>
      <w:szCs w:val="44"/>
    </w:rPr>
  </w:style>
  <w:style w:type="paragraph" w:styleId="3">
    <w:name w:val="heading 2"/>
    <w:basedOn w:val="1"/>
    <w:next w:val="1"/>
    <w:link w:val="33"/>
    <w:qFormat/>
    <w:locked/>
    <w:uiPriority w:val="9"/>
    <w:pPr>
      <w:keepNext/>
      <w:keepLines/>
      <w:spacing w:before="260" w:after="260" w:line="416" w:lineRule="atLeast"/>
      <w:ind w:firstLine="640" w:firstLineChars="200"/>
      <w:outlineLvl w:val="1"/>
    </w:pPr>
    <w:rPr>
      <w:rFonts w:ascii="Cambria" w:hAnsi="Cambria" w:cs="宋体"/>
      <w:b/>
      <w:bCs/>
    </w:rPr>
  </w:style>
  <w:style w:type="paragraph" w:styleId="4">
    <w:name w:val="heading 3"/>
    <w:basedOn w:val="1"/>
    <w:next w:val="1"/>
    <w:qFormat/>
    <w:locked/>
    <w:uiPriority w:val="0"/>
    <w:pPr>
      <w:keepNext/>
      <w:keepLines/>
      <w:outlineLvl w:val="2"/>
    </w:pPr>
    <w:rPr>
      <w:rFonts w:eastAsia="楷体"/>
    </w:rPr>
  </w:style>
  <w:style w:type="character" w:default="1" w:styleId="16">
    <w:name w:val="Default Paragraph Font"/>
    <w:semiHidden/>
    <w:unhideWhenUsed/>
    <w:uiPriority w:val="1"/>
  </w:style>
  <w:style w:type="table" w:default="1" w:styleId="15">
    <w:name w:val="Normal Table"/>
    <w:semiHidden/>
    <w:unhideWhenUsed/>
    <w:qFormat/>
    <w:uiPriority w:val="99"/>
    <w:tblPr>
      <w:tblLayout w:type="fixed"/>
      <w:tblCellMar>
        <w:top w:w="0" w:type="dxa"/>
        <w:left w:w="108" w:type="dxa"/>
        <w:bottom w:w="0" w:type="dxa"/>
        <w:right w:w="108" w:type="dxa"/>
      </w:tblCellMar>
    </w:tblPr>
  </w:style>
  <w:style w:type="paragraph" w:styleId="5">
    <w:name w:val="annotation text"/>
    <w:basedOn w:val="1"/>
    <w:link w:val="27"/>
    <w:unhideWhenUsed/>
    <w:qFormat/>
    <w:uiPriority w:val="99"/>
    <w:pPr>
      <w:jc w:val="left"/>
    </w:pPr>
  </w:style>
  <w:style w:type="paragraph" w:styleId="6">
    <w:name w:val="Body Text"/>
    <w:basedOn w:val="1"/>
    <w:qFormat/>
    <w:uiPriority w:val="0"/>
    <w:rPr>
      <w:rFonts w:ascii="宋体"/>
      <w:color w:val="000000"/>
      <w:sz w:val="24"/>
      <w:szCs w:val="20"/>
    </w:rPr>
  </w:style>
  <w:style w:type="paragraph" w:styleId="7">
    <w:name w:val="Date"/>
    <w:basedOn w:val="1"/>
    <w:next w:val="1"/>
    <w:link w:val="25"/>
    <w:semiHidden/>
    <w:unhideWhenUsed/>
    <w:qFormat/>
    <w:uiPriority w:val="99"/>
    <w:pPr>
      <w:ind w:left="100" w:leftChars="2500"/>
    </w:pPr>
  </w:style>
  <w:style w:type="paragraph" w:styleId="8">
    <w:name w:val="Balloon Text"/>
    <w:basedOn w:val="1"/>
    <w:link w:val="21"/>
    <w:qFormat/>
    <w:uiPriority w:val="99"/>
    <w:rPr>
      <w:sz w:val="18"/>
      <w:szCs w:val="18"/>
    </w:rPr>
  </w:style>
  <w:style w:type="paragraph" w:styleId="9">
    <w:name w:val="footer"/>
    <w:basedOn w:val="1"/>
    <w:link w:val="22"/>
    <w:qFormat/>
    <w:uiPriority w:val="99"/>
    <w:pPr>
      <w:tabs>
        <w:tab w:val="center" w:pos="4153"/>
        <w:tab w:val="right" w:pos="8306"/>
      </w:tabs>
      <w:snapToGrid w:val="0"/>
      <w:jc w:val="left"/>
    </w:pPr>
    <w:rPr>
      <w:sz w:val="18"/>
      <w:szCs w:val="18"/>
    </w:rPr>
  </w:style>
  <w:style w:type="paragraph" w:styleId="10">
    <w:name w:val="header"/>
    <w:basedOn w:val="1"/>
    <w:link w:val="23"/>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style>
  <w:style w:type="paragraph" w:styleId="12">
    <w:name w:val="toc 2"/>
    <w:basedOn w:val="1"/>
    <w:next w:val="1"/>
    <w:unhideWhenUsed/>
    <w:qFormat/>
    <w:uiPriority w:val="39"/>
    <w:pPr>
      <w:ind w:left="420" w:leftChars="200"/>
    </w:pPr>
  </w:style>
  <w:style w:type="paragraph" w:styleId="13">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14">
    <w:name w:val="annotation subject"/>
    <w:basedOn w:val="5"/>
    <w:next w:val="5"/>
    <w:link w:val="28"/>
    <w:semiHidden/>
    <w:unhideWhenUsed/>
    <w:qFormat/>
    <w:uiPriority w:val="99"/>
    <w:rPr>
      <w:b/>
      <w:bCs/>
    </w:rPr>
  </w:style>
  <w:style w:type="character" w:styleId="17">
    <w:name w:val="page number"/>
    <w:qFormat/>
    <w:uiPriority w:val="99"/>
    <w:rPr>
      <w:rFonts w:cs="Times New Roman"/>
    </w:rPr>
  </w:style>
  <w:style w:type="character" w:styleId="18">
    <w:name w:val="Emphasis"/>
    <w:qFormat/>
    <w:uiPriority w:val="20"/>
    <w:rPr>
      <w:rFonts w:cs="Times New Roman"/>
      <w:i/>
      <w:iCs/>
    </w:rPr>
  </w:style>
  <w:style w:type="character" w:styleId="19">
    <w:name w:val="Hyperlink"/>
    <w:qFormat/>
    <w:uiPriority w:val="99"/>
    <w:rPr>
      <w:rFonts w:cs="Times New Roman"/>
      <w:color w:val="0000FF"/>
      <w:u w:val="single"/>
    </w:rPr>
  </w:style>
  <w:style w:type="character" w:styleId="20">
    <w:name w:val="annotation reference"/>
    <w:semiHidden/>
    <w:unhideWhenUsed/>
    <w:qFormat/>
    <w:uiPriority w:val="99"/>
    <w:rPr>
      <w:sz w:val="21"/>
      <w:szCs w:val="21"/>
    </w:rPr>
  </w:style>
  <w:style w:type="character" w:customStyle="1" w:styleId="21">
    <w:name w:val="批注框文本 字符"/>
    <w:link w:val="8"/>
    <w:qFormat/>
    <w:locked/>
    <w:uiPriority w:val="99"/>
    <w:rPr>
      <w:rFonts w:eastAsia="Times New Roman" w:cs="Times New Roman"/>
      <w:kern w:val="2"/>
      <w:sz w:val="18"/>
      <w:szCs w:val="18"/>
    </w:rPr>
  </w:style>
  <w:style w:type="character" w:customStyle="1" w:styleId="22">
    <w:name w:val="页脚 字符"/>
    <w:link w:val="9"/>
    <w:qFormat/>
    <w:uiPriority w:val="99"/>
    <w:rPr>
      <w:rFonts w:ascii="Times New Roman" w:hAnsi="Times New Roman"/>
      <w:sz w:val="18"/>
      <w:szCs w:val="18"/>
    </w:rPr>
  </w:style>
  <w:style w:type="character" w:customStyle="1" w:styleId="23">
    <w:name w:val="页眉 字符"/>
    <w:link w:val="10"/>
    <w:qFormat/>
    <w:locked/>
    <w:uiPriority w:val="99"/>
    <w:rPr>
      <w:rFonts w:eastAsia="Times New Roman" w:cs="Times New Roman"/>
      <w:kern w:val="2"/>
      <w:sz w:val="18"/>
      <w:szCs w:val="18"/>
    </w:rPr>
  </w:style>
  <w:style w:type="paragraph" w:styleId="24">
    <w:name w:val="List Paragraph"/>
    <w:basedOn w:val="1"/>
    <w:qFormat/>
    <w:uiPriority w:val="99"/>
    <w:pPr>
      <w:ind w:firstLine="420" w:firstLineChars="200"/>
    </w:pPr>
  </w:style>
  <w:style w:type="character" w:customStyle="1" w:styleId="25">
    <w:name w:val="日期 字符"/>
    <w:link w:val="7"/>
    <w:semiHidden/>
    <w:qFormat/>
    <w:uiPriority w:val="99"/>
    <w:rPr>
      <w:rFonts w:ascii="Times New Roman" w:hAnsi="Times New Roman"/>
      <w:kern w:val="2"/>
      <w:sz w:val="32"/>
      <w:szCs w:val="32"/>
    </w:rPr>
  </w:style>
  <w:style w:type="paragraph" w:customStyle="1" w:styleId="26">
    <w:name w:val="修订1"/>
    <w:hidden/>
    <w:semiHidden/>
    <w:qFormat/>
    <w:uiPriority w:val="99"/>
    <w:rPr>
      <w:rFonts w:ascii="Times New Roman" w:hAnsi="Times New Roman" w:eastAsia="宋体" w:cs="Times New Roman"/>
      <w:kern w:val="2"/>
      <w:sz w:val="32"/>
      <w:szCs w:val="32"/>
      <w:lang w:val="en-US" w:eastAsia="zh-CN" w:bidi="ar-SA"/>
    </w:rPr>
  </w:style>
  <w:style w:type="character" w:customStyle="1" w:styleId="27">
    <w:name w:val="批注文字 字符"/>
    <w:link w:val="5"/>
    <w:qFormat/>
    <w:uiPriority w:val="99"/>
    <w:rPr>
      <w:rFonts w:ascii="Times New Roman" w:hAnsi="Times New Roman"/>
      <w:kern w:val="2"/>
      <w:sz w:val="32"/>
      <w:szCs w:val="32"/>
    </w:rPr>
  </w:style>
  <w:style w:type="character" w:customStyle="1" w:styleId="28">
    <w:name w:val="批注主题 字符"/>
    <w:link w:val="14"/>
    <w:semiHidden/>
    <w:qFormat/>
    <w:uiPriority w:val="99"/>
    <w:rPr>
      <w:rFonts w:ascii="Times New Roman" w:hAnsi="Times New Roman"/>
      <w:b/>
      <w:bCs/>
      <w:kern w:val="2"/>
      <w:sz w:val="32"/>
      <w:szCs w:val="32"/>
    </w:rPr>
  </w:style>
  <w:style w:type="character" w:customStyle="1" w:styleId="29">
    <w:name w:val="未处理的提及1"/>
    <w:semiHidden/>
    <w:unhideWhenUsed/>
    <w:qFormat/>
    <w:uiPriority w:val="99"/>
    <w:rPr>
      <w:color w:val="605E5C"/>
      <w:shd w:val="clear" w:color="auto" w:fill="E1DFDD"/>
    </w:rPr>
  </w:style>
  <w:style w:type="paragraph" w:customStyle="1" w:styleId="30">
    <w:name w:val="正文1"/>
    <w:qFormat/>
    <w:uiPriority w:val="0"/>
    <w:pPr>
      <w:jc w:val="both"/>
    </w:pPr>
    <w:rPr>
      <w:rFonts w:ascii="等线" w:hAnsi="等线" w:eastAsia="宋体" w:cs="宋体"/>
      <w:kern w:val="2"/>
      <w:sz w:val="21"/>
      <w:szCs w:val="21"/>
      <w:lang w:val="en-US" w:eastAsia="zh-CN" w:bidi="ar-SA"/>
    </w:rPr>
  </w:style>
  <w:style w:type="paragraph" w:customStyle="1" w:styleId="31">
    <w:name w:val="目录 11"/>
    <w:basedOn w:val="1"/>
    <w:next w:val="1"/>
    <w:unhideWhenUsed/>
    <w:qFormat/>
    <w:uiPriority w:val="39"/>
  </w:style>
  <w:style w:type="paragraph" w:customStyle="1" w:styleId="32">
    <w:name w:val="目录 21"/>
    <w:basedOn w:val="1"/>
    <w:next w:val="1"/>
    <w:unhideWhenUsed/>
    <w:qFormat/>
    <w:uiPriority w:val="39"/>
    <w:pPr>
      <w:ind w:left="420" w:leftChars="200"/>
      <w:jc w:val="left"/>
    </w:pPr>
  </w:style>
  <w:style w:type="character" w:customStyle="1" w:styleId="33">
    <w:name w:val="标题 2 字符"/>
    <w:basedOn w:val="16"/>
    <w:link w:val="3"/>
    <w:qFormat/>
    <w:uiPriority w:val="9"/>
    <w:rPr>
      <w:rFonts w:ascii="Cambria" w:hAnsi="Cambria" w:eastAsia="宋体" w:cs="宋体"/>
      <w:b/>
      <w:bCs/>
      <w:kern w:val="2"/>
      <w:sz w:val="32"/>
      <w:szCs w:val="32"/>
    </w:rPr>
  </w:style>
  <w:style w:type="character" w:customStyle="1" w:styleId="34">
    <w:name w:val="标题 1 字符"/>
    <w:basedOn w:val="16"/>
    <w:link w:val="2"/>
    <w:qFormat/>
    <w:uiPriority w:val="9"/>
    <w:rPr>
      <w:rFonts w:ascii="Times New Roman" w:hAnsi="Times New Roman" w:eastAsia="宋体" w:cs="Times New Roman"/>
      <w:b/>
      <w:bCs/>
      <w:kern w:val="44"/>
      <w:sz w:val="44"/>
      <w:szCs w:val="44"/>
    </w:rPr>
  </w:style>
  <w:style w:type="character" w:styleId="35">
    <w:name w:val="Placeholder Text"/>
    <w:basedOn w:val="16"/>
    <w:unhideWhenUsed/>
    <w:qFormat/>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5C68110-46A8-4701-BC21-AE510641D816}">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33</Pages>
  <Words>2201</Words>
  <Characters>12547</Characters>
  <Lines>104</Lines>
  <Paragraphs>29</Paragraphs>
  <TotalTime>4</TotalTime>
  <ScaleCrop>false</ScaleCrop>
  <LinksUpToDate>false</LinksUpToDate>
  <CharactersWithSpaces>14719</CharactersWithSpaces>
  <Application>WPS Office_11.8.2.8721_F1E327BC-269C-435d-A152-05C5408002CA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2020-10-28T16:01:00Z</dcterms:created>
  <dc:creator>摩尼</dc:creator>
  <cp:lastModifiedBy>官网官微维护员</cp:lastModifiedBy>
  <cp:lastPrinted>2020-10-14T06:20:00Z</cp:lastPrinted>
  <dcterms:modified xsi:type="dcterms:W3CDTF">2020-10-30T03:17:03Z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2052-11.8.2.8721</vt:lpwstr>
  </property>
</Properties>
</file>