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kinsoku/>
        <w:wordWrap/>
        <w:overflowPunct/>
        <w:topLinePunct w:val="0"/>
        <w:autoSpaceDE/>
        <w:autoSpaceDN/>
        <w:bidi w:val="0"/>
        <w:adjustRightInd/>
        <w:snapToGrid/>
        <w:spacing w:line="640" w:lineRule="exact"/>
        <w:ind w:left="0" w:leftChars="0" w:right="0" w:rightChars="0" w:firstLine="0" w:firstLineChars="0"/>
        <w:jc w:val="both"/>
        <w:textAlignment w:val="auto"/>
        <w:outlineLvl w:val="9"/>
        <w:rPr>
          <w:rFonts w:hint="eastAsia" w:ascii="黑体" w:hAnsi="黑体" w:eastAsia="黑体" w:cs="黑体"/>
          <w:b w:val="0"/>
          <w:color w:val="000000" w:themeColor="text1"/>
          <w:spacing w:val="0"/>
          <w:sz w:val="32"/>
          <w:szCs w:val="32"/>
          <w:highlight w:val="none"/>
          <w:shd w:val="clear" w:color="auto" w:fill="FFFFFF"/>
          <w:lang w:val="en-US" w:eastAsia="zh-CN"/>
          <w14:textFill>
            <w14:solidFill>
              <w14:schemeClr w14:val="tx1"/>
            </w14:solidFill>
          </w14:textFill>
        </w:rPr>
      </w:pPr>
      <w:r>
        <w:rPr>
          <w:rFonts w:hint="eastAsia" w:ascii="黑体" w:hAnsi="黑体" w:eastAsia="黑体" w:cs="黑体"/>
          <w:b w:val="0"/>
          <w:color w:val="000000" w:themeColor="text1"/>
          <w:spacing w:val="0"/>
          <w:sz w:val="32"/>
          <w:szCs w:val="32"/>
          <w:highlight w:val="none"/>
          <w:shd w:val="clear" w:color="auto" w:fill="FFFFFF"/>
          <w:lang w:val="en-US" w:eastAsia="zh-CN"/>
          <w14:textFill>
            <w14:solidFill>
              <w14:schemeClr w14:val="tx1"/>
            </w14:solidFill>
          </w14:textFill>
        </w:rPr>
        <w:t>附件</w:t>
      </w:r>
    </w:p>
    <w:p>
      <w:pPr>
        <w:keepNext w:val="0"/>
        <w:keepLines w:val="0"/>
        <w:pageBreakBefore w:val="0"/>
        <w:widowControl w:val="0"/>
        <w:shd w:val="clear"/>
        <w:kinsoku/>
        <w:wordWrap/>
        <w:overflowPunct/>
        <w:topLinePunct w:val="0"/>
        <w:autoSpaceDE/>
        <w:autoSpaceDN/>
        <w:bidi w:val="0"/>
        <w:adjustRightInd/>
        <w:snapToGrid/>
        <w:spacing w:line="640" w:lineRule="exact"/>
        <w:ind w:left="0" w:leftChars="0" w:right="0" w:rightChars="0" w:firstLine="0" w:firstLineChars="0"/>
        <w:jc w:val="both"/>
        <w:textAlignment w:val="auto"/>
        <w:outlineLvl w:val="9"/>
        <w:rPr>
          <w:rFonts w:hint="default" w:ascii="Times New Roman" w:hAnsi="Times New Roman" w:eastAsia="仿宋_GB2312" w:cs="Times New Roman"/>
          <w:b w:val="0"/>
          <w:color w:val="000000" w:themeColor="text1"/>
          <w:spacing w:val="0"/>
          <w:sz w:val="32"/>
          <w:szCs w:val="32"/>
          <w:highlight w:val="none"/>
          <w:shd w:val="clear" w:color="auto" w:fill="FFFFFF"/>
          <w:lang w:val="en-US" w:eastAsia="zh-CN"/>
          <w14:textFill>
            <w14:solidFill>
              <w14:schemeClr w14:val="tx1"/>
            </w14:solidFill>
          </w14:textFill>
        </w:rPr>
      </w:pPr>
    </w:p>
    <w:p>
      <w:pPr>
        <w:keepNext w:val="0"/>
        <w:keepLines w:val="0"/>
        <w:pageBreakBefore w:val="0"/>
        <w:widowControl w:val="0"/>
        <w:shd w:val="clear"/>
        <w:kinsoku/>
        <w:wordWrap/>
        <w:overflowPunct/>
        <w:topLinePunct w:val="0"/>
        <w:autoSpaceDE/>
        <w:autoSpaceDN/>
        <w:bidi w:val="0"/>
        <w:adjustRightInd/>
        <w:snapToGrid/>
        <w:spacing w:line="640" w:lineRule="exact"/>
        <w:ind w:left="0" w:leftChars="0" w:right="0" w:rightChars="0" w:firstLine="0" w:firstLineChars="0"/>
        <w:jc w:val="center"/>
        <w:textAlignment w:val="auto"/>
        <w:outlineLvl w:val="9"/>
        <w:rPr>
          <w:rStyle w:val="8"/>
          <w:rFonts w:hint="default" w:ascii="Times New Roman" w:hAnsi="Times New Roman" w:eastAsia="方正小标宋简体" w:cs="Times New Roman"/>
          <w:b w:val="0"/>
          <w:color w:val="000000" w:themeColor="text1"/>
          <w:spacing w:val="0"/>
          <w:sz w:val="44"/>
          <w:szCs w:val="44"/>
          <w:highlight w:val="none"/>
          <w:shd w:val="clear" w:color="auto" w:fill="FFFFFF"/>
          <w14:textFill>
            <w14:solidFill>
              <w14:schemeClr w14:val="tx1"/>
            </w14:solidFill>
          </w14:textFill>
        </w:rPr>
      </w:pPr>
      <w:bookmarkStart w:id="1" w:name="_GoBack"/>
      <w:r>
        <w:rPr>
          <w:rFonts w:hint="default" w:ascii="Times New Roman" w:hAnsi="Times New Roman" w:eastAsia="方正小标宋简体" w:cs="Times New Roman"/>
          <w:color w:val="000000" w:themeColor="text1"/>
          <w:spacing w:val="0"/>
          <w:sz w:val="44"/>
          <w:szCs w:val="44"/>
          <w:highlight w:val="none"/>
          <w:shd w:val="clear" w:color="auto" w:fill="FFFFFF"/>
          <w14:textFill>
            <w14:solidFill>
              <w14:schemeClr w14:val="tx1"/>
            </w14:solidFill>
          </w14:textFill>
        </w:rPr>
        <w:t>湖南省</w:t>
      </w:r>
      <w:r>
        <w:rPr>
          <w:rStyle w:val="8"/>
          <w:rFonts w:hint="default" w:ascii="Times New Roman" w:hAnsi="Times New Roman" w:eastAsia="方正小标宋简体" w:cs="Times New Roman"/>
          <w:b w:val="0"/>
          <w:color w:val="000000" w:themeColor="text1"/>
          <w:spacing w:val="0"/>
          <w:sz w:val="44"/>
          <w:szCs w:val="44"/>
          <w:highlight w:val="none"/>
          <w:shd w:val="clear" w:color="auto" w:fill="FFFFFF"/>
          <w14:textFill>
            <w14:solidFill>
              <w14:schemeClr w14:val="tx1"/>
            </w14:solidFill>
          </w14:textFill>
        </w:rPr>
        <w:t>公立医疗机构部分医用耗材</w:t>
      </w:r>
    </w:p>
    <w:p>
      <w:pPr>
        <w:keepNext w:val="0"/>
        <w:keepLines w:val="0"/>
        <w:pageBreakBefore w:val="0"/>
        <w:widowControl w:val="0"/>
        <w:shd w:val="clear"/>
        <w:kinsoku/>
        <w:wordWrap/>
        <w:overflowPunct/>
        <w:topLinePunct w:val="0"/>
        <w:autoSpaceDE/>
        <w:autoSpaceDN/>
        <w:bidi w:val="0"/>
        <w:adjustRightInd/>
        <w:snapToGrid/>
        <w:spacing w:line="640" w:lineRule="exact"/>
        <w:ind w:left="0" w:leftChars="0" w:right="0" w:rightChars="0" w:firstLine="0" w:firstLineChars="0"/>
        <w:jc w:val="center"/>
        <w:textAlignment w:val="auto"/>
        <w:outlineLvl w:val="9"/>
        <w:rPr>
          <w:rStyle w:val="8"/>
          <w:rFonts w:hint="default" w:ascii="Times New Roman" w:hAnsi="Times New Roman" w:eastAsia="方正小标宋简体" w:cs="Times New Roman"/>
          <w:b w:val="0"/>
          <w:color w:val="000000" w:themeColor="text1"/>
          <w:spacing w:val="0"/>
          <w:sz w:val="44"/>
          <w:szCs w:val="44"/>
          <w:highlight w:val="none"/>
          <w:shd w:val="clear" w:color="auto" w:fill="FFFFFF"/>
          <w14:textFill>
            <w14:solidFill>
              <w14:schemeClr w14:val="tx1"/>
            </w14:solidFill>
          </w14:textFill>
        </w:rPr>
      </w:pPr>
      <w:r>
        <w:rPr>
          <w:rStyle w:val="8"/>
          <w:rFonts w:hint="default" w:ascii="Times New Roman" w:hAnsi="Times New Roman" w:eastAsia="方正小标宋简体" w:cs="Times New Roman"/>
          <w:b w:val="0"/>
          <w:color w:val="000000" w:themeColor="text1"/>
          <w:spacing w:val="0"/>
          <w:sz w:val="44"/>
          <w:szCs w:val="44"/>
          <w:highlight w:val="none"/>
          <w:shd w:val="clear" w:color="auto" w:fill="FFFFFF"/>
          <w14:textFill>
            <w14:solidFill>
              <w14:schemeClr w14:val="tx1"/>
            </w14:solidFill>
          </w14:textFill>
        </w:rPr>
        <w:t>带量采购方案</w:t>
      </w:r>
    </w:p>
    <w:p>
      <w:pPr>
        <w:keepNext w:val="0"/>
        <w:keepLines w:val="0"/>
        <w:pageBreakBefore w:val="0"/>
        <w:widowControl w:val="0"/>
        <w:shd w:val="clear"/>
        <w:kinsoku/>
        <w:wordWrap/>
        <w:overflowPunct/>
        <w:topLinePunct w:val="0"/>
        <w:autoSpaceDE/>
        <w:autoSpaceDN/>
        <w:bidi w:val="0"/>
        <w:adjustRightInd/>
        <w:snapToGrid/>
        <w:spacing w:line="640" w:lineRule="exact"/>
        <w:ind w:left="0" w:leftChars="0" w:right="0" w:rightChars="0" w:firstLine="0" w:firstLineChars="0"/>
        <w:jc w:val="center"/>
        <w:textAlignment w:val="auto"/>
        <w:outlineLvl w:val="9"/>
        <w:rPr>
          <w:rStyle w:val="8"/>
          <w:rFonts w:hint="eastAsia" w:ascii="楷体_GB2312" w:hAnsi="楷体_GB2312" w:eastAsia="楷体_GB2312" w:cs="楷体_GB2312"/>
          <w:b w:val="0"/>
          <w:color w:val="000000" w:themeColor="text1"/>
          <w:spacing w:val="0"/>
          <w:sz w:val="32"/>
          <w:szCs w:val="32"/>
          <w:highlight w:val="none"/>
          <w:shd w:val="clear" w:color="auto" w:fill="FFFFFF"/>
          <w:lang w:val="en-US" w:eastAsia="zh-CN"/>
          <w14:textFill>
            <w14:solidFill>
              <w14:schemeClr w14:val="tx1"/>
            </w14:solidFill>
          </w14:textFill>
        </w:rPr>
      </w:pPr>
      <w:r>
        <w:rPr>
          <w:rStyle w:val="8"/>
          <w:rFonts w:hint="eastAsia" w:ascii="楷体_GB2312" w:hAnsi="楷体_GB2312" w:eastAsia="楷体_GB2312" w:cs="楷体_GB2312"/>
          <w:b w:val="0"/>
          <w:color w:val="000000" w:themeColor="text1"/>
          <w:spacing w:val="0"/>
          <w:sz w:val="32"/>
          <w:szCs w:val="32"/>
          <w:highlight w:val="none"/>
          <w:shd w:val="clear" w:color="auto" w:fill="FFFFFF"/>
          <w:lang w:eastAsia="zh-CN"/>
          <w14:textFill>
            <w14:solidFill>
              <w14:schemeClr w14:val="tx1"/>
            </w14:solidFill>
          </w14:textFill>
        </w:rPr>
        <w:t>（征求意见稿）</w:t>
      </w:r>
    </w:p>
    <w:bookmarkEnd w:id="1"/>
    <w:p>
      <w:pPr>
        <w:keepNext w:val="0"/>
        <w:keepLines w:val="0"/>
        <w:pageBreakBefore w:val="0"/>
        <w:widowControl w:val="0"/>
        <w:shd w:val="clear"/>
        <w:kinsoku/>
        <w:wordWrap/>
        <w:overflowPunct/>
        <w:topLinePunct w:val="0"/>
        <w:autoSpaceDE/>
        <w:autoSpaceDN/>
        <w:bidi w:val="0"/>
        <w:adjustRightInd/>
        <w:snapToGrid/>
        <w:spacing w:line="640" w:lineRule="exact"/>
        <w:ind w:left="0" w:leftChars="0" w:right="0" w:rightChars="0" w:firstLine="0" w:firstLineChars="0"/>
        <w:jc w:val="both"/>
        <w:textAlignment w:val="auto"/>
        <w:outlineLvl w:val="9"/>
        <w:rPr>
          <w:rFonts w:hint="default" w:ascii="Times New Roman" w:hAnsi="Times New Roman" w:eastAsia="仿宋_GB2312" w:cs="Times New Roman"/>
          <w:b w:val="0"/>
          <w:color w:val="000000" w:themeColor="text1"/>
          <w:spacing w:val="0"/>
          <w:sz w:val="32"/>
          <w:szCs w:val="32"/>
          <w:highlight w:val="none"/>
          <w:shd w:val="clear" w:color="auto" w:fill="FFFFFF"/>
          <w:lang w:val="en-US" w:eastAsia="zh-CN"/>
          <w14:textFill>
            <w14:solidFill>
              <w14:schemeClr w14:val="tx1"/>
            </w14:solidFill>
          </w14:textFill>
        </w:rPr>
      </w:pP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shd w:val="clear" w:color="auto" w:fill="FFFFFF"/>
          <w14:textFill>
            <w14:solidFill>
              <w14:schemeClr w14:val="tx1"/>
            </w14:solidFill>
          </w14:textFill>
        </w:rPr>
        <w:t>为理顺医用耗材价格体系，形成医用耗材质量可靠、价格合理、使用规范</w:t>
      </w:r>
      <w:r>
        <w:rPr>
          <w:rFonts w:hint="default" w:ascii="Times New Roman" w:hAnsi="Times New Roman" w:eastAsia="仿宋_GB2312" w:cs="Times New Roman"/>
          <w:color w:val="000000" w:themeColor="text1"/>
          <w:spacing w:val="0"/>
          <w:sz w:val="32"/>
          <w:szCs w:val="32"/>
          <w:highlight w:val="none"/>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shd w:val="clear" w:color="auto" w:fill="FFFFFF"/>
          <w14:textFill>
            <w14:solidFill>
              <w14:schemeClr w14:val="tx1"/>
            </w14:solidFill>
          </w14:textFill>
        </w:rPr>
        <w:t>流通快捷的治理格局</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节约医保资金，维护人民群众健康权益，根据《国务院办公厅关于印发治理高值医用耗材改革方案的通知》（国办发〔2019〕37号）、《国家医疗保障局关于印发2020年医疗保障工作要点的通知》（医保发〔2020〕4号）、《湖南省人民政府办公厅关于印发&lt;湖南省治理高值医用耗材改革实施方案&gt;的通知》（湘政办发〔2019〕59号）等文件精神，</w:t>
      </w:r>
      <w:r>
        <w:rPr>
          <w:rFonts w:hint="default" w:ascii="Times New Roman" w:hAnsi="Times New Roman" w:eastAsia="仿宋_GB2312" w:cs="Times New Roman"/>
          <w:color w:val="000000" w:themeColor="text1"/>
          <w:spacing w:val="0"/>
          <w:sz w:val="32"/>
          <w:szCs w:val="32"/>
          <w:highlight w:val="none"/>
          <w:shd w:val="clear" w:color="auto" w:fill="FFFFFF"/>
          <w14:textFill>
            <w14:solidFill>
              <w14:schemeClr w14:val="tx1"/>
            </w14:solidFill>
          </w14:textFill>
        </w:rPr>
        <w:t>结合我省实际，制定本方案</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w:t>
      </w:r>
    </w:p>
    <w:p>
      <w:pPr>
        <w:pStyle w:val="4"/>
        <w:keepNext w:val="0"/>
        <w:keepLines w:val="0"/>
        <w:pageBreakBefore w:val="0"/>
        <w:widowControl w:val="0"/>
        <w:shd w:val="clear"/>
        <w:kinsoku/>
        <w:wordWrap/>
        <w:overflowPunct/>
        <w:topLinePunct w:val="0"/>
        <w:autoSpaceDE/>
        <w:autoSpaceDN/>
        <w:bidi w:val="0"/>
        <w:adjustRightInd/>
        <w:snapToGrid/>
        <w:spacing w:before="0" w:beforeAutospacing="0" w:after="0" w:afterAutospacing="0" w:line="592" w:lineRule="exact"/>
        <w:ind w:left="0" w:leftChars="0" w:right="0" w:rightChars="0" w:firstLine="640" w:firstLineChars="200"/>
        <w:textAlignment w:val="auto"/>
        <w:outlineLvl w:val="9"/>
        <w:rPr>
          <w:rFonts w:hint="default" w:ascii="Times New Roman" w:hAnsi="Times New Roman" w:eastAsia="黑体" w:cs="Times New Roman"/>
          <w:color w:val="000000" w:themeColor="text1"/>
          <w:spacing w:val="0"/>
          <w:kern w:val="2"/>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kern w:val="2"/>
          <w:sz w:val="32"/>
          <w:szCs w:val="32"/>
          <w:highlight w:val="none"/>
          <w14:textFill>
            <w14:solidFill>
              <w14:schemeClr w14:val="tx1"/>
            </w14:solidFill>
          </w14:textFill>
        </w:rPr>
        <w:t>一、总体思路</w:t>
      </w:r>
    </w:p>
    <w:p>
      <w:pPr>
        <w:pStyle w:val="4"/>
        <w:keepNext w:val="0"/>
        <w:keepLines w:val="0"/>
        <w:pageBreakBefore w:val="0"/>
        <w:widowControl w:val="0"/>
        <w:shd w:val="clear"/>
        <w:kinsoku/>
        <w:wordWrap/>
        <w:overflowPunct/>
        <w:topLinePunct w:val="0"/>
        <w:autoSpaceDE/>
        <w:autoSpaceDN/>
        <w:bidi w:val="0"/>
        <w:adjustRightInd/>
        <w:snapToGrid/>
        <w:spacing w:before="0" w:beforeAutospacing="0" w:after="0" w:afterAutospacing="0" w:line="592" w:lineRule="exact"/>
        <w:ind w:left="0" w:leftChars="0" w:right="0" w:rightChars="0" w:firstLine="640" w:firstLineChars="200"/>
        <w:textAlignment w:val="auto"/>
        <w:outlineLvl w:val="9"/>
        <w:rPr>
          <w:rFonts w:hint="default" w:ascii="Times New Roman" w:hAnsi="Times New Roman" w:eastAsia="楷体_GB2312" w:cs="Times New Roman"/>
          <w:color w:val="000000" w:themeColor="text1"/>
          <w:spacing w:val="0"/>
          <w:kern w:val="2"/>
          <w:sz w:val="32"/>
          <w:szCs w:val="32"/>
          <w:highlight w:val="none"/>
          <w14:textFill>
            <w14:solidFill>
              <w14:schemeClr w14:val="tx1"/>
            </w14:solidFill>
          </w14:textFill>
        </w:rPr>
      </w:pPr>
      <w:r>
        <w:rPr>
          <w:rFonts w:hint="default" w:ascii="Times New Roman" w:hAnsi="Times New Roman" w:eastAsia="楷体_GB2312" w:cs="Times New Roman"/>
          <w:color w:val="000000" w:themeColor="text1"/>
          <w:spacing w:val="0"/>
          <w:kern w:val="2"/>
          <w:sz w:val="32"/>
          <w:szCs w:val="32"/>
          <w:highlight w:val="none"/>
          <w14:textFill>
            <w14:solidFill>
              <w14:schemeClr w14:val="tx1"/>
            </w14:solidFill>
          </w14:textFill>
        </w:rPr>
        <w:t>（一）工作目标</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jc w:val="left"/>
        <w:textAlignment w:val="auto"/>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通过带量采购、量价挂钩</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促进市场竞争等方式，对部分医用耗材实施集中采购，进一步降低价格，</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实行费用总量控制管理，</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减轻人民群众</w:t>
      </w:r>
      <w:r>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医药</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负担。</w:t>
      </w:r>
    </w:p>
    <w:p>
      <w:pPr>
        <w:pStyle w:val="4"/>
        <w:keepNext w:val="0"/>
        <w:keepLines w:val="0"/>
        <w:pageBreakBefore w:val="0"/>
        <w:widowControl w:val="0"/>
        <w:shd w:val="clear"/>
        <w:kinsoku/>
        <w:wordWrap/>
        <w:overflowPunct/>
        <w:topLinePunct w:val="0"/>
        <w:autoSpaceDE/>
        <w:autoSpaceDN/>
        <w:bidi w:val="0"/>
        <w:adjustRightInd/>
        <w:snapToGrid/>
        <w:spacing w:before="0" w:beforeAutospacing="0" w:after="0" w:afterAutospacing="0" w:line="592" w:lineRule="exact"/>
        <w:ind w:left="0" w:leftChars="0" w:right="0" w:rightChars="0" w:firstLine="640" w:firstLineChars="200"/>
        <w:textAlignment w:val="auto"/>
        <w:outlineLvl w:val="9"/>
        <w:rPr>
          <w:rFonts w:hint="default" w:ascii="Times New Roman" w:hAnsi="Times New Roman" w:eastAsia="楷体_GB2312" w:cs="Times New Roman"/>
          <w:color w:val="000000" w:themeColor="text1"/>
          <w:spacing w:val="0"/>
          <w:kern w:val="2"/>
          <w:sz w:val="32"/>
          <w:szCs w:val="32"/>
          <w:highlight w:val="none"/>
          <w14:textFill>
            <w14:solidFill>
              <w14:schemeClr w14:val="tx1"/>
            </w14:solidFill>
          </w14:textFill>
        </w:rPr>
      </w:pPr>
      <w:r>
        <w:rPr>
          <w:rFonts w:hint="default" w:ascii="Times New Roman" w:hAnsi="Times New Roman" w:eastAsia="楷体_GB2312" w:cs="Times New Roman"/>
          <w:color w:val="000000" w:themeColor="text1"/>
          <w:spacing w:val="0"/>
          <w:kern w:val="2"/>
          <w:sz w:val="32"/>
          <w:szCs w:val="32"/>
          <w:highlight w:val="none"/>
          <w14:textFill>
            <w14:solidFill>
              <w14:schemeClr w14:val="tx1"/>
            </w14:solidFill>
          </w14:textFill>
        </w:rPr>
        <w:t>（二）基本原则</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jc w:val="left"/>
        <w:textAlignment w:val="auto"/>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坚持</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以人民为中心，保障医用耗材临床需求，降低价格，切实减轻患者负担；坚持采购工作</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依法合规、</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公开透明、公平竞争；坚持政府主导与市场配置资源相结合，充分发挥政府引导作用，完善市场配置资源机制</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坚持充分</w:t>
      </w:r>
      <w:r>
        <w:rPr>
          <w:rFonts w:hint="default" w:ascii="Times New Roman" w:hAnsi="Times New Roman" w:eastAsia="仿宋_GB2312" w:cs="Times New Roman"/>
          <w:i w:val="0"/>
          <w:caps w:val="0"/>
          <w:color w:val="000000" w:themeColor="text1"/>
          <w:spacing w:val="0"/>
          <w:sz w:val="32"/>
          <w:szCs w:val="32"/>
          <w:highlight w:val="none"/>
          <w14:textFill>
            <w14:solidFill>
              <w14:schemeClr w14:val="tx1"/>
            </w14:solidFill>
          </w14:textFill>
        </w:rPr>
        <w:t>发挥医保战略性购买作用，积极落实带量采购、医保支付等相关配套措施</w:t>
      </w:r>
      <w:r>
        <w:rPr>
          <w:rFonts w:hint="default" w:ascii="Times New Roman" w:hAnsi="Times New Roman" w:eastAsia="仿宋_GB2312" w:cs="Times New Roman"/>
          <w:i w:val="0"/>
          <w:caps w:val="0"/>
          <w:color w:val="000000" w:themeColor="text1"/>
          <w:spacing w:val="0"/>
          <w:sz w:val="32"/>
          <w:szCs w:val="32"/>
          <w:highlight w:val="none"/>
          <w:lang w:eastAsia="zh-CN"/>
          <w14:textFill>
            <w14:solidFill>
              <w14:schemeClr w14:val="tx1"/>
            </w14:solidFill>
          </w14:textFill>
        </w:rPr>
        <w:t>。</w:t>
      </w:r>
    </w:p>
    <w:p>
      <w:pPr>
        <w:pStyle w:val="4"/>
        <w:keepNext w:val="0"/>
        <w:keepLines w:val="0"/>
        <w:pageBreakBefore w:val="0"/>
        <w:widowControl w:val="0"/>
        <w:shd w:val="clear"/>
        <w:kinsoku/>
        <w:wordWrap/>
        <w:overflowPunct/>
        <w:topLinePunct w:val="0"/>
        <w:autoSpaceDE/>
        <w:autoSpaceDN/>
        <w:bidi w:val="0"/>
        <w:adjustRightInd/>
        <w:snapToGrid/>
        <w:spacing w:before="0" w:beforeAutospacing="0" w:after="0" w:afterAutospacing="0" w:line="592" w:lineRule="exact"/>
        <w:ind w:left="0" w:leftChars="0" w:right="0" w:rightChars="0" w:firstLine="640" w:firstLineChars="200"/>
        <w:textAlignment w:val="auto"/>
        <w:outlineLvl w:val="9"/>
        <w:rPr>
          <w:rFonts w:hint="default" w:ascii="Times New Roman" w:hAnsi="Times New Roman" w:eastAsia="楷体_GB2312" w:cs="Times New Roman"/>
          <w:color w:val="000000" w:themeColor="text1"/>
          <w:spacing w:val="0"/>
          <w:kern w:val="2"/>
          <w:sz w:val="32"/>
          <w:szCs w:val="32"/>
          <w:highlight w:val="none"/>
          <w14:textFill>
            <w14:solidFill>
              <w14:schemeClr w14:val="tx1"/>
            </w14:solidFill>
          </w14:textFill>
        </w:rPr>
      </w:pPr>
      <w:r>
        <w:rPr>
          <w:rFonts w:hint="default" w:ascii="Times New Roman" w:hAnsi="Times New Roman" w:eastAsia="楷体_GB2312" w:cs="Times New Roman"/>
          <w:color w:val="000000" w:themeColor="text1"/>
          <w:spacing w:val="0"/>
          <w:kern w:val="2"/>
          <w:sz w:val="32"/>
          <w:szCs w:val="32"/>
          <w:highlight w:val="none"/>
          <w14:textFill>
            <w14:solidFill>
              <w14:schemeClr w14:val="tx1"/>
            </w14:solidFill>
          </w14:textFill>
        </w:rPr>
        <w:t>（三）采购主体和周期</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textAlignment w:val="auto"/>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32"/>
          <w:szCs w:val="32"/>
          <w:highlight w:val="none"/>
          <w14:textFill>
            <w14:solidFill>
              <w14:schemeClr w14:val="tx1"/>
            </w14:solidFill>
          </w14:textFill>
        </w:rPr>
        <w:t>全省各级公立医疗机构</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必须参加医用耗材</w:t>
      </w:r>
      <w:r>
        <w:rPr>
          <w:rFonts w:hint="eastAsia"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带量</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采购。驻湘军队医疗机构按国家政策要求参加</w:t>
      </w:r>
      <w:r>
        <w:rPr>
          <w:rFonts w:hint="eastAsia"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带量</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采购。鼓励其他医疗机构参加医用耗材</w:t>
      </w:r>
      <w:r>
        <w:rPr>
          <w:rFonts w:hint="eastAsia"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带量</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采购活动。本次带量采购以结果执行日起12个月为1个采购周期。如需延长采购周期，将在采购周期结束前另行公告。</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2" w:lineRule="exact"/>
        <w:ind w:left="0" w:leftChars="0" w:right="0" w:rightChars="0" w:firstLine="640" w:firstLineChars="200"/>
        <w:textAlignment w:val="auto"/>
        <w:outlineLvl w:val="9"/>
        <w:rPr>
          <w:rFonts w:hint="default" w:ascii="Times New Roman" w:hAnsi="Times New Roman" w:eastAsia="黑体" w:cs="Times New Roman"/>
          <w:color w:val="000000" w:themeColor="text1"/>
          <w:spacing w:val="0"/>
          <w:kern w:val="2"/>
          <w:sz w:val="32"/>
          <w:szCs w:val="32"/>
          <w:highlight w:val="none"/>
          <w:lang w:val="en-US" w:eastAsia="zh-CN" w:bidi="ar-SA"/>
          <w14:textFill>
            <w14:solidFill>
              <w14:schemeClr w14:val="tx1"/>
            </w14:solidFill>
          </w14:textFill>
        </w:rPr>
      </w:pPr>
      <w:r>
        <w:rPr>
          <w:rFonts w:hint="default" w:ascii="Times New Roman" w:hAnsi="Times New Roman" w:eastAsia="黑体" w:cs="Times New Roman"/>
          <w:color w:val="000000" w:themeColor="text1"/>
          <w:spacing w:val="0"/>
          <w:kern w:val="2"/>
          <w:sz w:val="32"/>
          <w:szCs w:val="32"/>
          <w:highlight w:val="none"/>
          <w:lang w:val="en-US" w:eastAsia="zh-CN" w:bidi="ar-SA"/>
          <w14:textFill>
            <w14:solidFill>
              <w14:schemeClr w14:val="tx1"/>
            </w14:solidFill>
          </w14:textFill>
        </w:rPr>
        <w:t>二、采购品种</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textAlignment w:val="auto"/>
        <w:outlineLvl w:val="9"/>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采购品种包括：吻合器（腔镜吻合器及钉匣、开放手术</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直线切割吻合器</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及钉匣、管型吻合器、痔疮吻合器）、</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骨科创伤类（</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接骨板</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及</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配套螺钉</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髓内钉等）</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、冠脉扩张球囊3大类医用耗材。</w:t>
      </w:r>
      <w:r>
        <w:rPr>
          <w:rFonts w:hint="default" w:ascii="Times New Roman" w:hAnsi="Times New Roman" w:eastAsia="仿宋_GB2312" w:cs="Times New Roman"/>
          <w:b w:val="0"/>
          <w:bCs w:val="0"/>
          <w:color w:val="000000" w:themeColor="text1"/>
          <w:spacing w:val="0"/>
          <w:kern w:val="2"/>
          <w:sz w:val="32"/>
          <w:szCs w:val="32"/>
          <w:highlight w:val="none"/>
          <w:lang w:val="en-US" w:eastAsia="zh-CN" w:bidi="ar-SA"/>
          <w14:textFill>
            <w14:solidFill>
              <w14:schemeClr w14:val="tx1"/>
            </w14:solidFill>
          </w14:textFill>
        </w:rPr>
        <w:t>参与本次带量采购的医疗机构</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按产品一级目录，参考201</w:t>
      </w:r>
      <w:r>
        <w:rPr>
          <w:rFonts w:hint="default" w:ascii="Times New Roman" w:hAnsi="Times New Roman" w:eastAsia="仿宋_GB2312" w:cs="Times New Roman"/>
          <w:b w:val="0"/>
          <w:bCs w:val="0"/>
          <w:color w:val="000000" w:themeColor="text1"/>
          <w:spacing w:val="0"/>
          <w:kern w:val="2"/>
          <w:sz w:val="32"/>
          <w:szCs w:val="32"/>
          <w:highlight w:val="none"/>
          <w:lang w:val="en-US" w:eastAsia="zh-CN" w:bidi="ar-SA"/>
          <w14:textFill>
            <w14:solidFill>
              <w14:schemeClr w14:val="tx1"/>
            </w14:solidFill>
          </w14:textFill>
        </w:rPr>
        <w:t>9年采购情况申报采购基数，按采购基数的70%左右确定</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采购周期</w:t>
      </w:r>
      <w:r>
        <w:rPr>
          <w:rFonts w:hint="default" w:ascii="Times New Roman" w:hAnsi="Times New Roman" w:eastAsia="仿宋_GB2312" w:cs="Times New Roman"/>
          <w:b w:val="0"/>
          <w:bCs w:val="0"/>
          <w:color w:val="000000" w:themeColor="text1"/>
          <w:spacing w:val="0"/>
          <w:kern w:val="2"/>
          <w:sz w:val="32"/>
          <w:szCs w:val="32"/>
          <w:highlight w:val="none"/>
          <w:lang w:val="en-US" w:eastAsia="zh-CN" w:bidi="ar-SA"/>
          <w14:textFill>
            <w14:solidFill>
              <w14:schemeClr w14:val="tx1"/>
            </w14:solidFill>
          </w14:textFill>
        </w:rPr>
        <w:t>约定采购量。中选产品将纳入带量采购目录管理，医疗机构需确保完成约定采购量；其余产品生产企业可自主申请，按不高于本次带量采购的产品限价和产品全国最低价的两者低值，纳入联动目录管理。</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pP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pP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pPr>
      <w:r>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t>（一）吻合器类</w:t>
      </w:r>
    </w:p>
    <w:tbl>
      <w:tblPr>
        <w:tblStyle w:val="6"/>
        <w:tblW w:w="910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3038"/>
        <w:gridCol w:w="5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37"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黑体" w:cs="Times New Roman"/>
                <w:color w:val="000000" w:themeColor="text1"/>
                <w:spacing w:val="0"/>
                <w:sz w:val="28"/>
                <w:szCs w:val="28"/>
                <w:highlight w:val="none"/>
                <w14:textFill>
                  <w14:solidFill>
                    <w14:schemeClr w14:val="tx1"/>
                  </w14:solidFill>
                </w14:textFill>
              </w:rPr>
            </w:pPr>
            <w:bookmarkStart w:id="0" w:name="_Hlk44598754"/>
            <w:r>
              <w:rPr>
                <w:rFonts w:hint="default" w:ascii="Times New Roman" w:hAnsi="Times New Roman" w:eastAsia="黑体" w:cs="Times New Roman"/>
                <w:color w:val="000000" w:themeColor="text1"/>
                <w:spacing w:val="0"/>
                <w:sz w:val="28"/>
                <w:szCs w:val="28"/>
                <w:highlight w:val="none"/>
                <w14:textFill>
                  <w14:solidFill>
                    <w14:schemeClr w14:val="tx1"/>
                  </w14:solidFill>
                </w14:textFill>
              </w:rPr>
              <w:t>序号</w:t>
            </w:r>
          </w:p>
        </w:tc>
        <w:tc>
          <w:tcPr>
            <w:tcW w:w="3038"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黑体" w:cs="Times New Roman"/>
                <w:color w:val="000000" w:themeColor="text1"/>
                <w:spacing w:val="0"/>
                <w:sz w:val="28"/>
                <w:szCs w:val="28"/>
                <w:highlight w:val="none"/>
                <w14:textFill>
                  <w14:solidFill>
                    <w14:schemeClr w14:val="tx1"/>
                  </w14:solidFill>
                </w14:textFill>
              </w:rPr>
            </w:pPr>
            <w:r>
              <w:rPr>
                <w:rFonts w:hint="default" w:ascii="Times New Roman" w:hAnsi="Times New Roman" w:eastAsia="黑体" w:cs="Times New Roman"/>
                <w:color w:val="000000" w:themeColor="text1"/>
                <w:spacing w:val="0"/>
                <w:sz w:val="28"/>
                <w:szCs w:val="28"/>
                <w:highlight w:val="none"/>
                <w14:textFill>
                  <w14:solidFill>
                    <w14:schemeClr w14:val="tx1"/>
                  </w14:solidFill>
                </w14:textFill>
              </w:rPr>
              <w:t>一级目录</w:t>
            </w:r>
          </w:p>
        </w:tc>
        <w:tc>
          <w:tcPr>
            <w:tcW w:w="5130"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黑体" w:cs="Times New Roman"/>
                <w:color w:val="000000" w:themeColor="text1"/>
                <w:spacing w:val="0"/>
                <w:sz w:val="28"/>
                <w:szCs w:val="28"/>
                <w:highlight w:val="none"/>
                <w14:textFill>
                  <w14:solidFill>
                    <w14:schemeClr w14:val="tx1"/>
                  </w14:solidFill>
                </w14:textFill>
              </w:rPr>
            </w:pPr>
            <w:r>
              <w:rPr>
                <w:rFonts w:hint="default" w:ascii="Times New Roman" w:hAnsi="Times New Roman" w:eastAsia="黑体" w:cs="Times New Roman"/>
                <w:color w:val="000000" w:themeColor="text1"/>
                <w:spacing w:val="0"/>
                <w:sz w:val="28"/>
                <w:szCs w:val="28"/>
                <w:highlight w:val="none"/>
                <w14:textFill>
                  <w14:solidFill>
                    <w14:schemeClr w14:val="tx1"/>
                  </w14:solidFill>
                </w14:textFill>
              </w:rPr>
              <w:t>二级目录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8" w:hRule="atLeast"/>
          <w:jc w:val="center"/>
        </w:trPr>
        <w:tc>
          <w:tcPr>
            <w:tcW w:w="937" w:type="dxa"/>
            <w:vMerge w:val="restart"/>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1</w:t>
            </w:r>
          </w:p>
        </w:tc>
        <w:tc>
          <w:tcPr>
            <w:tcW w:w="3038" w:type="dxa"/>
            <w:vMerge w:val="restart"/>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腔镜吻合器及钉匣（电动吻合器除外）</w:t>
            </w:r>
          </w:p>
        </w:tc>
        <w:tc>
          <w:tcPr>
            <w:tcW w:w="5130"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腔镜吻合器及钉匣（国产）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8" w:hRule="atLeast"/>
          <w:jc w:val="center"/>
        </w:trPr>
        <w:tc>
          <w:tcPr>
            <w:tcW w:w="937" w:type="dxa"/>
            <w:vMerge w:val="continue"/>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p>
        </w:tc>
        <w:tc>
          <w:tcPr>
            <w:tcW w:w="3038" w:type="dxa"/>
            <w:vMerge w:val="continue"/>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p>
        </w:tc>
        <w:tc>
          <w:tcPr>
            <w:tcW w:w="5130"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b/>
                <w:bCs/>
                <w:color w:val="000000" w:themeColor="text1"/>
                <w:spacing w:val="0"/>
                <w:sz w:val="28"/>
                <w:szCs w:val="28"/>
                <w:highlight w:val="none"/>
                <w14:textFill>
                  <w14:solidFill>
                    <w14:schemeClr w14:val="tx1"/>
                  </w14:solidFill>
                </w14:textFill>
              </w:rPr>
              <w:t>腔镜吻合器及钉匣（进口）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5" w:hRule="atLeast"/>
          <w:jc w:val="center"/>
        </w:trPr>
        <w:tc>
          <w:tcPr>
            <w:tcW w:w="937" w:type="dxa"/>
            <w:vMerge w:val="restart"/>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2</w:t>
            </w:r>
          </w:p>
        </w:tc>
        <w:tc>
          <w:tcPr>
            <w:tcW w:w="3038" w:type="dxa"/>
            <w:vMerge w:val="restart"/>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开放手术</w:t>
            </w:r>
            <w:r>
              <w:rPr>
                <w:rFonts w:hint="default" w:ascii="Times New Roman" w:hAnsi="Times New Roman" w:eastAsia="仿宋_GB2312" w:cs="Times New Roman"/>
                <w:color w:val="000000" w:themeColor="text1"/>
                <w:spacing w:val="0"/>
                <w:sz w:val="28"/>
                <w:szCs w:val="28"/>
                <w:highlight w:val="none"/>
                <w:lang w:eastAsia="zh-CN"/>
                <w14:textFill>
                  <w14:solidFill>
                    <w14:schemeClr w14:val="tx1"/>
                  </w14:solidFill>
                </w14:textFill>
              </w:rPr>
              <w:t>直线</w:t>
            </w:r>
            <w:r>
              <w:rPr>
                <w:rFonts w:hint="default" w:ascii="Times New Roman" w:hAnsi="Times New Roman" w:eastAsia="仿宋_GB2312" w:cs="Times New Roman"/>
                <w:b w:val="0"/>
                <w:bCs w:val="0"/>
                <w:color w:val="000000" w:themeColor="text1"/>
                <w:spacing w:val="0"/>
                <w:sz w:val="28"/>
                <w:szCs w:val="28"/>
                <w:highlight w:val="none"/>
                <w:lang w:eastAsia="zh-CN"/>
                <w14:textFill>
                  <w14:solidFill>
                    <w14:schemeClr w14:val="tx1"/>
                  </w14:solidFill>
                </w14:textFill>
              </w:rPr>
              <w:t>切割</w:t>
            </w:r>
            <w:r>
              <w:rPr>
                <w:rFonts w:hint="default" w:ascii="Times New Roman" w:hAnsi="Times New Roman" w:eastAsia="仿宋_GB2312" w:cs="Times New Roman"/>
                <w:color w:val="000000" w:themeColor="text1"/>
                <w:spacing w:val="0"/>
                <w:sz w:val="28"/>
                <w:szCs w:val="28"/>
                <w:highlight w:val="none"/>
                <w:lang w:eastAsia="zh-CN"/>
                <w14:textFill>
                  <w14:solidFill>
                    <w14:schemeClr w14:val="tx1"/>
                  </w14:solidFill>
                </w14:textFill>
              </w:rPr>
              <w:t>吻合器</w:t>
            </w: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及钉匣</w:t>
            </w:r>
          </w:p>
        </w:tc>
        <w:tc>
          <w:tcPr>
            <w:tcW w:w="5130"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default" w:ascii="Times New Roman" w:hAnsi="Times New Roman" w:eastAsia="仿宋_GB2312" w:cs="Times New Roman"/>
                <w:color w:val="000000" w:themeColor="text1"/>
                <w:spacing w:val="0"/>
                <w:sz w:val="28"/>
                <w:szCs w:val="28"/>
                <w:highlight w:val="none"/>
                <w:lang w:eastAsia="zh-CN"/>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开放手术直线</w:t>
            </w:r>
            <w:r>
              <w:rPr>
                <w:rFonts w:hint="default" w:ascii="Times New Roman" w:hAnsi="Times New Roman" w:eastAsia="仿宋_GB2312" w:cs="Times New Roman"/>
                <w:b w:val="0"/>
                <w:bCs w:val="0"/>
                <w:color w:val="000000" w:themeColor="text1"/>
                <w:spacing w:val="0"/>
                <w:sz w:val="28"/>
                <w:szCs w:val="28"/>
                <w:highlight w:val="none"/>
                <w:lang w:val="en-US" w:eastAsia="zh-CN"/>
                <w14:textFill>
                  <w14:solidFill>
                    <w14:schemeClr w14:val="tx1"/>
                  </w14:solidFill>
                </w14:textFill>
              </w:rPr>
              <w:t>切割</w:t>
            </w: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吻合器及钉匣</w:t>
            </w:r>
            <w:r>
              <w:rPr>
                <w:rFonts w:hint="default" w:ascii="Times New Roman" w:hAnsi="Times New Roman" w:eastAsia="仿宋_GB2312" w:cs="Times New Roman"/>
                <w:color w:val="000000" w:themeColor="text1"/>
                <w:spacing w:val="0"/>
                <w:sz w:val="28"/>
                <w:szCs w:val="28"/>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28"/>
                <w:szCs w:val="28"/>
                <w:highlight w:val="none"/>
                <w:lang w:val="en-US" w:eastAsia="zh-CN"/>
                <w14:textFill>
                  <w14:solidFill>
                    <w14:schemeClr w14:val="tx1"/>
                  </w14:solidFill>
                </w14:textFill>
              </w:rPr>
              <w:t>国产</w:t>
            </w:r>
            <w:r>
              <w:rPr>
                <w:rFonts w:hint="default" w:ascii="Times New Roman" w:hAnsi="Times New Roman" w:eastAsia="仿宋_GB2312" w:cs="Times New Roman"/>
                <w:color w:val="000000" w:themeColor="text1"/>
                <w:spacing w:val="0"/>
                <w:sz w:val="28"/>
                <w:szCs w:val="28"/>
                <w:highlight w:val="none"/>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5" w:hRule="atLeast"/>
          <w:jc w:val="center"/>
        </w:trPr>
        <w:tc>
          <w:tcPr>
            <w:tcW w:w="937" w:type="dxa"/>
            <w:vMerge w:val="continue"/>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default" w:ascii="Times New Roman" w:hAnsi="Times New Roman" w:cs="Times New Roman"/>
                <w:color w:val="000000" w:themeColor="text1"/>
                <w:highlight w:val="none"/>
                <w14:textFill>
                  <w14:solidFill>
                    <w14:schemeClr w14:val="tx1"/>
                  </w14:solidFill>
                </w14:textFill>
              </w:rPr>
            </w:pPr>
          </w:p>
        </w:tc>
        <w:tc>
          <w:tcPr>
            <w:tcW w:w="3038" w:type="dxa"/>
            <w:vMerge w:val="continue"/>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default" w:ascii="Times New Roman" w:hAnsi="Times New Roman" w:cs="Times New Roman"/>
                <w:color w:val="000000" w:themeColor="text1"/>
                <w:highlight w:val="none"/>
                <w14:textFill>
                  <w14:solidFill>
                    <w14:schemeClr w14:val="tx1"/>
                  </w14:solidFill>
                </w14:textFill>
              </w:rPr>
            </w:pPr>
          </w:p>
        </w:tc>
        <w:tc>
          <w:tcPr>
            <w:tcW w:w="5130"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default" w:ascii="Times New Roman" w:hAnsi="Times New Roman" w:eastAsia="仿宋_GB2312" w:cs="Times New Roman"/>
                <w:color w:val="000000" w:themeColor="text1"/>
                <w:spacing w:val="0"/>
                <w:sz w:val="28"/>
                <w:szCs w:val="28"/>
                <w:highlight w:val="none"/>
                <w:lang w:eastAsia="zh-CN"/>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开放手术直线</w:t>
            </w:r>
            <w:r>
              <w:rPr>
                <w:rFonts w:hint="default" w:ascii="Times New Roman" w:hAnsi="Times New Roman" w:eastAsia="仿宋_GB2312" w:cs="Times New Roman"/>
                <w:b/>
                <w:bCs/>
                <w:color w:val="000000" w:themeColor="text1"/>
                <w:spacing w:val="0"/>
                <w:sz w:val="28"/>
                <w:szCs w:val="28"/>
                <w:highlight w:val="none"/>
                <w:lang w:val="en-US" w:eastAsia="zh-CN"/>
                <w14:textFill>
                  <w14:solidFill>
                    <w14:schemeClr w14:val="tx1"/>
                  </w14:solidFill>
                </w14:textFill>
              </w:rPr>
              <w:t>切割</w:t>
            </w: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吻合器及钉匣</w:t>
            </w:r>
            <w:r>
              <w:rPr>
                <w:rFonts w:hint="default" w:ascii="Times New Roman" w:hAnsi="Times New Roman" w:eastAsia="仿宋_GB2312" w:cs="Times New Roman"/>
                <w:color w:val="000000" w:themeColor="text1"/>
                <w:spacing w:val="0"/>
                <w:sz w:val="28"/>
                <w:szCs w:val="28"/>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28"/>
                <w:szCs w:val="28"/>
                <w:highlight w:val="none"/>
                <w:lang w:val="en-US" w:eastAsia="zh-CN"/>
                <w14:textFill>
                  <w14:solidFill>
                    <w14:schemeClr w14:val="tx1"/>
                  </w14:solidFill>
                </w14:textFill>
              </w:rPr>
              <w:t>进口</w:t>
            </w:r>
            <w:r>
              <w:rPr>
                <w:rFonts w:hint="default" w:ascii="Times New Roman" w:hAnsi="Times New Roman" w:eastAsia="仿宋_GB2312" w:cs="Times New Roman"/>
                <w:color w:val="000000" w:themeColor="text1"/>
                <w:spacing w:val="0"/>
                <w:sz w:val="28"/>
                <w:szCs w:val="28"/>
                <w:highlight w:val="none"/>
                <w:lang w:eastAsia="zh-CN"/>
                <w14:textFill>
                  <w14:solidFill>
                    <w14:schemeClr w14:val="tx1"/>
                  </w14:solidFill>
                </w14:textFill>
              </w:rPr>
              <w:t>）</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jc w:val="center"/>
        </w:trPr>
        <w:tc>
          <w:tcPr>
            <w:tcW w:w="937" w:type="dxa"/>
            <w:vMerge w:val="restart"/>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3</w:t>
            </w:r>
          </w:p>
        </w:tc>
        <w:tc>
          <w:tcPr>
            <w:tcW w:w="3038" w:type="dxa"/>
            <w:vMerge w:val="restart"/>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管型吻合器</w:t>
            </w:r>
          </w:p>
        </w:tc>
        <w:tc>
          <w:tcPr>
            <w:tcW w:w="5130"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管形吻合器（</w:t>
            </w:r>
            <w:r>
              <w:rPr>
                <w:rFonts w:hint="default" w:ascii="Times New Roman" w:hAnsi="Times New Roman" w:eastAsia="仿宋_GB2312" w:cs="Times New Roman"/>
                <w:color w:val="000000" w:themeColor="text1"/>
                <w:spacing w:val="0"/>
                <w:sz w:val="28"/>
                <w:szCs w:val="28"/>
                <w:highlight w:val="none"/>
                <w:lang w:val="en-US" w:eastAsia="zh-CN"/>
                <w14:textFill>
                  <w14:solidFill>
                    <w14:schemeClr w14:val="tx1"/>
                  </w14:solidFill>
                </w14:textFill>
              </w:rPr>
              <w:t>国产</w:t>
            </w: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jc w:val="center"/>
        </w:trPr>
        <w:tc>
          <w:tcPr>
            <w:tcW w:w="937" w:type="dxa"/>
            <w:vMerge w:val="continue"/>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p>
        </w:tc>
        <w:tc>
          <w:tcPr>
            <w:tcW w:w="3038" w:type="dxa"/>
            <w:vMerge w:val="continue"/>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p>
        </w:tc>
        <w:tc>
          <w:tcPr>
            <w:tcW w:w="5130"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管形吻合器（</w:t>
            </w:r>
            <w:r>
              <w:rPr>
                <w:rFonts w:hint="default" w:ascii="Times New Roman" w:hAnsi="Times New Roman" w:eastAsia="仿宋_GB2312" w:cs="Times New Roman"/>
                <w:color w:val="000000" w:themeColor="text1"/>
                <w:spacing w:val="0"/>
                <w:sz w:val="28"/>
                <w:szCs w:val="28"/>
                <w:highlight w:val="none"/>
                <w:lang w:val="en-US" w:eastAsia="zh-CN"/>
                <w14:textFill>
                  <w14:solidFill>
                    <w14:schemeClr w14:val="tx1"/>
                  </w14:solidFill>
                </w14:textFill>
              </w:rPr>
              <w:t>进口</w:t>
            </w: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9" w:hRule="atLeast"/>
          <w:jc w:val="center"/>
        </w:trPr>
        <w:tc>
          <w:tcPr>
            <w:tcW w:w="937"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4</w:t>
            </w:r>
          </w:p>
        </w:tc>
        <w:tc>
          <w:tcPr>
            <w:tcW w:w="3038"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痔疮吻合器</w:t>
            </w:r>
          </w:p>
        </w:tc>
        <w:tc>
          <w:tcPr>
            <w:tcW w:w="5130"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痔疮吻合器</w:t>
            </w:r>
          </w:p>
        </w:tc>
      </w:tr>
    </w:tbl>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pPr>
      <w:r>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t>（二）</w:t>
      </w:r>
      <w:r>
        <w:rPr>
          <w:rFonts w:hint="default" w:ascii="Times New Roman" w:hAnsi="Times New Roman" w:eastAsia="楷体_GB2312" w:cs="Times New Roman"/>
          <w:color w:val="000000" w:themeColor="text1"/>
          <w:spacing w:val="0"/>
          <w:sz w:val="32"/>
          <w:szCs w:val="32"/>
          <w:highlight w:val="none"/>
          <w:lang w:val="en-US" w:eastAsia="zh-CN"/>
          <w14:textFill>
            <w14:solidFill>
              <w14:schemeClr w14:val="tx1"/>
            </w14:solidFill>
          </w14:textFill>
        </w:rPr>
        <w:t>骨科创伤类</w:t>
      </w:r>
    </w:p>
    <w:tbl>
      <w:tblPr>
        <w:tblStyle w:val="5"/>
        <w:tblW w:w="912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37"/>
        <w:gridCol w:w="1515"/>
        <w:gridCol w:w="1771"/>
        <w:gridCol w:w="2344"/>
        <w:gridCol w:w="2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7" w:hRule="atLeast"/>
          <w:jc w:val="center"/>
        </w:trPr>
        <w:tc>
          <w:tcPr>
            <w:tcW w:w="937" w:type="dxa"/>
            <w:vMerge w:val="restart"/>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黑体" w:cs="Times New Roman"/>
                <w:color w:val="000000" w:themeColor="text1"/>
                <w:spacing w:val="0"/>
                <w:sz w:val="28"/>
                <w:szCs w:val="28"/>
                <w:highlight w:val="none"/>
                <w14:textFill>
                  <w14:solidFill>
                    <w14:schemeClr w14:val="tx1"/>
                  </w14:solidFill>
                </w14:textFill>
              </w:rPr>
            </w:pPr>
            <w:r>
              <w:rPr>
                <w:rFonts w:hint="default" w:ascii="Times New Roman" w:hAnsi="Times New Roman" w:eastAsia="黑体" w:cs="Times New Roman"/>
                <w:color w:val="000000" w:themeColor="text1"/>
                <w:spacing w:val="0"/>
                <w:kern w:val="0"/>
                <w:sz w:val="28"/>
                <w:szCs w:val="28"/>
                <w:highlight w:val="none"/>
                <w:lang w:bidi="ar"/>
                <w14:textFill>
                  <w14:solidFill>
                    <w14:schemeClr w14:val="tx1"/>
                  </w14:solidFill>
                </w14:textFill>
              </w:rPr>
              <w:t>序号</w:t>
            </w:r>
          </w:p>
        </w:tc>
        <w:tc>
          <w:tcPr>
            <w:tcW w:w="1515" w:type="dxa"/>
            <w:vMerge w:val="restart"/>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黑体" w:cs="Times New Roman"/>
                <w:color w:val="000000" w:themeColor="text1"/>
                <w:spacing w:val="0"/>
                <w:sz w:val="28"/>
                <w:szCs w:val="28"/>
                <w:highlight w:val="none"/>
                <w14:textFill>
                  <w14:solidFill>
                    <w14:schemeClr w14:val="tx1"/>
                  </w14:solidFill>
                </w14:textFill>
              </w:rPr>
            </w:pPr>
            <w:r>
              <w:rPr>
                <w:rFonts w:hint="default" w:ascii="Times New Roman" w:hAnsi="Times New Roman" w:eastAsia="黑体" w:cs="Times New Roman"/>
                <w:color w:val="000000" w:themeColor="text1"/>
                <w:spacing w:val="0"/>
                <w:kern w:val="0"/>
                <w:sz w:val="28"/>
                <w:szCs w:val="28"/>
                <w:highlight w:val="none"/>
                <w:lang w:bidi="ar"/>
                <w14:textFill>
                  <w14:solidFill>
                    <w14:schemeClr w14:val="tx1"/>
                  </w14:solidFill>
                </w14:textFill>
              </w:rPr>
              <w:t>一级目录</w:t>
            </w:r>
          </w:p>
        </w:tc>
        <w:tc>
          <w:tcPr>
            <w:tcW w:w="4115" w:type="dxa"/>
            <w:gridSpan w:val="2"/>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黑体"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黑体" w:cs="Times New Roman"/>
                <w:color w:val="000000" w:themeColor="text1"/>
                <w:spacing w:val="0"/>
                <w:kern w:val="0"/>
                <w:sz w:val="28"/>
                <w:szCs w:val="28"/>
                <w:highlight w:val="none"/>
                <w:lang w:bidi="ar"/>
                <w14:textFill>
                  <w14:solidFill>
                    <w14:schemeClr w14:val="tx1"/>
                  </w14:solidFill>
                </w14:textFill>
              </w:rPr>
              <w:t>二级目录</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黑体" w:cs="Times New Roman"/>
                <w:color w:val="000000" w:themeColor="text1"/>
                <w:spacing w:val="0"/>
                <w:kern w:val="0"/>
                <w:sz w:val="28"/>
                <w:szCs w:val="28"/>
                <w:highlight w:val="none"/>
                <w:lang w:val="en-US" w:eastAsia="zh-CN" w:bidi="ar"/>
                <w14:textFill>
                  <w14:solidFill>
                    <w14:schemeClr w14:val="tx1"/>
                  </w14:solidFill>
                </w14:textFill>
              </w:rPr>
            </w:pPr>
            <w:r>
              <w:rPr>
                <w:rFonts w:hint="default" w:ascii="Times New Roman" w:hAnsi="Times New Roman" w:eastAsia="黑体" w:cs="Times New Roman"/>
                <w:color w:val="000000" w:themeColor="text1"/>
                <w:spacing w:val="0"/>
                <w:kern w:val="0"/>
                <w:sz w:val="28"/>
                <w:szCs w:val="28"/>
                <w:highlight w:val="none"/>
                <w:lang w:val="en-US" w:eastAsia="zh-CN" w:bidi="ar"/>
                <w14:textFill>
                  <w14:solidFill>
                    <w14:schemeClr w14:val="tx1"/>
                  </w14:solidFill>
                </w14:textFill>
              </w:rPr>
              <w:t>三级目录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7" w:hRule="atLeast"/>
          <w:jc w:val="center"/>
        </w:trPr>
        <w:tc>
          <w:tcPr>
            <w:tcW w:w="937" w:type="dxa"/>
            <w:vMerge w:val="continue"/>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黑体" w:cs="Times New Roman"/>
                <w:color w:val="000000" w:themeColor="text1"/>
                <w:spacing w:val="0"/>
                <w:sz w:val="28"/>
                <w:szCs w:val="28"/>
                <w:highlight w:val="none"/>
                <w14:textFill>
                  <w14:solidFill>
                    <w14:schemeClr w14:val="tx1"/>
                  </w14:solidFill>
                </w14:textFill>
              </w:rPr>
            </w:pPr>
          </w:p>
        </w:tc>
        <w:tc>
          <w:tcPr>
            <w:tcW w:w="1515" w:type="dxa"/>
            <w:vMerge w:val="continue"/>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黑体" w:cs="Times New Roman"/>
                <w:color w:val="000000" w:themeColor="text1"/>
                <w:spacing w:val="0"/>
                <w:sz w:val="28"/>
                <w:szCs w:val="28"/>
                <w:highlight w:val="none"/>
                <w14:textFill>
                  <w14:solidFill>
                    <w14:schemeClr w14:val="tx1"/>
                  </w14:solidFill>
                </w14:textFill>
              </w:rPr>
            </w:pP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黑体" w:cs="Times New Roman"/>
                <w:color w:val="000000" w:themeColor="text1"/>
                <w:spacing w:val="0"/>
                <w:sz w:val="28"/>
                <w:szCs w:val="28"/>
                <w:highlight w:val="none"/>
                <w14:textFill>
                  <w14:solidFill>
                    <w14:schemeClr w14:val="tx1"/>
                  </w14:solidFill>
                </w14:textFill>
              </w:rPr>
            </w:pPr>
            <w:r>
              <w:rPr>
                <w:rFonts w:hint="default" w:ascii="Times New Roman" w:hAnsi="Times New Roman" w:eastAsia="黑体" w:cs="Times New Roman"/>
                <w:color w:val="000000" w:themeColor="text1"/>
                <w:spacing w:val="0"/>
                <w:kern w:val="0"/>
                <w:sz w:val="28"/>
                <w:szCs w:val="28"/>
                <w:highlight w:val="none"/>
                <w:lang w:bidi="ar"/>
                <w14:textFill>
                  <w14:solidFill>
                    <w14:schemeClr w14:val="tx1"/>
                  </w14:solidFill>
                </w14:textFill>
              </w:rPr>
              <w:t>材质</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黑体" w:cs="Times New Roman"/>
                <w:color w:val="000000" w:themeColor="text1"/>
                <w:spacing w:val="0"/>
                <w:sz w:val="28"/>
                <w:szCs w:val="28"/>
                <w:highlight w:val="none"/>
                <w14:textFill>
                  <w14:solidFill>
                    <w14:schemeClr w14:val="tx1"/>
                  </w14:solidFill>
                </w14:textFill>
              </w:rPr>
            </w:pPr>
            <w:r>
              <w:rPr>
                <w:rFonts w:hint="default" w:ascii="Times New Roman" w:hAnsi="Times New Roman" w:eastAsia="黑体" w:cs="Times New Roman"/>
                <w:color w:val="000000" w:themeColor="text1"/>
                <w:spacing w:val="0"/>
                <w:kern w:val="0"/>
                <w:sz w:val="28"/>
                <w:szCs w:val="28"/>
                <w:highlight w:val="none"/>
                <w:lang w:bidi="ar"/>
                <w14:textFill>
                  <w14:solidFill>
                    <w14:schemeClr w14:val="tx1"/>
                  </w14:solidFill>
                </w14:textFill>
              </w:rPr>
              <w:t>规格型号</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黑体" w:cs="Times New Roman"/>
                <w:color w:val="000000" w:themeColor="text1"/>
                <w:spacing w:val="0"/>
                <w:sz w:val="28"/>
                <w:szCs w:val="28"/>
                <w:highlight w:val="none"/>
                <w14:textFill>
                  <w14:solidFill>
                    <w14:schemeClr w14:val="tx1"/>
                  </w14:solidFill>
                </w14:textFill>
              </w:rPr>
            </w:pPr>
            <w:r>
              <w:rPr>
                <w:rFonts w:hint="default" w:ascii="Times New Roman" w:hAnsi="Times New Roman" w:eastAsia="黑体" w:cs="Times New Roman"/>
                <w:color w:val="000000" w:themeColor="text1"/>
                <w:spacing w:val="0"/>
                <w:kern w:val="0"/>
                <w:sz w:val="28"/>
                <w:szCs w:val="28"/>
                <w:highlight w:val="none"/>
                <w:lang w:bidi="ar"/>
                <w14:textFill>
                  <w14:solidFill>
                    <w14:schemeClr w14:val="tx1"/>
                  </w14:solidFill>
                </w14:textFill>
              </w:rPr>
              <w:t>部位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1</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锁骨接骨板</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普通/锁定加压/万向锁定</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近端/干部/远端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2</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肱骨接骨板</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普通/锁定加压/万向锁定</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近端/干部/远端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3</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尺骨接骨板</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普通/锁定加压/万向锁定</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近端/干部/远端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4</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桡骨接骨板</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普通/锁定加压/万向锁定</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近端/干部/远端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5</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手部接骨板</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普通/锁定加压/万向锁定</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腕骨/掌骨头部/掌骨基底部/掌骨干部/指骨头部/指骨干部/指骨基底部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6</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骨盆接骨板</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普通/锁定加压/万向锁定</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直形/弧形/解剖形/耻骨形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7</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股骨接骨板</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普通/锁定加压/万向锁定</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近端/干部/远端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8</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髌骨接骨板</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普通/锁定加压/万向锁定</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9</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胫骨接骨板</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普通/锁定加压/万向锁定</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近端/干部/远端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10</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腓骨接骨板</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普通/锁定加压/万向锁定</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近端/干部/远端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11</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跟骨接骨板</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普通/锁定加压/万向锁定</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12</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足部接骨板</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普通/锁定加压/万向锁定</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前足/中足/后足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13</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通用接骨板</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普通/锁定加压/万向锁定</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直形/弧形/管形/钩形/异形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14</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肋骨接骨板</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普通/锁定加压/万向锁定</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15</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胸骨接骨板</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普通/锁定加压/万向锁定</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16</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锁骨髓内钉</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直型/弯形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17</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肱骨髓内钉</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近端长型</w:t>
            </w: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近端长型/肱骨干</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直型/</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弯形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18</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尺骨髓内钉</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近端</w:t>
            </w: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骨干</w:t>
            </w: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/远端；</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直型</w:t>
            </w: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弯形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19</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桡骨髓内钉</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近端</w:t>
            </w: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骨干</w:t>
            </w: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/远端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20</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股骨髓内钉</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val="en-US"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近端</w:t>
            </w: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/干部/远端；顺行/逆行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21</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胫骨髓内钉</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骨干</w:t>
            </w: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/干骺端/远端；</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直型</w:t>
            </w: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弯形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22</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腓骨髓内钉</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直型</w:t>
            </w: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弯形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23</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足踝髓内钉</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直型</w:t>
            </w: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弯形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24</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弹性髓内钉</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带尾帽</w:t>
            </w: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/不带尾帽；</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直型</w:t>
            </w: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弯形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0" w:hRule="atLeast"/>
          <w:jc w:val="center"/>
        </w:trPr>
        <w:tc>
          <w:tcPr>
            <w:tcW w:w="937"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default"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25</w:t>
            </w:r>
          </w:p>
        </w:tc>
        <w:tc>
          <w:tcPr>
            <w:tcW w:w="1515"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其他髓内钉</w:t>
            </w:r>
          </w:p>
        </w:tc>
        <w:tc>
          <w:tcPr>
            <w:tcW w:w="1771"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不锈钢/纯钛</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钛合金</w:t>
            </w:r>
            <w:r>
              <w:rPr>
                <w:rFonts w:hint="eastAsia" w:ascii="Times New Roman" w:hAnsi="Times New Roman" w:eastAsia="仿宋_GB2312" w:cs="Times New Roman"/>
                <w:color w:val="000000" w:themeColor="text1"/>
                <w:spacing w:val="0"/>
                <w:kern w:val="0"/>
                <w:sz w:val="28"/>
                <w:szCs w:val="28"/>
                <w:highlight w:val="none"/>
                <w:lang w:eastAsia="zh-CN" w:bidi="ar"/>
                <w14:textFill>
                  <w14:solidFill>
                    <w14:schemeClr w14:val="tx1"/>
                  </w14:solidFill>
                </w14:textFill>
              </w:rPr>
              <w:t>）</w:t>
            </w:r>
          </w:p>
        </w:tc>
        <w:tc>
          <w:tcPr>
            <w:tcW w:w="234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center"/>
              <w:outlineLvl w:val="9"/>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p>
        </w:tc>
        <w:tc>
          <w:tcPr>
            <w:tcW w:w="2554" w:type="dxa"/>
            <w:shd w:val="clear" w:color="auto" w:fill="auto"/>
            <w:tcMar>
              <w:top w:w="12" w:type="dxa"/>
              <w:left w:w="12" w:type="dxa"/>
              <w:right w:w="12" w:type="dxa"/>
            </w:tcMar>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left"/>
              <w:textAlignment w:val="center"/>
              <w:outlineLvl w:val="9"/>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pP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非交锁</w:t>
            </w: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交锁</w:t>
            </w: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直型</w:t>
            </w:r>
            <w:r>
              <w:rPr>
                <w:rFonts w:hint="eastAsia" w:ascii="Times New Roman" w:hAnsi="Times New Roman" w:eastAsia="仿宋_GB2312" w:cs="Times New Roman"/>
                <w:color w:val="000000" w:themeColor="text1"/>
                <w:spacing w:val="0"/>
                <w:kern w:val="0"/>
                <w:sz w:val="28"/>
                <w:szCs w:val="28"/>
                <w:highlight w:val="none"/>
                <w:lang w:val="en-US" w:eastAsia="zh-CN" w:bidi="ar"/>
                <w14:textFill>
                  <w14:solidFill>
                    <w14:schemeClr w14:val="tx1"/>
                  </w14:solidFill>
                </w14:textFill>
              </w:rPr>
              <w:t>/</w:t>
            </w:r>
            <w:r>
              <w:rPr>
                <w:rFonts w:hint="default" w:ascii="Times New Roman" w:hAnsi="Times New Roman" w:eastAsia="仿宋_GB2312" w:cs="Times New Roman"/>
                <w:color w:val="000000" w:themeColor="text1"/>
                <w:spacing w:val="0"/>
                <w:kern w:val="0"/>
                <w:sz w:val="28"/>
                <w:szCs w:val="28"/>
                <w:highlight w:val="none"/>
                <w:lang w:bidi="ar"/>
                <w14:textFill>
                  <w14:solidFill>
                    <w14:schemeClr w14:val="tx1"/>
                  </w14:solidFill>
                </w14:textFill>
              </w:rPr>
              <w:t>弯形</w:t>
            </w:r>
          </w:p>
        </w:tc>
      </w:tr>
    </w:tbl>
    <w:p>
      <w:pPr>
        <w:keepNext w:val="0"/>
        <w:keepLines w:val="0"/>
        <w:pageBreakBefore w:val="0"/>
        <w:widowControl w:val="0"/>
        <w:shd w:val="clear"/>
        <w:kinsoku/>
        <w:wordWrap/>
        <w:overflowPunct/>
        <w:topLinePunct w:val="0"/>
        <w:autoSpaceDE/>
        <w:autoSpaceDN/>
        <w:bidi w:val="0"/>
        <w:adjustRightInd/>
        <w:snapToGrid/>
        <w:spacing w:line="592" w:lineRule="exact"/>
        <w:ind w:right="0" w:rightChars="0" w:firstLine="640" w:firstLineChars="200"/>
        <w:outlineLvl w:val="9"/>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pPr>
      <w:r>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t>（三）冠脉扩张球囊类</w:t>
      </w:r>
    </w:p>
    <w:tbl>
      <w:tblPr>
        <w:tblStyle w:val="6"/>
        <w:tblW w:w="91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9"/>
        <w:gridCol w:w="2056"/>
        <w:gridCol w:w="6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19"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黑体" w:cs="Times New Roman"/>
                <w:color w:val="000000" w:themeColor="text1"/>
                <w:spacing w:val="0"/>
                <w:sz w:val="28"/>
                <w:szCs w:val="28"/>
                <w:highlight w:val="none"/>
                <w14:textFill>
                  <w14:solidFill>
                    <w14:schemeClr w14:val="tx1"/>
                  </w14:solidFill>
                </w14:textFill>
              </w:rPr>
            </w:pPr>
            <w:r>
              <w:rPr>
                <w:rFonts w:hint="default" w:ascii="Times New Roman" w:hAnsi="Times New Roman" w:eastAsia="黑体" w:cs="Times New Roman"/>
                <w:color w:val="000000" w:themeColor="text1"/>
                <w:spacing w:val="0"/>
                <w:sz w:val="28"/>
                <w:szCs w:val="28"/>
                <w:highlight w:val="none"/>
                <w14:textFill>
                  <w14:solidFill>
                    <w14:schemeClr w14:val="tx1"/>
                  </w14:solidFill>
                </w14:textFill>
              </w:rPr>
              <w:t>序号</w:t>
            </w:r>
          </w:p>
        </w:tc>
        <w:tc>
          <w:tcPr>
            <w:tcW w:w="2056"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黑体" w:cs="Times New Roman"/>
                <w:color w:val="000000" w:themeColor="text1"/>
                <w:spacing w:val="0"/>
                <w:sz w:val="28"/>
                <w:szCs w:val="28"/>
                <w:highlight w:val="none"/>
                <w14:textFill>
                  <w14:solidFill>
                    <w14:schemeClr w14:val="tx1"/>
                  </w14:solidFill>
                </w14:textFill>
              </w:rPr>
            </w:pPr>
            <w:r>
              <w:rPr>
                <w:rFonts w:hint="default" w:ascii="Times New Roman" w:hAnsi="Times New Roman" w:eastAsia="黑体" w:cs="Times New Roman"/>
                <w:color w:val="000000" w:themeColor="text1"/>
                <w:spacing w:val="0"/>
                <w:sz w:val="28"/>
                <w:szCs w:val="28"/>
                <w:highlight w:val="none"/>
                <w14:textFill>
                  <w14:solidFill>
                    <w14:schemeClr w14:val="tx1"/>
                  </w14:solidFill>
                </w14:textFill>
              </w:rPr>
              <w:t>一级目录</w:t>
            </w:r>
          </w:p>
        </w:tc>
        <w:tc>
          <w:tcPr>
            <w:tcW w:w="6068"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黑体" w:cs="Times New Roman"/>
                <w:color w:val="000000" w:themeColor="text1"/>
                <w:spacing w:val="0"/>
                <w:sz w:val="28"/>
                <w:szCs w:val="28"/>
                <w:highlight w:val="none"/>
                <w14:textFill>
                  <w14:solidFill>
                    <w14:schemeClr w14:val="tx1"/>
                  </w14:solidFill>
                </w14:textFill>
              </w:rPr>
            </w:pPr>
            <w:r>
              <w:rPr>
                <w:rFonts w:hint="default" w:ascii="Times New Roman" w:hAnsi="Times New Roman" w:eastAsia="黑体" w:cs="Times New Roman"/>
                <w:color w:val="000000" w:themeColor="text1"/>
                <w:spacing w:val="0"/>
                <w:sz w:val="28"/>
                <w:szCs w:val="28"/>
                <w:highlight w:val="none"/>
                <w14:textFill>
                  <w14:solidFill>
                    <w14:schemeClr w14:val="tx1"/>
                  </w14:solidFill>
                </w14:textFill>
              </w:rPr>
              <w:t>二级目录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1019"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1</w:t>
            </w:r>
          </w:p>
        </w:tc>
        <w:tc>
          <w:tcPr>
            <w:tcW w:w="2056" w:type="dxa"/>
            <w:vMerge w:val="restart"/>
            <w:vAlign w:val="center"/>
          </w:tcPr>
          <w:p>
            <w:pPr>
              <w:shd w:val="clear"/>
              <w:jc w:val="both"/>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冠脉扩张球囊</w:t>
            </w:r>
          </w:p>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both"/>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p>
        </w:tc>
        <w:tc>
          <w:tcPr>
            <w:tcW w:w="6068"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仿宋_GB2312" w:cs="Times New Roman"/>
                <w:color w:val="000000" w:themeColor="text1"/>
                <w:spacing w:val="0"/>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快速交换式预扩张球囊（半顺应性球囊）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jc w:val="center"/>
        </w:trPr>
        <w:tc>
          <w:tcPr>
            <w:tcW w:w="1019"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2</w:t>
            </w:r>
          </w:p>
        </w:tc>
        <w:tc>
          <w:tcPr>
            <w:tcW w:w="2056" w:type="dxa"/>
            <w:vMerge w:val="continue"/>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pPr>
          </w:p>
        </w:tc>
        <w:tc>
          <w:tcPr>
            <w:tcW w:w="6068" w:type="dxa"/>
            <w:vAlign w:val="center"/>
          </w:tcPr>
          <w:p>
            <w:pPr>
              <w:keepNext w:val="0"/>
              <w:keepLines w:val="0"/>
              <w:pageBreakBefore w:val="0"/>
              <w:widowControl w:val="0"/>
              <w:shd w:val="clear"/>
              <w:kinsoku/>
              <w:wordWrap/>
              <w:overflowPunct/>
              <w:topLinePunct w:val="0"/>
              <w:autoSpaceDE/>
              <w:autoSpaceDN/>
              <w:bidi w:val="0"/>
              <w:adjustRightInd/>
              <w:snapToGrid/>
              <w:spacing w:line="480" w:lineRule="exact"/>
              <w:ind w:left="0" w:leftChars="0" w:right="0" w:rightChars="0" w:firstLine="0" w:firstLineChars="0"/>
              <w:jc w:val="center"/>
              <w:textAlignment w:val="auto"/>
              <w:outlineLvl w:val="9"/>
              <w:rPr>
                <w:rFonts w:hint="default" w:ascii="Times New Roman" w:hAnsi="Times New Roman" w:eastAsia="仿宋_GB2312" w:cs="Times New Roman"/>
                <w:color w:val="000000" w:themeColor="text1"/>
                <w:spacing w:val="0"/>
                <w:kern w:val="0"/>
                <w:sz w:val="28"/>
                <w:szCs w:val="28"/>
                <w:highlight w:val="none"/>
                <w14:textFill>
                  <w14:solidFill>
                    <w14:schemeClr w14:val="tx1"/>
                  </w14:solidFill>
                </w14:textFill>
              </w:rPr>
            </w:pPr>
            <w:r>
              <w:rPr>
                <w:rFonts w:hint="default" w:ascii="Times New Roman" w:hAnsi="Times New Roman" w:eastAsia="仿宋_GB2312" w:cs="Times New Roman"/>
                <w:color w:val="000000" w:themeColor="text1"/>
                <w:spacing w:val="0"/>
                <w:sz w:val="28"/>
                <w:szCs w:val="28"/>
                <w:highlight w:val="none"/>
                <w14:textFill>
                  <w14:solidFill>
                    <w14:schemeClr w14:val="tx1"/>
                  </w14:solidFill>
                </w14:textFill>
              </w:rPr>
              <w:t>快速交换式后扩张球囊（非顺应性球囊</w:t>
            </w:r>
            <w:r>
              <w:rPr>
                <w:rFonts w:hint="default" w:ascii="Times New Roman" w:hAnsi="Times New Roman" w:eastAsia="仿宋_GB2312" w:cs="Times New Roman"/>
                <w:color w:val="000000" w:themeColor="text1"/>
                <w:spacing w:val="0"/>
                <w:sz w:val="28"/>
                <w:szCs w:val="28"/>
                <w:highlight w:val="none"/>
                <w:lang w:eastAsia="zh-CN"/>
                <w14:textFill>
                  <w14:solidFill>
                    <w14:schemeClr w14:val="tx1"/>
                  </w14:solidFill>
                </w14:textFill>
              </w:rPr>
              <w:t>）</w:t>
            </w:r>
          </w:p>
        </w:tc>
      </w:tr>
    </w:tbl>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黑体" w:cs="Times New Roman"/>
          <w:color w:val="000000" w:themeColor="text1"/>
          <w:spacing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14:textFill>
            <w14:solidFill>
              <w14:schemeClr w14:val="tx1"/>
            </w14:solidFill>
          </w14:textFill>
        </w:rPr>
        <w:t>三、</w:t>
      </w: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投标</w:t>
      </w:r>
      <w:r>
        <w:rPr>
          <w:rFonts w:hint="default" w:ascii="Times New Roman" w:hAnsi="Times New Roman" w:eastAsia="黑体" w:cs="Times New Roman"/>
          <w:color w:val="000000" w:themeColor="text1"/>
          <w:spacing w:val="0"/>
          <w:sz w:val="32"/>
          <w:szCs w:val="32"/>
          <w:highlight w:val="none"/>
          <w14:textFill>
            <w14:solidFill>
              <w14:schemeClr w14:val="tx1"/>
            </w14:solidFill>
          </w14:textFill>
        </w:rPr>
        <w:t>企业</w:t>
      </w: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要求</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（一）</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经药监部门批准，获得有效医疗器械注册证的企业（境外生产企业应当在中华人民共和国境内设立代表机构或者指定企业法人作为代理人，并承担相应的法律责任）。</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（二）产品</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质量标准，企业生产、供应和服务能力，企业诚信等方面达到本次集中带量采购要求。</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（三）</w:t>
      </w:r>
      <w:r>
        <w:rPr>
          <w:rFonts w:hint="eastAsia"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带量</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采购全系列产品，企业应具备较为齐全的生产资质和能力</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（四）提供有关招标产品2019年度销售金额情况的企业年报、完税证明等资料，并对资料的真实性、合法性负责。</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黑体"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val="en-US" w:eastAsia="zh-CN"/>
          <w14:textFill>
            <w14:solidFill>
              <w14:schemeClr w14:val="tx1"/>
            </w14:solidFill>
          </w14:textFill>
        </w:rPr>
        <w:t>四、企业报价要求</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投标</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企业按</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组套</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产品进行报价，报价不能高于</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竞价组</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产品的限价</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，且不能高于本产品</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2019年度在湖南省公立医疗机构的实际销售最低价</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黑体" w:cs="Times New Roman"/>
          <w:color w:val="000000" w:themeColor="text1"/>
          <w:spacing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五</w:t>
      </w:r>
      <w:r>
        <w:rPr>
          <w:rFonts w:hint="default" w:ascii="Times New Roman" w:hAnsi="Times New Roman" w:eastAsia="黑体" w:cs="Times New Roman"/>
          <w:color w:val="000000" w:themeColor="text1"/>
          <w:spacing w:val="0"/>
          <w:sz w:val="32"/>
          <w:szCs w:val="32"/>
          <w:highlight w:val="none"/>
          <w14:textFill>
            <w14:solidFill>
              <w14:schemeClr w14:val="tx1"/>
            </w14:solidFill>
          </w14:textFill>
        </w:rPr>
        <w:t>、评审规则</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 xml:space="preserve">    </w:t>
      </w:r>
      <w:r>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t>（一）吻合器类</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竞价组</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划分</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u w:val="none"/>
          <w:lang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吻合器</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类采购品种</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包括腔镜吻合器及钉匣、开放手术</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直线切割吻合器</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及钉匣</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管型吻合器</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痔疮吻</w:t>
      </w:r>
      <w:r>
        <w:rPr>
          <w:rFonts w:hint="default" w:ascii="Times New Roman" w:hAnsi="Times New Roman" w:eastAsia="仿宋_GB2312" w:cs="Times New Roman"/>
          <w:color w:val="000000" w:themeColor="text1"/>
          <w:spacing w:val="0"/>
          <w:sz w:val="32"/>
          <w:szCs w:val="32"/>
          <w:highlight w:val="none"/>
          <w:u w:val="none"/>
          <w14:textFill>
            <w14:solidFill>
              <w14:schemeClr w14:val="tx1"/>
            </w14:solidFill>
          </w14:textFill>
        </w:rPr>
        <w:t>合器</w:t>
      </w:r>
      <w:r>
        <w:rPr>
          <w:rFonts w:hint="default" w:ascii="Times New Roman" w:hAnsi="Times New Roman" w:eastAsia="仿宋_GB2312" w:cs="Times New Roman"/>
          <w:color w:val="000000" w:themeColor="text1"/>
          <w:spacing w:val="0"/>
          <w:sz w:val="32"/>
          <w:szCs w:val="32"/>
          <w:highlight w:val="none"/>
          <w:u w:val="none"/>
          <w:lang w:eastAsia="zh-CN"/>
          <w14:textFill>
            <w14:solidFill>
              <w14:schemeClr w14:val="tx1"/>
            </w14:solidFill>
          </w14:textFill>
        </w:rPr>
        <w:t>。其中：</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腔镜吻合器组、开放手术</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直线切割吻合器、</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管型吻合器根据注册证分进口和国产评审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竞价组。</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投标企业品种（按所有一级目录产品统计，下同）2019年度的销售总金额（以出厂</w:t>
      </w:r>
      <w:r>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量和出厂</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价格统计，下同）等于或大于1个亿，投标产品列为A评审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组；2019年度在</w:t>
      </w:r>
      <w:r>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湖南省</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有销售记录的</w:t>
      </w:r>
      <w:r>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投标</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进口产品为B评审竞价组；其余投标企业品种为C评审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组。</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痔疮吻合器</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不区分</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进口和国产评审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竞价组</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投标国有企业品种2019年度销售总金额等于或大于1个亿，投标产品列为A评审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组，投标的进口产品直接列为A评审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组；其余投标企业品种列为B评审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组。</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u w:val="none"/>
          <w:lang w:eastAsia="zh-CN"/>
          <w14:textFill>
            <w14:solidFill>
              <w14:schemeClr w14:val="tx1"/>
            </w14:solidFill>
          </w14:textFill>
        </w:rPr>
        <w:t>各类型</w:t>
      </w:r>
      <w:r>
        <w:rPr>
          <w:rFonts w:hint="default" w:ascii="Times New Roman" w:hAnsi="Times New Roman" w:eastAsia="仿宋_GB2312" w:cs="Times New Roman"/>
          <w:color w:val="000000" w:themeColor="text1"/>
          <w:spacing w:val="0"/>
          <w:sz w:val="32"/>
          <w:szCs w:val="32"/>
          <w:highlight w:val="none"/>
          <w:u w:val="none"/>
          <w14:textFill>
            <w14:solidFill>
              <w14:schemeClr w14:val="tx1"/>
            </w14:solidFill>
          </w14:textFill>
        </w:rPr>
        <w:t>电动吻合器</w:t>
      </w:r>
      <w:r>
        <w:rPr>
          <w:rFonts w:hint="default" w:ascii="Times New Roman" w:hAnsi="Times New Roman" w:eastAsia="仿宋_GB2312" w:cs="Times New Roman"/>
          <w:color w:val="000000" w:themeColor="text1"/>
          <w:spacing w:val="0"/>
          <w:sz w:val="32"/>
          <w:szCs w:val="32"/>
          <w:highlight w:val="none"/>
          <w:u w:val="none"/>
          <w:lang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highlight w:val="none"/>
          <w:shd w:val="clear"/>
          <w14:textFill>
            <w14:solidFill>
              <w14:schemeClr w14:val="tx1"/>
            </w14:solidFill>
          </w14:textFill>
        </w:rPr>
        <w:t>痔疮套扎器</w:t>
      </w:r>
      <w:r>
        <w:rPr>
          <w:rFonts w:hint="default" w:ascii="Times New Roman" w:hAnsi="Times New Roman" w:eastAsia="仿宋_GB2312" w:cs="Times New Roman"/>
          <w:i w:val="0"/>
          <w:caps w:val="0"/>
          <w:color w:val="000000" w:themeColor="text1"/>
          <w:spacing w:val="0"/>
          <w:sz w:val="32"/>
          <w:szCs w:val="32"/>
          <w:highlight w:val="none"/>
          <w:shd w:val="clear"/>
          <w:lang w:eastAsia="zh-CN"/>
          <w14:textFill>
            <w14:solidFill>
              <w14:schemeClr w14:val="tx1"/>
            </w14:solidFill>
          </w14:textFill>
        </w:rPr>
        <w:t>等</w:t>
      </w:r>
      <w:r>
        <w:rPr>
          <w:rFonts w:hint="default" w:ascii="Times New Roman" w:hAnsi="Times New Roman" w:eastAsia="仿宋_GB2312" w:cs="Times New Roman"/>
          <w:color w:val="000000" w:themeColor="text1"/>
          <w:spacing w:val="0"/>
          <w:sz w:val="32"/>
          <w:szCs w:val="32"/>
          <w:highlight w:val="none"/>
          <w:u w:val="none"/>
          <w:lang w:eastAsia="zh-CN"/>
          <w14:textFill>
            <w14:solidFill>
              <w14:schemeClr w14:val="tx1"/>
            </w14:solidFill>
          </w14:textFill>
        </w:rPr>
        <w:t>不纳入此次带量采购范</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围，直接</w:t>
      </w:r>
      <w:r>
        <w:rPr>
          <w:rFonts w:hint="default" w:ascii="Times New Roman" w:hAnsi="Times New Roman" w:eastAsia="仿宋_GB2312" w:cs="Times New Roman"/>
          <w:color w:val="000000" w:themeColor="text1"/>
          <w:spacing w:val="0"/>
          <w:sz w:val="32"/>
          <w:szCs w:val="32"/>
          <w:highlight w:val="none"/>
          <w:u w:val="none"/>
          <w:lang w:eastAsia="zh-CN"/>
          <w14:textFill>
            <w14:solidFill>
              <w14:schemeClr w14:val="tx1"/>
            </w14:solidFill>
          </w14:textFill>
        </w:rPr>
        <w:t>纳入</w:t>
      </w:r>
      <w:r>
        <w:rPr>
          <w:rFonts w:hint="default" w:ascii="Times New Roman" w:hAnsi="Times New Roman" w:eastAsia="仿宋_GB2312" w:cs="Times New Roman"/>
          <w:b w:val="0"/>
          <w:bCs w:val="0"/>
          <w:color w:val="000000" w:themeColor="text1"/>
          <w:spacing w:val="0"/>
          <w:kern w:val="2"/>
          <w:sz w:val="32"/>
          <w:szCs w:val="32"/>
          <w:highlight w:val="none"/>
          <w:lang w:val="en-US" w:eastAsia="zh-CN" w:bidi="ar-SA"/>
          <w14:textFill>
            <w14:solidFill>
              <w14:schemeClr w14:val="tx1"/>
            </w14:solidFill>
          </w14:textFill>
        </w:rPr>
        <w:t>联动</w:t>
      </w:r>
      <w:r>
        <w:rPr>
          <w:rFonts w:hint="default" w:ascii="Times New Roman" w:hAnsi="Times New Roman" w:eastAsia="仿宋_GB2312" w:cs="Times New Roman"/>
          <w:b w:val="0"/>
          <w:bCs w:val="0"/>
          <w:color w:val="000000" w:themeColor="text1"/>
          <w:spacing w:val="0"/>
          <w:kern w:val="2"/>
          <w:sz w:val="32"/>
          <w:szCs w:val="32"/>
          <w:highlight w:val="none"/>
          <w:u w:val="none"/>
          <w:lang w:val="en-US" w:eastAsia="zh-CN" w:bidi="ar-SA"/>
          <w14:textFill>
            <w14:solidFill>
              <w14:schemeClr w14:val="tx1"/>
            </w14:solidFill>
          </w14:textFill>
        </w:rPr>
        <w:t>目录管理</w:t>
      </w:r>
      <w:r>
        <w:rPr>
          <w:rFonts w:hint="default" w:ascii="Times New Roman" w:hAnsi="Times New Roman" w:eastAsia="仿宋_GB2312" w:cs="Times New Roman"/>
          <w:color w:val="000000" w:themeColor="text1"/>
          <w:spacing w:val="0"/>
          <w:sz w:val="32"/>
          <w:szCs w:val="32"/>
          <w:highlight w:val="none"/>
          <w:u w:val="none"/>
          <w14:textFill>
            <w14:solidFill>
              <w14:schemeClr w14:val="tx1"/>
            </w14:solidFill>
          </w14:textFill>
        </w:rPr>
        <w:t>。</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组套价格</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限价</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及降幅</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）组套价格。</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同一</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投标</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企业吻合器和</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配套</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钉匣</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（指一个</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钉匣</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采购价之和作为组套价格</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，企业按组套价格进行报价。投标</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企业应</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如实提供可供应清单，同一</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竞价组中，同一投标企业所有供应清单内产品视同一个投标品种。</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）限价。根据</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组套</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产品历史销售价格和成本等因素，由专家评审确定各</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竞价组</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产品的限价（以元为单位，保留小数点后2位）</w:t>
      </w:r>
      <w:r>
        <w:rPr>
          <w:rFonts w:hint="eastAsia"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，同一投标产品</w:t>
      </w:r>
      <w:r>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A组、B组、C组为同一限价</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）投标产品</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降幅=（评审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组</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产品</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限价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-投标</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企业报价）/评审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组</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产品</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限价。</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中选规则</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评审竞价组投标企业小于或等于</w:t>
      </w:r>
      <w:r>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家时，</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投标产品</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降幅达到同个一级目录的A组拟中选产品平均降幅，均确定为拟</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中选产品</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；投标产品</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降幅未达到同个一级目录的A组拟中选产品平均降幅，且达到同个一级目录的中选产品最低降幅，降幅较高的为拟</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中选产品</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竞价评审组投标企业大于</w:t>
      </w:r>
      <w:r>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家时，</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根据企业报价，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按</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同组内产品组套价格</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由低到高确定拟</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中选产品</w:t>
      </w:r>
      <w:r>
        <w:rPr>
          <w:rFonts w:hint="eastAsia"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，其中</w:t>
      </w:r>
      <w:r>
        <w:rPr>
          <w:rFonts w:hint="eastAsia" w:ascii="仿宋" w:hAnsi="仿宋" w:eastAsia="仿宋" w:cs="仿宋"/>
          <w:color w:val="000000" w:themeColor="text1"/>
          <w:sz w:val="32"/>
          <w:szCs w:val="32"/>
          <w:highlight w:val="none"/>
          <w14:textFill>
            <w14:solidFill>
              <w14:schemeClr w14:val="tx1"/>
            </w14:solidFill>
          </w14:textFill>
        </w:rPr>
        <w:t>价格最低者为首选产品</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。若出现相同</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报</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价，</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依据</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投标企业品种2019年度销售总金额</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由大到小优先确定。</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C组产品中选价格不得高于A组产品最高中选价格</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。拟中选企业数量如下：</w:t>
      </w:r>
    </w:p>
    <w:p>
      <w:pPr>
        <w:keepNext w:val="0"/>
        <w:keepLines w:val="0"/>
        <w:pageBreakBefore w:val="0"/>
        <w:widowControl w:val="0"/>
        <w:numPr>
          <w:ilvl w:val="-1"/>
          <w:numId w:val="0"/>
        </w:numPr>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（1）A组</w:t>
      </w:r>
    </w:p>
    <w:tbl>
      <w:tblPr>
        <w:tblStyle w:val="6"/>
        <w:tblW w:w="90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3"/>
        <w:gridCol w:w="3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ind w:firstLine="0" w:firstLineChars="0"/>
              <w:jc w:val="center"/>
              <w:rPr>
                <w:rFonts w:hint="default" w:ascii="Times New Roman" w:hAnsi="Times New Roman" w:eastAsia="黑体"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投标企业数</w:t>
            </w:r>
          </w:p>
        </w:tc>
        <w:tc>
          <w:tcPr>
            <w:tcW w:w="3899" w:type="dxa"/>
            <w:vAlign w:val="center"/>
          </w:tcPr>
          <w:p>
            <w:pPr>
              <w:widowControl/>
              <w:shd w:val="clear"/>
              <w:spacing w:line="600" w:lineRule="exact"/>
              <w:jc w:val="center"/>
              <w:rPr>
                <w:rFonts w:hint="default" w:ascii="Times New Roman" w:hAnsi="Times New Roman" w:eastAsia="黑体"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最多中选企业数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pacing w:val="0"/>
                <w:sz w:val="32"/>
                <w:szCs w:val="32"/>
                <w:highlight w:val="none"/>
                <w:vertAlign w:val="baseli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-6</w:t>
            </w:r>
          </w:p>
        </w:tc>
        <w:tc>
          <w:tcPr>
            <w:tcW w:w="3899" w:type="dxa"/>
            <w:vAlign w:val="center"/>
          </w:tcPr>
          <w:p>
            <w:pPr>
              <w:widowControl/>
              <w:shd w:val="clear"/>
              <w:spacing w:line="600" w:lineRule="exact"/>
              <w:jc w:val="center"/>
              <w:rPr>
                <w:rFonts w:hint="default" w:ascii="Times New Roman" w:hAnsi="Times New Roman" w:eastAsia="仿宋_GB2312" w:cs="Times New Roman"/>
                <w:color w:val="000000" w:themeColor="text1"/>
                <w:spacing w:val="0"/>
                <w:sz w:val="32"/>
                <w:szCs w:val="32"/>
                <w:highlight w:val="none"/>
                <w:vertAlign w:val="baseline"/>
                <w:lang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7</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10</w:t>
            </w:r>
          </w:p>
        </w:tc>
        <w:tc>
          <w:tcPr>
            <w:tcW w:w="3899" w:type="dxa"/>
            <w:vAlign w:val="center"/>
          </w:tcPr>
          <w:p>
            <w:pPr>
              <w:widowControl/>
              <w:shd w:val="clear"/>
              <w:spacing w:line="600" w:lineRule="exact"/>
              <w:jc w:val="center"/>
              <w:rPr>
                <w:rFonts w:hint="default" w:ascii="Times New Roman" w:hAnsi="Times New Roman" w:eastAsia="仿宋_GB2312" w:cs="Times New Roman"/>
                <w:color w:val="000000" w:themeColor="text1"/>
                <w:spacing w:val="0"/>
                <w:sz w:val="32"/>
                <w:szCs w:val="32"/>
                <w:highlight w:val="none"/>
                <w:vertAlign w:val="baseline"/>
                <w:lang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&gt;10</w:t>
            </w:r>
          </w:p>
        </w:tc>
        <w:tc>
          <w:tcPr>
            <w:tcW w:w="3899" w:type="dxa"/>
            <w:vAlign w:val="center"/>
          </w:tcPr>
          <w:p>
            <w:pPr>
              <w:widowControl/>
              <w:shd w:val="clear"/>
              <w:spacing w:line="600" w:lineRule="exact"/>
              <w:jc w:val="cente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5</w:t>
            </w:r>
          </w:p>
        </w:tc>
      </w:tr>
    </w:tbl>
    <w:p>
      <w:pPr>
        <w:keepNext w:val="0"/>
        <w:keepLines w:val="0"/>
        <w:pageBreakBefore w:val="0"/>
        <w:widowControl w:val="0"/>
        <w:numPr>
          <w:ilvl w:val="-1"/>
          <w:numId w:val="0"/>
        </w:numPr>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B</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组</w:t>
      </w:r>
    </w:p>
    <w:tbl>
      <w:tblPr>
        <w:tblStyle w:val="6"/>
        <w:tblW w:w="90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3"/>
        <w:gridCol w:w="3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ind w:firstLine="0" w:firstLineChars="0"/>
              <w:jc w:val="center"/>
              <w:rPr>
                <w:rFonts w:hint="default" w:ascii="Times New Roman" w:hAnsi="Times New Roman" w:eastAsia="黑体"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投标企业数</w:t>
            </w:r>
          </w:p>
        </w:tc>
        <w:tc>
          <w:tcPr>
            <w:tcW w:w="3899" w:type="dxa"/>
            <w:vAlign w:val="center"/>
          </w:tcPr>
          <w:p>
            <w:pPr>
              <w:widowControl/>
              <w:shd w:val="clear"/>
              <w:spacing w:line="600" w:lineRule="exact"/>
              <w:jc w:val="center"/>
              <w:rPr>
                <w:rFonts w:hint="default" w:ascii="Times New Roman" w:hAnsi="Times New Roman" w:eastAsia="黑体"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最多中选企业数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pacing w:val="0"/>
                <w:sz w:val="32"/>
                <w:szCs w:val="32"/>
                <w:highlight w:val="none"/>
                <w:vertAlign w:val="baseli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3</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-6</w:t>
            </w:r>
          </w:p>
        </w:tc>
        <w:tc>
          <w:tcPr>
            <w:tcW w:w="3899" w:type="dxa"/>
            <w:vAlign w:val="center"/>
          </w:tcPr>
          <w:p>
            <w:pPr>
              <w:widowControl/>
              <w:shd w:val="clear"/>
              <w:spacing w:line="600" w:lineRule="exact"/>
              <w:jc w:val="center"/>
              <w:rPr>
                <w:rFonts w:hint="default" w:ascii="Times New Roman" w:hAnsi="Times New Roman" w:eastAsia="仿宋_GB2312" w:cs="Times New Roman"/>
                <w:color w:val="000000" w:themeColor="text1"/>
                <w:spacing w:val="0"/>
                <w:sz w:val="32"/>
                <w:szCs w:val="32"/>
                <w:highlight w:val="none"/>
                <w:vertAlign w:val="baseline"/>
                <w:lang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7</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10</w:t>
            </w:r>
          </w:p>
        </w:tc>
        <w:tc>
          <w:tcPr>
            <w:tcW w:w="3899" w:type="dxa"/>
            <w:vAlign w:val="center"/>
          </w:tcPr>
          <w:p>
            <w:pPr>
              <w:widowControl/>
              <w:shd w:val="clear"/>
              <w:spacing w:line="600" w:lineRule="exact"/>
              <w:jc w:val="center"/>
              <w:rPr>
                <w:rFonts w:hint="default" w:ascii="Times New Roman" w:hAnsi="Times New Roman" w:eastAsia="仿宋_GB2312" w:cs="Times New Roman"/>
                <w:color w:val="000000" w:themeColor="text1"/>
                <w:spacing w:val="0"/>
                <w:sz w:val="32"/>
                <w:szCs w:val="32"/>
                <w:highlight w:val="none"/>
                <w:vertAlign w:val="baseline"/>
                <w:lang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&gt;10</w:t>
            </w:r>
          </w:p>
        </w:tc>
        <w:tc>
          <w:tcPr>
            <w:tcW w:w="3899" w:type="dxa"/>
            <w:vAlign w:val="center"/>
          </w:tcPr>
          <w:p>
            <w:pPr>
              <w:widowControl/>
              <w:shd w:val="clear"/>
              <w:spacing w:line="600" w:lineRule="exact"/>
              <w:jc w:val="cente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5</w:t>
            </w:r>
          </w:p>
        </w:tc>
      </w:tr>
    </w:tbl>
    <w:p>
      <w:pPr>
        <w:keepNext w:val="0"/>
        <w:keepLines w:val="0"/>
        <w:pageBreakBefore w:val="0"/>
        <w:widowControl w:val="0"/>
        <w:numPr>
          <w:ilvl w:val="-1"/>
          <w:numId w:val="0"/>
        </w:numPr>
        <w:shd w:val="clear"/>
        <w:kinsoku/>
        <w:wordWrap/>
        <w:overflowPunct/>
        <w:topLinePunct w:val="0"/>
        <w:autoSpaceDE/>
        <w:autoSpaceDN/>
        <w:bidi w:val="0"/>
        <w:adjustRightInd/>
        <w:snapToGrid/>
        <w:spacing w:line="592" w:lineRule="exact"/>
        <w:ind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）C组</w:t>
      </w:r>
    </w:p>
    <w:tbl>
      <w:tblPr>
        <w:tblStyle w:val="6"/>
        <w:tblW w:w="90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3"/>
        <w:gridCol w:w="3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ind w:firstLine="0" w:firstLineChars="0"/>
              <w:jc w:val="center"/>
              <w:rPr>
                <w:rFonts w:hint="default" w:ascii="Times New Roman" w:hAnsi="Times New Roman" w:eastAsia="黑体"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投标企业数</w:t>
            </w:r>
          </w:p>
        </w:tc>
        <w:tc>
          <w:tcPr>
            <w:tcW w:w="3899" w:type="dxa"/>
            <w:vAlign w:val="center"/>
          </w:tcPr>
          <w:p>
            <w:pPr>
              <w:widowControl/>
              <w:shd w:val="clear"/>
              <w:spacing w:line="600" w:lineRule="exact"/>
              <w:jc w:val="center"/>
              <w:rPr>
                <w:rFonts w:hint="default" w:ascii="Times New Roman" w:hAnsi="Times New Roman" w:eastAsia="黑体"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最多中选企业数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pacing w:val="0"/>
                <w:sz w:val="32"/>
                <w:szCs w:val="32"/>
                <w:highlight w:val="none"/>
                <w:vertAlign w:val="baseli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4-6</w:t>
            </w:r>
          </w:p>
        </w:tc>
        <w:tc>
          <w:tcPr>
            <w:tcW w:w="3899" w:type="dxa"/>
            <w:vAlign w:val="center"/>
          </w:tcPr>
          <w:p>
            <w:pPr>
              <w:widowControl/>
              <w:shd w:val="clear"/>
              <w:spacing w:line="600" w:lineRule="exact"/>
              <w:jc w:val="center"/>
              <w:rPr>
                <w:rFonts w:hint="default" w:ascii="Times New Roman" w:hAnsi="Times New Roman" w:eastAsia="仿宋_GB2312"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pacing w:val="0"/>
                <w:sz w:val="32"/>
                <w:szCs w:val="32"/>
                <w:highlight w:val="none"/>
                <w:vertAlign w:val="baseli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7</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10</w:t>
            </w:r>
          </w:p>
        </w:tc>
        <w:tc>
          <w:tcPr>
            <w:tcW w:w="3899" w:type="dxa"/>
            <w:vAlign w:val="center"/>
          </w:tcPr>
          <w:p>
            <w:pPr>
              <w:widowControl/>
              <w:shd w:val="clear"/>
              <w:spacing w:line="600" w:lineRule="exact"/>
              <w:jc w:val="center"/>
              <w:rPr>
                <w:rFonts w:hint="default" w:ascii="Times New Roman" w:hAnsi="Times New Roman" w:eastAsia="仿宋_GB2312"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pacing w:val="0"/>
                <w:sz w:val="32"/>
                <w:szCs w:val="32"/>
                <w:highlight w:val="none"/>
                <w:vertAlign w:val="baseli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&gt;10</w:t>
            </w:r>
          </w:p>
        </w:tc>
        <w:tc>
          <w:tcPr>
            <w:tcW w:w="3899" w:type="dxa"/>
            <w:vAlign w:val="center"/>
          </w:tcPr>
          <w:p>
            <w:pPr>
              <w:widowControl/>
              <w:shd w:val="clear"/>
              <w:spacing w:line="600" w:lineRule="exact"/>
              <w:jc w:val="center"/>
              <w:rPr>
                <w:rFonts w:hint="default" w:ascii="Times New Roman" w:hAnsi="Times New Roman" w:eastAsia="仿宋_GB2312"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3</w:t>
            </w:r>
          </w:p>
        </w:tc>
      </w:tr>
    </w:tbl>
    <w:p>
      <w:pPr>
        <w:keepNext w:val="0"/>
        <w:keepLines w:val="0"/>
        <w:pageBreakBefore w:val="0"/>
        <w:widowControl w:val="0"/>
        <w:shd w:val="clear"/>
        <w:kinsoku/>
        <w:wordWrap/>
        <w:overflowPunct/>
        <w:topLinePunct w:val="0"/>
        <w:autoSpaceDE/>
        <w:autoSpaceDN/>
        <w:bidi w:val="0"/>
        <w:adjustRightInd/>
        <w:snapToGrid/>
        <w:spacing w:line="592" w:lineRule="exact"/>
        <w:ind w:right="0" w:rightChars="0" w:firstLine="640" w:firstLineChars="200"/>
        <w:outlineLvl w:val="9"/>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pPr>
      <w:r>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t>（二）</w:t>
      </w:r>
      <w:r>
        <w:rPr>
          <w:rFonts w:hint="default" w:ascii="Times New Roman" w:hAnsi="Times New Roman" w:eastAsia="楷体_GB2312" w:cs="Times New Roman"/>
          <w:color w:val="000000" w:themeColor="text1"/>
          <w:spacing w:val="0"/>
          <w:sz w:val="32"/>
          <w:szCs w:val="32"/>
          <w:highlight w:val="none"/>
          <w:lang w:val="en-US" w:eastAsia="zh-CN"/>
          <w14:textFill>
            <w14:solidFill>
              <w14:schemeClr w14:val="tx1"/>
            </w14:solidFill>
          </w14:textFill>
        </w:rPr>
        <w:t>骨科创伤类</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入围</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条件</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投标企业入围需同时满足以下三个条件：</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fldChar w:fldCharType="begin"/>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instrText xml:space="preserve"> = 1 \* GB3 \* MERGEFORMAT </w:instrTex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fldChar w:fldCharType="separate"/>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①</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fldChar w:fldCharType="end"/>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具备“</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一级目录</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全系列产品</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生产资质</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fldChar w:fldCharType="begin"/>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instrText xml:space="preserve"> = 2 \* GB3 \* MERGEFORMAT </w:instrTex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fldChar w:fldCharType="separate"/>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②</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fldChar w:fldCharType="end"/>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一级目录</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全系列产品</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中，</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钛合金和纯钛材质</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必须</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至少有一种；</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fldChar w:fldCharType="begin"/>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instrText xml:space="preserve"> = 3 \* GB3 \* MERGEFORMAT </w:instrTex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fldChar w:fldCharType="separate"/>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③</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fldChar w:fldCharType="end"/>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一级目录</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全系列产品</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中，</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锁定加压板</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型号</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必须齐全</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fldChar w:fldCharType="begin"/>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instrText xml:space="preserve"> = 4 \* GB3 \* MERGEFORMAT </w:instrTex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fldChar w:fldCharType="separate"/>
      </w:r>
      <w:r>
        <w:rPr>
          <w:rFonts w:hint="default" w:ascii="Times New Roman" w:hAnsi="Times New Roman" w:eastAsia="仿宋_GB2312" w:cs="Times New Roman"/>
          <w:color w:val="000000" w:themeColor="text1"/>
          <w:sz w:val="32"/>
          <w:szCs w:val="32"/>
          <w:highlight w:val="none"/>
          <w14:textFill>
            <w14:solidFill>
              <w14:schemeClr w14:val="tx1"/>
            </w14:solidFill>
          </w14:textFill>
        </w:rPr>
        <w:t>④</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fldChar w:fldCharType="end"/>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投标</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企业应</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如实提供可供应清单，并作出书面供应保障承诺。</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竞价组</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划分</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投标国产企业品种2019年度销售总金额等于或大于1个亿，投标产品列为A评审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组，投标的进口产品直接列为A评审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组；其余投标企业品种列为B评审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组。</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代表品</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限价、综合降幅</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）代表品。按照</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骨科</w:t>
      </w:r>
      <w:r>
        <w:rPr>
          <w:rFonts w:hint="eastAsia"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创伤类</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类</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耗材二级目录确定</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组</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，如“</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锁骨接骨板</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不锈钢</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材质</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普通</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型号”为一个</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组</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。由专家评审确定某一</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组</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产品为</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骨科</w:t>
      </w:r>
      <w:r>
        <w:rPr>
          <w:rFonts w:hint="eastAsia"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创伤类</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耗材代表品。</w:t>
      </w:r>
    </w:p>
    <w:p>
      <w:pPr>
        <w:keepNext w:val="0"/>
        <w:keepLines w:val="0"/>
        <w:pageBreakBefore w:val="0"/>
        <w:widowControl w:val="0"/>
        <w:numPr>
          <w:ilvl w:val="0"/>
          <w:numId w:val="1"/>
        </w:numPr>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限价</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。根据</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组套</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产品历史销售价格和成本等因素，由专家评审确定代表品和各</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竞价组</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基础款</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限价（以元为单位，保留小数点后2位）。</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其中，一级目录下，</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不锈钢材质、普通型接骨板为基础款，</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由专家</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评审确定基础款限价（含髓内钉）及二级目录间比价系数。如相同部位，不锈钢材质与钛合金（纯钛）比价关系为1：X；普通型/锁定加压板/万向锁定板比价关系为1：Y：Z；三级目录中</w:t>
      </w:r>
      <w:r>
        <w:rPr>
          <w:rFonts w:hint="default" w:ascii="Times New Roman" w:hAnsi="Times New Roman" w:eastAsia="仿宋_GB2312" w:cs="Times New Roman"/>
          <w:color w:val="000000" w:themeColor="text1"/>
          <w:spacing w:val="0"/>
          <w:kern w:val="2"/>
          <w:sz w:val="32"/>
          <w:szCs w:val="32"/>
          <w:highlight w:val="none"/>
          <w:lang w:bidi="ar"/>
          <w14:textFill>
            <w14:solidFill>
              <w14:schemeClr w14:val="tx1"/>
            </w14:solidFill>
          </w14:textFill>
        </w:rPr>
        <w:t>近端/干部/远端</w:t>
      </w:r>
      <w:r>
        <w:rPr>
          <w:rFonts w:hint="default" w:ascii="Times New Roman" w:hAnsi="Times New Roman" w:eastAsia="仿宋_GB2312" w:cs="Times New Roman"/>
          <w:color w:val="000000" w:themeColor="text1"/>
          <w:spacing w:val="0"/>
          <w:kern w:val="2"/>
          <w:sz w:val="32"/>
          <w:szCs w:val="32"/>
          <w:highlight w:val="none"/>
          <w:lang w:val="en-US" w:eastAsia="zh-CN" w:bidi="ar"/>
          <w14:textFill>
            <w14:solidFill>
              <w14:schemeClr w14:val="tx1"/>
            </w14:solidFill>
          </w14:textFill>
        </w:rPr>
        <w:t>等产品限价不做区分</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。例：</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组</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限价（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钛合金、锁定加压板</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=基础款限价</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X</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Y。</w:t>
      </w:r>
      <w:r>
        <w:rPr>
          <w:rFonts w:hint="eastAsia"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同一投标产品</w:t>
      </w:r>
      <w:r>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A组、B组为同一限价。</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代表品</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降幅</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。投标</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企业</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代表品</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降幅=（</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代表品</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限价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投标</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企业</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代表品</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报价）/</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代表品</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限价。</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中选规则</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按投标</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企业</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代表品</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报价</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报价为包含配套螺钉在内的整套价格</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由低到高确定拟中选产品</w:t>
      </w:r>
      <w:r>
        <w:rPr>
          <w:rFonts w:hint="eastAsia"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，其中</w:t>
      </w:r>
      <w:r>
        <w:rPr>
          <w:rFonts w:hint="eastAsia" w:ascii="仿宋" w:hAnsi="仿宋" w:eastAsia="仿宋" w:cs="仿宋"/>
          <w:color w:val="000000" w:themeColor="text1"/>
          <w:sz w:val="32"/>
          <w:szCs w:val="32"/>
          <w:highlight w:val="none"/>
          <w14:textFill>
            <w14:solidFill>
              <w14:schemeClr w14:val="tx1"/>
            </w14:solidFill>
          </w14:textFill>
        </w:rPr>
        <w:t>价格最低者为首选产品</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若出现相同</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报</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价，</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依据</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投标企业品种2019年度销售总金额</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由大到小优先确定</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代表品拟</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中选后</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该企业非代表品</w:t>
      </w:r>
      <w:r>
        <w:rPr>
          <w:rFonts w:hint="eastAsia"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骨科创伤类</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产品均按</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代表品</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降幅计算</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拟</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中选价格。非代表品</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拟</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中选价格=非代表品评审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组</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限</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价×（1-</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代表品</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降幅）。</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B组代表品中选价格不得高于A组代表品最高中选价格。</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根据代表品入围企业数量，确定拟中选企业数量如下：</w:t>
      </w:r>
    </w:p>
    <w:p>
      <w:pPr>
        <w:keepNext w:val="0"/>
        <w:keepLines w:val="0"/>
        <w:pageBreakBefore w:val="0"/>
        <w:widowControl w:val="0"/>
        <w:numPr>
          <w:ilvl w:val="-1"/>
          <w:numId w:val="0"/>
        </w:numPr>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（1）A组</w:t>
      </w:r>
    </w:p>
    <w:tbl>
      <w:tblPr>
        <w:tblStyle w:val="6"/>
        <w:tblW w:w="90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3"/>
        <w:gridCol w:w="3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ind w:firstLine="0" w:firstLineChars="0"/>
              <w:jc w:val="center"/>
              <w:rPr>
                <w:rFonts w:hint="default" w:ascii="Times New Roman" w:hAnsi="Times New Roman" w:eastAsia="黑体"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投标企业数</w:t>
            </w:r>
          </w:p>
        </w:tc>
        <w:tc>
          <w:tcPr>
            <w:tcW w:w="3899" w:type="dxa"/>
            <w:vAlign w:val="center"/>
          </w:tcPr>
          <w:p>
            <w:pPr>
              <w:widowControl/>
              <w:shd w:val="clear"/>
              <w:spacing w:line="600" w:lineRule="exact"/>
              <w:jc w:val="center"/>
              <w:rPr>
                <w:rFonts w:hint="default" w:ascii="Times New Roman" w:hAnsi="Times New Roman" w:eastAsia="黑体"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最多中选企业数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pacing w:val="0"/>
                <w:sz w:val="32"/>
                <w:szCs w:val="32"/>
                <w:highlight w:val="none"/>
                <w:vertAlign w:val="baseli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1-6</w:t>
            </w:r>
          </w:p>
        </w:tc>
        <w:tc>
          <w:tcPr>
            <w:tcW w:w="3899" w:type="dxa"/>
            <w:vAlign w:val="center"/>
          </w:tcPr>
          <w:p>
            <w:pPr>
              <w:widowControl/>
              <w:shd w:val="clear"/>
              <w:spacing w:line="600" w:lineRule="exact"/>
              <w:jc w:val="center"/>
              <w:rPr>
                <w:rFonts w:hint="default" w:ascii="Times New Roman" w:hAnsi="Times New Roman" w:eastAsia="仿宋_GB2312"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7</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10</w:t>
            </w:r>
          </w:p>
        </w:tc>
        <w:tc>
          <w:tcPr>
            <w:tcW w:w="3899" w:type="dxa"/>
            <w:vAlign w:val="center"/>
          </w:tcPr>
          <w:p>
            <w:pPr>
              <w:widowControl/>
              <w:shd w:val="clear"/>
              <w:spacing w:line="600" w:lineRule="exact"/>
              <w:jc w:val="center"/>
              <w:rPr>
                <w:rFonts w:hint="default" w:ascii="Times New Roman" w:hAnsi="Times New Roman" w:eastAsia="仿宋_GB2312" w:cs="Times New Roman"/>
                <w:color w:val="000000" w:themeColor="text1"/>
                <w:spacing w:val="0"/>
                <w:sz w:val="32"/>
                <w:szCs w:val="32"/>
                <w:highlight w:val="none"/>
                <w:vertAlign w:val="baseline"/>
                <w:lang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&gt;10</w:t>
            </w:r>
          </w:p>
        </w:tc>
        <w:tc>
          <w:tcPr>
            <w:tcW w:w="3899" w:type="dxa"/>
            <w:vAlign w:val="center"/>
          </w:tcPr>
          <w:p>
            <w:pPr>
              <w:widowControl/>
              <w:shd w:val="clear"/>
              <w:spacing w:line="600" w:lineRule="exact"/>
              <w:jc w:val="cente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highlight w:val="none"/>
                <w:lang w:val="en-US" w:eastAsia="zh-CN"/>
                <w14:textFill>
                  <w14:solidFill>
                    <w14:schemeClr w14:val="tx1"/>
                  </w14:solidFill>
                </w14:textFill>
              </w:rPr>
              <w:t>6</w:t>
            </w:r>
          </w:p>
        </w:tc>
      </w:tr>
    </w:tbl>
    <w:p>
      <w:pPr>
        <w:keepNext w:val="0"/>
        <w:keepLines w:val="0"/>
        <w:pageBreakBefore w:val="0"/>
        <w:widowControl w:val="0"/>
        <w:numPr>
          <w:ilvl w:val="-1"/>
          <w:numId w:val="0"/>
        </w:numPr>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（2）B组</w:t>
      </w:r>
    </w:p>
    <w:tbl>
      <w:tblPr>
        <w:tblStyle w:val="6"/>
        <w:tblW w:w="90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3"/>
        <w:gridCol w:w="3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ind w:firstLine="0" w:firstLineChars="0"/>
              <w:jc w:val="center"/>
              <w:rPr>
                <w:rFonts w:hint="default" w:ascii="Times New Roman" w:hAnsi="Times New Roman" w:eastAsia="黑体"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投标企业数</w:t>
            </w:r>
          </w:p>
        </w:tc>
        <w:tc>
          <w:tcPr>
            <w:tcW w:w="3899" w:type="dxa"/>
            <w:vAlign w:val="center"/>
          </w:tcPr>
          <w:p>
            <w:pPr>
              <w:widowControl/>
              <w:shd w:val="clear"/>
              <w:spacing w:line="600" w:lineRule="exact"/>
              <w:jc w:val="center"/>
              <w:rPr>
                <w:rFonts w:hint="default" w:ascii="Times New Roman" w:hAnsi="Times New Roman" w:eastAsia="黑体"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最多中选企业数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pacing w:val="0"/>
                <w:sz w:val="32"/>
                <w:szCs w:val="32"/>
                <w:highlight w:val="none"/>
                <w:vertAlign w:val="baseli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1-6</w:t>
            </w:r>
          </w:p>
        </w:tc>
        <w:tc>
          <w:tcPr>
            <w:tcW w:w="3899" w:type="dxa"/>
            <w:vAlign w:val="center"/>
          </w:tcPr>
          <w:p>
            <w:pPr>
              <w:widowControl/>
              <w:shd w:val="clear"/>
              <w:spacing w:line="600" w:lineRule="exact"/>
              <w:jc w:val="center"/>
              <w:rPr>
                <w:rFonts w:hint="default" w:ascii="Times New Roman" w:hAnsi="Times New Roman" w:eastAsia="仿宋_GB2312"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pacing w:val="0"/>
                <w:sz w:val="32"/>
                <w:szCs w:val="32"/>
                <w:highlight w:val="none"/>
                <w:vertAlign w:val="baseli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7</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10</w:t>
            </w:r>
          </w:p>
        </w:tc>
        <w:tc>
          <w:tcPr>
            <w:tcW w:w="3899" w:type="dxa"/>
            <w:vAlign w:val="center"/>
          </w:tcPr>
          <w:p>
            <w:pPr>
              <w:widowControl/>
              <w:shd w:val="clear"/>
              <w:spacing w:line="600" w:lineRule="exact"/>
              <w:jc w:val="center"/>
              <w:rPr>
                <w:rFonts w:hint="default" w:ascii="Times New Roman" w:hAnsi="Times New Roman" w:eastAsia="仿宋_GB2312"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pacing w:val="0"/>
                <w:sz w:val="32"/>
                <w:szCs w:val="32"/>
                <w:highlight w:val="none"/>
                <w:vertAlign w:val="baseli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&gt;10</w:t>
            </w:r>
          </w:p>
        </w:tc>
        <w:tc>
          <w:tcPr>
            <w:tcW w:w="3899" w:type="dxa"/>
            <w:vAlign w:val="center"/>
          </w:tcPr>
          <w:p>
            <w:pPr>
              <w:widowControl/>
              <w:shd w:val="clear"/>
              <w:spacing w:line="600" w:lineRule="exact"/>
              <w:jc w:val="center"/>
              <w:rPr>
                <w:rFonts w:hint="default" w:ascii="Times New Roman" w:hAnsi="Times New Roman" w:eastAsia="仿宋_GB2312"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3</w:t>
            </w:r>
          </w:p>
        </w:tc>
      </w:tr>
    </w:tbl>
    <w:p>
      <w:pPr>
        <w:keepNext w:val="0"/>
        <w:keepLines w:val="0"/>
        <w:pageBreakBefore w:val="0"/>
        <w:widowControl w:val="0"/>
        <w:numPr>
          <w:ilvl w:val="-1"/>
          <w:numId w:val="0"/>
        </w:numPr>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t>（三）冠脉扩张球囊类</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竞价组</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划分</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投标国产企业品种2019年度销售总金额等于或大于1个亿，投标产品列为A评审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组，</w:t>
      </w:r>
      <w:r>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境内销售额</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等于或大于1个亿的进口产品列为A评审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组；其余投标企业品种列为B评审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组。</w:t>
      </w:r>
    </w:p>
    <w:p>
      <w:pPr>
        <w:keepNext w:val="0"/>
        <w:keepLines w:val="0"/>
        <w:pageBreakBefore w:val="0"/>
        <w:widowControl w:val="0"/>
        <w:numPr>
          <w:ilvl w:val="0"/>
          <w:numId w:val="1"/>
        </w:numPr>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2、限价。</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根据</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组套</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产品历史销售价格和成本等因素，由专家评审确定各</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评审</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竞价组</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产品的限价（以元为单位，保留小数点后2位）</w:t>
      </w:r>
      <w:r>
        <w:rPr>
          <w:rFonts w:hint="eastAsia"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，同一投标产品</w:t>
      </w:r>
      <w:r>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A组、B组为同一限价</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中选规则</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同评审竞价组产品，按</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企业报价</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由低到高确定拟中选产品</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其中</w:t>
      </w:r>
      <w:r>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价格最低者为首选产品。</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若出现相同报价</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依据</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投标企业品种（按一级目录所有产品统计）2019年度销售总金额</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由大到小优先确定</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B组代表品中选价格不得高于A组代表品最高中选价格。</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确定拟中选企业数量如下：</w:t>
      </w:r>
    </w:p>
    <w:p>
      <w:pPr>
        <w:keepNext w:val="0"/>
        <w:keepLines w:val="0"/>
        <w:pageBreakBefore w:val="0"/>
        <w:widowControl w:val="0"/>
        <w:numPr>
          <w:ilvl w:val="-1"/>
          <w:numId w:val="0"/>
        </w:numPr>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（1）A组</w:t>
      </w:r>
    </w:p>
    <w:tbl>
      <w:tblPr>
        <w:tblStyle w:val="6"/>
        <w:tblW w:w="90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3"/>
        <w:gridCol w:w="3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ind w:firstLine="0" w:firstLineChars="0"/>
              <w:jc w:val="center"/>
              <w:rPr>
                <w:rFonts w:hint="default" w:ascii="Times New Roman" w:hAnsi="Times New Roman" w:eastAsia="黑体"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投标企业数</w:t>
            </w:r>
          </w:p>
        </w:tc>
        <w:tc>
          <w:tcPr>
            <w:tcW w:w="3899" w:type="dxa"/>
            <w:vAlign w:val="center"/>
          </w:tcPr>
          <w:p>
            <w:pPr>
              <w:widowControl/>
              <w:shd w:val="clear"/>
              <w:spacing w:line="600" w:lineRule="exact"/>
              <w:jc w:val="center"/>
              <w:rPr>
                <w:rFonts w:hint="default" w:ascii="Times New Roman" w:hAnsi="Times New Roman" w:eastAsia="黑体"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最多中选企业数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pacing w:val="0"/>
                <w:sz w:val="32"/>
                <w:szCs w:val="32"/>
                <w:highlight w:val="none"/>
                <w:vertAlign w:val="baseli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1-6</w:t>
            </w:r>
          </w:p>
        </w:tc>
        <w:tc>
          <w:tcPr>
            <w:tcW w:w="3899" w:type="dxa"/>
            <w:vAlign w:val="center"/>
          </w:tcPr>
          <w:p>
            <w:pPr>
              <w:widowControl/>
              <w:shd w:val="clear"/>
              <w:spacing w:line="600" w:lineRule="exact"/>
              <w:jc w:val="center"/>
              <w:rPr>
                <w:rFonts w:hint="default" w:ascii="Times New Roman" w:hAnsi="Times New Roman" w:eastAsia="仿宋_GB2312"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7</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10</w:t>
            </w:r>
          </w:p>
        </w:tc>
        <w:tc>
          <w:tcPr>
            <w:tcW w:w="3899" w:type="dxa"/>
            <w:vAlign w:val="center"/>
          </w:tcPr>
          <w:p>
            <w:pPr>
              <w:widowControl/>
              <w:shd w:val="clear"/>
              <w:spacing w:line="600" w:lineRule="exact"/>
              <w:jc w:val="center"/>
              <w:rPr>
                <w:rFonts w:hint="default" w:ascii="Times New Roman" w:hAnsi="Times New Roman" w:eastAsia="仿宋_GB2312"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&gt;10</w:t>
            </w:r>
          </w:p>
        </w:tc>
        <w:tc>
          <w:tcPr>
            <w:tcW w:w="3899" w:type="dxa"/>
            <w:vAlign w:val="center"/>
          </w:tcPr>
          <w:p>
            <w:pPr>
              <w:widowControl/>
              <w:shd w:val="clear"/>
              <w:spacing w:line="600" w:lineRule="exact"/>
              <w:jc w:val="cente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6</w:t>
            </w:r>
          </w:p>
        </w:tc>
      </w:tr>
    </w:tbl>
    <w:p>
      <w:pPr>
        <w:keepNext w:val="0"/>
        <w:keepLines w:val="0"/>
        <w:pageBreakBefore w:val="0"/>
        <w:widowControl w:val="0"/>
        <w:numPr>
          <w:ilvl w:val="-1"/>
          <w:numId w:val="0"/>
        </w:numPr>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（2）B组</w:t>
      </w:r>
    </w:p>
    <w:tbl>
      <w:tblPr>
        <w:tblStyle w:val="6"/>
        <w:tblW w:w="90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3"/>
        <w:gridCol w:w="3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ind w:firstLine="0" w:firstLineChars="0"/>
              <w:jc w:val="center"/>
              <w:rPr>
                <w:rFonts w:hint="default" w:ascii="Times New Roman" w:hAnsi="Times New Roman" w:eastAsia="黑体"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投标企业数</w:t>
            </w:r>
          </w:p>
        </w:tc>
        <w:tc>
          <w:tcPr>
            <w:tcW w:w="3899" w:type="dxa"/>
            <w:vAlign w:val="center"/>
          </w:tcPr>
          <w:p>
            <w:pPr>
              <w:widowControl/>
              <w:shd w:val="clear"/>
              <w:spacing w:line="600" w:lineRule="exact"/>
              <w:jc w:val="center"/>
              <w:rPr>
                <w:rFonts w:hint="default" w:ascii="Times New Roman" w:hAnsi="Times New Roman" w:eastAsia="黑体"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最多中选企业数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pacing w:val="0"/>
                <w:sz w:val="32"/>
                <w:szCs w:val="32"/>
                <w:highlight w:val="none"/>
                <w:vertAlign w:val="baseli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1-6</w:t>
            </w:r>
          </w:p>
        </w:tc>
        <w:tc>
          <w:tcPr>
            <w:tcW w:w="3899" w:type="dxa"/>
            <w:vAlign w:val="center"/>
          </w:tcPr>
          <w:p>
            <w:pPr>
              <w:widowControl/>
              <w:shd w:val="clear"/>
              <w:spacing w:line="600" w:lineRule="exact"/>
              <w:jc w:val="center"/>
              <w:rPr>
                <w:rFonts w:hint="default" w:ascii="Times New Roman" w:hAnsi="Times New Roman" w:eastAsia="仿宋_GB2312"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pacing w:val="0"/>
                <w:sz w:val="32"/>
                <w:szCs w:val="32"/>
                <w:highlight w:val="none"/>
                <w:vertAlign w:val="baseli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7</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10</w:t>
            </w:r>
          </w:p>
        </w:tc>
        <w:tc>
          <w:tcPr>
            <w:tcW w:w="3899" w:type="dxa"/>
            <w:vAlign w:val="center"/>
          </w:tcPr>
          <w:p>
            <w:pPr>
              <w:widowControl/>
              <w:shd w:val="clear"/>
              <w:spacing w:line="600" w:lineRule="exact"/>
              <w:jc w:val="center"/>
              <w:rPr>
                <w:rFonts w:hint="default" w:ascii="Times New Roman" w:hAnsi="Times New Roman" w:eastAsia="仿宋_GB2312"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163" w:type="dxa"/>
            <w:vAlign w:val="center"/>
          </w:tcPr>
          <w:p>
            <w:pPr>
              <w:widowControl/>
              <w:shd w:val="clear"/>
              <w:spacing w:line="600" w:lineRule="exact"/>
              <w:jc w:val="center"/>
              <w:rPr>
                <w:rFonts w:hint="default" w:ascii="Times New Roman" w:hAnsi="Times New Roman" w:eastAsia="方正仿宋_GBK" w:cs="Times New Roman"/>
                <w:color w:val="000000" w:themeColor="text1"/>
                <w:spacing w:val="0"/>
                <w:sz w:val="32"/>
                <w:szCs w:val="32"/>
                <w:highlight w:val="none"/>
                <w:vertAlign w:val="baseline"/>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&gt;10</w:t>
            </w:r>
          </w:p>
        </w:tc>
        <w:tc>
          <w:tcPr>
            <w:tcW w:w="3899" w:type="dxa"/>
            <w:vAlign w:val="center"/>
          </w:tcPr>
          <w:p>
            <w:pPr>
              <w:widowControl/>
              <w:shd w:val="clear"/>
              <w:spacing w:line="600" w:lineRule="exact"/>
              <w:jc w:val="center"/>
              <w:rPr>
                <w:rFonts w:hint="default" w:ascii="Times New Roman" w:hAnsi="Times New Roman" w:eastAsia="仿宋_GB2312" w:cs="Times New Roman"/>
                <w:color w:val="000000" w:themeColor="text1"/>
                <w:spacing w:val="0"/>
                <w:sz w:val="32"/>
                <w:szCs w:val="32"/>
                <w:highlight w:val="none"/>
                <w:vertAlign w:val="baseline"/>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3</w:t>
            </w:r>
          </w:p>
        </w:tc>
      </w:tr>
    </w:tbl>
    <w:p>
      <w:pPr>
        <w:keepNext w:val="0"/>
        <w:keepLines w:val="0"/>
        <w:pageBreakBefore w:val="0"/>
        <w:widowControl w:val="0"/>
        <w:shd w:val="clear"/>
        <w:kinsoku/>
        <w:wordWrap/>
        <w:overflowPunct/>
        <w:topLinePunct w:val="0"/>
        <w:autoSpaceDE/>
        <w:autoSpaceDN/>
        <w:bidi w:val="0"/>
        <w:adjustRightInd/>
        <w:snapToGrid/>
        <w:spacing w:line="592" w:lineRule="exact"/>
        <w:ind w:right="0" w:rightChars="0" w:firstLine="640" w:firstLineChars="200"/>
        <w:outlineLvl w:val="9"/>
        <w:rPr>
          <w:rFonts w:hint="default" w:ascii="Times New Roman" w:hAnsi="Times New Roman" w:eastAsia="黑体" w:cs="Times New Roman"/>
          <w:color w:val="000000" w:themeColor="text1"/>
          <w:spacing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六</w:t>
      </w:r>
      <w:r>
        <w:rPr>
          <w:rFonts w:hint="default" w:ascii="Times New Roman" w:hAnsi="Times New Roman" w:eastAsia="黑体" w:cs="Times New Roman"/>
          <w:color w:val="000000" w:themeColor="text1"/>
          <w:spacing w:val="0"/>
          <w:sz w:val="32"/>
          <w:szCs w:val="32"/>
          <w:highlight w:val="none"/>
          <w14:textFill>
            <w14:solidFill>
              <w14:schemeClr w14:val="tx1"/>
            </w14:solidFill>
          </w14:textFill>
        </w:rPr>
        <w:t>、中选品种确定</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pPr>
      <w:r>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t>（一）拟中选结果纠偏</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FangSong_GB2312" w:cs="Times New Roman"/>
          <w:color w:val="000000" w:themeColor="text1"/>
          <w:sz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拟中选</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价格异常、同评审竞价组拟中选价格相差过大的</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原则上可进行价格纠偏，必要时组织专家进行价格纠偏谈判。</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同品种中选价格高于外省市带量采购中选价格的，应联动外省市带量采购中选价格。</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对价格异常但不接受价格纠偏</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或联动</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的，可取消其</w:t>
      </w:r>
      <w:r>
        <w:rPr>
          <w:rFonts w:hint="default" w:ascii="Times New Roman" w:hAnsi="Times New Roman" w:eastAsia="FangSong_GB2312" w:cs="Times New Roman"/>
          <w:color w:val="000000" w:themeColor="text1"/>
          <w:sz w:val="32"/>
          <w:highlight w:val="none"/>
          <w14:textFill>
            <w14:solidFill>
              <w14:schemeClr w14:val="tx1"/>
            </w14:solidFill>
          </w14:textFill>
        </w:rPr>
        <w:t>拟中</w:t>
      </w:r>
      <w:r>
        <w:rPr>
          <w:rFonts w:hint="default" w:ascii="Times New Roman" w:hAnsi="Times New Roman" w:eastAsia="FangSong_GB2312" w:cs="Times New Roman"/>
          <w:color w:val="000000" w:themeColor="text1"/>
          <w:sz w:val="32"/>
          <w:highlight w:val="none"/>
          <w:lang w:eastAsia="zh-CN"/>
          <w14:textFill>
            <w14:solidFill>
              <w14:schemeClr w14:val="tx1"/>
            </w14:solidFill>
          </w14:textFill>
        </w:rPr>
        <w:t>选</w:t>
      </w:r>
      <w:r>
        <w:rPr>
          <w:rFonts w:hint="default" w:ascii="Times New Roman" w:hAnsi="Times New Roman" w:eastAsia="FangSong_GB2312" w:cs="Times New Roman"/>
          <w:color w:val="000000" w:themeColor="text1"/>
          <w:sz w:val="32"/>
          <w:highlight w:val="none"/>
          <w14:textFill>
            <w14:solidFill>
              <w14:schemeClr w14:val="tx1"/>
            </w14:solidFill>
          </w14:textFill>
        </w:rPr>
        <w:t>资格或中</w:t>
      </w:r>
      <w:r>
        <w:rPr>
          <w:rFonts w:hint="default" w:ascii="Times New Roman" w:hAnsi="Times New Roman" w:eastAsia="FangSong_GB2312" w:cs="Times New Roman"/>
          <w:color w:val="000000" w:themeColor="text1"/>
          <w:sz w:val="32"/>
          <w:highlight w:val="none"/>
          <w:lang w:eastAsia="zh-CN"/>
          <w14:textFill>
            <w14:solidFill>
              <w14:schemeClr w14:val="tx1"/>
            </w14:solidFill>
          </w14:textFill>
        </w:rPr>
        <w:t>选</w:t>
      </w:r>
      <w:r>
        <w:rPr>
          <w:rFonts w:hint="default" w:ascii="Times New Roman" w:hAnsi="Times New Roman" w:eastAsia="FangSong_GB2312" w:cs="Times New Roman"/>
          <w:color w:val="000000" w:themeColor="text1"/>
          <w:sz w:val="32"/>
          <w:highlight w:val="none"/>
          <w14:textFill>
            <w14:solidFill>
              <w14:schemeClr w14:val="tx1"/>
            </w14:solidFill>
          </w14:textFill>
        </w:rPr>
        <w:t>资格。</w:t>
      </w:r>
      <w:r>
        <w:rPr>
          <w:rFonts w:hint="default" w:ascii="Times New Roman" w:hAnsi="Times New Roman" w:eastAsia="FangSong_GB2312" w:cs="Times New Roman"/>
          <w:color w:val="000000" w:themeColor="text1"/>
          <w:sz w:val="32"/>
          <w:highlight w:val="none"/>
          <w:lang w:eastAsia="zh-CN"/>
          <w14:textFill>
            <w14:solidFill>
              <w14:schemeClr w14:val="tx1"/>
            </w14:solidFill>
          </w14:textFill>
        </w:rPr>
        <w:t>同</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评审竞价组</w:t>
      </w:r>
      <w:r>
        <w:rPr>
          <w:rFonts w:hint="default" w:ascii="Times New Roman" w:hAnsi="Times New Roman" w:eastAsia="FangSong_GB2312" w:cs="Times New Roman"/>
          <w:color w:val="000000" w:themeColor="text1"/>
          <w:sz w:val="32"/>
          <w:highlight w:val="none"/>
          <w:lang w:eastAsia="zh-CN"/>
          <w14:textFill>
            <w14:solidFill>
              <w14:schemeClr w14:val="tx1"/>
            </w14:solidFill>
          </w14:textFill>
        </w:rPr>
        <w:t>中选的</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不同型号产品，可适当考虑成本因素进行价格纠偏。</w:t>
      </w:r>
      <w:r>
        <w:rPr>
          <w:rFonts w:hint="default" w:ascii="Times New Roman" w:hAnsi="Times New Roman" w:eastAsia="FangSong_GB2312" w:cs="Times New Roman"/>
          <w:color w:val="000000" w:themeColor="text1"/>
          <w:sz w:val="32"/>
          <w:highlight w:val="none"/>
          <w:lang w:eastAsia="zh-CN"/>
          <w14:textFill>
            <w14:solidFill>
              <w14:schemeClr w14:val="tx1"/>
            </w14:solidFill>
          </w14:textFill>
        </w:rPr>
        <w:t>根据临床意见，结合中选结果，可进一步采取谈判等议价方式，满足临床使用需求。</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pPr>
      <w:r>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t>（二）拟中选结果公示</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拟中选结果</w:t>
      </w:r>
      <w:r>
        <w:rPr>
          <w:rFonts w:hint="default" w:ascii="Times New Roman" w:hAnsi="Times New Roman" w:eastAsia="FangSong_GB2312" w:cs="Times New Roman"/>
          <w:color w:val="000000" w:themeColor="text1"/>
          <w:sz w:val="32"/>
          <w:highlight w:val="none"/>
          <w14:textFill>
            <w14:solidFill>
              <w14:schemeClr w14:val="tx1"/>
            </w14:solidFill>
          </w14:textFill>
        </w:rPr>
        <w:t>通过省采购平台</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公示，并接受申投诉。</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pPr>
      <w:r>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t>（三）中选结果公布</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拟中选结果公示无异议</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和对相关</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申投诉</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进行处理</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后，</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按程序公布</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执行。</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黑体" w:cs="Times New Roman"/>
          <w:color w:val="000000" w:themeColor="text1"/>
          <w:spacing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七</w:t>
      </w:r>
      <w:r>
        <w:rPr>
          <w:rFonts w:hint="default" w:ascii="Times New Roman" w:hAnsi="Times New Roman" w:eastAsia="黑体" w:cs="Times New Roman"/>
          <w:color w:val="000000" w:themeColor="text1"/>
          <w:spacing w:val="0"/>
          <w:sz w:val="32"/>
          <w:szCs w:val="32"/>
          <w:highlight w:val="none"/>
          <w14:textFill>
            <w14:solidFill>
              <w14:schemeClr w14:val="tx1"/>
            </w14:solidFill>
          </w14:textFill>
        </w:rPr>
        <w:t>、采购与配送</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（一）集中带量采购结果执行周</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期中，各医疗机构必须完成中选产品</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约</w:t>
      </w:r>
      <w:r>
        <w:rPr>
          <w:rFonts w:hint="default" w:ascii="Times New Roman" w:hAnsi="Times New Roman" w:eastAsia="仿宋_GB2312" w:cs="Times New Roman"/>
          <w:b w:val="0"/>
          <w:bCs w:val="0"/>
          <w:color w:val="000000" w:themeColor="text1"/>
          <w:spacing w:val="0"/>
          <w:kern w:val="2"/>
          <w:sz w:val="32"/>
          <w:szCs w:val="32"/>
          <w:highlight w:val="none"/>
          <w:lang w:val="en-US" w:eastAsia="zh-CN" w:bidi="ar-SA"/>
          <w14:textFill>
            <w14:solidFill>
              <w14:schemeClr w14:val="tx1"/>
            </w14:solidFill>
          </w14:textFill>
        </w:rPr>
        <w:t>定采购量</w:t>
      </w:r>
      <w:r>
        <w:rPr>
          <w:rFonts w:hint="eastAsia" w:ascii="Times New Roman" w:hAnsi="Times New Roman" w:eastAsia="仿宋_GB2312" w:cs="Times New Roman"/>
          <w:b w:val="0"/>
          <w:bCs w:val="0"/>
          <w:color w:val="000000" w:themeColor="text1"/>
          <w:spacing w:val="0"/>
          <w:kern w:val="2"/>
          <w:sz w:val="32"/>
          <w:szCs w:val="32"/>
          <w:highlight w:val="none"/>
          <w:lang w:val="en-US" w:eastAsia="zh-CN" w:bidi="ar-SA"/>
          <w14:textFill>
            <w14:solidFill>
              <w14:schemeClr w14:val="tx1"/>
            </w14:solidFill>
          </w14:textFill>
        </w:rPr>
        <w:t>且</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必须</w:t>
      </w:r>
      <w:r>
        <w:rPr>
          <w:rFonts w:hint="eastAsia"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采购中选产品中的首选产品，在此基础上，</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吻合器类，A组中选产品约定采购量不得低于该类中标产品总约定采购量的</w:t>
      </w:r>
      <w:r>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60</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%；骨科创伤类、冠脉扩张球囊类A组中选产品约定采购量不得低于该类中标产品总约定采购量的80%</w:t>
      </w:r>
      <w:r>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在完成</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约定</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采购量的基础上，剩余用量可</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通过</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湖南省医用耗材集中采购系统</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采购</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联动目录内产品</w:t>
      </w:r>
      <w:r>
        <w:rPr>
          <w:rFonts w:hint="eastAsia"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联动目录类产品</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采购</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金额不得超过</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本</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医疗机构</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同品类产品</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采购总</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金额的</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3</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pacing w:val="0"/>
          <w:kern w:val="2"/>
          <w:sz w:val="32"/>
          <w:szCs w:val="32"/>
          <w:highlight w:val="none"/>
          <w:lang w:val="en-US" w:eastAsia="zh-CN" w:bidi="ar-SA"/>
          <w14:textFill>
            <w14:solidFill>
              <w14:schemeClr w14:val="tx1"/>
            </w14:solidFill>
          </w14:textFill>
        </w:rPr>
        <w:t>带量采购目录和</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联动目录内采购金额原则上不得超过上年度本医疗机构同类产品实际采购金额，具体管理办法另行制定。</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医疗机构不得采购</w:t>
      </w:r>
      <w:r>
        <w:rPr>
          <w:rFonts w:hint="default" w:ascii="Times New Roman" w:hAnsi="Times New Roman" w:eastAsia="仿宋_GB2312" w:cs="Times New Roman"/>
          <w:b w:val="0"/>
          <w:bCs w:val="0"/>
          <w:color w:val="000000" w:themeColor="text1"/>
          <w:spacing w:val="0"/>
          <w:kern w:val="2"/>
          <w:sz w:val="32"/>
          <w:szCs w:val="32"/>
          <w:highlight w:val="none"/>
          <w:lang w:val="en-US" w:eastAsia="zh-CN" w:bidi="ar-SA"/>
          <w14:textFill>
            <w14:solidFill>
              <w14:schemeClr w14:val="tx1"/>
            </w14:solidFill>
          </w14:textFill>
        </w:rPr>
        <w:t>带量采购目录和</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联动目录之外的同类产品，否则，医保基金不予支付</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二</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）中选品种纳入各医疗机构采购目录</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各级卫生健康、医保部门和医疗机构不得以医用耗材使用品种数量、器械耗材委员会评审为由影响中选产品的</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采购</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使用。</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医疗机构</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不得</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对</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中选品种进行</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各种形式的</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二次议价。</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三</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）采购周期内若提前完成当年约定采购量，超过部分中选企业仍应按中选价格进行供应。</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四</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）中选结果公布后，各医疗机构按照中选产品及其中选价格与配送企业、生产企业签订带量购销合同，并严格履行购销合同，切实保障医用耗材质量和供应。</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黑体" w:cs="Times New Roman"/>
          <w:color w:val="000000" w:themeColor="text1"/>
          <w:spacing w:val="0"/>
          <w:sz w:val="32"/>
          <w:szCs w:val="32"/>
          <w:highlight w:val="none"/>
          <w14:textFill>
            <w14:solidFill>
              <w14:schemeClr w14:val="tx1"/>
            </w14:solidFill>
          </w14:textFill>
        </w:rPr>
      </w:pPr>
      <w:r>
        <w:rPr>
          <w:rFonts w:hint="default" w:ascii="Times New Roman" w:hAnsi="Times New Roman" w:eastAsia="黑体" w:cs="Times New Roman"/>
          <w:color w:val="000000" w:themeColor="text1"/>
          <w:spacing w:val="0"/>
          <w:sz w:val="32"/>
          <w:szCs w:val="32"/>
          <w:highlight w:val="none"/>
          <w:lang w:eastAsia="zh-CN"/>
          <w14:textFill>
            <w14:solidFill>
              <w14:schemeClr w14:val="tx1"/>
            </w14:solidFill>
          </w14:textFill>
        </w:rPr>
        <w:t>八</w:t>
      </w:r>
      <w:r>
        <w:rPr>
          <w:rFonts w:hint="default" w:ascii="Times New Roman" w:hAnsi="Times New Roman" w:eastAsia="黑体" w:cs="Times New Roman"/>
          <w:color w:val="000000" w:themeColor="text1"/>
          <w:spacing w:val="0"/>
          <w:sz w:val="32"/>
          <w:szCs w:val="32"/>
          <w:highlight w:val="none"/>
          <w14:textFill>
            <w14:solidFill>
              <w14:schemeClr w14:val="tx1"/>
            </w14:solidFill>
          </w14:textFill>
        </w:rPr>
        <w:t>、医用耗材配送</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中选生产企业直接配送或委托已在省采购平台上备案的具有配送资质和能力的配送企业配送。生产企业是保障医用耗材产品质量和供应的第一责任人，对配送产品的质量和配送服务负主体责任。生产企业应按相对集中的原则，并充分考虑医疗机构对配送企业服务质量、服务信誉的认同程度等，选择配送企业。</w:t>
      </w:r>
    </w:p>
    <w:p>
      <w:pPr>
        <w:pStyle w:val="4"/>
        <w:keepNext w:val="0"/>
        <w:keepLines w:val="0"/>
        <w:pageBreakBefore w:val="0"/>
        <w:widowControl w:val="0"/>
        <w:shd w:val="clear"/>
        <w:kinsoku/>
        <w:wordWrap/>
        <w:overflowPunct/>
        <w:topLinePunct w:val="0"/>
        <w:autoSpaceDE/>
        <w:autoSpaceDN/>
        <w:bidi w:val="0"/>
        <w:adjustRightInd/>
        <w:snapToGrid/>
        <w:spacing w:before="0" w:beforeAutospacing="0" w:after="0" w:afterAutospacing="0" w:line="592" w:lineRule="exact"/>
        <w:ind w:left="0" w:leftChars="0" w:right="0" w:rightChars="0" w:firstLine="640" w:firstLineChars="200"/>
        <w:outlineLvl w:val="9"/>
        <w:rPr>
          <w:rFonts w:hint="default" w:ascii="Times New Roman" w:hAnsi="Times New Roman" w:eastAsia="黑体" w:cs="Times New Roman"/>
          <w:color w:val="000000" w:themeColor="text1"/>
          <w:spacing w:val="0"/>
          <w:kern w:val="2"/>
          <w:sz w:val="32"/>
          <w:szCs w:val="32"/>
          <w:highlight w:val="none"/>
          <w:lang w:val="zh-CN" w:eastAsia="zh-CN" w:bidi="ar-SA"/>
          <w14:textFill>
            <w14:solidFill>
              <w14:schemeClr w14:val="tx1"/>
            </w14:solidFill>
          </w14:textFill>
        </w:rPr>
      </w:pPr>
      <w:r>
        <w:rPr>
          <w:rFonts w:hint="default" w:ascii="Times New Roman" w:hAnsi="Times New Roman" w:eastAsia="黑体" w:cs="Times New Roman"/>
          <w:color w:val="000000" w:themeColor="text1"/>
          <w:spacing w:val="0"/>
          <w:kern w:val="2"/>
          <w:sz w:val="32"/>
          <w:szCs w:val="32"/>
          <w:highlight w:val="none"/>
          <w:lang w:val="en-US" w:eastAsia="zh-CN" w:bidi="ar-SA"/>
          <w14:textFill>
            <w14:solidFill>
              <w14:schemeClr w14:val="tx1"/>
            </w14:solidFill>
          </w14:textFill>
        </w:rPr>
        <w:t>九、货款</w:t>
      </w:r>
      <w:r>
        <w:rPr>
          <w:rFonts w:hint="default" w:ascii="Times New Roman" w:hAnsi="Times New Roman" w:eastAsia="黑体" w:cs="Times New Roman"/>
          <w:color w:val="000000" w:themeColor="text1"/>
          <w:spacing w:val="0"/>
          <w:kern w:val="2"/>
          <w:sz w:val="32"/>
          <w:szCs w:val="32"/>
          <w:highlight w:val="none"/>
          <w:lang w:val="zh-CN" w:eastAsia="zh-CN" w:bidi="ar-SA"/>
          <w14:textFill>
            <w14:solidFill>
              <w14:schemeClr w14:val="tx1"/>
            </w14:solidFill>
          </w14:textFill>
        </w:rPr>
        <w:t>结算</w:t>
      </w:r>
    </w:p>
    <w:p>
      <w:pPr>
        <w:keepNext w:val="0"/>
        <w:keepLines w:val="0"/>
        <w:pageBreakBefore w:val="0"/>
        <w:widowControl w:val="0"/>
        <w:shd w:val="clear"/>
        <w:tabs>
          <w:tab w:val="left" w:pos="602"/>
        </w:tabs>
        <w:kinsoku/>
        <w:wordWrap/>
        <w:overflowPunct/>
        <w:topLinePunct w:val="0"/>
        <w:autoSpaceDE/>
        <w:autoSpaceDN/>
        <w:bidi w:val="0"/>
        <w:adjustRightInd/>
        <w:snapToGrid/>
        <w:spacing w:line="592" w:lineRule="exact"/>
        <w:ind w:left="0" w:leftChars="0" w:right="0" w:rightChars="0" w:firstLine="640" w:firstLineChars="200"/>
        <w:jc w:val="left"/>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（一）</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医疗机构应将医用耗材收支纳入预算管理，医药购销合同约定的货款结算周期</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不得大于</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90天</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w:t>
      </w:r>
    </w:p>
    <w:p>
      <w:pPr>
        <w:keepNext w:val="0"/>
        <w:keepLines w:val="0"/>
        <w:pageBreakBefore w:val="0"/>
        <w:widowControl w:val="0"/>
        <w:shd w:val="clear"/>
        <w:tabs>
          <w:tab w:val="left" w:pos="602"/>
        </w:tabs>
        <w:kinsoku/>
        <w:wordWrap/>
        <w:overflowPunct/>
        <w:topLinePunct w:val="0"/>
        <w:autoSpaceDE/>
        <w:autoSpaceDN/>
        <w:bidi w:val="0"/>
        <w:adjustRightInd/>
        <w:snapToGrid/>
        <w:spacing w:line="592" w:lineRule="exact"/>
        <w:ind w:left="0" w:leftChars="0" w:right="0" w:rightChars="0" w:firstLine="640" w:firstLineChars="200"/>
        <w:jc w:val="left"/>
        <w:outlineLvl w:val="9"/>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（二）</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省采购平台推进完善在线结算集中支付，实现医用耗材货款在线结算，并实时监控货款结算情况。</w:t>
      </w:r>
      <w:r>
        <w:rPr>
          <w:rFonts w:hint="default" w:ascii="Times New Roman" w:hAnsi="Times New Roman" w:eastAsia="仿宋_GB2312" w:cs="Times New Roman"/>
          <w:b w:val="0"/>
          <w:bCs w:val="0"/>
          <w:color w:val="000000" w:themeColor="text1"/>
          <w:kern w:val="2"/>
          <w:sz w:val="32"/>
          <w:szCs w:val="32"/>
          <w:highlight w:val="none"/>
          <w14:textFill>
            <w14:solidFill>
              <w14:schemeClr w14:val="tx1"/>
            </w14:solidFill>
          </w14:textFill>
        </w:rPr>
        <w:t>相关医疗机构、中选</w:t>
      </w:r>
      <w:r>
        <w:rPr>
          <w:rFonts w:hint="default" w:ascii="Times New Roman" w:hAnsi="Times New Roman" w:eastAsia="仿宋_GB2312" w:cs="Times New Roman"/>
          <w:b w:val="0"/>
          <w:bCs w:val="0"/>
          <w:color w:val="000000" w:themeColor="text1"/>
          <w:kern w:val="2"/>
          <w:sz w:val="32"/>
          <w:szCs w:val="32"/>
          <w:highlight w:val="none"/>
          <w:lang w:val="en-US" w:eastAsia="zh-CN"/>
          <w14:textFill>
            <w14:solidFill>
              <w14:schemeClr w14:val="tx1"/>
            </w14:solidFill>
          </w14:textFill>
        </w:rPr>
        <w:t>企业</w:t>
      </w:r>
      <w:r>
        <w:rPr>
          <w:rFonts w:hint="default" w:ascii="Times New Roman" w:hAnsi="Times New Roman" w:eastAsia="仿宋_GB2312" w:cs="Times New Roman"/>
          <w:b w:val="0"/>
          <w:bCs w:val="0"/>
          <w:color w:val="000000" w:themeColor="text1"/>
          <w:kern w:val="2"/>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kern w:val="2"/>
          <w:sz w:val="32"/>
          <w:szCs w:val="32"/>
          <w:highlight w:val="none"/>
          <w14:textFill>
            <w14:solidFill>
              <w14:schemeClr w14:val="tx1"/>
            </w14:solidFill>
          </w14:textFill>
        </w:rPr>
        <w:t>配送企业必须在省采购平台完成采购、配送、入库的全部流程，并按规定执行网上在线结算，严禁网外采购。</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网外采购的产品医保基金不予支付。</w:t>
      </w:r>
    </w:p>
    <w:p>
      <w:pPr>
        <w:keepNext w:val="0"/>
        <w:keepLines w:val="0"/>
        <w:pageBreakBefore w:val="0"/>
        <w:widowControl/>
        <w:shd w:val="clear"/>
        <w:tabs>
          <w:tab w:val="left" w:pos="602"/>
        </w:tabs>
        <w:kinsoku/>
        <w:wordWrap/>
        <w:overflowPunct/>
        <w:topLinePunct w:val="0"/>
        <w:autoSpaceDE/>
        <w:autoSpaceDN/>
        <w:bidi w:val="0"/>
        <w:adjustRightInd/>
        <w:snapToGrid/>
        <w:spacing w:line="592" w:lineRule="exact"/>
        <w:ind w:left="0" w:leftChars="0" w:right="0" w:rightChars="0" w:firstLine="640" w:firstLineChars="200"/>
        <w:jc w:val="left"/>
        <w:outlineLvl w:val="9"/>
        <w:rPr>
          <w:rFonts w:hint="default" w:ascii="Times New Roman" w:hAnsi="Times New Roman" w:eastAsia="仿宋_GB2312" w:cs="Times New Roman"/>
          <w:color w:val="000000" w:themeColor="text1"/>
          <w:spacing w:val="0"/>
          <w:kern w:val="0"/>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（三）</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各级</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医疗保障部门要进一步加强基金结算管理，提升基金使用效能，60天内应完成对协议医疗机构联网结算住院申报费用的支付工作，并将经办机构结算支付情况纳入相关考核，积极探索医保基金预付，切实有效降低医疗机构财务成本。创新医保管理，制定医疗机构药品货款结算情况与医保总控指标、医保基金年度额度结余留用、医保相关考核评价等有效衔接的具体措施。</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各级</w:t>
      </w:r>
      <w:r>
        <w:rPr>
          <w:rFonts w:hint="default" w:ascii="Times New Roman" w:hAnsi="Times New Roman" w:eastAsia="仿宋_GB2312" w:cs="Times New Roman"/>
          <w:color w:val="000000" w:themeColor="text1"/>
          <w:kern w:val="0"/>
          <w:sz w:val="32"/>
          <w:szCs w:val="32"/>
          <w:highlight w:val="none"/>
          <w14:textFill>
            <w14:solidFill>
              <w14:schemeClr w14:val="tx1"/>
            </w14:solidFill>
          </w14:textFill>
        </w:rPr>
        <w:t>医疗保障部门</w:t>
      </w:r>
      <w:r>
        <w:rPr>
          <w:rFonts w:hint="default" w:ascii="Times New Roman" w:hAnsi="Times New Roman" w:eastAsia="仿宋_GB2312" w:cs="Times New Roman"/>
          <w:color w:val="000000" w:themeColor="text1"/>
          <w:kern w:val="0"/>
          <w:sz w:val="32"/>
          <w:szCs w:val="32"/>
          <w:highlight w:val="none"/>
          <w:lang w:eastAsia="zh-CN"/>
          <w14:textFill>
            <w14:solidFill>
              <w14:schemeClr w14:val="tx1"/>
            </w14:solidFill>
          </w14:textFill>
        </w:rPr>
        <w:t>、卫健部门要将</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医用耗材</w:t>
      </w:r>
      <w:r>
        <w:rPr>
          <w:rFonts w:hint="default" w:ascii="Times New Roman" w:hAnsi="Times New Roman" w:eastAsia="仿宋_GB2312" w:cs="Times New Roman"/>
          <w:color w:val="000000" w:themeColor="text1"/>
          <w:spacing w:val="0"/>
          <w:kern w:val="0"/>
          <w:sz w:val="32"/>
          <w:szCs w:val="32"/>
          <w:highlight w:val="none"/>
          <w14:textFill>
            <w14:solidFill>
              <w14:schemeClr w14:val="tx1"/>
            </w14:solidFill>
          </w14:textFill>
        </w:rPr>
        <w:t>货款结算纳入医保定点协议考核、公立医疗机构绩效考核评价、分级管理等级评定、医疗机构负责人目标责任考核等考核范围，对拖延货款的医疗机构，将视情节轻重给予通报批评、限期整改、责令支付违约金等处理。</w:t>
      </w:r>
    </w:p>
    <w:p>
      <w:pPr>
        <w:keepNext w:val="0"/>
        <w:keepLines w:val="0"/>
        <w:pageBreakBefore w:val="0"/>
        <w:widowControl w:val="0"/>
        <w:shd w:val="clear"/>
        <w:kinsoku/>
        <w:wordWrap/>
        <w:overflowPunct/>
        <w:topLinePunct w:val="0"/>
        <w:autoSpaceDE/>
        <w:autoSpaceDN/>
        <w:bidi w:val="0"/>
        <w:adjustRightInd/>
        <w:snapToGrid/>
        <w:spacing w:line="592" w:lineRule="exact"/>
        <w:ind w:left="0" w:leftChars="0" w:right="0" w:rightChars="0" w:firstLine="640" w:firstLineChars="200"/>
        <w:outlineLvl w:val="9"/>
        <w:rPr>
          <w:rFonts w:hint="default" w:ascii="Times New Roman" w:hAnsi="Times New Roman" w:eastAsia="黑体" w:cs="Times New Roman"/>
          <w:color w:val="000000" w:themeColor="text1"/>
          <w:spacing w:val="0"/>
          <w:kern w:val="2"/>
          <w:sz w:val="32"/>
          <w:szCs w:val="32"/>
          <w:highlight w:val="none"/>
          <w:lang w:val="en-US" w:eastAsia="zh-CN" w:bidi="ar-SA"/>
          <w14:textFill>
            <w14:solidFill>
              <w14:schemeClr w14:val="tx1"/>
            </w14:solidFill>
          </w14:textFill>
        </w:rPr>
      </w:pPr>
      <w:r>
        <w:rPr>
          <w:rFonts w:hint="default" w:ascii="Times New Roman" w:hAnsi="Times New Roman" w:eastAsia="黑体" w:cs="Times New Roman"/>
          <w:color w:val="000000" w:themeColor="text1"/>
          <w:spacing w:val="0"/>
          <w:kern w:val="2"/>
          <w:sz w:val="32"/>
          <w:szCs w:val="32"/>
          <w:highlight w:val="none"/>
          <w:lang w:val="en-US" w:eastAsia="zh-CN" w:bidi="ar-SA"/>
          <w14:textFill>
            <w14:solidFill>
              <w14:schemeClr w14:val="tx1"/>
            </w14:solidFill>
          </w14:textFill>
        </w:rPr>
        <w:t>十、监督管理</w:t>
      </w:r>
    </w:p>
    <w:p>
      <w:pPr>
        <w:pStyle w:val="4"/>
        <w:keepNext w:val="0"/>
        <w:keepLines w:val="0"/>
        <w:pageBreakBefore w:val="0"/>
        <w:widowControl w:val="0"/>
        <w:shd w:val="clear" w:color="auto"/>
        <w:kinsoku/>
        <w:wordWrap/>
        <w:overflowPunct/>
        <w:topLinePunct w:val="0"/>
        <w:autoSpaceDE/>
        <w:autoSpaceDN/>
        <w:bidi w:val="0"/>
        <w:adjustRightInd/>
        <w:snapToGrid/>
        <w:spacing w:before="0" w:beforeAutospacing="0" w:after="0" w:afterAutospacing="0"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kern w:val="2"/>
          <w:sz w:val="32"/>
          <w:szCs w:val="32"/>
          <w:highlight w:val="none"/>
          <w14:textFill>
            <w14:solidFill>
              <w14:schemeClr w14:val="tx1"/>
            </w14:solidFill>
          </w14:textFill>
        </w:rPr>
      </w:pPr>
      <w:r>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t>（一）压实工作责任。</w:t>
      </w:r>
      <w:r>
        <w:rPr>
          <w:rFonts w:hint="default" w:ascii="Times New Roman" w:hAnsi="Times New Roman" w:eastAsia="仿宋_GB2312" w:cs="Times New Roman"/>
          <w:color w:val="000000" w:themeColor="text1"/>
          <w:spacing w:val="0"/>
          <w:kern w:val="2"/>
          <w:sz w:val="32"/>
          <w:szCs w:val="32"/>
          <w:highlight w:val="none"/>
          <w14:textFill>
            <w14:solidFill>
              <w14:schemeClr w14:val="tx1"/>
            </w14:solidFill>
          </w14:textFill>
        </w:rPr>
        <w:t>各</w:t>
      </w:r>
      <w:r>
        <w:rPr>
          <w:rFonts w:hint="default" w:ascii="Times New Roman" w:hAnsi="Times New Roman" w:eastAsia="仿宋_GB2312" w:cs="Times New Roman"/>
          <w:color w:val="000000" w:themeColor="text1"/>
          <w:spacing w:val="0"/>
          <w:kern w:val="2"/>
          <w:sz w:val="32"/>
          <w:szCs w:val="32"/>
          <w:highlight w:val="none"/>
          <w:lang w:eastAsia="zh-CN"/>
          <w14:textFill>
            <w14:solidFill>
              <w14:schemeClr w14:val="tx1"/>
            </w14:solidFill>
          </w14:textFill>
        </w:rPr>
        <w:t>级</w:t>
      </w:r>
      <w:r>
        <w:rPr>
          <w:rFonts w:hint="default" w:ascii="Times New Roman" w:hAnsi="Times New Roman" w:eastAsia="仿宋_GB2312" w:cs="Times New Roman"/>
          <w:color w:val="000000" w:themeColor="text1"/>
          <w:spacing w:val="0"/>
          <w:kern w:val="2"/>
          <w:sz w:val="32"/>
          <w:szCs w:val="32"/>
          <w:highlight w:val="none"/>
          <w14:textFill>
            <w14:solidFill>
              <w14:schemeClr w14:val="tx1"/>
            </w14:solidFill>
          </w14:textFill>
        </w:rPr>
        <w:t>医保部门要切实做好</w:t>
      </w:r>
      <w:r>
        <w:rPr>
          <w:rFonts w:hint="default" w:ascii="Times New Roman" w:hAnsi="Times New Roman" w:eastAsia="仿宋_GB2312" w:cs="Times New Roman"/>
          <w:color w:val="000000" w:themeColor="text1"/>
          <w:spacing w:val="0"/>
          <w:kern w:val="2"/>
          <w:sz w:val="32"/>
          <w:szCs w:val="32"/>
          <w:highlight w:val="none"/>
          <w:lang w:eastAsia="zh-CN"/>
          <w14:textFill>
            <w14:solidFill>
              <w14:schemeClr w14:val="tx1"/>
            </w14:solidFill>
          </w14:textFill>
        </w:rPr>
        <w:t>耗材</w:t>
      </w:r>
      <w:r>
        <w:rPr>
          <w:rFonts w:hint="eastAsia" w:ascii="Times New Roman" w:hAnsi="Times New Roman" w:eastAsia="仿宋_GB2312" w:cs="Times New Roman"/>
          <w:color w:val="000000" w:themeColor="text1"/>
          <w:spacing w:val="0"/>
          <w:kern w:val="2"/>
          <w:sz w:val="32"/>
          <w:szCs w:val="32"/>
          <w:highlight w:val="none"/>
          <w:lang w:eastAsia="zh-CN"/>
          <w14:textFill>
            <w14:solidFill>
              <w14:schemeClr w14:val="tx1"/>
            </w14:solidFill>
          </w14:textFill>
        </w:rPr>
        <w:t>带量</w:t>
      </w:r>
      <w:r>
        <w:rPr>
          <w:rFonts w:hint="default" w:ascii="Times New Roman" w:hAnsi="Times New Roman" w:eastAsia="仿宋_GB2312" w:cs="Times New Roman"/>
          <w:color w:val="000000" w:themeColor="text1"/>
          <w:spacing w:val="0"/>
          <w:kern w:val="2"/>
          <w:sz w:val="32"/>
          <w:szCs w:val="32"/>
          <w:highlight w:val="none"/>
          <w14:textFill>
            <w14:solidFill>
              <w14:schemeClr w14:val="tx1"/>
            </w14:solidFill>
          </w14:textFill>
        </w:rPr>
        <w:t>采购的组织管理和实施工作</w:t>
      </w:r>
      <w:r>
        <w:rPr>
          <w:rFonts w:hint="default" w:ascii="Times New Roman" w:hAnsi="Times New Roman" w:eastAsia="仿宋_GB2312" w:cs="Times New Roman"/>
          <w:color w:val="000000" w:themeColor="text1"/>
          <w:spacing w:val="0"/>
          <w:kern w:val="2"/>
          <w:sz w:val="32"/>
          <w:szCs w:val="32"/>
          <w:highlight w:val="none"/>
          <w:lang w:eastAsia="zh-CN"/>
          <w14:textFill>
            <w14:solidFill>
              <w14:schemeClr w14:val="tx1"/>
            </w14:solidFill>
          </w14:textFill>
        </w:rPr>
        <w:t>，协同推进、落实激励约束各项改革措施</w:t>
      </w:r>
      <w:r>
        <w:rPr>
          <w:rFonts w:hint="default" w:ascii="Times New Roman" w:hAnsi="Times New Roman" w:eastAsia="仿宋_GB2312" w:cs="Times New Roman"/>
          <w:color w:val="000000" w:themeColor="text1"/>
          <w:spacing w:val="0"/>
          <w:kern w:val="2"/>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kern w:val="0"/>
          <w:sz w:val="32"/>
          <w:szCs w:val="32"/>
          <w:highlight w:val="none"/>
          <w14:textFill>
            <w14:solidFill>
              <w14:schemeClr w14:val="tx1"/>
            </w14:solidFill>
          </w14:textFill>
        </w:rPr>
        <w:t>要</w:t>
      </w:r>
      <w:r>
        <w:rPr>
          <w:rFonts w:hint="default" w:ascii="Times New Roman" w:hAnsi="Times New Roman" w:eastAsia="仿宋_GB2312" w:cs="Times New Roman"/>
          <w:color w:val="000000" w:themeColor="text1"/>
          <w:spacing w:val="0"/>
          <w:kern w:val="0"/>
          <w:sz w:val="32"/>
          <w:szCs w:val="32"/>
          <w:highlight w:val="none"/>
          <w:lang w:eastAsia="zh-CN"/>
          <w14:textFill>
            <w14:solidFill>
              <w14:schemeClr w14:val="tx1"/>
            </w14:solidFill>
          </w14:textFill>
        </w:rPr>
        <w:t>积极采取结余留用、基金预付、货款医保基金直接结算、区别制定医保待遇支付政策、</w:t>
      </w:r>
      <w:r>
        <w:rPr>
          <w:rFonts w:hint="default" w:ascii="Times New Roman" w:hAnsi="Times New Roman" w:eastAsia="仿宋_GB2312" w:cs="Times New Roman"/>
          <w:color w:val="000000" w:themeColor="text1"/>
          <w:spacing w:val="0"/>
          <w:kern w:val="0"/>
          <w:sz w:val="32"/>
          <w:szCs w:val="32"/>
          <w:highlight w:val="none"/>
          <w14:textFill>
            <w14:solidFill>
              <w14:schemeClr w14:val="tx1"/>
            </w14:solidFill>
          </w14:textFill>
        </w:rPr>
        <w:t>缩短</w:t>
      </w:r>
      <w:r>
        <w:rPr>
          <w:rFonts w:hint="default" w:ascii="Times New Roman" w:hAnsi="Times New Roman" w:eastAsia="仿宋_GB2312" w:cs="Times New Roman"/>
          <w:color w:val="000000" w:themeColor="text1"/>
          <w:spacing w:val="0"/>
          <w:kern w:val="0"/>
          <w:sz w:val="32"/>
          <w:szCs w:val="32"/>
          <w:highlight w:val="none"/>
          <w:lang w:eastAsia="zh-CN"/>
          <w14:textFill>
            <w14:solidFill>
              <w14:schemeClr w14:val="tx1"/>
            </w14:solidFill>
          </w14:textFill>
        </w:rPr>
        <w:t>医保</w:t>
      </w:r>
      <w:r>
        <w:rPr>
          <w:rFonts w:hint="default" w:ascii="Times New Roman" w:hAnsi="Times New Roman" w:eastAsia="仿宋_GB2312" w:cs="Times New Roman"/>
          <w:color w:val="000000" w:themeColor="text1"/>
          <w:spacing w:val="0"/>
          <w:kern w:val="0"/>
          <w:sz w:val="32"/>
          <w:szCs w:val="32"/>
          <w:highlight w:val="none"/>
          <w14:textFill>
            <w14:solidFill>
              <w14:schemeClr w14:val="tx1"/>
            </w14:solidFill>
          </w14:textFill>
        </w:rPr>
        <w:t>基金结算周期</w:t>
      </w:r>
      <w:r>
        <w:rPr>
          <w:rFonts w:hint="default" w:ascii="Times New Roman" w:hAnsi="Times New Roman" w:eastAsia="仿宋_GB2312" w:cs="Times New Roman"/>
          <w:color w:val="000000" w:themeColor="text1"/>
          <w:spacing w:val="0"/>
          <w:kern w:val="0"/>
          <w:sz w:val="32"/>
          <w:szCs w:val="32"/>
          <w:highlight w:val="none"/>
          <w:lang w:eastAsia="zh-CN"/>
          <w14:textFill>
            <w14:solidFill>
              <w14:schemeClr w14:val="tx1"/>
            </w14:solidFill>
          </w14:textFill>
        </w:rPr>
        <w:t>等激励措施，</w:t>
      </w:r>
      <w:r>
        <w:rPr>
          <w:rFonts w:hint="default" w:ascii="Times New Roman" w:hAnsi="Times New Roman" w:eastAsia="仿宋_GB2312" w:cs="Times New Roman"/>
          <w:color w:val="000000" w:themeColor="text1"/>
          <w:spacing w:val="0"/>
          <w:kern w:val="0"/>
          <w:sz w:val="32"/>
          <w:szCs w:val="32"/>
          <w:highlight w:val="none"/>
          <w14:textFill>
            <w14:solidFill>
              <w14:schemeClr w14:val="tx1"/>
            </w14:solidFill>
          </w14:textFill>
        </w:rPr>
        <w:t>有效降低医疗机构财务成本</w:t>
      </w:r>
      <w:r>
        <w:rPr>
          <w:rFonts w:hint="default" w:ascii="Times New Roman" w:hAnsi="Times New Roman" w:eastAsia="仿宋_GB2312" w:cs="Times New Roman"/>
          <w:color w:val="000000" w:themeColor="text1"/>
          <w:spacing w:val="0"/>
          <w:kern w:val="0"/>
          <w:sz w:val="32"/>
          <w:szCs w:val="32"/>
          <w:highlight w:val="none"/>
          <w:lang w:eastAsia="zh-CN"/>
          <w14:textFill>
            <w14:solidFill>
              <w14:schemeClr w14:val="tx1"/>
            </w14:solidFill>
          </w14:textFill>
        </w:rPr>
        <w:t>，提高医疗机构、相关企业参与改革的积极性</w:t>
      </w:r>
      <w:r>
        <w:rPr>
          <w:rFonts w:hint="default" w:ascii="Times New Roman" w:hAnsi="Times New Roman" w:eastAsia="仿宋_GB2312" w:cs="Times New Roman"/>
          <w:color w:val="000000" w:themeColor="text1"/>
          <w:spacing w:val="0"/>
          <w:kern w:val="0"/>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pacing w:val="0"/>
          <w:kern w:val="2"/>
          <w:sz w:val="32"/>
          <w:szCs w:val="32"/>
          <w:highlight w:val="none"/>
          <w14:textFill>
            <w14:solidFill>
              <w14:schemeClr w14:val="tx1"/>
            </w14:solidFill>
          </w14:textFill>
        </w:rPr>
        <w:t>卫生健康部门负责对医疗机构落实中选</w:t>
      </w:r>
      <w:r>
        <w:rPr>
          <w:rFonts w:hint="default" w:ascii="Times New Roman" w:hAnsi="Times New Roman" w:eastAsia="仿宋_GB2312" w:cs="Times New Roman"/>
          <w:color w:val="000000" w:themeColor="text1"/>
          <w:spacing w:val="0"/>
          <w:kern w:val="2"/>
          <w:sz w:val="32"/>
          <w:szCs w:val="32"/>
          <w:highlight w:val="none"/>
          <w:lang w:eastAsia="zh-CN"/>
          <w14:textFill>
            <w14:solidFill>
              <w14:schemeClr w14:val="tx1"/>
            </w14:solidFill>
          </w14:textFill>
        </w:rPr>
        <w:t>产品</w:t>
      </w:r>
      <w:r>
        <w:rPr>
          <w:rFonts w:hint="default" w:ascii="Times New Roman" w:hAnsi="Times New Roman" w:eastAsia="仿宋_GB2312" w:cs="Times New Roman"/>
          <w:color w:val="000000" w:themeColor="text1"/>
          <w:spacing w:val="0"/>
          <w:kern w:val="2"/>
          <w:sz w:val="32"/>
          <w:szCs w:val="32"/>
          <w:highlight w:val="none"/>
          <w14:textFill>
            <w14:solidFill>
              <w14:schemeClr w14:val="tx1"/>
            </w14:solidFill>
          </w14:textFill>
        </w:rPr>
        <w:t>使用</w:t>
      </w:r>
      <w:r>
        <w:rPr>
          <w:rFonts w:hint="default" w:ascii="Times New Roman" w:hAnsi="Times New Roman" w:eastAsia="仿宋_GB2312" w:cs="Times New Roman"/>
          <w:color w:val="000000" w:themeColor="text1"/>
          <w:spacing w:val="0"/>
          <w:kern w:val="2"/>
          <w:sz w:val="32"/>
          <w:szCs w:val="32"/>
          <w:highlight w:val="none"/>
          <w:lang w:eastAsia="zh-CN"/>
          <w14:textFill>
            <w14:solidFill>
              <w14:schemeClr w14:val="tx1"/>
            </w14:solidFill>
          </w14:textFill>
        </w:rPr>
        <w:t>、货款结算等</w:t>
      </w:r>
      <w:r>
        <w:rPr>
          <w:rFonts w:hint="default" w:ascii="Times New Roman" w:hAnsi="Times New Roman" w:eastAsia="仿宋_GB2312" w:cs="Times New Roman"/>
          <w:color w:val="000000" w:themeColor="text1"/>
          <w:spacing w:val="0"/>
          <w:kern w:val="2"/>
          <w:sz w:val="32"/>
          <w:szCs w:val="32"/>
          <w:highlight w:val="none"/>
          <w14:textFill>
            <w14:solidFill>
              <w14:schemeClr w14:val="tx1"/>
            </w14:solidFill>
          </w14:textFill>
        </w:rPr>
        <w:t>情况进行指导和监督</w:t>
      </w:r>
      <w:r>
        <w:rPr>
          <w:rFonts w:hint="default" w:ascii="Times New Roman" w:hAnsi="Times New Roman" w:eastAsia="仿宋_GB2312" w:cs="Times New Roman"/>
          <w:color w:val="000000" w:themeColor="text1"/>
          <w:spacing w:val="0"/>
          <w:kern w:val="2"/>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pacing w:val="0"/>
          <w:kern w:val="2"/>
          <w:sz w:val="32"/>
          <w:szCs w:val="32"/>
          <w:highlight w:val="none"/>
          <w:lang w:val="en-US" w:eastAsia="zh-CN"/>
          <w14:textFill>
            <w14:solidFill>
              <w14:schemeClr w14:val="tx1"/>
            </w14:solidFill>
          </w14:textFill>
        </w:rPr>
        <w:t>市场监督部门</w:t>
      </w:r>
      <w:r>
        <w:rPr>
          <w:rFonts w:hint="default" w:ascii="Times New Roman" w:hAnsi="Times New Roman" w:eastAsia="仿宋_GB2312" w:cs="Times New Roman"/>
          <w:b w:val="0"/>
          <w:bCs w:val="0"/>
          <w:color w:val="000000" w:themeColor="text1"/>
          <w:kern w:val="2"/>
          <w:sz w:val="32"/>
          <w:szCs w:val="32"/>
          <w:highlight w:val="none"/>
          <w:lang w:val="en-US" w:eastAsia="zh-CN"/>
          <w14:textFill>
            <w14:solidFill>
              <w14:schemeClr w14:val="tx1"/>
            </w14:solidFill>
          </w14:textFill>
        </w:rPr>
        <w:t>对医疗机构、药品或医用耗材生产、经营企业价格和履行合同行为进行监管，对</w:t>
      </w:r>
      <w:r>
        <w:rPr>
          <w:rFonts w:hint="default" w:ascii="Times New Roman" w:hAnsi="Times New Roman" w:eastAsia="仿宋_GB2312" w:cs="Times New Roman"/>
          <w:color w:val="000000" w:themeColor="text1"/>
          <w:spacing w:val="0"/>
          <w:kern w:val="2"/>
          <w:sz w:val="32"/>
          <w:szCs w:val="32"/>
          <w:highlight w:val="none"/>
          <w:lang w:eastAsia="zh-CN"/>
          <w14:textFill>
            <w14:solidFill>
              <w14:schemeClr w14:val="tx1"/>
            </w14:solidFill>
          </w14:textFill>
        </w:rPr>
        <w:t>耗材</w:t>
      </w:r>
      <w:r>
        <w:rPr>
          <w:rFonts w:hint="eastAsia" w:ascii="Times New Roman" w:hAnsi="Times New Roman" w:eastAsia="仿宋_GB2312" w:cs="Times New Roman"/>
          <w:color w:val="000000" w:themeColor="text1"/>
          <w:spacing w:val="0"/>
          <w:kern w:val="2"/>
          <w:sz w:val="32"/>
          <w:szCs w:val="32"/>
          <w:highlight w:val="none"/>
          <w:lang w:eastAsia="zh-CN"/>
          <w14:textFill>
            <w14:solidFill>
              <w14:schemeClr w14:val="tx1"/>
            </w14:solidFill>
          </w14:textFill>
        </w:rPr>
        <w:t>带量</w:t>
      </w:r>
      <w:r>
        <w:rPr>
          <w:rFonts w:hint="default" w:ascii="Times New Roman" w:hAnsi="Times New Roman" w:eastAsia="仿宋_GB2312" w:cs="Times New Roman"/>
          <w:color w:val="000000" w:themeColor="text1"/>
          <w:spacing w:val="0"/>
          <w:kern w:val="2"/>
          <w:sz w:val="32"/>
          <w:szCs w:val="32"/>
          <w:highlight w:val="none"/>
          <w14:textFill>
            <w14:solidFill>
              <w14:schemeClr w14:val="tx1"/>
            </w14:solidFill>
          </w14:textFill>
        </w:rPr>
        <w:t>采购</w:t>
      </w:r>
      <w:r>
        <w:rPr>
          <w:rFonts w:hint="default" w:ascii="Times New Roman" w:hAnsi="Times New Roman" w:eastAsia="仿宋_GB2312" w:cs="Times New Roman"/>
          <w:b w:val="0"/>
          <w:bCs w:val="0"/>
          <w:color w:val="000000" w:themeColor="text1"/>
          <w:kern w:val="2"/>
          <w:sz w:val="32"/>
          <w:szCs w:val="32"/>
          <w:highlight w:val="none"/>
          <w:lang w:val="en-US" w:eastAsia="zh-CN"/>
          <w14:textFill>
            <w14:solidFill>
              <w14:schemeClr w14:val="tx1"/>
            </w14:solidFill>
          </w14:textFill>
        </w:rPr>
        <w:t>中的商业贿赂等不正当竞争行为进行监督检查</w:t>
      </w:r>
      <w:r>
        <w:rPr>
          <w:rFonts w:hint="eastAsia" w:ascii="Times New Roman" w:hAnsi="Times New Roman" w:eastAsia="仿宋_GB2312" w:cs="Times New Roman"/>
          <w:b w:val="0"/>
          <w:bCs w:val="0"/>
          <w:color w:val="000000" w:themeColor="text1"/>
          <w:kern w:val="2"/>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kern w:val="2"/>
          <w:sz w:val="32"/>
          <w:szCs w:val="32"/>
          <w:highlight w:val="none"/>
          <w:lang w:val="en-US" w:eastAsia="zh-CN"/>
          <w14:textFill>
            <w14:solidFill>
              <w14:schemeClr w14:val="tx1"/>
            </w14:solidFill>
          </w14:textFill>
        </w:rPr>
        <w:t>药品监督管理部门要加大对中选品种的抽检、飞行检查、生产环节检查力度</w:t>
      </w:r>
      <w:r>
        <w:rPr>
          <w:rFonts w:hint="eastAsia" w:ascii="Times New Roman" w:hAnsi="Times New Roman" w:eastAsia="仿宋_GB2312" w:cs="Times New Roman"/>
          <w:color w:val="000000" w:themeColor="text1"/>
          <w:spacing w:val="0"/>
          <w:kern w:val="2"/>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pacing w:val="0"/>
          <w:kern w:val="2"/>
          <w:sz w:val="32"/>
          <w:szCs w:val="32"/>
          <w:highlight w:val="none"/>
          <w:lang w:val="en-US" w:eastAsia="zh-CN"/>
          <w14:textFill>
            <w14:solidFill>
              <w14:schemeClr w14:val="tx1"/>
            </w14:solidFill>
          </w14:textFill>
        </w:rPr>
        <w:t>省公共资源交易中心要</w:t>
      </w:r>
      <w:r>
        <w:rPr>
          <w:rFonts w:hint="default" w:ascii="Times New Roman" w:hAnsi="Times New Roman" w:eastAsia="FangSong_GB2312" w:cs="Times New Roman"/>
          <w:color w:val="000000" w:themeColor="text1"/>
          <w:sz w:val="32"/>
          <w:highlight w:val="none"/>
          <w14:textFill>
            <w14:solidFill>
              <w14:schemeClr w14:val="tx1"/>
            </w14:solidFill>
          </w14:textFill>
        </w:rPr>
        <w:t>加强省采购平台建设，</w:t>
      </w:r>
      <w:r>
        <w:rPr>
          <w:rFonts w:hint="default" w:ascii="Times New Roman" w:hAnsi="Times New Roman" w:eastAsia="FangSong_GB2312" w:cs="Times New Roman"/>
          <w:color w:val="000000" w:themeColor="text1"/>
          <w:sz w:val="32"/>
          <w:highlight w:val="none"/>
          <w:lang w:eastAsia="zh-CN"/>
          <w14:textFill>
            <w14:solidFill>
              <w14:schemeClr w14:val="tx1"/>
            </w14:solidFill>
          </w14:textFill>
        </w:rPr>
        <w:t>做好带量采购具体执行操作，推进医用耗材在线结算等相关工作。</w:t>
      </w:r>
      <w:r>
        <w:rPr>
          <w:rFonts w:hint="default" w:ascii="Times New Roman" w:hAnsi="Times New Roman" w:eastAsia="仿宋_GB2312" w:cs="Times New Roman"/>
          <w:color w:val="000000" w:themeColor="text1"/>
          <w:spacing w:val="0"/>
          <w:kern w:val="2"/>
          <w:sz w:val="32"/>
          <w:szCs w:val="32"/>
          <w:highlight w:val="none"/>
          <w14:textFill>
            <w14:solidFill>
              <w14:schemeClr w14:val="tx1"/>
            </w14:solidFill>
          </w14:textFill>
        </w:rPr>
        <w:t>公立医疗机构作为医用耗材采购使用执行主体，要积极上报采购信息、签订采购合同、</w:t>
      </w:r>
      <w:r>
        <w:rPr>
          <w:rFonts w:hint="default" w:ascii="Times New Roman" w:hAnsi="Times New Roman" w:eastAsia="仿宋_GB2312" w:cs="Times New Roman"/>
          <w:color w:val="000000" w:themeColor="text1"/>
          <w:spacing w:val="0"/>
          <w:kern w:val="2"/>
          <w:sz w:val="32"/>
          <w:szCs w:val="32"/>
          <w:highlight w:val="none"/>
          <w:lang w:eastAsia="zh-CN"/>
          <w14:textFill>
            <w14:solidFill>
              <w14:schemeClr w14:val="tx1"/>
            </w14:solidFill>
          </w14:textFill>
        </w:rPr>
        <w:t>及时</w:t>
      </w:r>
      <w:r>
        <w:rPr>
          <w:rFonts w:hint="default" w:ascii="Times New Roman" w:hAnsi="Times New Roman" w:eastAsia="仿宋_GB2312" w:cs="Times New Roman"/>
          <w:color w:val="000000" w:themeColor="text1"/>
          <w:spacing w:val="0"/>
          <w:kern w:val="2"/>
          <w:sz w:val="32"/>
          <w:szCs w:val="32"/>
          <w:highlight w:val="none"/>
          <w14:textFill>
            <w14:solidFill>
              <w14:schemeClr w14:val="tx1"/>
            </w14:solidFill>
          </w14:textFill>
        </w:rPr>
        <w:t>支付耗材货款</w:t>
      </w:r>
      <w:r>
        <w:rPr>
          <w:rFonts w:hint="default" w:ascii="Times New Roman" w:hAnsi="Times New Roman" w:eastAsia="仿宋_GB2312" w:cs="Times New Roman"/>
          <w:color w:val="000000" w:themeColor="text1"/>
          <w:spacing w:val="0"/>
          <w:kern w:val="2"/>
          <w:sz w:val="32"/>
          <w:szCs w:val="32"/>
          <w:highlight w:val="none"/>
          <w:lang w:eastAsia="zh-CN"/>
          <w14:textFill>
            <w14:solidFill>
              <w14:schemeClr w14:val="tx1"/>
            </w14:solidFill>
          </w14:textFill>
        </w:rPr>
        <w:t>、杜绝线下采购</w:t>
      </w:r>
      <w:r>
        <w:rPr>
          <w:rFonts w:hint="default" w:ascii="Times New Roman" w:hAnsi="Times New Roman" w:eastAsia="仿宋_GB2312" w:cs="Times New Roman"/>
          <w:color w:val="000000" w:themeColor="text1"/>
          <w:spacing w:val="0"/>
          <w:kern w:val="2"/>
          <w:sz w:val="32"/>
          <w:szCs w:val="32"/>
          <w:highlight w:val="none"/>
          <w14:textFill>
            <w14:solidFill>
              <w14:schemeClr w14:val="tx1"/>
            </w14:solidFill>
          </w14:textFill>
        </w:rPr>
        <w:t>。各级医保部门负责对公立医疗机构采购行为进行督促执行。</w:t>
      </w:r>
    </w:p>
    <w:p>
      <w:pPr>
        <w:pStyle w:val="4"/>
        <w:keepNext w:val="0"/>
        <w:keepLines w:val="0"/>
        <w:pageBreakBefore w:val="0"/>
        <w:widowControl w:val="0"/>
        <w:shd w:val="clear" w:color="auto"/>
        <w:kinsoku/>
        <w:wordWrap/>
        <w:overflowPunct/>
        <w:topLinePunct w:val="0"/>
        <w:autoSpaceDE/>
        <w:autoSpaceDN/>
        <w:bidi w:val="0"/>
        <w:adjustRightInd/>
        <w:snapToGrid/>
        <w:spacing w:before="0" w:beforeAutospacing="0" w:after="0" w:afterAutospacing="0"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kern w:val="2"/>
          <w:sz w:val="32"/>
          <w:szCs w:val="32"/>
          <w:highlight w:val="none"/>
          <w14:textFill>
            <w14:solidFill>
              <w14:schemeClr w14:val="tx1"/>
            </w14:solidFill>
          </w14:textFill>
        </w:rPr>
      </w:pPr>
      <w:r>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t>（二）监管采购行为。</w:t>
      </w:r>
      <w:r>
        <w:rPr>
          <w:rFonts w:hint="eastAsia" w:ascii="Times New Roman" w:hAnsi="Times New Roman" w:eastAsia="仿宋_GB2312" w:cs="Times New Roman"/>
          <w:color w:val="000000" w:themeColor="text1"/>
          <w:spacing w:val="0"/>
          <w:kern w:val="2"/>
          <w:sz w:val="32"/>
          <w:szCs w:val="32"/>
          <w:highlight w:val="none"/>
          <w:lang w:val="en-US" w:eastAsia="zh-CN"/>
          <w14:textFill>
            <w14:solidFill>
              <w14:schemeClr w14:val="tx1"/>
            </w14:solidFill>
          </w14:textFill>
        </w:rPr>
        <w:t>会同有关职能部门对投标企业提供的相关销售资料进行重点核实。</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对</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投标企业</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漏报、瞒报价格信息，在耗材</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带量</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采购过程中提供虚假</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销售</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证明材料、恶意诬告、相互串通报价，</w:t>
      </w:r>
      <w:r>
        <w:rPr>
          <w:rFonts w:hint="eastAsia"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低于成本报价、恶性竞争扰乱招投标政策秩序，</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中</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选</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后拒不签订购销合同、供应质量不达标产品、未按合同规定及时配送供货等行为，视情节轻重给予函询、约谈、通报、直至取消</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投标、</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中</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选</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、配送</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等</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资格</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，并列入</w:t>
      </w:r>
      <w:r>
        <w:rPr>
          <w:rFonts w:hint="default" w:ascii="Times New Roman" w:hAnsi="Times New Roman" w:eastAsia="仿宋_GB2312" w:cs="Times New Roman"/>
          <w:color w:val="000000" w:themeColor="text1"/>
          <w:spacing w:val="0"/>
          <w:sz w:val="32"/>
          <w:szCs w:val="32"/>
          <w:highlight w:val="none"/>
          <w:lang w:val="en-US" w:eastAsia="zh-CN"/>
          <w14:textFill>
            <w14:solidFill>
              <w14:schemeClr w14:val="tx1"/>
            </w14:solidFill>
          </w14:textFill>
        </w:rPr>
        <w:t>不良记录</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。对列入不良记录的医用耗材生产企业，取消该企业所有产品中</w:t>
      </w:r>
      <w:r>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选</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资格，自取消之日起1年内不得参加湖南省耗材集中带量采购活动</w:t>
      </w:r>
      <w:r>
        <w:rPr>
          <w:rFonts w:hint="eastAsia"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以及取消该</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企业</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所有产品在</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湖南省医用耗材集中采购系统</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的挂网资格</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pPr>
        <w:pStyle w:val="4"/>
        <w:keepNext w:val="0"/>
        <w:keepLines w:val="0"/>
        <w:pageBreakBefore w:val="0"/>
        <w:widowControl w:val="0"/>
        <w:shd w:val="clear" w:color="auto"/>
        <w:kinsoku/>
        <w:wordWrap/>
        <w:overflowPunct/>
        <w:topLinePunct w:val="0"/>
        <w:autoSpaceDE/>
        <w:autoSpaceDN/>
        <w:bidi w:val="0"/>
        <w:adjustRightInd/>
        <w:snapToGrid/>
        <w:spacing w:before="0" w:beforeAutospacing="0" w:after="0" w:afterAutospacing="0"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pPr>
      <w:r>
        <w:rPr>
          <w:rFonts w:hint="default" w:ascii="Times New Roman" w:hAnsi="Times New Roman" w:eastAsia="楷体_GB2312" w:cs="Times New Roman"/>
          <w:color w:val="000000" w:themeColor="text1"/>
          <w:spacing w:val="0"/>
          <w:kern w:val="2"/>
          <w:sz w:val="32"/>
          <w:szCs w:val="32"/>
          <w:highlight w:val="none"/>
          <w:lang w:val="en-US" w:eastAsia="zh-CN" w:bidi="ar-SA"/>
          <w14:textFill>
            <w14:solidFill>
              <w14:schemeClr w14:val="tx1"/>
            </w14:solidFill>
          </w14:textFill>
        </w:rPr>
        <w:t>（三）加强宣传引导。</w:t>
      </w:r>
      <w:r>
        <w:rPr>
          <w:rFonts w:hint="default" w:ascii="Times New Roman" w:hAnsi="Times New Roman" w:eastAsia="仿宋_GB2312" w:cs="Times New Roman"/>
          <w:color w:val="000000" w:themeColor="text1"/>
          <w:spacing w:val="0"/>
          <w:sz w:val="32"/>
          <w:szCs w:val="32"/>
          <w:highlight w:val="none"/>
          <w14:textFill>
            <w14:solidFill>
              <w14:schemeClr w14:val="tx1"/>
            </w14:solidFill>
          </w14:textFill>
        </w:rPr>
        <w:t>各部门要依据各自职责加强政策解读和正面宣传，合理引导社会舆论和群众预期。加强舆情监测，及时回应社会关切，营造良好改革氛围。加强对医务人员的政策解读和培训。强化风险防范，认真研判工作推进中可能存在的风险，提前制定应对预案，及时发现和妥善处理可能出现的情况和问题。</w:t>
      </w:r>
    </w:p>
    <w:p>
      <w:pPr>
        <w:pStyle w:val="4"/>
        <w:keepNext w:val="0"/>
        <w:keepLines w:val="0"/>
        <w:pageBreakBefore w:val="0"/>
        <w:widowControl w:val="0"/>
        <w:shd w:val="clear" w:color="auto"/>
        <w:kinsoku/>
        <w:wordWrap/>
        <w:overflowPunct/>
        <w:topLinePunct w:val="0"/>
        <w:autoSpaceDE/>
        <w:autoSpaceDN/>
        <w:bidi w:val="0"/>
        <w:adjustRightInd/>
        <w:snapToGrid/>
        <w:spacing w:before="0" w:beforeAutospacing="0" w:after="0" w:afterAutospacing="0" w:line="592" w:lineRule="exact"/>
        <w:ind w:left="0" w:leftChars="0" w:right="0" w:rightChars="0" w:firstLine="640" w:firstLineChars="200"/>
        <w:outlineLvl w:val="9"/>
        <w:rPr>
          <w:rFonts w:hint="default" w:ascii="Times New Roman" w:hAnsi="Times New Roman" w:eastAsia="仿宋_GB2312" w:cs="Times New Roman"/>
          <w:color w:val="000000" w:themeColor="text1"/>
          <w:spacing w:val="0"/>
          <w:sz w:val="32"/>
          <w:szCs w:val="32"/>
          <w:highlight w:val="none"/>
          <w:lang w:eastAsia="zh-CN"/>
          <w14:textFill>
            <w14:solidFill>
              <w14:schemeClr w14:val="tx1"/>
            </w14:solidFill>
          </w14:textFill>
        </w:rPr>
      </w:pPr>
      <w:r>
        <w:rPr>
          <w:rFonts w:hint="default" w:ascii="Times New Roman" w:hAnsi="Times New Roman" w:eastAsia="FangSong_GB2312" w:cs="Times New Roman"/>
          <w:color w:val="000000" w:themeColor="text1"/>
          <w:sz w:val="32"/>
          <w:highlight w:val="none"/>
          <w14:textFill>
            <w14:solidFill>
              <w14:schemeClr w14:val="tx1"/>
            </w14:solidFill>
          </w14:textFill>
        </w:rPr>
        <w:t>本实施方案自</w:t>
      </w:r>
      <w:r>
        <w:rPr>
          <w:rFonts w:hint="default" w:ascii="Times New Roman" w:hAnsi="Times New Roman" w:eastAsia="Times New Roman" w:cs="Times New Roman"/>
          <w:color w:val="000000" w:themeColor="text1"/>
          <w:sz w:val="32"/>
          <w:highlight w:val="none"/>
          <w14:textFill>
            <w14:solidFill>
              <w14:schemeClr w14:val="tx1"/>
            </w14:solidFill>
          </w14:textFill>
        </w:rPr>
        <w:t>20</w:t>
      </w:r>
      <w:r>
        <w:rPr>
          <w:rFonts w:hint="default" w:ascii="Times New Roman" w:hAnsi="Times New Roman" w:eastAsia="宋体" w:cs="Times New Roman"/>
          <w:color w:val="000000" w:themeColor="text1"/>
          <w:sz w:val="32"/>
          <w:highlight w:val="none"/>
          <w:lang w:val="en-US" w:eastAsia="zh-CN"/>
          <w14:textFill>
            <w14:solidFill>
              <w14:schemeClr w14:val="tx1"/>
            </w14:solidFill>
          </w14:textFill>
        </w:rPr>
        <w:t>20</w:t>
      </w:r>
      <w:r>
        <w:rPr>
          <w:rFonts w:hint="default" w:ascii="Times New Roman" w:hAnsi="Times New Roman" w:eastAsia="FangSong_GB2312" w:cs="Times New Roman"/>
          <w:color w:val="000000" w:themeColor="text1"/>
          <w:sz w:val="32"/>
          <w:highlight w:val="none"/>
          <w14:textFill>
            <w14:solidFill>
              <w14:schemeClr w14:val="tx1"/>
            </w14:solidFill>
          </w14:textFill>
        </w:rPr>
        <w:t>年</w:t>
      </w:r>
      <w:r>
        <w:rPr>
          <w:rFonts w:hint="default" w:ascii="Times New Roman" w:hAnsi="Times New Roman" w:eastAsia="宋体" w:cs="Times New Roman"/>
          <w:color w:val="000000" w:themeColor="text1"/>
          <w:sz w:val="32"/>
          <w:highlight w:val="none"/>
          <w:lang w:val="en-US" w:eastAsia="zh-CN"/>
          <w14:textFill>
            <w14:solidFill>
              <w14:schemeClr w14:val="tx1"/>
            </w14:solidFill>
          </w14:textFill>
        </w:rPr>
        <w:t>9</w:t>
      </w:r>
      <w:r>
        <w:rPr>
          <w:rFonts w:hint="default" w:ascii="Times New Roman" w:hAnsi="Times New Roman" w:eastAsia="FangSong_GB2312" w:cs="Times New Roman"/>
          <w:color w:val="000000" w:themeColor="text1"/>
          <w:sz w:val="32"/>
          <w:highlight w:val="none"/>
          <w14:textFill>
            <w14:solidFill>
              <w14:schemeClr w14:val="tx1"/>
            </w14:solidFill>
          </w14:textFill>
        </w:rPr>
        <w:t>月</w:t>
      </w:r>
      <w:r>
        <w:rPr>
          <w:rFonts w:hint="default" w:ascii="Times New Roman" w:hAnsi="Times New Roman" w:eastAsia="宋体" w:cs="Times New Roman"/>
          <w:color w:val="000000" w:themeColor="text1"/>
          <w:sz w:val="32"/>
          <w:highlight w:val="none"/>
          <w:lang w:val="en-US" w:eastAsia="zh-CN"/>
          <w14:textFill>
            <w14:solidFill>
              <w14:schemeClr w14:val="tx1"/>
            </w14:solidFill>
          </w14:textFill>
        </w:rPr>
        <w:t xml:space="preserve">   </w:t>
      </w:r>
      <w:r>
        <w:rPr>
          <w:rFonts w:hint="default" w:ascii="Times New Roman" w:hAnsi="Times New Roman" w:eastAsia="FangSong_GB2312" w:cs="Times New Roman"/>
          <w:color w:val="000000" w:themeColor="text1"/>
          <w:sz w:val="32"/>
          <w:highlight w:val="none"/>
          <w14:textFill>
            <w14:solidFill>
              <w14:schemeClr w14:val="tx1"/>
            </w14:solidFill>
          </w14:textFill>
        </w:rPr>
        <w:t>日起执行，有效期</w:t>
      </w:r>
      <w:r>
        <w:rPr>
          <w:rFonts w:hint="default" w:ascii="Times New Roman" w:hAnsi="Times New Roman" w:eastAsia="Times New Roman" w:cs="Times New Roman"/>
          <w:color w:val="000000" w:themeColor="text1"/>
          <w:sz w:val="32"/>
          <w:highlight w:val="none"/>
          <w14:textFill>
            <w14:solidFill>
              <w14:schemeClr w14:val="tx1"/>
            </w14:solidFill>
          </w14:textFill>
        </w:rPr>
        <w:t>3</w:t>
      </w:r>
      <w:r>
        <w:rPr>
          <w:rFonts w:hint="default" w:ascii="Times New Roman" w:hAnsi="Times New Roman" w:eastAsia="FangSong_GB2312" w:cs="Times New Roman"/>
          <w:color w:val="000000" w:themeColor="text1"/>
          <w:sz w:val="32"/>
          <w:highlight w:val="none"/>
          <w14:textFill>
            <w14:solidFill>
              <w14:schemeClr w14:val="tx1"/>
            </w14:solidFill>
          </w14:textFill>
        </w:rPr>
        <w:t>年。本次</w:t>
      </w:r>
      <w:r>
        <w:rPr>
          <w:rFonts w:hint="default" w:ascii="Times New Roman" w:hAnsi="Times New Roman" w:eastAsia="FangSong_GB2312" w:cs="Times New Roman"/>
          <w:color w:val="000000" w:themeColor="text1"/>
          <w:sz w:val="32"/>
          <w:highlight w:val="none"/>
          <w:lang w:eastAsia="zh-CN"/>
          <w14:textFill>
            <w14:solidFill>
              <w14:schemeClr w14:val="tx1"/>
            </w14:solidFill>
          </w14:textFill>
        </w:rPr>
        <w:t>耗材</w:t>
      </w:r>
      <w:r>
        <w:rPr>
          <w:rFonts w:hint="eastAsia" w:ascii="Times New Roman" w:hAnsi="Times New Roman" w:eastAsia="FangSong_GB2312" w:cs="Times New Roman"/>
          <w:color w:val="000000" w:themeColor="text1"/>
          <w:sz w:val="32"/>
          <w:highlight w:val="none"/>
          <w:lang w:eastAsia="zh-CN"/>
          <w14:textFill>
            <w14:solidFill>
              <w14:schemeClr w14:val="tx1"/>
            </w14:solidFill>
          </w14:textFill>
        </w:rPr>
        <w:t>带量</w:t>
      </w:r>
      <w:r>
        <w:rPr>
          <w:rFonts w:hint="default" w:ascii="Times New Roman" w:hAnsi="Times New Roman" w:eastAsia="FangSong_GB2312" w:cs="Times New Roman"/>
          <w:color w:val="000000" w:themeColor="text1"/>
          <w:sz w:val="32"/>
          <w:highlight w:val="none"/>
          <w14:textFill>
            <w14:solidFill>
              <w14:schemeClr w14:val="tx1"/>
            </w14:solidFill>
          </w14:textFill>
        </w:rPr>
        <w:t>采购活动的有关文件、公告和信息均通过省采购平台（网址：</w:t>
      </w:r>
      <w:r>
        <w:rPr>
          <w:rFonts w:hint="default" w:ascii="Times New Roman" w:hAnsi="Times New Roman" w:eastAsia="Times New Roman" w:cs="Times New Roman"/>
          <w:color w:val="000000" w:themeColor="text1"/>
          <w:sz w:val="32"/>
          <w:highlight w:val="none"/>
          <w14:textFill>
            <w14:solidFill>
              <w14:schemeClr w14:val="tx1"/>
            </w14:solidFill>
          </w14:textFill>
        </w:rPr>
        <w:t>http://yycg.hnsggzy.com/</w:t>
      </w:r>
      <w:r>
        <w:rPr>
          <w:rFonts w:hint="default" w:ascii="Times New Roman" w:hAnsi="Times New Roman" w:eastAsia="FangSong_GB2312" w:cs="Times New Roman"/>
          <w:color w:val="000000" w:themeColor="text1"/>
          <w:sz w:val="32"/>
          <w:highlight w:val="none"/>
          <w14:textFill>
            <w14:solidFill>
              <w14:schemeClr w14:val="tx1"/>
            </w14:solidFill>
          </w14:textFill>
        </w:rPr>
        <w:t>）向社会发布。</w:t>
      </w:r>
      <w:r>
        <w:rPr>
          <w:rFonts w:hint="default" w:ascii="Times New Roman" w:hAnsi="Times New Roman" w:eastAsia="FangSong_GB2312" w:cs="Times New Roman"/>
          <w:color w:val="000000" w:themeColor="text1"/>
          <w:sz w:val="32"/>
          <w:highlight w:val="none"/>
          <w:lang w:eastAsia="zh-CN"/>
          <w14:textFill>
            <w14:solidFill>
              <w14:schemeClr w14:val="tx1"/>
            </w14:solidFill>
          </w14:textFill>
        </w:rPr>
        <w:t>执行期间，如国家出台相关政策，按国家政策执行。</w:t>
      </w:r>
      <w:r>
        <w:rPr>
          <w:rFonts w:hint="default" w:ascii="Times New Roman" w:hAnsi="Times New Roman" w:eastAsia="FangSong_GB2312" w:cs="Times New Roman"/>
          <w:color w:val="000000" w:themeColor="text1"/>
          <w:sz w:val="32"/>
          <w:highlight w:val="none"/>
          <w14:textFill>
            <w14:solidFill>
              <w14:schemeClr w14:val="tx1"/>
            </w14:solidFill>
          </w14:textFill>
        </w:rPr>
        <w:t xml:space="preserve"> </w:t>
      </w:r>
    </w:p>
    <w:p>
      <w:pPr>
        <w:shd w:val="clear"/>
        <w:rPr>
          <w:rFonts w:hint="default" w:ascii="Times New Roman" w:hAnsi="Times New Roman" w:cs="Times New Roman"/>
          <w:color w:val="000000" w:themeColor="text1"/>
          <w:highlight w:val="none"/>
          <w14:textFill>
            <w14:solidFill>
              <w14:schemeClr w14:val="tx1"/>
            </w14:solidFill>
          </w14:textFill>
        </w:rPr>
      </w:pPr>
    </w:p>
    <w:p>
      <w:pPr>
        <w:shd w:val="clear"/>
      </w:pPr>
    </w:p>
    <w:sectPr>
      <w:footerReference r:id="rId3" w:type="default"/>
      <w:pgSz w:w="11906" w:h="16838"/>
      <w:pgMar w:top="2154" w:right="1304" w:bottom="1984" w:left="141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script"/>
    <w:pitch w:val="default"/>
    <w:sig w:usb0="00000000" w:usb1="00000000" w:usb2="00000010" w:usb3="00000000" w:csb0="00040000" w:csb1="00000000"/>
  </w:font>
  <w:font w:name="FangSong_GB2312">
    <w:altName w:val="仿宋_GB2312"/>
    <w:panose1 w:val="00000000000000000000"/>
    <w:charset w:val="86"/>
    <w:family w:val="swiss"/>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34EE4B"/>
    <w:multiLevelType w:val="singleLevel"/>
    <w:tmpl w:val="5F34EE4B"/>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59275C"/>
    <w:rsid w:val="05F17B1D"/>
    <w:rsid w:val="27BB44BE"/>
    <w:rsid w:val="33044AC9"/>
    <w:rsid w:val="3AFC25E7"/>
    <w:rsid w:val="405927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index 5"/>
    <w:basedOn w:val="1"/>
    <w:next w:val="1"/>
    <w:qFormat/>
    <w:uiPriority w:val="0"/>
    <w:pPr>
      <w:ind w:left="1680"/>
    </w:pPr>
  </w:style>
  <w:style w:type="paragraph" w:styleId="3">
    <w:name w:val="footer"/>
    <w:basedOn w:val="1"/>
    <w:next w:val="2"/>
    <w:qFormat/>
    <w:uiPriority w:val="0"/>
    <w:pPr>
      <w:tabs>
        <w:tab w:val="center" w:pos="4153"/>
        <w:tab w:val="right" w:pos="8306"/>
      </w:tabs>
      <w:snapToGrid w:val="0"/>
      <w:jc w:val="left"/>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kern w:val="0"/>
      <w:sz w:val="24"/>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8">
    <w:name w:val="Strong"/>
    <w:basedOn w:val="7"/>
    <w:qFormat/>
    <w:uiPriority w:val="0"/>
    <w:rPr>
      <w:b/>
    </w:rPr>
  </w:style>
  <w:style w:type="character" w:styleId="9">
    <w:name w:val="Hyperlink"/>
    <w:basedOn w:val="7"/>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2020-08-26T01:05:00Z</dcterms:created>
  <dc:creator>省医保局</dc:creator>
  <cp:lastModifiedBy>官网官微维护员</cp:lastModifiedBy>
  <dcterms:modified xsi:type="dcterms:W3CDTF">2020-08-26T09:05:50Z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ies>
</file>