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Theme="majorEastAsia" w:hAnsiTheme="majorEastAsia" w:eastAsiaTheme="majorEastAsia" w:cstheme="majorEastAsia"/>
          <w:b/>
          <w:bCs/>
          <w:sz w:val="52"/>
          <w:szCs w:val="52"/>
        </w:rPr>
      </w:pP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52"/>
          <w:szCs w:val="52"/>
        </w:rPr>
      </w:pPr>
      <w:bookmarkStart w:id="0" w:name="_Toc346183065"/>
      <w:r>
        <w:rPr>
          <w:rFonts w:hint="eastAsia" w:asciiTheme="majorEastAsia" w:hAnsiTheme="majorEastAsia" w:eastAsiaTheme="majorEastAsia" w:cstheme="majorEastAsia"/>
          <w:b/>
          <w:bCs/>
          <w:sz w:val="52"/>
          <w:szCs w:val="52"/>
        </w:rPr>
        <w:t>甘肃省体外诊断试剂阳光采购平台</w:t>
      </w: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52"/>
          <w:szCs w:val="52"/>
        </w:rPr>
      </w:pP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52"/>
          <w:szCs w:val="52"/>
        </w:rPr>
      </w:pP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52"/>
          <w:szCs w:val="52"/>
        </w:rPr>
      </w:pP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52"/>
          <w:szCs w:val="5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52"/>
          <w:szCs w:val="52"/>
        </w:rPr>
        <w:t>新冠病毒试剂采购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52"/>
          <w:szCs w:val="5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52"/>
          <w:szCs w:val="52"/>
          <w:lang w:val="en-US" w:eastAsia="zh-CN"/>
        </w:rPr>
        <w:t>采购主体平台</w:t>
      </w:r>
      <w:r>
        <w:rPr>
          <w:rFonts w:hint="eastAsia" w:asciiTheme="majorEastAsia" w:hAnsiTheme="majorEastAsia" w:eastAsiaTheme="majorEastAsia" w:cstheme="majorEastAsia"/>
          <w:b/>
          <w:bCs/>
          <w:sz w:val="52"/>
          <w:szCs w:val="52"/>
        </w:rPr>
        <w:t>操作流程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52"/>
          <w:szCs w:val="52"/>
        </w:rPr>
      </w:pPr>
    </w:p>
    <w:p>
      <w:pPr>
        <w:jc w:val="center"/>
        <w:rPr>
          <w:rFonts w:ascii="宋体" w:hAnsi="宋体"/>
          <w:sz w:val="44"/>
          <w:szCs w:val="44"/>
        </w:rPr>
      </w:pPr>
    </w:p>
    <w:p>
      <w:pPr>
        <w:jc w:val="center"/>
        <w:rPr>
          <w:rFonts w:ascii="宋体" w:hAnsi="宋体"/>
          <w:sz w:val="44"/>
          <w:szCs w:val="44"/>
        </w:rPr>
      </w:pPr>
    </w:p>
    <w:p>
      <w:pPr>
        <w:jc w:val="center"/>
        <w:rPr>
          <w:rFonts w:ascii="宋体" w:hAnsi="宋体"/>
          <w:sz w:val="44"/>
          <w:szCs w:val="44"/>
        </w:rPr>
      </w:pPr>
    </w:p>
    <w:p>
      <w:pPr>
        <w:jc w:val="center"/>
        <w:rPr>
          <w:rFonts w:ascii="宋体" w:hAnsi="宋体"/>
          <w:sz w:val="44"/>
          <w:szCs w:val="44"/>
        </w:rPr>
      </w:pPr>
    </w:p>
    <w:p>
      <w:pPr>
        <w:jc w:val="center"/>
        <w:rPr>
          <w:rFonts w:ascii="宋体" w:hAnsi="宋体"/>
          <w:sz w:val="44"/>
          <w:szCs w:val="44"/>
        </w:rPr>
      </w:pPr>
    </w:p>
    <w:p>
      <w:pPr>
        <w:jc w:val="center"/>
        <w:rPr>
          <w:rFonts w:ascii="宋体" w:hAnsi="宋体"/>
          <w:sz w:val="44"/>
          <w:szCs w:val="44"/>
        </w:rPr>
      </w:pPr>
    </w:p>
    <w:p>
      <w:pPr>
        <w:rPr>
          <w:rFonts w:ascii="宋体" w:hAnsi="宋体"/>
          <w:sz w:val="44"/>
          <w:szCs w:val="44"/>
        </w:rPr>
      </w:pPr>
    </w:p>
    <w:p>
      <w:pPr>
        <w:rPr>
          <w:rFonts w:hint="eastAsia" w:ascii="宋体" w:hAnsi="宋体"/>
          <w:sz w:val="44"/>
          <w:szCs w:val="44"/>
        </w:rPr>
      </w:pPr>
    </w:p>
    <w:p>
      <w:pPr>
        <w:spacing w:line="360" w:lineRule="auto"/>
        <w:jc w:val="center"/>
        <w:rPr>
          <w:rFonts w:ascii="宋体" w:hAnsi="宋体"/>
          <w:sz w:val="30"/>
          <w:szCs w:val="30"/>
        </w:rPr>
      </w:pPr>
    </w:p>
    <w:p>
      <w:pPr>
        <w:spacing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二零二零年五月</w:t>
      </w:r>
    </w:p>
    <w:p>
      <w:pPr>
        <w:pStyle w:val="9"/>
        <w:tabs>
          <w:tab w:val="right" w:leader="dot" w:pos="8306"/>
        </w:tabs>
        <w:jc w:val="center"/>
        <w:rPr>
          <w:rFonts w:ascii="宋体" w:hAnsi="宋体"/>
          <w:sz w:val="44"/>
          <w:szCs w:val="44"/>
        </w:rPr>
      </w:pPr>
      <w:r>
        <w:rPr>
          <w:rFonts w:hint="eastAsia" w:ascii="宋体" w:hAnsi="宋体"/>
          <w:sz w:val="30"/>
          <w:szCs w:val="30"/>
        </w:rPr>
        <w:t>目 录</w:t>
      </w:r>
    </w:p>
    <w:p>
      <w:pPr>
        <w:pStyle w:val="9"/>
        <w:tabs>
          <w:tab w:val="right" w:leader="dot" w:pos="8296"/>
        </w:tabs>
        <w:rPr>
          <w:szCs w:val="22"/>
        </w:rPr>
      </w:pPr>
      <w:r>
        <w:rPr>
          <w:rFonts w:hint="eastAsia" w:ascii="宋体" w:hAnsi="宋体"/>
          <w:sz w:val="44"/>
          <w:szCs w:val="44"/>
        </w:rPr>
        <w:fldChar w:fldCharType="begin"/>
      </w:r>
      <w:r>
        <w:rPr>
          <w:rFonts w:hint="eastAsia" w:ascii="宋体" w:hAnsi="宋体"/>
          <w:sz w:val="44"/>
          <w:szCs w:val="44"/>
        </w:rPr>
        <w:instrText xml:space="preserve">TOC \o "1-3" \h \u </w:instrText>
      </w:r>
      <w:r>
        <w:rPr>
          <w:rFonts w:hint="eastAsia" w:ascii="宋体" w:hAnsi="宋体"/>
          <w:sz w:val="44"/>
          <w:szCs w:val="44"/>
        </w:rPr>
        <w:fldChar w:fldCharType="separate"/>
      </w:r>
      <w:r>
        <w:fldChar w:fldCharType="begin"/>
      </w:r>
      <w:r>
        <w:instrText xml:space="preserve"> HYPERLINK \l "_Toc40779916" </w:instrText>
      </w:r>
      <w:r>
        <w:fldChar w:fldCharType="separate"/>
      </w:r>
      <w:r>
        <w:rPr>
          <w:rStyle w:val="20"/>
          <w:rFonts w:hint="eastAsia" w:ascii="Times New Roman" w:hAnsi="Times New Roman" w:cs="Times New Roman" w:eastAsiaTheme="majorEastAsia"/>
          <w:b/>
          <w:bCs/>
        </w:rPr>
        <w:t>第一章：准备工作</w:t>
      </w:r>
      <w:r>
        <w:tab/>
      </w:r>
      <w:r>
        <w:fldChar w:fldCharType="begin"/>
      </w:r>
      <w:r>
        <w:instrText xml:space="preserve"> PAGEREF _Toc40779916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"_Toc40779917" </w:instrText>
      </w:r>
      <w:r>
        <w:fldChar w:fldCharType="separate"/>
      </w:r>
      <w:r>
        <w:rPr>
          <w:rStyle w:val="20"/>
          <w:rFonts w:ascii="宋体" w:hAnsi="宋体" w:cs="宋体"/>
          <w:b/>
          <w:bCs/>
        </w:rPr>
        <w:t>1.1</w:t>
      </w:r>
      <w:r>
        <w:rPr>
          <w:rStyle w:val="20"/>
          <w:rFonts w:hint="eastAsia" w:ascii="宋体" w:hAnsi="宋体" w:cs="宋体"/>
          <w:b/>
          <w:bCs/>
        </w:rPr>
        <w:t>基本情况</w:t>
      </w:r>
      <w:r>
        <w:tab/>
      </w:r>
      <w:r>
        <w:fldChar w:fldCharType="begin"/>
      </w:r>
      <w:r>
        <w:instrText xml:space="preserve"> PAGEREF _Toc40779917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"_Toc40779918" </w:instrText>
      </w:r>
      <w:r>
        <w:fldChar w:fldCharType="separate"/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第二章 ∶产品介绍</w:t>
      </w:r>
      <w:r>
        <w:tab/>
      </w:r>
      <w:r>
        <w:fldChar w:fldCharType="begin"/>
      </w:r>
      <w:r>
        <w:instrText xml:space="preserve"> PAGEREF _Toc40779918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"_Toc40779919"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2.1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使用须知</w:t>
      </w:r>
      <w:r>
        <w:tab/>
      </w:r>
      <w:r>
        <w:fldChar w:fldCharType="begin"/>
      </w:r>
      <w:r>
        <w:instrText xml:space="preserve"> PAGEREF _Toc40779919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"_Toc40779920"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2.2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用户登录</w:t>
      </w:r>
      <w:r>
        <w:tab/>
      </w:r>
      <w:r>
        <w:fldChar w:fldCharType="begin"/>
      </w:r>
      <w:r>
        <w:instrText xml:space="preserve"> PAGEREF _Toc40779920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"_Toc40779921"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2.3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首页界面</w:t>
      </w:r>
      <w:r>
        <w:tab/>
      </w:r>
      <w:r>
        <w:fldChar w:fldCharType="begin"/>
      </w:r>
      <w:r>
        <w:instrText xml:space="preserve"> PAGEREF _Toc40779921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"_Toc40779922"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2.4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退出系统</w:t>
      </w:r>
      <w:r>
        <w:tab/>
      </w:r>
      <w:r>
        <w:fldChar w:fldCharType="begin"/>
      </w:r>
      <w:r>
        <w:instrText xml:space="preserve"> PAGEREF _Toc40779922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"_Toc40779923" </w:instrText>
      </w:r>
      <w:r>
        <w:fldChar w:fldCharType="separate"/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第三章 ：医疗机构网上操作指南</w:t>
      </w:r>
      <w:r>
        <w:tab/>
      </w:r>
      <w:r>
        <w:fldChar w:fldCharType="begin"/>
      </w:r>
      <w:r>
        <w:instrText xml:space="preserve"> PAGEREF _Toc40779923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"_Toc40779924"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3.1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挂网目录管理</w:t>
      </w:r>
      <w:r>
        <w:tab/>
      </w:r>
      <w:r>
        <w:fldChar w:fldCharType="begin"/>
      </w:r>
      <w:r>
        <w:instrText xml:space="preserve"> PAGEREF _Toc40779924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"_Toc40779925"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3.1.1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新冠病毒试剂采购</w:t>
      </w:r>
      <w:r>
        <w:tab/>
      </w:r>
      <w:r>
        <w:fldChar w:fldCharType="begin"/>
      </w:r>
      <w:r>
        <w:instrText xml:space="preserve"> PAGEREF _Toc40779925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"_Toc40779926"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3.3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采购目录管理</w:t>
      </w:r>
      <w:r>
        <w:tab/>
      </w:r>
      <w:r>
        <w:fldChar w:fldCharType="begin"/>
      </w:r>
      <w:r>
        <w:instrText xml:space="preserve"> PAGEREF _Toc40779926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"_Toc40779927"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3.3.1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勾选本院采购目录</w:t>
      </w:r>
      <w:r>
        <w:tab/>
      </w:r>
      <w:r>
        <w:fldChar w:fldCharType="begin"/>
      </w:r>
      <w:r>
        <w:instrText xml:space="preserve"> PAGEREF _Toc40779927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"_Toc40779928"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3.4.1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产品议价</w:t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(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已购选采购目录</w:t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)</w:t>
      </w:r>
      <w:r>
        <w:tab/>
      </w:r>
      <w:r>
        <w:fldChar w:fldCharType="begin"/>
      </w:r>
      <w:r>
        <w:instrText xml:space="preserve"> PAGEREF _Toc40779928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"_Toc40779929"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3.4.3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产品议价</w:t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(CODE)</w:t>
      </w:r>
      <w:r>
        <w:tab/>
      </w:r>
      <w:r>
        <w:fldChar w:fldCharType="begin"/>
      </w:r>
      <w:r>
        <w:instrText xml:space="preserve"> PAGEREF _Toc40779929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"_Toc40779930"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3.5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维护配送企业</w:t>
      </w:r>
      <w:r>
        <w:tab/>
      </w:r>
      <w:r>
        <w:fldChar w:fldCharType="begin"/>
      </w:r>
      <w:r>
        <w:instrText xml:space="preserve"> PAGEREF _Toc40779930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"_Toc40779931"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3.5.1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维护配送企业</w:t>
      </w:r>
      <w:r>
        <w:tab/>
      </w:r>
      <w:r>
        <w:fldChar w:fldCharType="begin"/>
      </w:r>
      <w:r>
        <w:instrText xml:space="preserve"> PAGEREF _Toc40779931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"_Toc40779932"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3.6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日常采购管理</w:t>
      </w:r>
      <w:r>
        <w:tab/>
      </w:r>
      <w:r>
        <w:fldChar w:fldCharType="begin"/>
      </w:r>
      <w:r>
        <w:instrText xml:space="preserve"> PAGEREF _Toc40779932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"_Toc40779933"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3.6.1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新建采购</w:t>
      </w:r>
      <w:r>
        <w:tab/>
      </w:r>
      <w:r>
        <w:fldChar w:fldCharType="begin"/>
      </w:r>
      <w:r>
        <w:instrText xml:space="preserve"> PAGEREF _Toc40779933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296"/>
        </w:tabs>
        <w:rPr>
          <w:szCs w:val="22"/>
        </w:rPr>
      </w:pPr>
      <w:r>
        <w:rPr>
          <w:rFonts w:hint="eastAsia" w:ascii="宋体" w:hAnsi="宋体"/>
          <w:szCs w:val="44"/>
        </w:rPr>
        <w:fldChar w:fldCharType="end"/>
      </w:r>
    </w:p>
    <w:p>
      <w:pPr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</w:p>
    <w:p>
      <w:pPr>
        <w:spacing w:line="220" w:lineRule="atLeast"/>
        <w:jc w:val="center"/>
        <w:outlineLvl w:val="0"/>
        <w:rPr>
          <w:rFonts w:ascii="Times New Roman" w:hAnsi="Times New Roman" w:cs="Times New Roman" w:eastAsiaTheme="majorEastAsia"/>
          <w:b/>
          <w:bCs/>
          <w:sz w:val="44"/>
          <w:szCs w:val="44"/>
        </w:rPr>
      </w:pPr>
      <w:bookmarkStart w:id="1" w:name="_Toc40779916"/>
      <w:r>
        <w:rPr>
          <w:rFonts w:ascii="Times New Roman" w:hAnsi="Times New Roman" w:cs="Times New Roman" w:eastAsiaTheme="majorEastAsia"/>
          <w:b/>
          <w:bCs/>
          <w:sz w:val="44"/>
          <w:szCs w:val="44"/>
        </w:rPr>
        <w:t>第一章</w:t>
      </w:r>
      <w:r>
        <w:rPr>
          <w:rFonts w:hint="eastAsia" w:ascii="Times New Roman" w:hAnsi="Times New Roman" w:cs="Times New Roman" w:eastAsiaTheme="majorEastAsia"/>
          <w:b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Times New Roman" w:hAnsi="Times New Roman" w:cs="Times New Roman" w:eastAsiaTheme="majorEastAsia"/>
          <w:b/>
          <w:bCs/>
          <w:sz w:val="44"/>
          <w:szCs w:val="44"/>
        </w:rPr>
        <w:t>准备工作</w:t>
      </w:r>
      <w:bookmarkEnd w:id="1"/>
    </w:p>
    <w:p>
      <w:pPr>
        <w:outlineLvl w:val="1"/>
        <w:rPr>
          <w:rFonts w:ascii="宋体" w:hAnsi="宋体" w:cs="宋体"/>
          <w:b/>
          <w:bCs/>
          <w:sz w:val="32"/>
          <w:szCs w:val="32"/>
        </w:rPr>
      </w:pPr>
      <w:bookmarkStart w:id="2" w:name="_Toc19478"/>
      <w:bookmarkStart w:id="3" w:name="_Toc40779917"/>
      <w:r>
        <w:rPr>
          <w:rFonts w:hint="eastAsia" w:ascii="宋体" w:hAnsi="宋体" w:cs="宋体"/>
          <w:b/>
          <w:bCs/>
          <w:sz w:val="32"/>
          <w:szCs w:val="32"/>
        </w:rPr>
        <w:t>1.1基本情况</w:t>
      </w:r>
      <w:bookmarkEnd w:id="2"/>
      <w:bookmarkEnd w:id="3"/>
    </w:p>
    <w:p>
      <w:pPr>
        <w:widowControl/>
        <w:spacing w:line="360" w:lineRule="auto"/>
        <w:ind w:firstLine="420" w:firstLineChars="200"/>
        <w:jc w:val="left"/>
      </w:pPr>
      <w:r>
        <w:rPr>
          <w:rFonts w:hint="eastAsia"/>
        </w:rPr>
        <w:t>1、计算机系统要求</w:t>
      </w:r>
    </w:p>
    <w:p>
      <w:pPr>
        <w:widowControl/>
        <w:spacing w:line="360" w:lineRule="auto"/>
        <w:ind w:firstLine="420" w:firstLineChars="200"/>
        <w:jc w:val="left"/>
      </w:pPr>
      <w:r>
        <w:rPr>
          <w:rFonts w:hint="eastAsia"/>
          <w:color w:val="FF0000"/>
        </w:rPr>
        <w:t>操作系统:</w:t>
      </w:r>
      <w:r>
        <w:rPr>
          <w:rFonts w:hint="eastAsia"/>
        </w:rPr>
        <w:t>Windows 7 及以上版本操作系统；</w:t>
      </w:r>
    </w:p>
    <w:p>
      <w:pPr>
        <w:widowControl/>
        <w:spacing w:line="360" w:lineRule="auto"/>
        <w:ind w:firstLine="420" w:firstLineChars="200"/>
        <w:jc w:val="left"/>
      </w:pPr>
      <w:r>
        <w:rPr>
          <w:rFonts w:hint="eastAsia"/>
          <w:color w:val="FF0000"/>
        </w:rPr>
        <w:t>浏览器：</w:t>
      </w:r>
      <w:r>
        <w:rPr>
          <w:rFonts w:hint="eastAsia"/>
        </w:rPr>
        <w:t>Internet Explorer 9.0及以上版本，保持Imternet网络畅通；</w:t>
      </w:r>
    </w:p>
    <w:p>
      <w:pPr>
        <w:numPr>
          <w:ilvl w:val="0"/>
          <w:numId w:val="1"/>
        </w:numPr>
        <w:jc w:val="center"/>
        <w:outlineLvl w:val="0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bookmarkStart w:id="4" w:name="_Toc40779918"/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产品介绍</w:t>
      </w:r>
      <w:bookmarkEnd w:id="0"/>
      <w:bookmarkEnd w:id="4"/>
    </w:p>
    <w:p>
      <w:pPr>
        <w:outlineLvl w:val="1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5" w:name="_Toc428344569"/>
      <w:bookmarkStart w:id="6" w:name="_Toc40779919"/>
      <w:bookmarkStart w:id="7" w:name="_Toc428124242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2.1使用须知</w:t>
      </w:r>
      <w:bookmarkEnd w:id="5"/>
      <w:bookmarkEnd w:id="6"/>
      <w:bookmarkEnd w:id="7"/>
      <w:bookmarkStart w:id="8" w:name="_Toc156363831"/>
    </w:p>
    <w:p>
      <w:pPr>
        <w:spacing w:line="360" w:lineRule="auto"/>
        <w:ind w:firstLine="420" w:firstLineChars="200"/>
      </w:pPr>
      <w:r>
        <w:rPr>
          <w:rFonts w:hint="eastAsia"/>
        </w:rPr>
        <w:t>请检查您的操作系统是否</w:t>
      </w:r>
      <w:bookmarkEnd w:id="8"/>
      <w:r>
        <w:rPr>
          <w:rFonts w:hint="eastAsia"/>
        </w:rPr>
        <w:t>安装IE9.0以上版本浏览器，并保持Internet网络畅通，请勿使用兼容模式。</w:t>
      </w:r>
    </w:p>
    <w:p>
      <w:pPr>
        <w:spacing w:line="360" w:lineRule="auto"/>
        <w:ind w:firstLine="420" w:firstLineChars="200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/>
        </w:rPr>
        <w:t>建议：使用IE浏览器，IE9.0版本。</w:t>
      </w:r>
    </w:p>
    <w:p>
      <w:pPr>
        <w:outlineLvl w:val="1"/>
        <w:rPr>
          <w:rFonts w:asciiTheme="majorEastAsia" w:hAnsiTheme="majorEastAsia" w:eastAsiaTheme="majorEastAsia" w:cstheme="majorEastAsia"/>
          <w:b/>
          <w:bCs/>
          <w:sz w:val="28"/>
          <w:szCs w:val="28"/>
        </w:rPr>
      </w:pPr>
      <w:bookmarkStart w:id="9" w:name="_Toc40779920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2.2用户登录</w:t>
      </w:r>
      <w:bookmarkEnd w:id="9"/>
    </w:p>
    <w:p>
      <w:pPr>
        <w:widowControl/>
        <w:spacing w:line="360" w:lineRule="auto"/>
        <w:ind w:firstLine="420" w:firstLineChars="200"/>
        <w:jc w:val="left"/>
      </w:pPr>
      <w:r>
        <w:rPr>
          <w:rFonts w:hint="eastAsia"/>
        </w:rPr>
        <w:t>选择“体外诊断试剂阳光采购平台入口”进入登录界面。</w:t>
      </w:r>
    </w:p>
    <w:p>
      <w:pPr>
        <w:widowControl/>
        <w:spacing w:line="360" w:lineRule="auto"/>
        <w:ind w:firstLine="420" w:firstLineChars="200"/>
        <w:jc w:val="left"/>
      </w:pPr>
      <w:r>
        <w:drawing>
          <wp:inline distT="0" distB="0" distL="0" distR="0">
            <wp:extent cx="5274310" cy="2184400"/>
            <wp:effectExtent l="0" t="0" r="254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ind w:firstLine="420" w:firstLineChars="200"/>
        <w:jc w:val="left"/>
      </w:pPr>
      <w:r>
        <w:drawing>
          <wp:inline distT="0" distB="0" distL="0" distR="0">
            <wp:extent cx="5274310" cy="262953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outlineLvl w:val="1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10" w:name="_Toc40779921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2.3首页界面</w:t>
      </w:r>
      <w:bookmarkEnd w:id="10"/>
    </w:p>
    <w:p>
      <w:r>
        <w:drawing>
          <wp:inline distT="0" distB="0" distL="0" distR="0">
            <wp:extent cx="5274310" cy="2054225"/>
            <wp:effectExtent l="0" t="0" r="2540" b="317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outlineLvl w:val="1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11" w:name="_Toc40779922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2.4退出系统</w:t>
      </w:r>
      <w:bookmarkEnd w:id="11"/>
    </w:p>
    <w:p>
      <w:pPr>
        <w:rPr>
          <w:sz w:val="24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 xml:space="preserve">  </w:t>
      </w:r>
      <w:r>
        <w:rPr>
          <w:rFonts w:hint="eastAsia" w:ascii="宋体" w:hAnsi="宋体"/>
        </w:rPr>
        <w:t>为保证“耗材交易系统”登录后的数据安全性，请在离开系统时，退出系统，单击界面右上角</w:t>
      </w:r>
      <w:r>
        <w:drawing>
          <wp:inline distT="0" distB="0" distL="114300" distR="114300">
            <wp:extent cx="628650" cy="266700"/>
            <wp:effectExtent l="0" t="0" r="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按钮，系统将会直接退出。</w:t>
      </w:r>
    </w:p>
    <w:p>
      <w:pPr>
        <w:rPr>
          <w:sz w:val="24"/>
        </w:rPr>
      </w:pPr>
    </w:p>
    <w:p>
      <w:pPr>
        <w:numPr>
          <w:ilvl w:val="0"/>
          <w:numId w:val="1"/>
        </w:numPr>
        <w:jc w:val="center"/>
        <w:outlineLvl w:val="0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bookmarkStart w:id="12" w:name="_Toc40779923"/>
      <w:bookmarkStart w:id="13" w:name="_Toc346183073"/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采购主体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网上操作指南</w:t>
      </w:r>
      <w:bookmarkEnd w:id="12"/>
      <w:bookmarkEnd w:id="13"/>
    </w:p>
    <w:p>
      <w:pPr>
        <w:outlineLvl w:val="1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14" w:name="_Toc40779924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3.1挂网目录管理</w:t>
      </w:r>
      <w:bookmarkEnd w:id="14"/>
    </w:p>
    <w:p>
      <w:pPr>
        <w:outlineLvl w:val="2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15" w:name="_Toc40779925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3.1.1新冠病毒试剂采购</w:t>
      </w:r>
      <w:bookmarkEnd w:id="15"/>
    </w:p>
    <w:p>
      <w:pPr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 xml:space="preserve">  </w:t>
      </w:r>
      <w:r>
        <w:rPr>
          <w:rFonts w:hint="eastAsia" w:asciiTheme="majorEastAsia" w:hAnsiTheme="majorEastAsia" w:eastAsiaTheme="majorEastAsia" w:cstheme="majorEastAsia"/>
          <w:szCs w:val="21"/>
        </w:rPr>
        <w:t>点击【挂网目录管理-新冠病毒试剂采购】可以查看到所有新冠病毒试剂挂网的产品目录。</w:t>
      </w:r>
    </w:p>
    <w:p>
      <w:r>
        <w:drawing>
          <wp:inline distT="0" distB="0" distL="0" distR="0">
            <wp:extent cx="5274310" cy="169926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点击组件编号可以查看到具体的组件信息。</w:t>
      </w:r>
    </w:p>
    <w:p>
      <w:pPr>
        <w:rPr>
          <w:rFonts w:hint="eastAsia"/>
          <w:b/>
          <w:color w:val="FF0000"/>
          <w:sz w:val="28"/>
        </w:rPr>
      </w:pPr>
      <w:r>
        <w:rPr>
          <w:rFonts w:hint="eastAsia"/>
          <w:b/>
          <w:color w:val="FF0000"/>
          <w:sz w:val="28"/>
        </w:rPr>
        <w:t>注：请注意查看采购方式及限价。</w:t>
      </w:r>
    </w:p>
    <w:p>
      <w:pPr>
        <w:rPr>
          <w:b/>
          <w:color w:val="FF0000"/>
          <w:szCs w:val="21"/>
        </w:rPr>
      </w:pPr>
    </w:p>
    <w:p>
      <w:pPr>
        <w:outlineLvl w:val="1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16" w:name="_Toc40779926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3.3采购目录管理</w:t>
      </w:r>
      <w:bookmarkEnd w:id="16"/>
    </w:p>
    <w:p>
      <w:pPr>
        <w:outlineLvl w:val="2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17" w:name="_Toc40779927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3.3.1勾选本院采购目录</w:t>
      </w:r>
      <w:bookmarkEnd w:id="17"/>
    </w:p>
    <w:p>
      <w:r>
        <w:rPr>
          <w:rFonts w:hint="eastAsia" w:asciiTheme="majorEastAsia" w:hAnsiTheme="majorEastAsia" w:eastAsiaTheme="majorEastAsia" w:cstheme="majorEastAsia"/>
          <w:sz w:val="32"/>
          <w:szCs w:val="32"/>
        </w:rPr>
        <w:t xml:space="preserve">  </w:t>
      </w:r>
      <w:r>
        <w:rPr>
          <w:rFonts w:hint="eastAsia" w:asciiTheme="majorEastAsia" w:hAnsiTheme="majorEastAsia" w:eastAsiaTheme="majorEastAsia" w:cstheme="majorEastAsia"/>
          <w:szCs w:val="21"/>
        </w:rPr>
        <w:t>点击【采购目录管理-勾选本院采购目录】勾选本院采购目录的功能，可以查询到所有有效的产品，可以通过勾选来选择医疗机构需要采购的产品。</w:t>
      </w:r>
      <w:r>
        <w:rPr>
          <w:rFonts w:hint="eastAsia" w:asciiTheme="majorEastAsia" w:hAnsiTheme="majorEastAsia" w:eastAsiaTheme="majorEastAsia" w:cstheme="majorEastAsia"/>
          <w:b/>
          <w:color w:val="FF0000"/>
          <w:sz w:val="22"/>
          <w:szCs w:val="21"/>
        </w:rPr>
        <w:t>勾选组套产品。</w:t>
      </w:r>
    </w:p>
    <w:p>
      <w:bookmarkStart w:id="27" w:name="_GoBack"/>
      <w:r>
        <w:drawing>
          <wp:inline distT="0" distB="0" distL="0" distR="0">
            <wp:extent cx="5274310" cy="2204085"/>
            <wp:effectExtent l="0" t="0" r="2540" b="5715"/>
            <wp:docPr id="130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7"/>
    </w:p>
    <w:p>
      <w:r>
        <w:rPr>
          <w:rFonts w:hint="eastAsia"/>
        </w:rPr>
        <w:t>选择完成后，点击页面最下方的</w:t>
      </w:r>
      <w:r>
        <w:drawing>
          <wp:inline distT="0" distB="0" distL="114300" distR="114300">
            <wp:extent cx="1038225" cy="295275"/>
            <wp:effectExtent l="0" t="0" r="9525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按钮保存勾选目录，可以在产品议价的功能中对这一部分的产品进行议价。</w:t>
      </w:r>
    </w:p>
    <w:p/>
    <w:p>
      <w:pPr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</w:t>
      </w: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t>.4议价管理</w:t>
      </w:r>
    </w:p>
    <w:p>
      <w:pPr>
        <w:outlineLvl w:val="2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18" w:name="_Toc40779928"/>
      <w:bookmarkStart w:id="19" w:name="_Toc14266051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</w:t>
      </w: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t>4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.</w:t>
      </w: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t>1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产品议价(已购选采购目录)</w:t>
      </w:r>
      <w:bookmarkEnd w:id="18"/>
      <w:bookmarkEnd w:id="19"/>
    </w:p>
    <w:p>
      <w:pPr>
        <w:rPr>
          <w:rFonts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</w:rPr>
        <w:t>点击【采购目录管理-产品议价(已购选采购目录)】对勾选保存过的组件产品进行议价。</w:t>
      </w:r>
    </w:p>
    <w:p>
      <w:r>
        <w:drawing>
          <wp:inline distT="0" distB="0" distL="0" distR="0">
            <wp:extent cx="5274310" cy="2286000"/>
            <wp:effectExtent l="0" t="0" r="2540" b="0"/>
            <wp:docPr id="198" name="图片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19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 xml:space="preserve">  点击列表右侧</w:t>
      </w:r>
      <w:r>
        <w:drawing>
          <wp:inline distT="0" distB="0" distL="114300" distR="114300">
            <wp:extent cx="695325" cy="228600"/>
            <wp:effectExtent l="0" t="0" r="9525" b="0"/>
            <wp:docPr id="211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图片 4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按钮进入CODE议价页面。</w:t>
      </w:r>
    </w:p>
    <w:p>
      <w:r>
        <w:drawing>
          <wp:inline distT="0" distB="0" distL="0" distR="0">
            <wp:extent cx="5274310" cy="3936365"/>
            <wp:effectExtent l="0" t="0" r="2540" b="6985"/>
            <wp:docPr id="201" name="图片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20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3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Theme="minorEastAsia" w:hAnsiTheme="minorEastAsia"/>
          <w:b/>
          <w:color w:val="FF0000"/>
          <w:sz w:val="24"/>
        </w:rPr>
      </w:pPr>
      <w:r>
        <w:rPr>
          <w:rFonts w:hint="eastAsia" w:asciiTheme="minorEastAsia" w:hAnsiTheme="minorEastAsia"/>
          <w:b/>
          <w:color w:val="FF0000"/>
          <w:sz w:val="24"/>
        </w:rPr>
        <w:t>【组套议价】保存议价/提交议价时，系统自动验证当前输入价格+组套内其它C</w:t>
      </w:r>
      <w:r>
        <w:rPr>
          <w:rFonts w:asciiTheme="minorEastAsia" w:hAnsiTheme="minorEastAsia"/>
          <w:b/>
          <w:color w:val="FF0000"/>
          <w:sz w:val="24"/>
        </w:rPr>
        <w:t>ODE</w:t>
      </w:r>
      <w:r>
        <w:rPr>
          <w:rFonts w:hint="eastAsia" w:asciiTheme="minorEastAsia" w:hAnsiTheme="minorEastAsia"/>
          <w:b/>
          <w:color w:val="FF0000"/>
          <w:sz w:val="24"/>
        </w:rPr>
        <w:t>的价格总和是否不大于组套限价，如C</w:t>
      </w:r>
      <w:r>
        <w:rPr>
          <w:rFonts w:asciiTheme="minorEastAsia" w:hAnsiTheme="minorEastAsia"/>
          <w:b/>
          <w:color w:val="FF0000"/>
          <w:sz w:val="24"/>
        </w:rPr>
        <w:t>ODE</w:t>
      </w:r>
      <w:r>
        <w:rPr>
          <w:rFonts w:hint="eastAsia" w:asciiTheme="minorEastAsia" w:hAnsiTheme="minorEastAsia"/>
          <w:b/>
          <w:color w:val="FF0000"/>
          <w:sz w:val="24"/>
        </w:rPr>
        <w:t>价格总和不大于限价，则保存议价/提交议价成功；如C</w:t>
      </w:r>
      <w:r>
        <w:rPr>
          <w:rFonts w:asciiTheme="minorEastAsia" w:hAnsiTheme="minorEastAsia"/>
          <w:b/>
          <w:color w:val="FF0000"/>
          <w:sz w:val="24"/>
        </w:rPr>
        <w:t>ODE</w:t>
      </w:r>
      <w:r>
        <w:rPr>
          <w:rFonts w:hint="eastAsia" w:asciiTheme="minorEastAsia" w:hAnsiTheme="minorEastAsia"/>
          <w:b/>
          <w:color w:val="FF0000"/>
          <w:sz w:val="24"/>
        </w:rPr>
        <w:t>价格总和大于限价，则保存议价/提交议价失败（如下图）</w:t>
      </w:r>
    </w:p>
    <w:p>
      <w:pPr>
        <w:rPr>
          <w:rFonts w:hint="eastAsia"/>
        </w:rPr>
      </w:pPr>
      <w:r>
        <w:drawing>
          <wp:inline distT="0" distB="0" distL="0" distR="0">
            <wp:extent cx="2293620" cy="89916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93819" cy="899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；</w:t>
      </w:r>
    </w:p>
    <w:p>
      <w:pPr>
        <w:rPr>
          <w:rFonts w:hint="eastAsia"/>
        </w:rPr>
      </w:pPr>
    </w:p>
    <w:p>
      <w:pPr>
        <w:outlineLvl w:val="2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20" w:name="_Toc40779929"/>
      <w:bookmarkStart w:id="21" w:name="_Toc14266052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</w:t>
      </w: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t>4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.3产品议价(CODE)</w:t>
      </w:r>
      <w:bookmarkEnd w:id="20"/>
      <w:bookmarkEnd w:id="21"/>
    </w:p>
    <w:p>
      <w:pPr>
        <w:rPr>
          <w:rFonts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</w:rPr>
        <w:t>点击【议价管理-产品议价(CODE)】直接对所选产品的CODE进行议价，操作与产品议价（已购选产品目录）基本一致。</w:t>
      </w:r>
    </w:p>
    <w:p>
      <w:pPr>
        <w:rPr>
          <w:rFonts w:asciiTheme="majorEastAsia" w:hAnsiTheme="majorEastAsia" w:eastAsiaTheme="majorEastAsia" w:cstheme="majorEastAsia"/>
          <w:sz w:val="24"/>
        </w:rPr>
      </w:pPr>
      <w:r>
        <w:drawing>
          <wp:inline distT="0" distB="0" distL="0" distR="0">
            <wp:extent cx="5274310" cy="2075180"/>
            <wp:effectExtent l="0" t="0" r="2540" b="1270"/>
            <wp:docPr id="219" name="图片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2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Theme="minorEastAsia" w:hAnsiTheme="minorEastAsia"/>
          <w:b/>
          <w:color w:val="FF0000"/>
          <w:sz w:val="24"/>
        </w:rPr>
      </w:pPr>
      <w:r>
        <w:rPr>
          <w:rFonts w:hint="eastAsia" w:asciiTheme="minorEastAsia" w:hAnsiTheme="minorEastAsia"/>
          <w:b/>
          <w:color w:val="FF0000"/>
          <w:sz w:val="24"/>
        </w:rPr>
        <w:t>【组套议价】保存议价/提交议价时，系统自动验证当前输入价格+组套内其它C</w:t>
      </w:r>
      <w:r>
        <w:rPr>
          <w:rFonts w:asciiTheme="minorEastAsia" w:hAnsiTheme="minorEastAsia"/>
          <w:b/>
          <w:color w:val="FF0000"/>
          <w:sz w:val="24"/>
        </w:rPr>
        <w:t>ODE</w:t>
      </w:r>
      <w:r>
        <w:rPr>
          <w:rFonts w:hint="eastAsia" w:asciiTheme="minorEastAsia" w:hAnsiTheme="minorEastAsia"/>
          <w:b/>
          <w:color w:val="FF0000"/>
          <w:sz w:val="24"/>
        </w:rPr>
        <w:t>的价格总和是否不大于组套限价，如C</w:t>
      </w:r>
      <w:r>
        <w:rPr>
          <w:rFonts w:asciiTheme="minorEastAsia" w:hAnsiTheme="minorEastAsia"/>
          <w:b/>
          <w:color w:val="FF0000"/>
          <w:sz w:val="24"/>
        </w:rPr>
        <w:t>ODE</w:t>
      </w:r>
      <w:r>
        <w:rPr>
          <w:rFonts w:hint="eastAsia" w:asciiTheme="minorEastAsia" w:hAnsiTheme="minorEastAsia"/>
          <w:b/>
          <w:color w:val="FF0000"/>
          <w:sz w:val="24"/>
        </w:rPr>
        <w:t>价格总和不大于限价，则保存议价/提交议价成功；如C</w:t>
      </w:r>
      <w:r>
        <w:rPr>
          <w:rFonts w:asciiTheme="minorEastAsia" w:hAnsiTheme="minorEastAsia"/>
          <w:b/>
          <w:color w:val="FF0000"/>
          <w:sz w:val="24"/>
        </w:rPr>
        <w:t>ODE</w:t>
      </w:r>
      <w:r>
        <w:rPr>
          <w:rFonts w:hint="eastAsia" w:asciiTheme="minorEastAsia" w:hAnsiTheme="minorEastAsia"/>
          <w:b/>
          <w:color w:val="FF0000"/>
          <w:sz w:val="24"/>
        </w:rPr>
        <w:t>价格总和大于限价，则保存议价/提交议价失败（如下图）</w:t>
      </w:r>
    </w:p>
    <w:p>
      <w:r>
        <w:drawing>
          <wp:inline distT="0" distB="0" distL="0" distR="0">
            <wp:extent cx="2293620" cy="899160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93819" cy="899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outlineLvl w:val="2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22" w:name="_Toc14266053"/>
      <w:bookmarkStart w:id="23" w:name="_Toc40779930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</w:t>
      </w: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t>5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维护</w:t>
      </w:r>
      <w:bookmarkEnd w:id="22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配送企业</w:t>
      </w:r>
      <w:bookmarkEnd w:id="23"/>
    </w:p>
    <w:p>
      <w:pPr>
        <w:outlineLvl w:val="2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24" w:name="_Toc40779931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</w:t>
      </w: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t>5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.</w:t>
      </w: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t>1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维护配送企业</w:t>
      </w:r>
      <w:bookmarkEnd w:id="24"/>
    </w:p>
    <w:p>
      <w:pPr>
        <w:rPr>
          <w:rFonts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</w:rPr>
        <w:t>点击【维护配送企业-维护配送企业】可以查询到生产企业确认议价的组件信息。</w:t>
      </w:r>
    </w:p>
    <w:p>
      <w:r>
        <w:drawing>
          <wp:inline distT="0" distB="0" distL="0" distR="0">
            <wp:extent cx="5274310" cy="2165350"/>
            <wp:effectExtent l="0" t="0" r="2540" b="6350"/>
            <wp:docPr id="247" name="图片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图片 24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r>
        <w:rPr>
          <w:rFonts w:hint="eastAsia"/>
        </w:rPr>
        <w:t>点击</w:t>
      </w:r>
      <w:r>
        <w:drawing>
          <wp:inline distT="0" distB="0" distL="114300" distR="114300">
            <wp:extent cx="190500" cy="200025"/>
            <wp:effectExtent l="0" t="0" r="0" b="9525"/>
            <wp:docPr id="3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维护产品配送企业，弹出界面如下。</w:t>
      </w:r>
    </w:p>
    <w:p>
      <w:r>
        <w:drawing>
          <wp:inline distT="0" distB="0" distL="0" distR="0">
            <wp:extent cx="5274310" cy="2398395"/>
            <wp:effectExtent l="0" t="0" r="2540" b="1905"/>
            <wp:docPr id="248" name="图片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图片 24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医疗机构在生产企业选择的配送企业列表里</w:t>
      </w:r>
      <w:r>
        <w:rPr>
          <w:rFonts w:hint="eastAsia"/>
        </w:rPr>
        <w:t>确认</w:t>
      </w:r>
      <w:r>
        <w:t>自己的配送企业</w:t>
      </w:r>
      <w:r>
        <w:rPr>
          <w:rFonts w:hint="eastAsia"/>
        </w:rPr>
        <w:t>。</w:t>
      </w:r>
    </w:p>
    <w:p>
      <w:r>
        <w:rPr>
          <w:rFonts w:hint="eastAsia"/>
        </w:rPr>
        <w:t>点击“选择”列为产品选择默认配送企业，点击下方</w:t>
      </w:r>
      <w:r>
        <w:drawing>
          <wp:inline distT="0" distB="0" distL="114300" distR="114300">
            <wp:extent cx="609600" cy="257175"/>
            <wp:effectExtent l="0" t="0" r="0" b="9525"/>
            <wp:docPr id="4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按钮保存选择配送企业。</w:t>
      </w:r>
    </w:p>
    <w:p>
      <w:pPr>
        <w:jc w:val="center"/>
      </w:pPr>
      <w:r>
        <w:drawing>
          <wp:inline distT="0" distB="0" distL="114300" distR="114300">
            <wp:extent cx="2914015" cy="1028700"/>
            <wp:effectExtent l="0" t="0" r="635" b="0"/>
            <wp:docPr id="4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140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保存成功提示</w:t>
      </w:r>
    </w:p>
    <w:p>
      <w:pPr>
        <w:jc w:val="center"/>
      </w:pPr>
    </w:p>
    <w:p>
      <w:pPr>
        <w:outlineLvl w:val="1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25" w:name="_Toc40779932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</w:t>
      </w: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t>6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日常采购管理</w:t>
      </w:r>
      <w:bookmarkEnd w:id="25"/>
    </w:p>
    <w:p>
      <w:pPr>
        <w:outlineLvl w:val="2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26" w:name="_Toc40779933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</w:t>
      </w: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t>6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.1新建采购</w:t>
      </w:r>
      <w:bookmarkEnd w:id="26"/>
    </w:p>
    <w:p>
      <w:pPr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 xml:space="preserve">  </w:t>
      </w:r>
      <w:r>
        <w:rPr>
          <w:rFonts w:hint="eastAsia" w:asciiTheme="majorEastAsia" w:hAnsiTheme="majorEastAsia" w:eastAsiaTheme="majorEastAsia" w:cstheme="majorEastAsia"/>
          <w:szCs w:val="21"/>
        </w:rPr>
        <w:t>点击【日常采购管理-新建采购】进入选择采购模式界面。</w:t>
      </w:r>
    </w:p>
    <w:p>
      <w:r>
        <w:drawing>
          <wp:inline distT="0" distB="0" distL="0" distR="0">
            <wp:extent cx="5274310" cy="3256280"/>
            <wp:effectExtent l="0" t="0" r="2540" b="1270"/>
            <wp:docPr id="251" name="图片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图片 25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分为两种采购模式：</w:t>
      </w:r>
    </w:p>
    <w:p>
      <w:pPr>
        <w:pStyle w:val="31"/>
        <w:numPr>
          <w:ilvl w:val="0"/>
          <w:numId w:val="2"/>
        </w:numPr>
        <w:ind w:firstLineChars="0"/>
        <w:rPr>
          <w:b/>
          <w:color w:val="FF0000"/>
        </w:rPr>
      </w:pPr>
      <w:r>
        <w:rPr>
          <w:rFonts w:hint="eastAsia"/>
        </w:rPr>
        <w:t>备货采购—预先可以确定需要采购的体外诊断试剂品规，一般对库房常备的体外诊断试剂使用该模式采购。</w:t>
      </w:r>
      <w:r>
        <w:rPr>
          <w:rFonts w:hint="eastAsia"/>
          <w:b/>
          <w:color w:val="FF0000"/>
        </w:rPr>
        <w:t>注：该下订单方式配送企业可以多次配送并完成订单采购。</w:t>
      </w:r>
    </w:p>
    <w:p>
      <w:pPr>
        <w:pStyle w:val="31"/>
        <w:numPr>
          <w:ilvl w:val="0"/>
          <w:numId w:val="2"/>
        </w:numPr>
        <w:ind w:firstLineChars="0"/>
      </w:pPr>
      <w:r>
        <w:rPr>
          <w:rFonts w:hint="eastAsia"/>
        </w:rPr>
        <w:t>补单—针对医疗机构不备库存的体外诊断试剂，</w:t>
      </w:r>
      <w:r>
        <w:t>在</w:t>
      </w:r>
      <w:r>
        <w:rPr>
          <w:rFonts w:hint="eastAsia"/>
        </w:rPr>
        <w:t>实际临床中因库存告急、手术急用只能术后补单的，采用该模式。</w:t>
      </w:r>
      <w:r>
        <w:rPr>
          <w:rFonts w:hint="eastAsia"/>
          <w:b/>
          <w:color w:val="FF0000"/>
        </w:rPr>
        <w:t>注：该下订单方式配送企业只可一次配送并完成订单采购。</w:t>
      </w:r>
    </w:p>
    <w:p>
      <w:r>
        <w:rPr>
          <w:rFonts w:hint="eastAsia"/>
        </w:rPr>
        <w:t>点击</w:t>
      </w:r>
      <w:r>
        <w:drawing>
          <wp:inline distT="0" distB="0" distL="114300" distR="114300">
            <wp:extent cx="1047750" cy="247650"/>
            <wp:effectExtent l="0" t="0" r="0" b="0"/>
            <wp:docPr id="86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4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按钮来选择所需要的采购模式。</w:t>
      </w:r>
    </w:p>
    <w:p>
      <w:pPr>
        <w:outlineLvl w:val="3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备货采购</w:t>
      </w:r>
    </w:p>
    <w:p>
      <w:r>
        <w:rPr>
          <w:rFonts w:hint="eastAsia"/>
        </w:rPr>
        <w:t>第一步：</w:t>
      </w:r>
    </w:p>
    <w:p>
      <w:r>
        <w:drawing>
          <wp:inline distT="0" distB="0" distL="114300" distR="114300">
            <wp:extent cx="5269230" cy="1761490"/>
            <wp:effectExtent l="0" t="0" r="7620" b="10160"/>
            <wp:docPr id="96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4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6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第二步：</w:t>
      </w:r>
    </w:p>
    <w:p>
      <w:r>
        <w:drawing>
          <wp:inline distT="0" distB="0" distL="0" distR="0">
            <wp:extent cx="5274310" cy="1849755"/>
            <wp:effectExtent l="0" t="0" r="2540" b="0"/>
            <wp:docPr id="254" name="图片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图片 25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color w:val="FF0000"/>
        </w:rPr>
      </w:pPr>
      <w:r>
        <w:rPr>
          <w:rFonts w:hint="eastAsia"/>
          <w:b/>
          <w:color w:val="FF0000"/>
        </w:rPr>
        <w:t>选择【组套产品】时，系统自动将该组套的产品C</w:t>
      </w:r>
      <w:r>
        <w:rPr>
          <w:b/>
          <w:color w:val="FF0000"/>
        </w:rPr>
        <w:t>ODE</w:t>
      </w:r>
      <w:r>
        <w:rPr>
          <w:rFonts w:hint="eastAsia"/>
          <w:b/>
          <w:color w:val="FF0000"/>
        </w:rPr>
        <w:t>加载至采购订单中。</w:t>
      </w:r>
    </w:p>
    <w:p>
      <w:pPr>
        <w:rPr>
          <w:rFonts w:hint="eastAsia"/>
        </w:rPr>
      </w:pPr>
    </w:p>
    <w:p>
      <w:r>
        <w:rPr>
          <w:rFonts w:hint="eastAsia"/>
        </w:rPr>
        <w:t>第三步：</w:t>
      </w:r>
    </w:p>
    <w:p>
      <w:r>
        <w:drawing>
          <wp:inline distT="0" distB="0" distL="0" distR="0">
            <wp:extent cx="5274310" cy="2266315"/>
            <wp:effectExtent l="0" t="0" r="2540" b="63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color w:val="FF0000"/>
          <w:sz w:val="24"/>
        </w:rPr>
      </w:pPr>
      <w:r>
        <w:rPr>
          <w:rFonts w:hint="eastAsia"/>
          <w:b/>
          <w:color w:val="FF0000"/>
          <w:sz w:val="24"/>
        </w:rPr>
        <w:t>选择组套采购产品后，只需要输入相应的采购数量即可，然后保存并提交采购订单。</w:t>
      </w:r>
    </w:p>
    <w:p/>
    <w:p>
      <w:pPr>
        <w:outlineLvl w:val="3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补单</w:t>
      </w:r>
    </w:p>
    <w:p>
      <w:pPr>
        <w:outlineLvl w:val="3"/>
        <w:rPr>
          <w:rFonts w:asciiTheme="majorEastAsia" w:hAnsiTheme="majorEastAsia" w:eastAsiaTheme="majorEastAsia" w:cstheme="majorEastAsia"/>
          <w:b/>
          <w:bCs/>
          <w:color w:val="FF0000"/>
          <w:sz w:val="28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FF0000"/>
          <w:sz w:val="28"/>
          <w:szCs w:val="32"/>
        </w:rPr>
        <w:t>补单采购流程与备货采购流程相同。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Menl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74D77"/>
    <w:multiLevelType w:val="singleLevel"/>
    <w:tmpl w:val="56974D77"/>
    <w:lvl w:ilvl="0" w:tentative="0">
      <w:start w:val="2"/>
      <w:numFmt w:val="chineseCounting"/>
      <w:suff w:val="nothing"/>
      <w:lvlText w:val="第%1章"/>
      <w:lvlJc w:val="left"/>
    </w:lvl>
  </w:abstractNum>
  <w:abstractNum w:abstractNumId="1">
    <w:nsid w:val="5FF91CF3"/>
    <w:multiLevelType w:val="multilevel"/>
    <w:tmpl w:val="5FF91CF3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56A"/>
    <w:rsid w:val="00012A78"/>
    <w:rsid w:val="00090B4C"/>
    <w:rsid w:val="000C5EC8"/>
    <w:rsid w:val="000F257B"/>
    <w:rsid w:val="00114B33"/>
    <w:rsid w:val="001612B1"/>
    <w:rsid w:val="001A0973"/>
    <w:rsid w:val="001D668F"/>
    <w:rsid w:val="00250F0E"/>
    <w:rsid w:val="00265D16"/>
    <w:rsid w:val="00272850"/>
    <w:rsid w:val="002C6CD8"/>
    <w:rsid w:val="00321D06"/>
    <w:rsid w:val="00367D75"/>
    <w:rsid w:val="003805F1"/>
    <w:rsid w:val="00384F14"/>
    <w:rsid w:val="00385EC8"/>
    <w:rsid w:val="003B1EFE"/>
    <w:rsid w:val="003F2FF2"/>
    <w:rsid w:val="00433793"/>
    <w:rsid w:val="004362F4"/>
    <w:rsid w:val="00456CEB"/>
    <w:rsid w:val="00465BA9"/>
    <w:rsid w:val="004A1977"/>
    <w:rsid w:val="004E4CD8"/>
    <w:rsid w:val="004E6DD1"/>
    <w:rsid w:val="00521116"/>
    <w:rsid w:val="0052451E"/>
    <w:rsid w:val="0055209B"/>
    <w:rsid w:val="00557E77"/>
    <w:rsid w:val="0057160C"/>
    <w:rsid w:val="005B636C"/>
    <w:rsid w:val="005D5BD2"/>
    <w:rsid w:val="005E448C"/>
    <w:rsid w:val="006025DC"/>
    <w:rsid w:val="0061641C"/>
    <w:rsid w:val="0062275B"/>
    <w:rsid w:val="006312BF"/>
    <w:rsid w:val="00631EF0"/>
    <w:rsid w:val="006412D7"/>
    <w:rsid w:val="00652348"/>
    <w:rsid w:val="00652B9A"/>
    <w:rsid w:val="006549F7"/>
    <w:rsid w:val="0066003E"/>
    <w:rsid w:val="00663ED0"/>
    <w:rsid w:val="006901FE"/>
    <w:rsid w:val="006A0790"/>
    <w:rsid w:val="006A13F5"/>
    <w:rsid w:val="006A5760"/>
    <w:rsid w:val="006F1761"/>
    <w:rsid w:val="007000E7"/>
    <w:rsid w:val="00711CC4"/>
    <w:rsid w:val="00720E11"/>
    <w:rsid w:val="00724F9C"/>
    <w:rsid w:val="0073440B"/>
    <w:rsid w:val="00783F94"/>
    <w:rsid w:val="007C44E5"/>
    <w:rsid w:val="008255FA"/>
    <w:rsid w:val="008813C6"/>
    <w:rsid w:val="00894546"/>
    <w:rsid w:val="008C53B3"/>
    <w:rsid w:val="008D4BD3"/>
    <w:rsid w:val="008F674B"/>
    <w:rsid w:val="00911FF8"/>
    <w:rsid w:val="009240EF"/>
    <w:rsid w:val="00930A1E"/>
    <w:rsid w:val="009311DD"/>
    <w:rsid w:val="00941026"/>
    <w:rsid w:val="00986858"/>
    <w:rsid w:val="009A1A45"/>
    <w:rsid w:val="009B226C"/>
    <w:rsid w:val="009E54EA"/>
    <w:rsid w:val="009F14B6"/>
    <w:rsid w:val="009F4F3A"/>
    <w:rsid w:val="00A06D7E"/>
    <w:rsid w:val="00A57967"/>
    <w:rsid w:val="00A71136"/>
    <w:rsid w:val="00AC3C81"/>
    <w:rsid w:val="00AC50C8"/>
    <w:rsid w:val="00AF2BE5"/>
    <w:rsid w:val="00B15834"/>
    <w:rsid w:val="00B3446D"/>
    <w:rsid w:val="00B5533F"/>
    <w:rsid w:val="00B70BD6"/>
    <w:rsid w:val="00BC5114"/>
    <w:rsid w:val="00BF1929"/>
    <w:rsid w:val="00C456DA"/>
    <w:rsid w:val="00CA4FC3"/>
    <w:rsid w:val="00CD1315"/>
    <w:rsid w:val="00D0356A"/>
    <w:rsid w:val="00D1671B"/>
    <w:rsid w:val="00D16D58"/>
    <w:rsid w:val="00D54FF1"/>
    <w:rsid w:val="00DC612D"/>
    <w:rsid w:val="00DC733A"/>
    <w:rsid w:val="00DF6F5D"/>
    <w:rsid w:val="00E00574"/>
    <w:rsid w:val="00E21B41"/>
    <w:rsid w:val="00E415AF"/>
    <w:rsid w:val="00E86AA7"/>
    <w:rsid w:val="00EB6501"/>
    <w:rsid w:val="00F375DD"/>
    <w:rsid w:val="00F60B89"/>
    <w:rsid w:val="00FB2693"/>
    <w:rsid w:val="012845F2"/>
    <w:rsid w:val="01395B91"/>
    <w:rsid w:val="0185278D"/>
    <w:rsid w:val="01C43576"/>
    <w:rsid w:val="01D55A0F"/>
    <w:rsid w:val="0218777D"/>
    <w:rsid w:val="024C23F1"/>
    <w:rsid w:val="024D21D6"/>
    <w:rsid w:val="02FD1B7B"/>
    <w:rsid w:val="03063B82"/>
    <w:rsid w:val="031F788A"/>
    <w:rsid w:val="03354EAC"/>
    <w:rsid w:val="039A7B72"/>
    <w:rsid w:val="03CB1178"/>
    <w:rsid w:val="03DA2C61"/>
    <w:rsid w:val="0424098B"/>
    <w:rsid w:val="044872FB"/>
    <w:rsid w:val="045F7637"/>
    <w:rsid w:val="04611382"/>
    <w:rsid w:val="049E0421"/>
    <w:rsid w:val="04C44DDD"/>
    <w:rsid w:val="050339C8"/>
    <w:rsid w:val="0590322C"/>
    <w:rsid w:val="05B6346C"/>
    <w:rsid w:val="05C50200"/>
    <w:rsid w:val="05E127AF"/>
    <w:rsid w:val="063F4A09"/>
    <w:rsid w:val="06C9422E"/>
    <w:rsid w:val="06F366F7"/>
    <w:rsid w:val="071876A3"/>
    <w:rsid w:val="072645C7"/>
    <w:rsid w:val="073316DF"/>
    <w:rsid w:val="0737698A"/>
    <w:rsid w:val="07A27794"/>
    <w:rsid w:val="07B22097"/>
    <w:rsid w:val="0843731D"/>
    <w:rsid w:val="08470652"/>
    <w:rsid w:val="08575FBE"/>
    <w:rsid w:val="086F628C"/>
    <w:rsid w:val="08793F74"/>
    <w:rsid w:val="08CF6F01"/>
    <w:rsid w:val="08FD674C"/>
    <w:rsid w:val="091772F6"/>
    <w:rsid w:val="093E2A38"/>
    <w:rsid w:val="098F0D1A"/>
    <w:rsid w:val="09A9323F"/>
    <w:rsid w:val="09D10BC9"/>
    <w:rsid w:val="09D85501"/>
    <w:rsid w:val="0A316B49"/>
    <w:rsid w:val="0AB24B18"/>
    <w:rsid w:val="0AE84F4C"/>
    <w:rsid w:val="0B254E57"/>
    <w:rsid w:val="0B5B5331"/>
    <w:rsid w:val="0B8A79DC"/>
    <w:rsid w:val="0B921C08"/>
    <w:rsid w:val="0C347213"/>
    <w:rsid w:val="0C3F7E07"/>
    <w:rsid w:val="0C5D01CC"/>
    <w:rsid w:val="0C930672"/>
    <w:rsid w:val="0D107192"/>
    <w:rsid w:val="0D3E4DB0"/>
    <w:rsid w:val="0D6A5091"/>
    <w:rsid w:val="0D752187"/>
    <w:rsid w:val="0E317059"/>
    <w:rsid w:val="0E3C1B66"/>
    <w:rsid w:val="0E9F3E09"/>
    <w:rsid w:val="0F057031"/>
    <w:rsid w:val="0F087F77"/>
    <w:rsid w:val="0F1605D0"/>
    <w:rsid w:val="0F2478E6"/>
    <w:rsid w:val="0F5735B8"/>
    <w:rsid w:val="0F5D0156"/>
    <w:rsid w:val="0FA607B5"/>
    <w:rsid w:val="0FCD6A7A"/>
    <w:rsid w:val="0FD4023A"/>
    <w:rsid w:val="0FFA3EDC"/>
    <w:rsid w:val="10420B29"/>
    <w:rsid w:val="11036AF6"/>
    <w:rsid w:val="110667EB"/>
    <w:rsid w:val="111F70AD"/>
    <w:rsid w:val="112B18B3"/>
    <w:rsid w:val="11604C92"/>
    <w:rsid w:val="11620195"/>
    <w:rsid w:val="118A49F4"/>
    <w:rsid w:val="119B6FF5"/>
    <w:rsid w:val="11E252D1"/>
    <w:rsid w:val="11E938F1"/>
    <w:rsid w:val="11EC4876"/>
    <w:rsid w:val="12421A01"/>
    <w:rsid w:val="12841571"/>
    <w:rsid w:val="12AC362F"/>
    <w:rsid w:val="12BB3837"/>
    <w:rsid w:val="130C274F"/>
    <w:rsid w:val="134C3538"/>
    <w:rsid w:val="13E855B5"/>
    <w:rsid w:val="14734E03"/>
    <w:rsid w:val="14740A1C"/>
    <w:rsid w:val="147413CA"/>
    <w:rsid w:val="14A5275C"/>
    <w:rsid w:val="15293298"/>
    <w:rsid w:val="153C0465"/>
    <w:rsid w:val="15A62093"/>
    <w:rsid w:val="15B648AC"/>
    <w:rsid w:val="15CC22D2"/>
    <w:rsid w:val="15F54FDF"/>
    <w:rsid w:val="165918B0"/>
    <w:rsid w:val="16895F09"/>
    <w:rsid w:val="169F4829"/>
    <w:rsid w:val="16E3701D"/>
    <w:rsid w:val="16E60821"/>
    <w:rsid w:val="171112E5"/>
    <w:rsid w:val="17213AFE"/>
    <w:rsid w:val="17551629"/>
    <w:rsid w:val="175F4C67"/>
    <w:rsid w:val="17687AF5"/>
    <w:rsid w:val="176D19FF"/>
    <w:rsid w:val="177425D7"/>
    <w:rsid w:val="17BF5F86"/>
    <w:rsid w:val="17C11489"/>
    <w:rsid w:val="18191B17"/>
    <w:rsid w:val="183304C3"/>
    <w:rsid w:val="18574282"/>
    <w:rsid w:val="186A2B9B"/>
    <w:rsid w:val="188E1AD6"/>
    <w:rsid w:val="18DE4C68"/>
    <w:rsid w:val="18F5277F"/>
    <w:rsid w:val="190E58A7"/>
    <w:rsid w:val="19272B18"/>
    <w:rsid w:val="19472589"/>
    <w:rsid w:val="196178B0"/>
    <w:rsid w:val="19645308"/>
    <w:rsid w:val="19707ECA"/>
    <w:rsid w:val="1A2A4D7A"/>
    <w:rsid w:val="1A960F6C"/>
    <w:rsid w:val="1AB56EDD"/>
    <w:rsid w:val="1B181180"/>
    <w:rsid w:val="1B435847"/>
    <w:rsid w:val="1B577D6B"/>
    <w:rsid w:val="1BA42F1E"/>
    <w:rsid w:val="1C117199"/>
    <w:rsid w:val="1C197E29"/>
    <w:rsid w:val="1C4972F3"/>
    <w:rsid w:val="1C525A04"/>
    <w:rsid w:val="1CDE68ED"/>
    <w:rsid w:val="1D0664F8"/>
    <w:rsid w:val="1D617DC0"/>
    <w:rsid w:val="1D6D4210"/>
    <w:rsid w:val="1DDC7709"/>
    <w:rsid w:val="1E77318B"/>
    <w:rsid w:val="1E777908"/>
    <w:rsid w:val="1EF8115B"/>
    <w:rsid w:val="1F0D1100"/>
    <w:rsid w:val="1F300C91"/>
    <w:rsid w:val="1F5C0E7F"/>
    <w:rsid w:val="1F68509F"/>
    <w:rsid w:val="1F8E2953"/>
    <w:rsid w:val="1FB1638B"/>
    <w:rsid w:val="1FF76AFF"/>
    <w:rsid w:val="2033565F"/>
    <w:rsid w:val="208F4BE0"/>
    <w:rsid w:val="2090127C"/>
    <w:rsid w:val="20BC55C4"/>
    <w:rsid w:val="20DA4B74"/>
    <w:rsid w:val="21315582"/>
    <w:rsid w:val="21480A2B"/>
    <w:rsid w:val="21832EF9"/>
    <w:rsid w:val="2190438A"/>
    <w:rsid w:val="2194500A"/>
    <w:rsid w:val="222A2755"/>
    <w:rsid w:val="22A60967"/>
    <w:rsid w:val="23325FCD"/>
    <w:rsid w:val="2351124A"/>
    <w:rsid w:val="237A41C3"/>
    <w:rsid w:val="23B2431C"/>
    <w:rsid w:val="23BD39B2"/>
    <w:rsid w:val="23C16B35"/>
    <w:rsid w:val="2431266C"/>
    <w:rsid w:val="243313F3"/>
    <w:rsid w:val="243C41EC"/>
    <w:rsid w:val="24836BF3"/>
    <w:rsid w:val="24905F09"/>
    <w:rsid w:val="250C10D6"/>
    <w:rsid w:val="251E1A95"/>
    <w:rsid w:val="25D3309D"/>
    <w:rsid w:val="25E258B6"/>
    <w:rsid w:val="262E46B0"/>
    <w:rsid w:val="26552702"/>
    <w:rsid w:val="2682413A"/>
    <w:rsid w:val="26E63E5F"/>
    <w:rsid w:val="274C411E"/>
    <w:rsid w:val="2794241B"/>
    <w:rsid w:val="27E46300"/>
    <w:rsid w:val="2808303D"/>
    <w:rsid w:val="280A6540"/>
    <w:rsid w:val="282C1F78"/>
    <w:rsid w:val="29275693"/>
    <w:rsid w:val="294471C1"/>
    <w:rsid w:val="29B75A1D"/>
    <w:rsid w:val="2A591288"/>
    <w:rsid w:val="2A8433D1"/>
    <w:rsid w:val="2AAA1F8B"/>
    <w:rsid w:val="2ADB055C"/>
    <w:rsid w:val="2B5D30B4"/>
    <w:rsid w:val="2B980180"/>
    <w:rsid w:val="2BBE3B8D"/>
    <w:rsid w:val="2C233D76"/>
    <w:rsid w:val="2CAE175C"/>
    <w:rsid w:val="2CEF21C5"/>
    <w:rsid w:val="2CF05A49"/>
    <w:rsid w:val="2D07566E"/>
    <w:rsid w:val="2D421FD0"/>
    <w:rsid w:val="2D5F5CFD"/>
    <w:rsid w:val="2DC35A21"/>
    <w:rsid w:val="2DD33ABD"/>
    <w:rsid w:val="2DE262D6"/>
    <w:rsid w:val="2DFB7200"/>
    <w:rsid w:val="2E38781C"/>
    <w:rsid w:val="2E856681"/>
    <w:rsid w:val="2EC67BCD"/>
    <w:rsid w:val="2EEB0D06"/>
    <w:rsid w:val="2EFB0D93"/>
    <w:rsid w:val="2F095DE6"/>
    <w:rsid w:val="2F394689"/>
    <w:rsid w:val="2F4C7AA6"/>
    <w:rsid w:val="30370D29"/>
    <w:rsid w:val="306E6C84"/>
    <w:rsid w:val="30754091"/>
    <w:rsid w:val="30A91F61"/>
    <w:rsid w:val="30AA79E3"/>
    <w:rsid w:val="31402718"/>
    <w:rsid w:val="314342FA"/>
    <w:rsid w:val="316616EE"/>
    <w:rsid w:val="31875600"/>
    <w:rsid w:val="31FF51FB"/>
    <w:rsid w:val="323C48F6"/>
    <w:rsid w:val="32424281"/>
    <w:rsid w:val="32623055"/>
    <w:rsid w:val="32CA6AE3"/>
    <w:rsid w:val="32F75029"/>
    <w:rsid w:val="32FF7EB7"/>
    <w:rsid w:val="330D2A50"/>
    <w:rsid w:val="331658DE"/>
    <w:rsid w:val="335E43AC"/>
    <w:rsid w:val="339A601C"/>
    <w:rsid w:val="34681A08"/>
    <w:rsid w:val="3488058D"/>
    <w:rsid w:val="34D423BC"/>
    <w:rsid w:val="354628EA"/>
    <w:rsid w:val="357264C8"/>
    <w:rsid w:val="35F5550C"/>
    <w:rsid w:val="362A70EA"/>
    <w:rsid w:val="362B4B6B"/>
    <w:rsid w:val="364C2534"/>
    <w:rsid w:val="36A238B1"/>
    <w:rsid w:val="36CD0956"/>
    <w:rsid w:val="36E94025"/>
    <w:rsid w:val="37036DCD"/>
    <w:rsid w:val="371B2276"/>
    <w:rsid w:val="37387627"/>
    <w:rsid w:val="379850C2"/>
    <w:rsid w:val="38292433"/>
    <w:rsid w:val="385A0A04"/>
    <w:rsid w:val="388E7ACF"/>
    <w:rsid w:val="39003233"/>
    <w:rsid w:val="392F7762"/>
    <w:rsid w:val="39941685"/>
    <w:rsid w:val="39D236E8"/>
    <w:rsid w:val="3A0E4E17"/>
    <w:rsid w:val="3A985FE4"/>
    <w:rsid w:val="3AB466CE"/>
    <w:rsid w:val="3AE8254D"/>
    <w:rsid w:val="3B27401A"/>
    <w:rsid w:val="3B345D21"/>
    <w:rsid w:val="3B3A303A"/>
    <w:rsid w:val="3B48454E"/>
    <w:rsid w:val="3B8D2038"/>
    <w:rsid w:val="3BB52984"/>
    <w:rsid w:val="3BE556D1"/>
    <w:rsid w:val="3CB302DF"/>
    <w:rsid w:val="3CBE0C38"/>
    <w:rsid w:val="3D2036A9"/>
    <w:rsid w:val="3D392D34"/>
    <w:rsid w:val="3D440B11"/>
    <w:rsid w:val="3D8E5A8D"/>
    <w:rsid w:val="3D972B19"/>
    <w:rsid w:val="3DC94B62"/>
    <w:rsid w:val="3E12633B"/>
    <w:rsid w:val="3E1511E9"/>
    <w:rsid w:val="3E91152E"/>
    <w:rsid w:val="3E975345"/>
    <w:rsid w:val="3F0A30BA"/>
    <w:rsid w:val="3F5B1501"/>
    <w:rsid w:val="3F602105"/>
    <w:rsid w:val="3F651E10"/>
    <w:rsid w:val="40600DAE"/>
    <w:rsid w:val="40687AD1"/>
    <w:rsid w:val="408D50F6"/>
    <w:rsid w:val="40BC23C2"/>
    <w:rsid w:val="41132DBE"/>
    <w:rsid w:val="41597CC1"/>
    <w:rsid w:val="41B525D9"/>
    <w:rsid w:val="421019EE"/>
    <w:rsid w:val="42E33C8C"/>
    <w:rsid w:val="42F609E7"/>
    <w:rsid w:val="4315129C"/>
    <w:rsid w:val="43245FD3"/>
    <w:rsid w:val="433C0A19"/>
    <w:rsid w:val="439E7EFB"/>
    <w:rsid w:val="43BE3CB3"/>
    <w:rsid w:val="44225F56"/>
    <w:rsid w:val="446C50D1"/>
    <w:rsid w:val="447369DB"/>
    <w:rsid w:val="447943E7"/>
    <w:rsid w:val="44A028DB"/>
    <w:rsid w:val="44BB74AF"/>
    <w:rsid w:val="44DF1B8D"/>
    <w:rsid w:val="45356D18"/>
    <w:rsid w:val="456E0177"/>
    <w:rsid w:val="459205AA"/>
    <w:rsid w:val="45A5284F"/>
    <w:rsid w:val="45B21B65"/>
    <w:rsid w:val="463B1014"/>
    <w:rsid w:val="46606805"/>
    <w:rsid w:val="46641988"/>
    <w:rsid w:val="46CF48BB"/>
    <w:rsid w:val="46D817FC"/>
    <w:rsid w:val="478011EB"/>
    <w:rsid w:val="47B944B8"/>
    <w:rsid w:val="48185B57"/>
    <w:rsid w:val="485211B4"/>
    <w:rsid w:val="4890451C"/>
    <w:rsid w:val="48A166F6"/>
    <w:rsid w:val="48D153D2"/>
    <w:rsid w:val="48F54240"/>
    <w:rsid w:val="49030FD7"/>
    <w:rsid w:val="494A757D"/>
    <w:rsid w:val="495B1666"/>
    <w:rsid w:val="49B81823"/>
    <w:rsid w:val="49EF575D"/>
    <w:rsid w:val="49F2298E"/>
    <w:rsid w:val="4A5A4E0C"/>
    <w:rsid w:val="4B5A112C"/>
    <w:rsid w:val="4BE1398E"/>
    <w:rsid w:val="4C480DB4"/>
    <w:rsid w:val="4C4E2CBD"/>
    <w:rsid w:val="4C7C15CC"/>
    <w:rsid w:val="4C8F16A9"/>
    <w:rsid w:val="4CE21DC1"/>
    <w:rsid w:val="4D0F52FA"/>
    <w:rsid w:val="4D861AC1"/>
    <w:rsid w:val="4E8B2268"/>
    <w:rsid w:val="4E8D33ED"/>
    <w:rsid w:val="4F01352B"/>
    <w:rsid w:val="4F1B7959"/>
    <w:rsid w:val="4F5F5AC3"/>
    <w:rsid w:val="50496D46"/>
    <w:rsid w:val="506121EE"/>
    <w:rsid w:val="50C30C0E"/>
    <w:rsid w:val="510C4C11"/>
    <w:rsid w:val="51EE2D65"/>
    <w:rsid w:val="5217023B"/>
    <w:rsid w:val="521F5647"/>
    <w:rsid w:val="5220694C"/>
    <w:rsid w:val="5249087D"/>
    <w:rsid w:val="52545EA1"/>
    <w:rsid w:val="528043E7"/>
    <w:rsid w:val="52B93647"/>
    <w:rsid w:val="53067EC3"/>
    <w:rsid w:val="53122566"/>
    <w:rsid w:val="54462AAE"/>
    <w:rsid w:val="54804E43"/>
    <w:rsid w:val="548173AF"/>
    <w:rsid w:val="54985E88"/>
    <w:rsid w:val="54BA080E"/>
    <w:rsid w:val="54C3111E"/>
    <w:rsid w:val="54DA7730"/>
    <w:rsid w:val="55AE459E"/>
    <w:rsid w:val="55B03869"/>
    <w:rsid w:val="55D37F2F"/>
    <w:rsid w:val="55E67F7B"/>
    <w:rsid w:val="55FA119A"/>
    <w:rsid w:val="560C3523"/>
    <w:rsid w:val="561A225D"/>
    <w:rsid w:val="56443B98"/>
    <w:rsid w:val="56E4241D"/>
    <w:rsid w:val="5703744E"/>
    <w:rsid w:val="57266709"/>
    <w:rsid w:val="57295110"/>
    <w:rsid w:val="5752209D"/>
    <w:rsid w:val="576D30A6"/>
    <w:rsid w:val="57E60D46"/>
    <w:rsid w:val="580524F4"/>
    <w:rsid w:val="58211E24"/>
    <w:rsid w:val="58483B30"/>
    <w:rsid w:val="584A0A6A"/>
    <w:rsid w:val="585E64F8"/>
    <w:rsid w:val="58973620"/>
    <w:rsid w:val="59335165"/>
    <w:rsid w:val="595007B5"/>
    <w:rsid w:val="59C20CE0"/>
    <w:rsid w:val="5A1A24C5"/>
    <w:rsid w:val="5A2A7C7B"/>
    <w:rsid w:val="5A3B5997"/>
    <w:rsid w:val="5A451B2A"/>
    <w:rsid w:val="5B285A50"/>
    <w:rsid w:val="5B374935"/>
    <w:rsid w:val="5BC03595"/>
    <w:rsid w:val="5BD51AF6"/>
    <w:rsid w:val="5BFF437E"/>
    <w:rsid w:val="5C083989"/>
    <w:rsid w:val="5C4F7DFB"/>
    <w:rsid w:val="5C726230"/>
    <w:rsid w:val="5D427CB0"/>
    <w:rsid w:val="5D455D8B"/>
    <w:rsid w:val="5DB5274B"/>
    <w:rsid w:val="5DB623CB"/>
    <w:rsid w:val="5DD21CFB"/>
    <w:rsid w:val="5DDC5E8E"/>
    <w:rsid w:val="5E417DB0"/>
    <w:rsid w:val="5E5238CE"/>
    <w:rsid w:val="5E805317"/>
    <w:rsid w:val="5EF665DA"/>
    <w:rsid w:val="5F2C3231"/>
    <w:rsid w:val="5F6E2DA1"/>
    <w:rsid w:val="5F746EA8"/>
    <w:rsid w:val="5F7D5D0D"/>
    <w:rsid w:val="5FCF70A6"/>
    <w:rsid w:val="612123E7"/>
    <w:rsid w:val="6137458B"/>
    <w:rsid w:val="617416AB"/>
    <w:rsid w:val="61A00737"/>
    <w:rsid w:val="61ED0836"/>
    <w:rsid w:val="61F651F3"/>
    <w:rsid w:val="622F4B23"/>
    <w:rsid w:val="62587EE5"/>
    <w:rsid w:val="62B26E2F"/>
    <w:rsid w:val="62CB1C7F"/>
    <w:rsid w:val="62D2215D"/>
    <w:rsid w:val="62F20474"/>
    <w:rsid w:val="63364050"/>
    <w:rsid w:val="634520EC"/>
    <w:rsid w:val="635142A0"/>
    <w:rsid w:val="637473B8"/>
    <w:rsid w:val="6377613F"/>
    <w:rsid w:val="63D351D4"/>
    <w:rsid w:val="640B2DAF"/>
    <w:rsid w:val="64A21870"/>
    <w:rsid w:val="650C35C8"/>
    <w:rsid w:val="659C7535"/>
    <w:rsid w:val="659F47A6"/>
    <w:rsid w:val="65E848BE"/>
    <w:rsid w:val="65F32C4F"/>
    <w:rsid w:val="667941AD"/>
    <w:rsid w:val="66AF0E04"/>
    <w:rsid w:val="66FA5AED"/>
    <w:rsid w:val="67172DB2"/>
    <w:rsid w:val="672C73B9"/>
    <w:rsid w:val="679171F9"/>
    <w:rsid w:val="680C6B42"/>
    <w:rsid w:val="686E7AE0"/>
    <w:rsid w:val="69AC07ED"/>
    <w:rsid w:val="6A202D93"/>
    <w:rsid w:val="6A670F20"/>
    <w:rsid w:val="6A751D9E"/>
    <w:rsid w:val="6AA50A05"/>
    <w:rsid w:val="6AB1009A"/>
    <w:rsid w:val="6B377DF6"/>
    <w:rsid w:val="6B5647ED"/>
    <w:rsid w:val="6B5B523B"/>
    <w:rsid w:val="6B6668C4"/>
    <w:rsid w:val="6B927388"/>
    <w:rsid w:val="6B94610F"/>
    <w:rsid w:val="6BD245BB"/>
    <w:rsid w:val="6BDB59A8"/>
    <w:rsid w:val="6C0E2555"/>
    <w:rsid w:val="6C907A06"/>
    <w:rsid w:val="6CA6230C"/>
    <w:rsid w:val="6CD04811"/>
    <w:rsid w:val="6CE56EF7"/>
    <w:rsid w:val="6D1A178E"/>
    <w:rsid w:val="6D70219D"/>
    <w:rsid w:val="6E40376F"/>
    <w:rsid w:val="6EF534F5"/>
    <w:rsid w:val="6F1F0897"/>
    <w:rsid w:val="6F204C12"/>
    <w:rsid w:val="6F6A50AB"/>
    <w:rsid w:val="6F762216"/>
    <w:rsid w:val="6FE67322"/>
    <w:rsid w:val="70452BBF"/>
    <w:rsid w:val="705B2B64"/>
    <w:rsid w:val="706D2A7F"/>
    <w:rsid w:val="707F1A9F"/>
    <w:rsid w:val="70A94E62"/>
    <w:rsid w:val="70D97C61"/>
    <w:rsid w:val="71181180"/>
    <w:rsid w:val="71617E94"/>
    <w:rsid w:val="722F0ECD"/>
    <w:rsid w:val="726B7DC3"/>
    <w:rsid w:val="73065FC6"/>
    <w:rsid w:val="73925BAA"/>
    <w:rsid w:val="73FE4ED9"/>
    <w:rsid w:val="7409326A"/>
    <w:rsid w:val="74524963"/>
    <w:rsid w:val="74AB2F11"/>
    <w:rsid w:val="74F65471"/>
    <w:rsid w:val="74F76776"/>
    <w:rsid w:val="751436B5"/>
    <w:rsid w:val="753F32E7"/>
    <w:rsid w:val="75443E79"/>
    <w:rsid w:val="75617424"/>
    <w:rsid w:val="76637BC6"/>
    <w:rsid w:val="766A4FD3"/>
    <w:rsid w:val="766E17DB"/>
    <w:rsid w:val="76974B9D"/>
    <w:rsid w:val="7699628F"/>
    <w:rsid w:val="76F44F37"/>
    <w:rsid w:val="770F5AFF"/>
    <w:rsid w:val="773A7C2A"/>
    <w:rsid w:val="77A45FD4"/>
    <w:rsid w:val="77E9454A"/>
    <w:rsid w:val="78083264"/>
    <w:rsid w:val="78175F6A"/>
    <w:rsid w:val="78767322"/>
    <w:rsid w:val="787B6037"/>
    <w:rsid w:val="78C86137"/>
    <w:rsid w:val="78E91939"/>
    <w:rsid w:val="78FE108C"/>
    <w:rsid w:val="7908111E"/>
    <w:rsid w:val="79293BAD"/>
    <w:rsid w:val="797F45E0"/>
    <w:rsid w:val="79B66F12"/>
    <w:rsid w:val="79E10E02"/>
    <w:rsid w:val="79E723AB"/>
    <w:rsid w:val="7B093949"/>
    <w:rsid w:val="7B0E3DF2"/>
    <w:rsid w:val="7B1118ED"/>
    <w:rsid w:val="7B615DFB"/>
    <w:rsid w:val="7B910B48"/>
    <w:rsid w:val="7B93624A"/>
    <w:rsid w:val="7BC44E07"/>
    <w:rsid w:val="7BEA40A0"/>
    <w:rsid w:val="7BFB589C"/>
    <w:rsid w:val="7C3051CE"/>
    <w:rsid w:val="7C3E1F66"/>
    <w:rsid w:val="7CE86B7B"/>
    <w:rsid w:val="7D0719AF"/>
    <w:rsid w:val="7D140CC4"/>
    <w:rsid w:val="7D640C23"/>
    <w:rsid w:val="7D6B308E"/>
    <w:rsid w:val="7DFB206A"/>
    <w:rsid w:val="7E2E2DC3"/>
    <w:rsid w:val="7E6C0EF6"/>
    <w:rsid w:val="7F063673"/>
    <w:rsid w:val="7F174C12"/>
    <w:rsid w:val="7F2619A9"/>
    <w:rsid w:val="7F9F381A"/>
    <w:rsid w:val="7FC06324"/>
    <w:rsid w:val="7FE8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宋体"/>
      <w:sz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qFormat/>
    <w:uiPriority w:val="0"/>
    <w:pPr>
      <w:ind w:left="2520" w:leftChars="1200"/>
    </w:pPr>
  </w:style>
  <w:style w:type="paragraph" w:styleId="4">
    <w:name w:val="toc 5"/>
    <w:basedOn w:val="1"/>
    <w:next w:val="1"/>
    <w:qFormat/>
    <w:uiPriority w:val="0"/>
    <w:pPr>
      <w:ind w:left="1680" w:leftChars="800"/>
    </w:pPr>
  </w:style>
  <w:style w:type="paragraph" w:styleId="5">
    <w:name w:val="toc 3"/>
    <w:basedOn w:val="1"/>
    <w:next w:val="1"/>
    <w:qFormat/>
    <w:uiPriority w:val="39"/>
    <w:pPr>
      <w:ind w:left="840" w:leftChars="400"/>
    </w:pPr>
  </w:style>
  <w:style w:type="paragraph" w:styleId="6">
    <w:name w:val="toc 8"/>
    <w:basedOn w:val="1"/>
    <w:next w:val="1"/>
    <w:qFormat/>
    <w:uiPriority w:val="0"/>
    <w:pPr>
      <w:ind w:left="2940" w:leftChars="14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9">
    <w:name w:val="toc 1"/>
    <w:basedOn w:val="1"/>
    <w:next w:val="1"/>
    <w:qFormat/>
    <w:uiPriority w:val="39"/>
  </w:style>
  <w:style w:type="paragraph" w:styleId="10">
    <w:name w:val="toc 4"/>
    <w:basedOn w:val="1"/>
    <w:next w:val="1"/>
    <w:qFormat/>
    <w:uiPriority w:val="0"/>
    <w:pPr>
      <w:ind w:left="1260" w:leftChars="600"/>
    </w:pPr>
  </w:style>
  <w:style w:type="paragraph" w:styleId="11">
    <w:name w:val="toc 6"/>
    <w:basedOn w:val="1"/>
    <w:next w:val="1"/>
    <w:qFormat/>
    <w:uiPriority w:val="0"/>
    <w:pPr>
      <w:ind w:left="2100" w:leftChars="1000"/>
    </w:pPr>
  </w:style>
  <w:style w:type="paragraph" w:styleId="12">
    <w:name w:val="toc 2"/>
    <w:basedOn w:val="1"/>
    <w:next w:val="1"/>
    <w:qFormat/>
    <w:uiPriority w:val="39"/>
    <w:pPr>
      <w:ind w:left="420" w:leftChars="200"/>
    </w:pPr>
  </w:style>
  <w:style w:type="paragraph" w:styleId="13">
    <w:name w:val="toc 9"/>
    <w:basedOn w:val="1"/>
    <w:next w:val="1"/>
    <w:qFormat/>
    <w:uiPriority w:val="0"/>
    <w:pPr>
      <w:ind w:left="3360" w:leftChars="1600"/>
    </w:p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page number"/>
    <w:basedOn w:val="15"/>
    <w:qFormat/>
    <w:uiPriority w:val="0"/>
  </w:style>
  <w:style w:type="character" w:styleId="18">
    <w:name w:val="FollowedHyperlink"/>
    <w:basedOn w:val="15"/>
    <w:qFormat/>
    <w:uiPriority w:val="0"/>
    <w:rPr>
      <w:color w:val="3C8DBC"/>
      <w:u w:val="none"/>
    </w:rPr>
  </w:style>
  <w:style w:type="character" w:styleId="19">
    <w:name w:val="HTML Definition"/>
    <w:basedOn w:val="15"/>
    <w:qFormat/>
    <w:uiPriority w:val="0"/>
    <w:rPr>
      <w:i/>
    </w:rPr>
  </w:style>
  <w:style w:type="character" w:styleId="20">
    <w:name w:val="Hyperlink"/>
    <w:basedOn w:val="15"/>
    <w:qFormat/>
    <w:uiPriority w:val="99"/>
    <w:rPr>
      <w:color w:val="3C8DBC"/>
      <w:u w:val="none"/>
    </w:rPr>
  </w:style>
  <w:style w:type="character" w:styleId="21">
    <w:name w:val="HTML Code"/>
    <w:basedOn w:val="15"/>
    <w:qFormat/>
    <w:uiPriority w:val="0"/>
    <w:rPr>
      <w:rFonts w:hint="default" w:ascii="Menlo" w:hAnsi="Menlo" w:eastAsia="Menlo" w:cs="Menlo"/>
      <w:color w:val="C7254E"/>
      <w:sz w:val="21"/>
      <w:szCs w:val="21"/>
      <w:shd w:val="clear" w:color="auto" w:fill="F9F2F4"/>
    </w:rPr>
  </w:style>
  <w:style w:type="character" w:styleId="22">
    <w:name w:val="HTML Keyboard"/>
    <w:basedOn w:val="15"/>
    <w:qFormat/>
    <w:uiPriority w:val="0"/>
    <w:rPr>
      <w:rFonts w:ascii="Menlo" w:hAnsi="Menlo" w:eastAsia="Menlo" w:cs="Menlo"/>
      <w:color w:val="FFFFFF"/>
      <w:sz w:val="21"/>
      <w:szCs w:val="21"/>
      <w:shd w:val="clear" w:color="auto" w:fill="333333"/>
    </w:rPr>
  </w:style>
  <w:style w:type="character" w:styleId="23">
    <w:name w:val="HTML Sample"/>
    <w:basedOn w:val="15"/>
    <w:qFormat/>
    <w:uiPriority w:val="0"/>
    <w:rPr>
      <w:rFonts w:hint="default" w:ascii="Menlo" w:hAnsi="Menlo" w:eastAsia="Menlo" w:cs="Menlo"/>
      <w:sz w:val="21"/>
      <w:szCs w:val="21"/>
    </w:rPr>
  </w:style>
  <w:style w:type="character" w:customStyle="1" w:styleId="24">
    <w:name w:val="rotateleft"/>
    <w:basedOn w:val="15"/>
    <w:qFormat/>
    <w:uiPriority w:val="0"/>
  </w:style>
  <w:style w:type="character" w:customStyle="1" w:styleId="25">
    <w:name w:val="percentage"/>
    <w:basedOn w:val="15"/>
    <w:qFormat/>
    <w:uiPriority w:val="0"/>
    <w:rPr>
      <w:shd w:val="clear" w:color="auto" w:fill="1483D8"/>
    </w:rPr>
  </w:style>
  <w:style w:type="character" w:customStyle="1" w:styleId="26">
    <w:name w:val="text"/>
    <w:basedOn w:val="15"/>
    <w:qFormat/>
    <w:uiPriority w:val="0"/>
  </w:style>
  <w:style w:type="character" w:customStyle="1" w:styleId="27">
    <w:name w:val="rotateright"/>
    <w:basedOn w:val="15"/>
    <w:qFormat/>
    <w:uiPriority w:val="0"/>
  </w:style>
  <w:style w:type="character" w:customStyle="1" w:styleId="28">
    <w:name w:val="cancel"/>
    <w:basedOn w:val="15"/>
    <w:qFormat/>
    <w:uiPriority w:val="0"/>
  </w:style>
  <w:style w:type="paragraph" w:customStyle="1" w:styleId="29">
    <w:name w:val="_Style 2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">
    <w:name w:val="_Style 2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3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customXml" Target="../customXml/item2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7670FE-43CA-4427-891D-D5696BA4A5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439</Words>
  <Characters>2508</Characters>
  <Lines>20</Lines>
  <Paragraphs>5</Paragraphs>
  <TotalTime>1</TotalTime>
  <ScaleCrop>false</ScaleCrop>
  <LinksUpToDate>false</LinksUpToDate>
  <CharactersWithSpaces>2942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2020-05-19T02:55:00Z</dcterms:created>
  <dc:creator>zhoulu</dc:creator>
  <cp:lastModifiedBy> </cp:lastModifiedBy>
  <dcterms:modified xsi:type="dcterms:W3CDTF">2020-05-20T06:30:13Z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